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80" w:type="dxa"/>
            <w:vAlign w:val="bottom"/>
            <w:gridSpan w:val="3"/>
          </w:tcPr>
          <w:p>
            <w:pPr>
              <w:jc w:val="center"/>
              <w:ind w:right="880"/>
              <w:spacing w:after="0"/>
              <w:rPr>
                <w:sz w:val="20"/>
                <w:szCs w:val="20"/>
                <w:color w:val="auto"/>
              </w:rPr>
            </w:pPr>
            <w:r>
              <w:rPr>
                <w:rFonts w:ascii="Arial" w:cs="Arial" w:eastAsia="Arial" w:hAnsi="Arial"/>
                <w:sz w:val="25"/>
                <w:szCs w:val="25"/>
                <w:b w:val="1"/>
                <w:bCs w:val="1"/>
                <w:color w:val="auto"/>
                <w:w w:val="98"/>
              </w:rPr>
              <w:t>UNITED STATES</w:t>
            </w:r>
          </w:p>
        </w:tc>
        <w:tc>
          <w:tcPr>
            <w:tcW w:w="3340" w:type="dxa"/>
            <w:vAlign w:val="bottom"/>
          </w:tcPr>
          <w:p>
            <w:pPr>
              <w:spacing w:after="0"/>
              <w:rPr>
                <w:sz w:val="24"/>
                <w:szCs w:val="24"/>
                <w:color w:val="auto"/>
              </w:rPr>
            </w:pPr>
          </w:p>
        </w:tc>
      </w:tr>
      <w:tr>
        <w:trPr>
          <w:trHeight w:val="320"/>
        </w:trPr>
        <w:tc>
          <w:tcPr>
            <w:tcW w:w="360" w:type="dxa"/>
            <w:vAlign w:val="bottom"/>
          </w:tcPr>
          <w:p>
            <w:pPr>
              <w:spacing w:after="0"/>
              <w:rPr>
                <w:sz w:val="24"/>
                <w:szCs w:val="24"/>
                <w:color w:val="auto"/>
              </w:rPr>
            </w:pPr>
          </w:p>
        </w:tc>
        <w:tc>
          <w:tcPr>
            <w:tcW w:w="10880" w:type="dxa"/>
            <w:vAlign w:val="bottom"/>
            <w:gridSpan w:val="7"/>
          </w:tcPr>
          <w:p>
            <w:pPr>
              <w:jc w:val="center"/>
              <w:ind w:right="279"/>
              <w:spacing w:after="0"/>
              <w:rPr>
                <w:sz w:val="20"/>
                <w:szCs w:val="20"/>
                <w:color w:val="auto"/>
              </w:rPr>
            </w:pPr>
            <w:r>
              <w:rPr>
                <w:rFonts w:ascii="Arial" w:cs="Arial" w:eastAsia="Arial" w:hAnsi="Arial"/>
                <w:sz w:val="25"/>
                <w:szCs w:val="25"/>
                <w:b w:val="1"/>
                <w:bCs w:val="1"/>
                <w:color w:val="auto"/>
              </w:rPr>
              <w:t>SECURITIES AND EXCHANGE COMMISSION</w:t>
            </w:r>
          </w:p>
        </w:tc>
      </w:tr>
      <w:tr>
        <w:trPr>
          <w:trHeight w:val="189"/>
        </w:trPr>
        <w:tc>
          <w:tcPr>
            <w:tcW w:w="3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8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2"/>
              </w:rPr>
              <w:t>Washington, D.C. 20549</w:t>
            </w:r>
          </w:p>
        </w:tc>
        <w:tc>
          <w:tcPr>
            <w:tcW w:w="3340" w:type="dxa"/>
            <w:vAlign w:val="bottom"/>
          </w:tcPr>
          <w:p>
            <w:pPr>
              <w:spacing w:after="0"/>
              <w:rPr>
                <w:sz w:val="16"/>
                <w:szCs w:val="16"/>
                <w:color w:val="auto"/>
              </w:rPr>
            </w:pPr>
          </w:p>
        </w:tc>
      </w:tr>
      <w:tr>
        <w:trPr>
          <w:trHeight w:val="210"/>
        </w:trPr>
        <w:tc>
          <w:tcPr>
            <w:tcW w:w="360" w:type="dxa"/>
            <w:vAlign w:val="bottom"/>
          </w:tcPr>
          <w:p>
            <w:pPr>
              <w:spacing w:after="0"/>
              <w:rPr>
                <w:sz w:val="18"/>
                <w:szCs w:val="18"/>
                <w:color w:val="auto"/>
              </w:rPr>
            </w:pPr>
          </w:p>
        </w:tc>
        <w:tc>
          <w:tcPr>
            <w:tcW w:w="7540" w:type="dxa"/>
            <w:vAlign w:val="bottom"/>
            <w:gridSpan w:val="6"/>
          </w:tcPr>
          <w:p>
            <w:pPr>
              <w:jc w:val="center"/>
              <w:ind w:left="2900"/>
              <w:spacing w:after="0"/>
              <w:rPr>
                <w:sz w:val="20"/>
                <w:szCs w:val="20"/>
                <w:color w:val="auto"/>
              </w:rPr>
            </w:pPr>
            <w:r>
              <w:rPr>
                <w:rFonts w:ascii="Arial" w:cs="Arial" w:eastAsia="Arial" w:hAnsi="Arial"/>
                <w:sz w:val="16"/>
                <w:szCs w:val="16"/>
                <w:b w:val="1"/>
                <w:bCs w:val="1"/>
                <w:color w:val="auto"/>
                <w:w w:val="90"/>
              </w:rPr>
              <w:t>_________________________________________________</w:t>
            </w:r>
          </w:p>
        </w:tc>
        <w:tc>
          <w:tcPr>
            <w:tcW w:w="3340" w:type="dxa"/>
            <w:vAlign w:val="bottom"/>
          </w:tcPr>
          <w:p>
            <w:pPr>
              <w:spacing w:after="0"/>
              <w:rPr>
                <w:sz w:val="18"/>
                <w:szCs w:val="18"/>
                <w:color w:val="auto"/>
              </w:rPr>
            </w:pPr>
          </w:p>
        </w:tc>
      </w:tr>
      <w:tr>
        <w:trPr>
          <w:trHeight w:val="465"/>
        </w:trPr>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80" w:type="dxa"/>
            <w:vAlign w:val="bottom"/>
            <w:gridSpan w:val="3"/>
          </w:tcPr>
          <w:p>
            <w:pPr>
              <w:jc w:val="center"/>
              <w:ind w:right="880"/>
              <w:spacing w:after="0"/>
              <w:rPr>
                <w:sz w:val="20"/>
                <w:szCs w:val="20"/>
                <w:color w:val="auto"/>
              </w:rPr>
            </w:pPr>
            <w:r>
              <w:rPr>
                <w:rFonts w:ascii="Arial" w:cs="Arial" w:eastAsia="Arial" w:hAnsi="Arial"/>
                <w:sz w:val="25"/>
                <w:szCs w:val="25"/>
                <w:b w:val="1"/>
                <w:bCs w:val="1"/>
                <w:color w:val="auto"/>
                <w:w w:val="99"/>
              </w:rPr>
              <w:t>FORM 10-Q</w:t>
            </w:r>
          </w:p>
        </w:tc>
        <w:tc>
          <w:tcPr>
            <w:tcW w:w="3340" w:type="dxa"/>
            <w:vAlign w:val="bottom"/>
          </w:tcPr>
          <w:p>
            <w:pPr>
              <w:spacing w:after="0"/>
              <w:rPr>
                <w:sz w:val="24"/>
                <w:szCs w:val="24"/>
                <w:color w:val="auto"/>
              </w:rPr>
            </w:pPr>
          </w:p>
        </w:tc>
      </w:tr>
      <w:tr>
        <w:trPr>
          <w:trHeight w:val="198"/>
        </w:trPr>
        <w:tc>
          <w:tcPr>
            <w:tcW w:w="360" w:type="dxa"/>
            <w:vAlign w:val="bottom"/>
          </w:tcPr>
          <w:p>
            <w:pPr>
              <w:spacing w:after="0"/>
              <w:rPr>
                <w:sz w:val="17"/>
                <w:szCs w:val="17"/>
                <w:color w:val="auto"/>
              </w:rPr>
            </w:pPr>
          </w:p>
        </w:tc>
        <w:tc>
          <w:tcPr>
            <w:tcW w:w="7540" w:type="dxa"/>
            <w:vAlign w:val="bottom"/>
            <w:gridSpan w:val="6"/>
          </w:tcPr>
          <w:p>
            <w:pPr>
              <w:jc w:val="center"/>
              <w:ind w:left="2900"/>
              <w:spacing w:after="0"/>
              <w:rPr>
                <w:sz w:val="20"/>
                <w:szCs w:val="20"/>
                <w:color w:val="auto"/>
              </w:rPr>
            </w:pPr>
            <w:r>
              <w:rPr>
                <w:rFonts w:ascii="Arial" w:cs="Arial" w:eastAsia="Arial" w:hAnsi="Arial"/>
                <w:sz w:val="16"/>
                <w:szCs w:val="16"/>
                <w:b w:val="1"/>
                <w:bCs w:val="1"/>
                <w:color w:val="auto"/>
                <w:w w:val="90"/>
              </w:rPr>
              <w:t>_________________________________________________</w:t>
            </w:r>
          </w:p>
        </w:tc>
        <w:tc>
          <w:tcPr>
            <w:tcW w:w="3340" w:type="dxa"/>
            <w:vAlign w:val="bottom"/>
          </w:tcPr>
          <w:p>
            <w:pPr>
              <w:spacing w:after="0"/>
              <w:rPr>
                <w:sz w:val="17"/>
                <w:szCs w:val="17"/>
                <w:color w:val="auto"/>
              </w:rPr>
            </w:pPr>
          </w:p>
        </w:tc>
      </w:tr>
      <w:tr>
        <w:trPr>
          <w:trHeight w:val="164"/>
        </w:trPr>
        <w:tc>
          <w:tcPr>
            <w:tcW w:w="4220" w:type="dxa"/>
            <w:vAlign w:val="bottom"/>
            <w:gridSpan w:val="4"/>
          </w:tcPr>
          <w:p>
            <w:pPr>
              <w:spacing w:after="0"/>
              <w:rPr>
                <w:sz w:val="20"/>
                <w:szCs w:val="20"/>
                <w:color w:val="auto"/>
              </w:rPr>
            </w:pPr>
            <w:r>
              <w:rPr>
                <w:rFonts w:ascii="Arial" w:cs="Arial" w:eastAsia="Arial" w:hAnsi="Arial"/>
                <w:sz w:val="13"/>
                <w:szCs w:val="13"/>
                <w:b w:val="1"/>
                <w:bCs w:val="1"/>
                <w:color w:val="auto"/>
              </w:rPr>
              <w:t>(Mark One)</w:t>
            </w: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361"/>
        </w:trPr>
        <w:tc>
          <w:tcPr>
            <w:tcW w:w="360" w:type="dxa"/>
            <w:vAlign w:val="bottom"/>
          </w:tcPr>
          <w:p>
            <w:pPr>
              <w:ind w:left="140"/>
              <w:spacing w:after="0"/>
              <w:rPr>
                <w:sz w:val="20"/>
                <w:szCs w:val="20"/>
                <w:color w:val="auto"/>
              </w:rPr>
            </w:pPr>
            <w:r>
              <w:rPr>
                <w:rFonts w:ascii="Arial" w:cs="Arial" w:eastAsia="Arial" w:hAnsi="Arial"/>
                <w:sz w:val="16"/>
                <w:szCs w:val="16"/>
                <w:b w:val="1"/>
                <w:bCs w:val="1"/>
                <w:color w:val="auto"/>
              </w:rPr>
              <w:t>x</w:t>
            </w:r>
          </w:p>
        </w:tc>
        <w:tc>
          <w:tcPr>
            <w:tcW w:w="10880" w:type="dxa"/>
            <w:vAlign w:val="bottom"/>
            <w:gridSpan w:val="7"/>
          </w:tcPr>
          <w:p>
            <w:pPr>
              <w:ind w:left="132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tc>
      </w:tr>
      <w:tr>
        <w:trPr>
          <w:trHeight w:val="273"/>
        </w:trPr>
        <w:tc>
          <w:tcPr>
            <w:tcW w:w="3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8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89"/>
              </w:rPr>
              <w:t>For the quarterly period ended March 31, 2023</w:t>
            </w:r>
          </w:p>
        </w:tc>
        <w:tc>
          <w:tcPr>
            <w:tcW w:w="3340" w:type="dxa"/>
            <w:vAlign w:val="bottom"/>
          </w:tcPr>
          <w:p>
            <w:pPr>
              <w:spacing w:after="0"/>
              <w:rPr>
                <w:sz w:val="23"/>
                <w:szCs w:val="23"/>
                <w:color w:val="auto"/>
              </w:rPr>
            </w:pPr>
          </w:p>
        </w:tc>
      </w:tr>
      <w:tr>
        <w:trPr>
          <w:trHeight w:val="257"/>
        </w:trPr>
        <w:tc>
          <w:tcPr>
            <w:tcW w:w="3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80" w:type="dxa"/>
            <w:vAlign w:val="bottom"/>
            <w:gridSpan w:val="3"/>
          </w:tcPr>
          <w:p>
            <w:pPr>
              <w:jc w:val="center"/>
              <w:ind w:right="880"/>
              <w:spacing w:after="0"/>
              <w:rPr>
                <w:sz w:val="20"/>
                <w:szCs w:val="20"/>
                <w:color w:val="auto"/>
              </w:rPr>
            </w:pPr>
            <w:r>
              <w:rPr>
                <w:rFonts w:ascii="Arial" w:cs="Arial" w:eastAsia="Arial" w:hAnsi="Arial"/>
                <w:sz w:val="13"/>
                <w:szCs w:val="13"/>
                <w:b w:val="1"/>
                <w:bCs w:val="1"/>
                <w:color w:val="auto"/>
                <w:w w:val="91"/>
              </w:rPr>
              <w:t>or</w:t>
            </w:r>
          </w:p>
        </w:tc>
        <w:tc>
          <w:tcPr>
            <w:tcW w:w="3340" w:type="dxa"/>
            <w:vAlign w:val="bottom"/>
          </w:tcPr>
          <w:p>
            <w:pPr>
              <w:spacing w:after="0"/>
              <w:rPr>
                <w:sz w:val="22"/>
                <w:szCs w:val="22"/>
                <w:color w:val="auto"/>
              </w:rPr>
            </w:pPr>
          </w:p>
        </w:tc>
      </w:tr>
      <w:tr>
        <w:trPr>
          <w:trHeight w:val="380"/>
        </w:trPr>
        <w:tc>
          <w:tcPr>
            <w:tcW w:w="360" w:type="dxa"/>
            <w:vAlign w:val="bottom"/>
          </w:tcPr>
          <w:p>
            <w:pPr>
              <w:ind w:left="120"/>
              <w:spacing w:after="0"/>
              <w:rPr>
                <w:sz w:val="20"/>
                <w:szCs w:val="20"/>
                <w:color w:val="auto"/>
              </w:rPr>
            </w:pPr>
            <w:r>
              <w:rPr>
                <w:rFonts w:ascii="Arial" w:cs="Arial" w:eastAsia="Arial" w:hAnsi="Arial"/>
                <w:sz w:val="18"/>
                <w:szCs w:val="18"/>
                <w:color w:val="auto"/>
              </w:rPr>
              <w:t>o</w:t>
            </w:r>
          </w:p>
        </w:tc>
        <w:tc>
          <w:tcPr>
            <w:tcW w:w="10880" w:type="dxa"/>
            <w:vAlign w:val="bottom"/>
            <w:gridSpan w:val="7"/>
          </w:tcPr>
          <w:p>
            <w:pPr>
              <w:ind w:left="132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81"/>
        </w:trPr>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8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88"/>
              </w:rPr>
              <w:t>For the transition period from _____________ to</w:t>
            </w:r>
          </w:p>
        </w:tc>
        <w:tc>
          <w:tcPr>
            <w:tcW w:w="3340" w:type="dxa"/>
            <w:vAlign w:val="bottom"/>
          </w:tcPr>
          <w:p>
            <w:pPr>
              <w:spacing w:after="0"/>
              <w:rPr>
                <w:sz w:val="24"/>
                <w:szCs w:val="24"/>
                <w:color w:val="auto"/>
              </w:rPr>
            </w:pPr>
          </w:p>
        </w:tc>
      </w:tr>
      <w:tr>
        <w:trPr>
          <w:trHeight w:val="257"/>
        </w:trPr>
        <w:tc>
          <w:tcPr>
            <w:tcW w:w="3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80" w:type="dxa"/>
            <w:vAlign w:val="bottom"/>
            <w:gridSpan w:val="3"/>
          </w:tcPr>
          <w:p>
            <w:pPr>
              <w:jc w:val="center"/>
              <w:ind w:right="880"/>
              <w:spacing w:after="0"/>
              <w:rPr>
                <w:sz w:val="20"/>
                <w:szCs w:val="20"/>
                <w:color w:val="auto"/>
              </w:rPr>
            </w:pPr>
            <w:r>
              <w:rPr>
                <w:rFonts w:ascii="Arial" w:cs="Arial" w:eastAsia="Arial" w:hAnsi="Arial"/>
                <w:sz w:val="13"/>
                <w:szCs w:val="13"/>
                <w:b w:val="1"/>
                <w:bCs w:val="1"/>
                <w:color w:val="auto"/>
                <w:w w:val="88"/>
              </w:rPr>
              <w:t>Commission File Number: 001-40675</w:t>
            </w:r>
          </w:p>
        </w:tc>
        <w:tc>
          <w:tcPr>
            <w:tcW w:w="3340" w:type="dxa"/>
            <w:vAlign w:val="bottom"/>
          </w:tcPr>
          <w:p>
            <w:pPr>
              <w:spacing w:after="0"/>
              <w:rPr>
                <w:sz w:val="22"/>
                <w:szCs w:val="22"/>
                <w:color w:val="auto"/>
              </w:rPr>
            </w:pPr>
          </w:p>
        </w:tc>
      </w:tr>
      <w:tr>
        <w:trPr>
          <w:trHeight w:val="213"/>
        </w:trPr>
        <w:tc>
          <w:tcPr>
            <w:tcW w:w="360" w:type="dxa"/>
            <w:vAlign w:val="bottom"/>
          </w:tcPr>
          <w:p>
            <w:pPr>
              <w:spacing w:after="0"/>
              <w:rPr>
                <w:sz w:val="18"/>
                <w:szCs w:val="18"/>
                <w:color w:val="auto"/>
              </w:rPr>
            </w:pPr>
          </w:p>
        </w:tc>
        <w:tc>
          <w:tcPr>
            <w:tcW w:w="7540" w:type="dxa"/>
            <w:vAlign w:val="bottom"/>
            <w:gridSpan w:val="6"/>
          </w:tcPr>
          <w:p>
            <w:pPr>
              <w:jc w:val="center"/>
              <w:ind w:left="2900"/>
              <w:spacing w:after="0"/>
              <w:rPr>
                <w:sz w:val="20"/>
                <w:szCs w:val="20"/>
                <w:color w:val="auto"/>
              </w:rPr>
            </w:pPr>
            <w:r>
              <w:rPr>
                <w:rFonts w:ascii="Arial" w:cs="Arial" w:eastAsia="Arial" w:hAnsi="Arial"/>
                <w:sz w:val="16"/>
                <w:szCs w:val="16"/>
                <w:b w:val="1"/>
                <w:bCs w:val="1"/>
                <w:color w:val="auto"/>
                <w:w w:val="90"/>
              </w:rPr>
              <w:t>_________________________________________________</w:t>
            </w:r>
          </w:p>
        </w:tc>
        <w:tc>
          <w:tcPr>
            <w:tcW w:w="3340" w:type="dxa"/>
            <w:vAlign w:val="bottom"/>
          </w:tcPr>
          <w:p>
            <w:pPr>
              <w:spacing w:after="0"/>
              <w:rPr>
                <w:sz w:val="18"/>
                <w:szCs w:val="18"/>
                <w:color w:val="auto"/>
              </w:rPr>
            </w:pPr>
          </w:p>
        </w:tc>
      </w:tr>
      <w:tr>
        <w:trPr>
          <w:trHeight w:val="546"/>
        </w:trPr>
        <w:tc>
          <w:tcPr>
            <w:tcW w:w="360" w:type="dxa"/>
            <w:vAlign w:val="bottom"/>
          </w:tcPr>
          <w:p>
            <w:pPr>
              <w:spacing w:after="0"/>
              <w:rPr>
                <w:sz w:val="24"/>
                <w:szCs w:val="24"/>
                <w:color w:val="auto"/>
              </w:rPr>
            </w:pPr>
          </w:p>
        </w:tc>
        <w:tc>
          <w:tcPr>
            <w:tcW w:w="7540" w:type="dxa"/>
            <w:vAlign w:val="bottom"/>
            <w:gridSpan w:val="6"/>
          </w:tcPr>
          <w:p>
            <w:pPr>
              <w:jc w:val="center"/>
              <w:ind w:left="2900"/>
              <w:spacing w:after="0"/>
              <w:rPr>
                <w:sz w:val="20"/>
                <w:szCs w:val="20"/>
                <w:color w:val="auto"/>
              </w:rPr>
            </w:pPr>
            <w:r>
              <w:rPr>
                <w:rFonts w:ascii="Arial" w:cs="Arial" w:eastAsia="Arial" w:hAnsi="Arial"/>
                <w:sz w:val="36"/>
                <w:szCs w:val="36"/>
                <w:b w:val="1"/>
                <w:bCs w:val="1"/>
                <w:color w:val="auto"/>
                <w:w w:val="93"/>
              </w:rPr>
              <w:t>Immuneering Corporation</w:t>
            </w:r>
          </w:p>
        </w:tc>
        <w:tc>
          <w:tcPr>
            <w:tcW w:w="3340" w:type="dxa"/>
            <w:vAlign w:val="bottom"/>
          </w:tcPr>
          <w:p>
            <w:pPr>
              <w:spacing w:after="0"/>
              <w:rPr>
                <w:sz w:val="24"/>
                <w:szCs w:val="24"/>
                <w:color w:val="auto"/>
              </w:rPr>
            </w:pPr>
          </w:p>
        </w:tc>
      </w:tr>
      <w:tr>
        <w:trPr>
          <w:trHeight w:val="229"/>
        </w:trPr>
        <w:tc>
          <w:tcPr>
            <w:tcW w:w="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8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3340" w:type="dxa"/>
            <w:vAlign w:val="bottom"/>
          </w:tcPr>
          <w:p>
            <w:pPr>
              <w:spacing w:after="0"/>
              <w:rPr>
                <w:sz w:val="19"/>
                <w:szCs w:val="19"/>
                <w:color w:val="auto"/>
              </w:rPr>
            </w:pPr>
          </w:p>
        </w:tc>
      </w:tr>
      <w:tr>
        <w:trPr>
          <w:trHeight w:val="210"/>
        </w:trPr>
        <w:tc>
          <w:tcPr>
            <w:tcW w:w="360" w:type="dxa"/>
            <w:vAlign w:val="bottom"/>
          </w:tcPr>
          <w:p>
            <w:pPr>
              <w:spacing w:after="0"/>
              <w:rPr>
                <w:sz w:val="18"/>
                <w:szCs w:val="18"/>
                <w:color w:val="auto"/>
              </w:rPr>
            </w:pPr>
          </w:p>
        </w:tc>
        <w:tc>
          <w:tcPr>
            <w:tcW w:w="7540" w:type="dxa"/>
            <w:vAlign w:val="bottom"/>
            <w:gridSpan w:val="6"/>
          </w:tcPr>
          <w:p>
            <w:pPr>
              <w:jc w:val="center"/>
              <w:ind w:left="2900"/>
              <w:spacing w:after="0"/>
              <w:rPr>
                <w:sz w:val="20"/>
                <w:szCs w:val="20"/>
                <w:color w:val="auto"/>
              </w:rPr>
            </w:pPr>
            <w:r>
              <w:rPr>
                <w:rFonts w:ascii="Arial" w:cs="Arial" w:eastAsia="Arial" w:hAnsi="Arial"/>
                <w:sz w:val="16"/>
                <w:szCs w:val="16"/>
                <w:b w:val="1"/>
                <w:bCs w:val="1"/>
                <w:color w:val="auto"/>
                <w:w w:val="90"/>
              </w:rPr>
              <w:t>_________________________________________________</w:t>
            </w:r>
          </w:p>
        </w:tc>
        <w:tc>
          <w:tcPr>
            <w:tcW w:w="3340" w:type="dxa"/>
            <w:vAlign w:val="bottom"/>
          </w:tcPr>
          <w:p>
            <w:pPr>
              <w:spacing w:after="0"/>
              <w:rPr>
                <w:sz w:val="18"/>
                <w:szCs w:val="18"/>
                <w:color w:val="auto"/>
              </w:rPr>
            </w:pPr>
          </w:p>
        </w:tc>
      </w:tr>
      <w:tr>
        <w:trPr>
          <w:trHeight w:val="314"/>
        </w:trPr>
        <w:tc>
          <w:tcPr>
            <w:tcW w:w="360" w:type="dxa"/>
            <w:vAlign w:val="bottom"/>
          </w:tcPr>
          <w:p>
            <w:pPr>
              <w:spacing w:after="0"/>
              <w:rPr>
                <w:sz w:val="24"/>
                <w:szCs w:val="24"/>
                <w:color w:val="auto"/>
              </w:rPr>
            </w:pPr>
          </w:p>
        </w:tc>
        <w:tc>
          <w:tcPr>
            <w:tcW w:w="3860" w:type="dxa"/>
            <w:vAlign w:val="bottom"/>
            <w:gridSpan w:val="3"/>
          </w:tcPr>
          <w:p>
            <w:pPr>
              <w:jc w:val="center"/>
              <w:ind w:left="980"/>
              <w:spacing w:after="0"/>
              <w:rPr>
                <w:sz w:val="20"/>
                <w:szCs w:val="20"/>
                <w:color w:val="auto"/>
              </w:rPr>
            </w:pPr>
            <w:r>
              <w:rPr>
                <w:rFonts w:ascii="Arial" w:cs="Arial" w:eastAsia="Arial" w:hAnsi="Arial"/>
                <w:sz w:val="13"/>
                <w:szCs w:val="13"/>
                <w:b w:val="1"/>
                <w:bCs w:val="1"/>
                <w:color w:val="auto"/>
                <w:w w:val="91"/>
              </w:rPr>
              <w:t>Delaware</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jc w:val="right"/>
              <w:ind w:right="2439"/>
              <w:spacing w:after="0"/>
              <w:rPr>
                <w:sz w:val="20"/>
                <w:szCs w:val="20"/>
                <w:color w:val="auto"/>
              </w:rPr>
            </w:pPr>
            <w:r>
              <w:rPr>
                <w:rFonts w:ascii="Arial" w:cs="Arial" w:eastAsia="Arial" w:hAnsi="Arial"/>
                <w:sz w:val="13"/>
                <w:szCs w:val="13"/>
                <w:color w:val="auto"/>
              </w:rPr>
              <w:t>26-1976972</w:t>
            </w:r>
          </w:p>
        </w:tc>
      </w:tr>
      <w:tr>
        <w:trPr>
          <w:trHeight w:val="183"/>
        </w:trPr>
        <w:tc>
          <w:tcPr>
            <w:tcW w:w="360" w:type="dxa"/>
            <w:vAlign w:val="bottom"/>
          </w:tcPr>
          <w:p>
            <w:pPr>
              <w:spacing w:after="0"/>
              <w:rPr>
                <w:sz w:val="15"/>
                <w:szCs w:val="15"/>
                <w:color w:val="auto"/>
              </w:rPr>
            </w:pPr>
          </w:p>
        </w:tc>
        <w:tc>
          <w:tcPr>
            <w:tcW w:w="3860" w:type="dxa"/>
            <w:vAlign w:val="bottom"/>
            <w:gridSpan w:val="3"/>
          </w:tcPr>
          <w:p>
            <w:pPr>
              <w:jc w:val="center"/>
              <w:ind w:left="960"/>
              <w:spacing w:after="0"/>
              <w:rPr>
                <w:sz w:val="20"/>
                <w:szCs w:val="20"/>
                <w:color w:val="auto"/>
              </w:rPr>
            </w:pPr>
            <w:r>
              <w:rPr>
                <w:rFonts w:ascii="Arial" w:cs="Arial" w:eastAsia="Arial" w:hAnsi="Arial"/>
                <w:sz w:val="11"/>
                <w:szCs w:val="11"/>
                <w:b w:val="1"/>
                <w:bCs w:val="1"/>
                <w:color w:val="auto"/>
                <w:w w:val="89"/>
              </w:rPr>
              <w:t>(State or other jurisdiction of incorporation or organization)</w:t>
            </w:r>
          </w:p>
        </w:tc>
        <w:tc>
          <w:tcPr>
            <w:tcW w:w="3240" w:type="dxa"/>
            <w:vAlign w:val="bottom"/>
          </w:tcPr>
          <w:p>
            <w:pPr>
              <w:spacing w:after="0"/>
              <w:rPr>
                <w:sz w:val="15"/>
                <w:szCs w:val="15"/>
                <w:color w:val="auto"/>
              </w:rPr>
            </w:pPr>
          </w:p>
        </w:tc>
        <w:tc>
          <w:tcPr>
            <w:tcW w:w="3780" w:type="dxa"/>
            <w:vAlign w:val="bottom"/>
            <w:gridSpan w:val="3"/>
          </w:tcPr>
          <w:p>
            <w:pPr>
              <w:jc w:val="center"/>
              <w:ind w:right="1759"/>
              <w:spacing w:after="0"/>
              <w:rPr>
                <w:sz w:val="20"/>
                <w:szCs w:val="20"/>
                <w:color w:val="auto"/>
              </w:rPr>
            </w:pPr>
            <w:r>
              <w:rPr>
                <w:rFonts w:ascii="Arial" w:cs="Arial" w:eastAsia="Arial" w:hAnsi="Arial"/>
                <w:sz w:val="11"/>
                <w:szCs w:val="11"/>
                <w:b w:val="1"/>
                <w:bCs w:val="1"/>
                <w:color w:val="auto"/>
                <w:w w:val="92"/>
              </w:rPr>
              <w:t>(I.R.S. Employer Identification Number)</w:t>
            </w:r>
          </w:p>
        </w:tc>
      </w:tr>
      <w:tr>
        <w:trPr>
          <w:trHeight w:val="478"/>
        </w:trPr>
        <w:tc>
          <w:tcPr>
            <w:tcW w:w="360" w:type="dxa"/>
            <w:vAlign w:val="bottom"/>
          </w:tcPr>
          <w:p>
            <w:pPr>
              <w:spacing w:after="0"/>
              <w:rPr>
                <w:sz w:val="24"/>
                <w:szCs w:val="24"/>
                <w:color w:val="auto"/>
              </w:rPr>
            </w:pPr>
          </w:p>
        </w:tc>
        <w:tc>
          <w:tcPr>
            <w:tcW w:w="3860" w:type="dxa"/>
            <w:vAlign w:val="bottom"/>
            <w:gridSpan w:val="3"/>
          </w:tcPr>
          <w:p>
            <w:pPr>
              <w:jc w:val="center"/>
              <w:ind w:left="980"/>
              <w:spacing w:after="0"/>
              <w:rPr>
                <w:sz w:val="20"/>
                <w:szCs w:val="20"/>
                <w:color w:val="auto"/>
              </w:rPr>
            </w:pPr>
            <w:r>
              <w:rPr>
                <w:rFonts w:ascii="Arial" w:cs="Arial" w:eastAsia="Arial" w:hAnsi="Arial"/>
                <w:sz w:val="13"/>
                <w:szCs w:val="13"/>
                <w:b w:val="1"/>
                <w:bCs w:val="1"/>
                <w:color w:val="auto"/>
                <w:w w:val="90"/>
              </w:rPr>
              <w:t>245 Main St.</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3860" w:type="dxa"/>
            <w:vAlign w:val="bottom"/>
            <w:gridSpan w:val="3"/>
          </w:tcPr>
          <w:p>
            <w:pPr>
              <w:jc w:val="center"/>
              <w:ind w:left="980"/>
              <w:spacing w:after="0"/>
              <w:rPr>
                <w:sz w:val="20"/>
                <w:szCs w:val="20"/>
                <w:color w:val="auto"/>
              </w:rPr>
            </w:pPr>
            <w:r>
              <w:rPr>
                <w:rFonts w:ascii="Arial" w:cs="Arial" w:eastAsia="Arial" w:hAnsi="Arial"/>
                <w:sz w:val="13"/>
                <w:szCs w:val="13"/>
                <w:b w:val="1"/>
                <w:bCs w:val="1"/>
                <w:color w:val="auto"/>
                <w:w w:val="86"/>
              </w:rPr>
              <w:t>Second Floor</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3860" w:type="dxa"/>
            <w:vAlign w:val="bottom"/>
            <w:gridSpan w:val="3"/>
          </w:tcPr>
          <w:p>
            <w:pPr>
              <w:jc w:val="center"/>
              <w:ind w:left="980"/>
              <w:spacing w:after="0"/>
              <w:rPr>
                <w:sz w:val="20"/>
                <w:szCs w:val="20"/>
                <w:color w:val="auto"/>
              </w:rPr>
            </w:pPr>
            <w:r>
              <w:rPr>
                <w:rFonts w:ascii="Arial" w:cs="Arial" w:eastAsia="Arial" w:hAnsi="Arial"/>
                <w:sz w:val="13"/>
                <w:szCs w:val="13"/>
                <w:b w:val="1"/>
                <w:bCs w:val="1"/>
                <w:color w:val="auto"/>
                <w:w w:val="92"/>
              </w:rPr>
              <w:t>Cambridge, MA</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tcPr>
          <w:p>
            <w:pPr>
              <w:jc w:val="right"/>
              <w:ind w:right="2599"/>
              <w:spacing w:after="0"/>
              <w:rPr>
                <w:sz w:val="20"/>
                <w:szCs w:val="20"/>
                <w:color w:val="auto"/>
              </w:rPr>
            </w:pPr>
            <w:r>
              <w:rPr>
                <w:rFonts w:ascii="Arial" w:cs="Arial" w:eastAsia="Arial" w:hAnsi="Arial"/>
                <w:sz w:val="13"/>
                <w:szCs w:val="13"/>
                <w:b w:val="1"/>
                <w:bCs w:val="1"/>
                <w:color w:val="auto"/>
              </w:rPr>
              <w:t>02142</w:t>
            </w:r>
          </w:p>
        </w:tc>
      </w:tr>
      <w:tr>
        <w:trPr>
          <w:trHeight w:val="183"/>
        </w:trPr>
        <w:tc>
          <w:tcPr>
            <w:tcW w:w="360" w:type="dxa"/>
            <w:vAlign w:val="bottom"/>
          </w:tcPr>
          <w:p>
            <w:pPr>
              <w:spacing w:after="0"/>
              <w:rPr>
                <w:sz w:val="15"/>
                <w:szCs w:val="15"/>
                <w:color w:val="auto"/>
              </w:rPr>
            </w:pPr>
          </w:p>
        </w:tc>
        <w:tc>
          <w:tcPr>
            <w:tcW w:w="3860" w:type="dxa"/>
            <w:vAlign w:val="bottom"/>
            <w:gridSpan w:val="3"/>
          </w:tcPr>
          <w:p>
            <w:pPr>
              <w:jc w:val="center"/>
              <w:ind w:left="980"/>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40" w:type="dxa"/>
            <w:vAlign w:val="bottom"/>
          </w:tcPr>
          <w:p>
            <w:pPr>
              <w:jc w:val="center"/>
              <w:ind w:right="2219"/>
              <w:spacing w:after="0"/>
              <w:rPr>
                <w:sz w:val="20"/>
                <w:szCs w:val="20"/>
                <w:color w:val="auto"/>
              </w:rPr>
            </w:pPr>
            <w:r>
              <w:rPr>
                <w:rFonts w:ascii="Arial" w:cs="Arial" w:eastAsia="Arial" w:hAnsi="Arial"/>
                <w:sz w:val="11"/>
                <w:szCs w:val="11"/>
                <w:b w:val="1"/>
                <w:bCs w:val="1"/>
                <w:color w:val="auto"/>
                <w:w w:val="91"/>
              </w:rPr>
              <w:t>(Zip Code)</w:t>
            </w:r>
          </w:p>
        </w:tc>
      </w:tr>
      <w:tr>
        <w:trPr>
          <w:trHeight w:val="359"/>
        </w:trPr>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tcPr>
          <w:p>
            <w:pPr>
              <w:jc w:val="center"/>
              <w:ind w:right="347"/>
              <w:spacing w:after="0"/>
              <w:rPr>
                <w:sz w:val="20"/>
                <w:szCs w:val="20"/>
                <w:color w:val="auto"/>
              </w:rPr>
            </w:pPr>
            <w:r>
              <w:rPr>
                <w:rFonts w:ascii="Arial" w:cs="Arial" w:eastAsia="Arial" w:hAnsi="Arial"/>
                <w:sz w:val="13"/>
                <w:szCs w:val="13"/>
                <w:b w:val="1"/>
                <w:bCs w:val="1"/>
                <w:color w:val="auto"/>
                <w:w w:val="87"/>
              </w:rPr>
              <w:t>(617) 500-8080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40"/>
        </w:trPr>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80" w:type="dxa"/>
            <w:vAlign w:val="bottom"/>
            <w:gridSpan w:val="3"/>
          </w:tcPr>
          <w:p>
            <w:pPr>
              <w:jc w:val="center"/>
              <w:ind w:right="860"/>
              <w:spacing w:after="0"/>
              <w:rPr>
                <w:sz w:val="20"/>
                <w:szCs w:val="20"/>
                <w:color w:val="auto"/>
              </w:rPr>
            </w:pPr>
            <w:r>
              <w:rPr>
                <w:rFonts w:ascii="Arial" w:cs="Arial" w:eastAsia="Arial" w:hAnsi="Arial"/>
                <w:sz w:val="11"/>
                <w:szCs w:val="11"/>
                <w:b w:val="1"/>
                <w:bCs w:val="1"/>
                <w:color w:val="auto"/>
                <w:w w:val="88"/>
              </w:rPr>
              <w:t>(Registrant’s telephone number)</w:t>
            </w:r>
          </w:p>
        </w:tc>
        <w:tc>
          <w:tcPr>
            <w:tcW w:w="3340" w:type="dxa"/>
            <w:vAlign w:val="bottom"/>
          </w:tcPr>
          <w:p>
            <w:pPr>
              <w:spacing w:after="0"/>
              <w:rPr>
                <w:sz w:val="12"/>
                <w:szCs w:val="12"/>
                <w:color w:val="auto"/>
              </w:rPr>
            </w:pPr>
          </w:p>
        </w:tc>
      </w:tr>
      <w:tr>
        <w:trPr>
          <w:trHeight w:val="238"/>
        </w:trPr>
        <w:tc>
          <w:tcPr>
            <w:tcW w:w="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80" w:type="dxa"/>
            <w:vAlign w:val="bottom"/>
            <w:gridSpan w:val="3"/>
          </w:tcPr>
          <w:p>
            <w:pPr>
              <w:jc w:val="center"/>
              <w:ind w:right="860"/>
              <w:spacing w:after="0"/>
              <w:rPr>
                <w:sz w:val="20"/>
                <w:szCs w:val="20"/>
                <w:color w:val="auto"/>
              </w:rPr>
            </w:pPr>
            <w:r>
              <w:rPr>
                <w:rFonts w:ascii="Arial" w:cs="Arial" w:eastAsia="Arial" w:hAnsi="Arial"/>
                <w:sz w:val="11"/>
                <w:szCs w:val="11"/>
                <w:b w:val="1"/>
                <w:bCs w:val="1"/>
                <w:color w:val="auto"/>
                <w:w w:val="94"/>
              </w:rPr>
              <w:t>N/A</w:t>
            </w:r>
          </w:p>
        </w:tc>
        <w:tc>
          <w:tcPr>
            <w:tcW w:w="3340" w:type="dxa"/>
            <w:vAlign w:val="bottom"/>
          </w:tcPr>
          <w:p>
            <w:pPr>
              <w:spacing w:after="0"/>
              <w:rPr>
                <w:sz w:val="20"/>
                <w:szCs w:val="20"/>
                <w:color w:val="auto"/>
              </w:rPr>
            </w:pPr>
          </w:p>
        </w:tc>
      </w:tr>
      <w:tr>
        <w:trPr>
          <w:trHeight w:val="121"/>
        </w:trPr>
        <w:tc>
          <w:tcPr>
            <w:tcW w:w="3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220" w:type="dxa"/>
            <w:vAlign w:val="bottom"/>
            <w:gridSpan w:val="5"/>
          </w:tcPr>
          <w:p>
            <w:pPr>
              <w:jc w:val="center"/>
              <w:ind w:right="340"/>
              <w:spacing w:after="0" w:line="122" w:lineRule="exact"/>
              <w:rPr>
                <w:sz w:val="20"/>
                <w:szCs w:val="20"/>
                <w:color w:val="auto"/>
              </w:rPr>
            </w:pPr>
            <w:r>
              <w:rPr>
                <w:rFonts w:ascii="Arial" w:cs="Arial" w:eastAsia="Arial" w:hAnsi="Arial"/>
                <w:sz w:val="11"/>
                <w:szCs w:val="11"/>
                <w:b w:val="1"/>
                <w:bCs w:val="1"/>
                <w:color w:val="auto"/>
                <w:w w:val="88"/>
              </w:rPr>
              <w:t>(Former name, former address and former fiscal year, if changed since last report)</w:t>
            </w:r>
          </w:p>
        </w:tc>
        <w:tc>
          <w:tcPr>
            <w:tcW w:w="3340" w:type="dxa"/>
            <w:vAlign w:val="bottom"/>
          </w:tcPr>
          <w:p>
            <w:pPr>
              <w:spacing w:after="0"/>
              <w:rPr>
                <w:sz w:val="10"/>
                <w:szCs w:val="10"/>
                <w:color w:val="auto"/>
              </w:rPr>
            </w:pPr>
          </w:p>
        </w:tc>
      </w:tr>
      <w:tr>
        <w:trPr>
          <w:trHeight w:val="210"/>
        </w:trPr>
        <w:tc>
          <w:tcPr>
            <w:tcW w:w="360" w:type="dxa"/>
            <w:vAlign w:val="bottom"/>
          </w:tcPr>
          <w:p>
            <w:pPr>
              <w:spacing w:after="0"/>
              <w:rPr>
                <w:sz w:val="18"/>
                <w:szCs w:val="18"/>
                <w:color w:val="auto"/>
              </w:rPr>
            </w:pPr>
          </w:p>
        </w:tc>
        <w:tc>
          <w:tcPr>
            <w:tcW w:w="7540" w:type="dxa"/>
            <w:vAlign w:val="bottom"/>
            <w:gridSpan w:val="6"/>
          </w:tcPr>
          <w:p>
            <w:pPr>
              <w:jc w:val="center"/>
              <w:ind w:left="2900"/>
              <w:spacing w:after="0"/>
              <w:rPr>
                <w:sz w:val="20"/>
                <w:szCs w:val="20"/>
                <w:color w:val="auto"/>
              </w:rPr>
            </w:pPr>
            <w:r>
              <w:rPr>
                <w:rFonts w:ascii="Arial" w:cs="Arial" w:eastAsia="Arial" w:hAnsi="Arial"/>
                <w:sz w:val="16"/>
                <w:szCs w:val="16"/>
                <w:b w:val="1"/>
                <w:bCs w:val="1"/>
                <w:color w:val="auto"/>
                <w:w w:val="90"/>
              </w:rPr>
              <w:t>_________________________________________________</w:t>
            </w:r>
          </w:p>
        </w:tc>
        <w:tc>
          <w:tcPr>
            <w:tcW w:w="3340" w:type="dxa"/>
            <w:vAlign w:val="bottom"/>
          </w:tcPr>
          <w:p>
            <w:pPr>
              <w:spacing w:after="0"/>
              <w:rPr>
                <w:sz w:val="18"/>
                <w:szCs w:val="18"/>
                <w:color w:val="auto"/>
              </w:rPr>
            </w:pPr>
          </w:p>
        </w:tc>
      </w:tr>
      <w:tr>
        <w:trPr>
          <w:trHeight w:val="260"/>
        </w:trPr>
        <w:tc>
          <w:tcPr>
            <w:tcW w:w="4220" w:type="dxa"/>
            <w:vAlign w:val="bottom"/>
            <w:gridSpan w:val="4"/>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40" w:type="dxa"/>
            <w:vAlign w:val="bottom"/>
          </w:tcPr>
          <w:p>
            <w:pPr>
              <w:spacing w:after="0"/>
              <w:rPr>
                <w:sz w:val="22"/>
                <w:szCs w:val="22"/>
                <w:color w:val="auto"/>
              </w:rPr>
            </w:pPr>
          </w:p>
        </w:tc>
      </w:tr>
      <w:tr>
        <w:trPr>
          <w:trHeight w:val="310"/>
        </w:trPr>
        <w:tc>
          <w:tcPr>
            <w:tcW w:w="360" w:type="dxa"/>
            <w:vAlign w:val="bottom"/>
          </w:tcPr>
          <w:p>
            <w:pPr>
              <w:spacing w:after="0"/>
              <w:rPr>
                <w:sz w:val="24"/>
                <w:szCs w:val="24"/>
                <w:color w:val="auto"/>
              </w:rPr>
            </w:pPr>
          </w:p>
        </w:tc>
        <w:tc>
          <w:tcPr>
            <w:tcW w:w="386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w w:val="86"/>
              </w:rPr>
              <w:t>Title of Each Class</w:t>
            </w:r>
          </w:p>
        </w:tc>
        <w:tc>
          <w:tcPr>
            <w:tcW w:w="3680" w:type="dxa"/>
            <w:vAlign w:val="bottom"/>
            <w:gridSpan w:val="3"/>
          </w:tcPr>
          <w:p>
            <w:pPr>
              <w:jc w:val="center"/>
              <w:ind w:right="880"/>
              <w:spacing w:after="0"/>
              <w:rPr>
                <w:sz w:val="20"/>
                <w:szCs w:val="20"/>
                <w:color w:val="auto"/>
              </w:rPr>
            </w:pPr>
            <w:r>
              <w:rPr>
                <w:rFonts w:ascii="Arial" w:cs="Arial" w:eastAsia="Arial" w:hAnsi="Arial"/>
                <w:sz w:val="13"/>
                <w:szCs w:val="13"/>
                <w:b w:val="1"/>
                <w:bCs w:val="1"/>
                <w:color w:val="auto"/>
                <w:w w:val="86"/>
              </w:rPr>
              <w:t>Trading symbol</w:t>
            </w:r>
          </w:p>
        </w:tc>
        <w:tc>
          <w:tcPr>
            <w:tcW w:w="3340" w:type="dxa"/>
            <w:vAlign w:val="bottom"/>
          </w:tcPr>
          <w:p>
            <w:pPr>
              <w:jc w:val="center"/>
              <w:ind w:right="279"/>
              <w:spacing w:after="0"/>
              <w:rPr>
                <w:sz w:val="20"/>
                <w:szCs w:val="20"/>
                <w:color w:val="auto"/>
              </w:rPr>
            </w:pPr>
            <w:r>
              <w:rPr>
                <w:rFonts w:ascii="Arial" w:cs="Arial" w:eastAsia="Arial" w:hAnsi="Arial"/>
                <w:sz w:val="13"/>
                <w:szCs w:val="13"/>
                <w:b w:val="1"/>
                <w:bCs w:val="1"/>
                <w:color w:val="auto"/>
                <w:w w:val="85"/>
              </w:rPr>
              <w:t>Name of Exchange on which registered</w:t>
            </w:r>
          </w:p>
        </w:tc>
      </w:tr>
      <w:tr>
        <w:trPr>
          <w:trHeight w:val="30"/>
        </w:trPr>
        <w:tc>
          <w:tcPr>
            <w:tcW w:w="3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166"/>
        </w:trPr>
        <w:tc>
          <w:tcPr>
            <w:tcW w:w="360" w:type="dxa"/>
            <w:vAlign w:val="bottom"/>
          </w:tcPr>
          <w:p>
            <w:pPr>
              <w:spacing w:after="0"/>
              <w:rPr>
                <w:sz w:val="14"/>
                <w:szCs w:val="14"/>
                <w:color w:val="auto"/>
              </w:rPr>
            </w:pPr>
          </w:p>
        </w:tc>
        <w:tc>
          <w:tcPr>
            <w:tcW w:w="386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w w:val="86"/>
              </w:rPr>
              <w:t>Class A common Stock, par value $0.001 per share</w:t>
            </w:r>
          </w:p>
        </w:tc>
        <w:tc>
          <w:tcPr>
            <w:tcW w:w="3680" w:type="dxa"/>
            <w:vAlign w:val="bottom"/>
            <w:gridSpan w:val="3"/>
          </w:tcPr>
          <w:p>
            <w:pPr>
              <w:jc w:val="center"/>
              <w:ind w:right="880"/>
              <w:spacing w:after="0"/>
              <w:rPr>
                <w:sz w:val="20"/>
                <w:szCs w:val="20"/>
                <w:color w:val="auto"/>
              </w:rPr>
            </w:pPr>
            <w:r>
              <w:rPr>
                <w:rFonts w:ascii="Arial" w:cs="Arial" w:eastAsia="Arial" w:hAnsi="Arial"/>
                <w:sz w:val="13"/>
                <w:szCs w:val="13"/>
                <w:b w:val="1"/>
                <w:bCs w:val="1"/>
                <w:color w:val="auto"/>
              </w:rPr>
              <w:t>IMRX</w:t>
            </w:r>
          </w:p>
        </w:tc>
        <w:tc>
          <w:tcPr>
            <w:tcW w:w="3340" w:type="dxa"/>
            <w:vAlign w:val="bottom"/>
          </w:tcPr>
          <w:p>
            <w:pPr>
              <w:jc w:val="center"/>
              <w:ind w:right="279"/>
              <w:spacing w:after="0"/>
              <w:rPr>
                <w:sz w:val="20"/>
                <w:szCs w:val="20"/>
                <w:color w:val="auto"/>
              </w:rPr>
            </w:pPr>
            <w:r>
              <w:rPr>
                <w:rFonts w:ascii="Arial" w:cs="Arial" w:eastAsia="Arial" w:hAnsi="Arial"/>
                <w:sz w:val="13"/>
                <w:szCs w:val="13"/>
                <w:b w:val="1"/>
                <w:bCs w:val="1"/>
                <w:color w:val="auto"/>
                <w:w w:val="90"/>
              </w:rPr>
              <w:t>The Nasdaq Global Market</w:t>
            </w:r>
          </w:p>
        </w:tc>
      </w:tr>
    </w:tbl>
    <w:p>
      <w:pPr>
        <w:spacing w:after="0" w:line="204" w:lineRule="exact"/>
        <w:rPr>
          <w:sz w:val="24"/>
          <w:szCs w:val="24"/>
          <w:color w:val="auto"/>
        </w:rPr>
      </w:pPr>
    </w:p>
    <w:p>
      <w:pPr>
        <w:ind w:right="180"/>
        <w:spacing w:after="0" w:line="27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ind w:right="240"/>
        <w:spacing w:after="0" w:line="255"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87" w:lineRule="exact"/>
        <w:rPr>
          <w:sz w:val="24"/>
          <w:szCs w:val="24"/>
          <w:color w:val="auto"/>
        </w:rPr>
      </w:pPr>
    </w:p>
    <w:p>
      <w:pPr>
        <w:ind w:right="14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55" w:lineRule="exact"/>
        <w:rPr>
          <w:sz w:val="24"/>
          <w:szCs w:val="24"/>
          <w:color w:val="auto"/>
        </w:rPr>
      </w:pPr>
    </w:p>
    <w:p>
      <w:pPr>
        <w:ind w:left="20"/>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3"/>
          <w:szCs w:val="13"/>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133" w:lineRule="exact"/>
        <w:rPr>
          <w:sz w:val="24"/>
          <w:szCs w:val="24"/>
          <w:color w:val="auto"/>
        </w:rPr>
      </w:pPr>
    </w:p>
    <w:p>
      <w:pPr>
        <w:sectPr>
          <w:pgSz w:w="11900" w:h="16838" w:orient="portrait"/>
          <w:cols w:equalWidth="0" w:num="4">
            <w:col w:w="1920" w:space="720"/>
            <w:col w:w="400" w:space="720"/>
            <w:col w:w="1920" w:space="720"/>
            <w:col w:w="4840"/>
          </w:cols>
          <w:pgMar w:left="320" w:top="233" w:right="339" w:bottom="1440" w:gutter="0" w:footer="0" w:header="0"/>
          <w:type w:val="continuous"/>
        </w:sectPr>
      </w:pPr>
    </w:p>
    <w:p>
      <w:pPr>
        <w:ind w:left="20"/>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x</w:t>
      </w:r>
    </w:p>
    <w:p>
      <w:pPr>
        <w:spacing w:after="0" w:line="200" w:lineRule="exact"/>
        <w:rPr>
          <w:sz w:val="24"/>
          <w:szCs w:val="24"/>
          <w:color w:val="auto"/>
        </w:rPr>
      </w:pPr>
    </w:p>
    <w:p>
      <w:pPr>
        <w:sectPr>
          <w:pgSz w:w="11900" w:h="16838" w:orient="portrait"/>
          <w:cols w:equalWidth="0" w:num="6">
            <w:col w:w="1920" w:space="720"/>
            <w:col w:w="400" w:space="720"/>
            <w:col w:w="1920" w:space="720"/>
            <w:col w:w="380" w:space="720"/>
            <w:col w:w="1940" w:space="720"/>
            <w:col w:w="1080"/>
          </w:cols>
          <w:pgMar w:left="320" w:top="233" w:right="339" w:bottom="1440" w:gutter="0" w:footer="0" w:header="0"/>
          <w:type w:val="continuous"/>
        </w:sectPr>
      </w:pPr>
    </w:p>
    <w:p>
      <w:pPr>
        <w:spacing w:after="0" w:line="18" w:lineRule="exact"/>
        <w:rPr>
          <w:sz w:val="24"/>
          <w:szCs w:val="24"/>
          <w:color w:val="auto"/>
        </w:rPr>
      </w:pPr>
    </w:p>
    <w:p>
      <w:pPr>
        <w:ind w:right="320"/>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x</w:t>
      </w:r>
    </w:p>
    <w:p>
      <w:pPr>
        <w:spacing w:after="0" w:line="107" w:lineRule="exact"/>
        <w:rPr>
          <w:sz w:val="24"/>
          <w:szCs w:val="24"/>
          <w:color w:val="auto"/>
        </w:rPr>
      </w:pPr>
    </w:p>
    <w:p>
      <w:pPr>
        <w:ind w:right="440"/>
        <w:spacing w:after="0" w:line="255" w:lineRule="auto"/>
        <w:rPr>
          <w:sz w:val="20"/>
          <w:szCs w:val="20"/>
          <w:color w:val="auto"/>
        </w:rPr>
      </w:pPr>
      <w:r>
        <w:rPr>
          <w:rFonts w:ascii="Arial" w:cs="Arial" w:eastAsia="Arial" w:hAnsi="Arial"/>
          <w:sz w:val="13"/>
          <w:szCs w:val="13"/>
          <w:color w:val="auto"/>
        </w:rPr>
        <w:t>As of April 27, 2023 the registrant had 29,248,656 shares of Class A common stock, $0.001 par value per share, issued and outstanding and 0 shares of Class B common stock, $0.001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8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w:t>
            </w:r>
          </w:p>
        </w:tc>
        <w:tc>
          <w:tcPr>
            <w:tcW w:w="9240" w:type="dxa"/>
            <w:vAlign w:val="bottom"/>
            <w:gridSpan w:val="18"/>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gridSpan w:val="5"/>
            <w:vMerge w:val="continue"/>
          </w:tcPr>
          <w:p>
            <w:pPr>
              <w:spacing w:after="0"/>
              <w:rPr>
                <w:sz w:val="15"/>
                <w:szCs w:val="15"/>
                <w:color w:val="auto"/>
              </w:rPr>
            </w:pPr>
          </w:p>
        </w:tc>
        <w:tc>
          <w:tcPr>
            <w:tcW w:w="9240" w:type="dxa"/>
            <w:vAlign w:val="bottom"/>
            <w:gridSpan w:val="18"/>
            <w:vMerge w:val="continue"/>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0000FF"/>
                <w:w w:val="76"/>
              </w:rPr>
              <w:t>Item 1.</w:t>
            </w:r>
          </w:p>
        </w:tc>
        <w:tc>
          <w:tcPr>
            <w:tcW w:w="620" w:type="dxa"/>
            <w:vAlign w:val="bottom"/>
            <w:gridSpan w:val="4"/>
          </w:tcPr>
          <w:p>
            <w:pPr>
              <w:spacing w:after="0"/>
              <w:rPr>
                <w:sz w:val="24"/>
                <w:szCs w:val="24"/>
                <w:color w:val="auto"/>
              </w:rPr>
            </w:pPr>
          </w:p>
        </w:tc>
        <w:tc>
          <w:tcPr>
            <w:tcW w:w="9240" w:type="dxa"/>
            <w:vAlign w:val="bottom"/>
            <w:gridSpan w:val="18"/>
          </w:tcPr>
          <w:p>
            <w:pPr>
              <w:spacing w:after="0"/>
              <w:rPr>
                <w:sz w:val="20"/>
                <w:szCs w:val="20"/>
                <w:color w:val="auto"/>
              </w:rPr>
            </w:pPr>
            <w:r>
              <w:rPr>
                <w:rFonts w:ascii="Arial" w:cs="Arial" w:eastAsia="Arial" w:hAnsi="Arial"/>
                <w:sz w:val="18"/>
                <w:szCs w:val="18"/>
                <w:color w:val="0000FF"/>
              </w:rPr>
              <w:t>Financial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Condensed Consolidated Balance Sheets as of March 31, 2023 and December 31, 2022 (Unaudited)</w:t>
            </w:r>
          </w:p>
        </w:tc>
        <w:tc>
          <w:tcPr>
            <w:tcW w:w="204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40" w:type="dxa"/>
            <w:vAlign w:val="bottom"/>
            <w:gridSpan w:val="18"/>
          </w:tcPr>
          <w:p>
            <w:pPr>
              <w:spacing w:after="0"/>
              <w:rPr>
                <w:sz w:val="20"/>
                <w:szCs w:val="20"/>
                <w:color w:val="auto"/>
              </w:rPr>
            </w:pPr>
            <w:r>
              <w:rPr>
                <w:rFonts w:ascii="Arial" w:cs="Arial" w:eastAsia="Arial" w:hAnsi="Arial"/>
                <w:sz w:val="18"/>
                <w:szCs w:val="18"/>
                <w:color w:val="0000FF"/>
                <w:w w:val="91"/>
              </w:rPr>
              <w:t>Condensed Consolidated Statements of Operations and Comprehensive Loss for the three months ended March 31, 2023 and</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0"/>
              </w:rPr>
              <w:t>2022 (Unaudited)</w:t>
            </w:r>
          </w:p>
        </w:tc>
        <w:tc>
          <w:tcPr>
            <w:tcW w:w="7720" w:type="dxa"/>
            <w:vAlign w:val="bottom"/>
            <w:tcBorders>
              <w:top w:val="single" w:sz="8" w:color="0000FF"/>
            </w:tcBorders>
            <w:gridSpan w:val="13"/>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Condensed Consolidated Statements of Stockholders’ equity for the three months ended March 31, 2023 and 2022 (Unaudited)</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40" w:type="dxa"/>
            <w:vAlign w:val="bottom"/>
            <w:gridSpan w:val="18"/>
          </w:tcPr>
          <w:p>
            <w:pPr>
              <w:spacing w:after="0"/>
              <w:rPr>
                <w:sz w:val="20"/>
                <w:szCs w:val="20"/>
                <w:color w:val="auto"/>
              </w:rPr>
            </w:pPr>
            <w:r>
              <w:rPr>
                <w:rFonts w:ascii="Arial" w:cs="Arial" w:eastAsia="Arial" w:hAnsi="Arial"/>
                <w:sz w:val="18"/>
                <w:szCs w:val="18"/>
                <w:color w:val="0000FF"/>
                <w:w w:val="97"/>
              </w:rPr>
              <w:t>Condensed Consolidated Statements of Cash Flows for the three months ended March 31, 2023 and 2022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3580" w:type="dxa"/>
            <w:vAlign w:val="bottom"/>
            <w:tcBorders>
              <w:top w:val="single" w:sz="8" w:color="0000FF"/>
            </w:tcBorders>
            <w:gridSpan w:val="3"/>
          </w:tcPr>
          <w:p>
            <w:pPr>
              <w:spacing w:after="0"/>
              <w:rPr>
                <w:sz w:val="24"/>
                <w:szCs w:val="24"/>
                <w:color w:val="auto"/>
              </w:rPr>
            </w:pPr>
          </w:p>
        </w:tc>
        <w:tc>
          <w:tcPr>
            <w:tcW w:w="7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0000FF"/>
                <w:w w:val="76"/>
              </w:rPr>
              <w:t>Item 2.</w:t>
            </w:r>
          </w:p>
        </w:tc>
        <w:tc>
          <w:tcPr>
            <w:tcW w:w="620" w:type="dxa"/>
            <w:vAlign w:val="bottom"/>
            <w:gridSpan w:val="4"/>
          </w:tcPr>
          <w:p>
            <w:pPr>
              <w:spacing w:after="0"/>
              <w:rPr>
                <w:sz w:val="24"/>
                <w:szCs w:val="24"/>
                <w:color w:val="auto"/>
              </w:rPr>
            </w:pPr>
          </w:p>
        </w:tc>
        <w:tc>
          <w:tcPr>
            <w:tcW w:w="924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6"/>
              </w:rPr>
              <w:t>Item 3.</w:t>
            </w:r>
          </w:p>
        </w:tc>
        <w:tc>
          <w:tcPr>
            <w:tcW w:w="80" w:type="dxa"/>
            <w:vAlign w:val="bottom"/>
            <w:tcBorders>
              <w:bottom w:val="single" w:sz="8" w:color="0000FF"/>
            </w:tcBorders>
          </w:tcPr>
          <w:p>
            <w:pPr>
              <w:spacing w:after="0"/>
              <w:rPr>
                <w:sz w:val="24"/>
                <w:szCs w:val="24"/>
                <w:color w:val="auto"/>
              </w:rPr>
            </w:pPr>
          </w:p>
        </w:tc>
        <w:tc>
          <w:tcPr>
            <w:tcW w:w="540" w:type="dxa"/>
            <w:vAlign w:val="bottom"/>
            <w:gridSpan w:val="3"/>
          </w:tcPr>
          <w:p>
            <w:pPr>
              <w:spacing w:after="0"/>
              <w:rPr>
                <w:sz w:val="24"/>
                <w:szCs w:val="24"/>
                <w:color w:val="auto"/>
              </w:rPr>
            </w:pPr>
          </w:p>
        </w:tc>
        <w:tc>
          <w:tcPr>
            <w:tcW w:w="43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tcBorders>
              <w:top w:val="single" w:sz="8" w:color="0000FF"/>
            </w:tcBorders>
            <w:gridSpan w:val="3"/>
          </w:tcPr>
          <w:p>
            <w:pPr>
              <w:spacing w:after="0"/>
              <w:rPr>
                <w:sz w:val="24"/>
                <w:szCs w:val="24"/>
                <w:color w:val="auto"/>
              </w:rPr>
            </w:pPr>
          </w:p>
        </w:tc>
        <w:tc>
          <w:tcPr>
            <w:tcW w:w="278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6"/>
              </w:rPr>
              <w:t>Item 4.</w:t>
            </w:r>
          </w:p>
        </w:tc>
        <w:tc>
          <w:tcPr>
            <w:tcW w:w="620" w:type="dxa"/>
            <w:vAlign w:val="bottom"/>
            <w:gridSpan w:val="4"/>
          </w:tcPr>
          <w:p>
            <w:pPr>
              <w:spacing w:after="0"/>
              <w:rPr>
                <w:sz w:val="24"/>
                <w:szCs w:val="24"/>
                <w:color w:val="auto"/>
              </w:rPr>
            </w:pP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746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Part II</w:t>
            </w:r>
          </w:p>
        </w:tc>
        <w:tc>
          <w:tcPr>
            <w:tcW w:w="540" w:type="dxa"/>
            <w:vAlign w:val="bottom"/>
            <w:gridSpan w:val="3"/>
          </w:tcPr>
          <w:p>
            <w:pPr>
              <w:spacing w:after="0"/>
              <w:rPr>
                <w:sz w:val="24"/>
                <w:szCs w:val="24"/>
                <w:color w:val="auto"/>
              </w:rPr>
            </w:pP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6"/>
              </w:rPr>
              <w:t>Other Information</w:t>
            </w:r>
          </w:p>
        </w:tc>
        <w:tc>
          <w:tcPr>
            <w:tcW w:w="774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6"/>
              </w:rPr>
              <w:t>Item 1.</w:t>
            </w:r>
          </w:p>
        </w:tc>
        <w:tc>
          <w:tcPr>
            <w:tcW w:w="620" w:type="dxa"/>
            <w:vAlign w:val="bottom"/>
            <w:gridSpan w:val="4"/>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790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Arial" w:cs="Arial" w:eastAsia="Arial" w:hAnsi="Arial"/>
                <w:sz w:val="18"/>
                <w:szCs w:val="18"/>
                <w:color w:val="0000FF"/>
              </w:rPr>
              <w:t>Item 1A.</w:t>
            </w:r>
          </w:p>
        </w:tc>
        <w:tc>
          <w:tcPr>
            <w:tcW w:w="924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6"/>
              </w:rPr>
              <w:t>Item 2.</w:t>
            </w:r>
          </w:p>
        </w:tc>
        <w:tc>
          <w:tcPr>
            <w:tcW w:w="18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43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88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0000FF"/>
                <w:w w:val="76"/>
              </w:rPr>
              <w:t>Item 3.</w:t>
            </w:r>
          </w:p>
        </w:tc>
        <w:tc>
          <w:tcPr>
            <w:tcW w:w="620" w:type="dxa"/>
            <w:vAlign w:val="bottom"/>
            <w:gridSpan w:val="4"/>
          </w:tcPr>
          <w:p>
            <w:pPr>
              <w:spacing w:after="0"/>
              <w:rPr>
                <w:sz w:val="24"/>
                <w:szCs w:val="24"/>
                <w:color w:val="auto"/>
              </w:rPr>
            </w:pPr>
          </w:p>
        </w:tc>
        <w:tc>
          <w:tcPr>
            <w:tcW w:w="924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6"/>
              </w:rPr>
              <w:t>Item 4.</w:t>
            </w:r>
          </w:p>
        </w:tc>
        <w:tc>
          <w:tcPr>
            <w:tcW w:w="300" w:type="dxa"/>
            <w:vAlign w:val="bottom"/>
            <w:tcBorders>
              <w:bottom w:val="single" w:sz="8" w:color="0000FF"/>
            </w:tcBorders>
            <w:gridSpan w:val="3"/>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tcPr>
          <w:p>
            <w:pPr>
              <w:spacing w:after="0"/>
              <w:rPr>
                <w:sz w:val="24"/>
                <w:szCs w:val="24"/>
                <w:color w:val="auto"/>
              </w:rPr>
            </w:pPr>
          </w:p>
        </w:tc>
        <w:tc>
          <w:tcPr>
            <w:tcW w:w="69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6"/>
              </w:rPr>
              <w:t>Item 5.</w:t>
            </w:r>
          </w:p>
        </w:tc>
        <w:tc>
          <w:tcPr>
            <w:tcW w:w="620" w:type="dxa"/>
            <w:vAlign w:val="bottom"/>
            <w:gridSpan w:val="4"/>
          </w:tcPr>
          <w:p>
            <w:pPr>
              <w:spacing w:after="0"/>
              <w:rPr>
                <w:sz w:val="24"/>
                <w:szCs w:val="24"/>
                <w:color w:val="auto"/>
              </w:rPr>
            </w:pP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79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0000FF"/>
                <w:w w:val="76"/>
              </w:rPr>
              <w:t>Item 6.</w:t>
            </w:r>
          </w:p>
        </w:tc>
        <w:tc>
          <w:tcPr>
            <w:tcW w:w="620" w:type="dxa"/>
            <w:vAlign w:val="bottom"/>
            <w:gridSpan w:val="4"/>
          </w:tcPr>
          <w:p>
            <w:pPr>
              <w:spacing w:after="0"/>
              <w:rPr>
                <w:sz w:val="24"/>
                <w:szCs w:val="24"/>
                <w:color w:val="auto"/>
              </w:rPr>
            </w:pPr>
          </w:p>
        </w:tc>
        <w:tc>
          <w:tcPr>
            <w:tcW w:w="924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2"/>
          </w:tcPr>
          <w:p>
            <w:pPr>
              <w:ind w:left="448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or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the timing or outcome of our ongoing or planned clinical trials for IMM-1-104, IMM-6-415, any of our other pipeline product candidates and any future product candidates, the clinical utility of our product candidates, the filing with, and approval by, regulatory authorities of our product candidates, the sufficiency of funds to operate the business of the Company, the ongoing impact of the pandemic related to COVID-19 and its variants on our business and operations, including manufacturing, research and development, clinical trials and employees, our cash needs and availability including our revenue streams, our anticipated financial performance and the plans and objectives of management for future operations, are forward-looking statements.</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spacing w:after="0" w:line="124" w:lineRule="exact"/>
        <w:rPr>
          <w:sz w:val="20"/>
          <w:szCs w:val="20"/>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98"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184"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the substantial additional capital that will be required to finance our operations;</w:t>
      </w:r>
    </w:p>
    <w:p>
      <w:pPr>
        <w:spacing w:after="0" w:line="184"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difficulty of obtaining regulatory approval for any of our current or future product candidates;</w:t>
      </w:r>
    </w:p>
    <w:p>
      <w:pPr>
        <w:spacing w:after="0" w:line="184" w:lineRule="exact"/>
        <w:rPr>
          <w:rFonts w:ascii="Arial" w:cs="Arial" w:eastAsia="Arial" w:hAnsi="Arial"/>
          <w:sz w:val="18"/>
          <w:szCs w:val="18"/>
          <w:color w:val="auto"/>
        </w:rPr>
      </w:pPr>
    </w:p>
    <w:p>
      <w:pPr>
        <w:ind w:left="740" w:right="20" w:hanging="327"/>
        <w:spacing w:after="0" w:line="277" w:lineRule="auto"/>
        <w:tabs>
          <w:tab w:leader="none" w:pos="7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submit an Investigational New Drug application, or IND, or IND amendments or comparable documents in foreign jurisdictions in order to commence clinical trials on the timelines we expect;</w:t>
      </w:r>
    </w:p>
    <w:p>
      <w:pPr>
        <w:spacing w:after="0" w:line="143"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limited experience in designing and conducting clinical trials;</w:t>
      </w:r>
    </w:p>
    <w:p>
      <w:pPr>
        <w:spacing w:after="0" w:line="184" w:lineRule="exact"/>
        <w:rPr>
          <w:rFonts w:ascii="Arial" w:cs="Arial" w:eastAsia="Arial" w:hAnsi="Arial"/>
          <w:sz w:val="18"/>
          <w:szCs w:val="18"/>
          <w:color w:val="auto"/>
        </w:rPr>
      </w:pPr>
    </w:p>
    <w:p>
      <w:pPr>
        <w:ind w:left="740" w:right="20" w:hanging="327"/>
        <w:spacing w:after="0" w:line="277" w:lineRule="auto"/>
        <w:tabs>
          <w:tab w:leader="none" w:pos="7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the initiation, progress and potential results of our ongoing and planned preclinical studies and clinical trials and our research programs, including our Phase 1/2a clinical trial of IMM-1-104;</w:t>
      </w:r>
    </w:p>
    <w:p>
      <w:pPr>
        <w:spacing w:after="0" w:line="129"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complete our Phase 1/2a clinical trial of IMM-1-104;</w:t>
      </w:r>
    </w:p>
    <w:p>
      <w:pPr>
        <w:spacing w:after="0" w:line="198"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risk of substantial delays in completing, if at all, the development and commercialization of our current or future product candidates;</w:t>
      </w:r>
    </w:p>
    <w:p>
      <w:pPr>
        <w:spacing w:after="0" w:line="196" w:lineRule="exact"/>
        <w:rPr>
          <w:rFonts w:ascii="Arial" w:cs="Arial" w:eastAsia="Arial" w:hAnsi="Arial"/>
          <w:sz w:val="17"/>
          <w:szCs w:val="17"/>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adverse events, toxicities or other undesirable side effects caused by our current or future product candidates;</w:t>
      </w:r>
    </w:p>
    <w:p>
      <w:pPr>
        <w:spacing w:after="0" w:line="184"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of delays or difficulties in the enrollment and/or maintenance of patients in clinical trials;</w:t>
      </w:r>
    </w:p>
    <w:p>
      <w:pPr>
        <w:spacing w:after="0" w:line="198" w:lineRule="exact"/>
        <w:rPr>
          <w:rFonts w:ascii="Arial" w:cs="Arial" w:eastAsia="Arial" w:hAnsi="Arial"/>
          <w:sz w:val="18"/>
          <w:szCs w:val="18"/>
          <w:color w:val="auto"/>
        </w:rPr>
      </w:pPr>
    </w:p>
    <w:p>
      <w:pPr>
        <w:ind w:left="740" w:hanging="327"/>
        <w:spacing w:after="0" w:line="277" w:lineRule="auto"/>
        <w:tabs>
          <w:tab w:leader="none" w:pos="7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substantial reliance on the successful development of our current and future product candidates, as well as our platform, including our proprietary technologies such as DCT and Fluency;</w:t>
      </w:r>
    </w:p>
    <w:p>
      <w:pPr>
        <w:spacing w:after="0" w:line="129"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competition in our industry;</w:t>
      </w:r>
    </w:p>
    <w:p>
      <w:pPr>
        <w:spacing w:after="0" w:line="184"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market opportunity for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manufacturing;</w:t>
      </w:r>
    </w:p>
    <w:p>
      <w:pPr>
        <w:spacing w:after="0" w:line="198"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reliance on third parties;</w:t>
      </w:r>
    </w:p>
    <w:p>
      <w:pPr>
        <w:spacing w:after="0" w:line="184"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intellectual property;</w:t>
      </w:r>
    </w:p>
    <w:p>
      <w:pPr>
        <w:spacing w:after="0" w:line="184"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pandemic related to COVID-19, its variants and future pandemics; and</w:t>
      </w:r>
    </w:p>
    <w:p>
      <w:pPr>
        <w:spacing w:after="0" w:line="198" w:lineRule="exact"/>
        <w:rPr>
          <w:rFonts w:ascii="Arial" w:cs="Arial" w:eastAsia="Arial" w:hAnsi="Arial"/>
          <w:sz w:val="18"/>
          <w:szCs w:val="18"/>
          <w:color w:val="auto"/>
        </w:rPr>
      </w:pPr>
    </w:p>
    <w:p>
      <w:pPr>
        <w:ind w:left="740" w:right="20" w:hanging="327"/>
        <w:spacing w:after="0" w:line="308" w:lineRule="auto"/>
        <w:tabs>
          <w:tab w:leader="none" w:pos="735"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important risk factors that could affect the outcome of the events set forth in these statements and that could affect our operating results and financial condition are described in Part II, Item 1A. “Risk Factors” section of this Quarterly Report on Form 10-Q.</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numerous risks and uncertainties, including those further described below in Part I Item IA. “Risk Factors” in this Quarterly Report on Form 10-Q,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47" w:lineRule="exact"/>
        <w:rPr>
          <w:sz w:val="20"/>
          <w:szCs w:val="20"/>
          <w:color w:val="auto"/>
        </w:rPr>
      </w:pPr>
    </w:p>
    <w:p>
      <w:pPr>
        <w:jc w:val="both"/>
        <w:ind w:left="740" w:hanging="327"/>
        <w:spacing w:after="0" w:line="263"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43" w:lineRule="exact"/>
        <w:rPr>
          <w:rFonts w:ascii="Arial" w:cs="Arial" w:eastAsia="Arial" w:hAnsi="Arial"/>
          <w:sz w:val="18"/>
          <w:szCs w:val="18"/>
          <w:color w:val="auto"/>
        </w:rPr>
      </w:pPr>
    </w:p>
    <w:p>
      <w:pPr>
        <w:ind w:left="74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net losses for the past several years and we expect to continue to incur significant net losses for the foreseeable future and may never obtain profitability.</w:t>
      </w:r>
    </w:p>
    <w:p>
      <w:pPr>
        <w:spacing w:after="0" w:line="143" w:lineRule="exact"/>
        <w:rPr>
          <w:rFonts w:ascii="Arial" w:cs="Arial" w:eastAsia="Arial" w:hAnsi="Arial"/>
          <w:sz w:val="18"/>
          <w:szCs w:val="18"/>
          <w:color w:val="auto"/>
        </w:rPr>
      </w:pPr>
    </w:p>
    <w:p>
      <w:pPr>
        <w:jc w:val="both"/>
        <w:ind w:left="740" w:hanging="327"/>
        <w:spacing w:after="0" w:line="263"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43" w:lineRule="exact"/>
        <w:rPr>
          <w:rFonts w:ascii="Arial" w:cs="Arial" w:eastAsia="Arial" w:hAnsi="Arial"/>
          <w:sz w:val="18"/>
          <w:szCs w:val="18"/>
          <w:color w:val="auto"/>
        </w:rPr>
      </w:pPr>
    </w:p>
    <w:p>
      <w:pPr>
        <w:jc w:val="both"/>
        <w:ind w:left="740" w:hanging="327"/>
        <w:spacing w:after="0" w:line="259"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46" w:lineRule="exact"/>
        <w:rPr>
          <w:rFonts w:ascii="Arial" w:cs="Arial" w:eastAsia="Arial" w:hAnsi="Arial"/>
          <w:sz w:val="18"/>
          <w:szCs w:val="18"/>
          <w:color w:val="auto"/>
        </w:rPr>
      </w:pPr>
    </w:p>
    <w:p>
      <w:pPr>
        <w:ind w:left="74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completing, or ultimately be unable to complete, the development and commercialization of our product candidates.</w:t>
      </w:r>
    </w:p>
    <w:p>
      <w:pPr>
        <w:spacing w:after="0" w:line="143" w:lineRule="exact"/>
        <w:rPr>
          <w:rFonts w:ascii="Arial" w:cs="Arial" w:eastAsia="Arial" w:hAnsi="Arial"/>
          <w:sz w:val="18"/>
          <w:szCs w:val="18"/>
          <w:color w:val="auto"/>
        </w:rPr>
      </w:pPr>
    </w:p>
    <w:p>
      <w:pPr>
        <w:ind w:left="74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43" w:lineRule="exact"/>
        <w:rPr>
          <w:rFonts w:ascii="Arial" w:cs="Arial" w:eastAsia="Arial" w:hAnsi="Arial"/>
          <w:sz w:val="18"/>
          <w:szCs w:val="18"/>
          <w:color w:val="auto"/>
        </w:rPr>
      </w:pPr>
    </w:p>
    <w:p>
      <w:pPr>
        <w:jc w:val="both"/>
        <w:ind w:left="740" w:hanging="327"/>
        <w:spacing w:after="0" w:line="259"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59" w:lineRule="exact"/>
        <w:rPr>
          <w:rFonts w:ascii="Arial" w:cs="Arial" w:eastAsia="Arial" w:hAnsi="Arial"/>
          <w:sz w:val="18"/>
          <w:szCs w:val="18"/>
          <w:color w:val="auto"/>
        </w:rPr>
      </w:pPr>
    </w:p>
    <w:p>
      <w:pPr>
        <w:ind w:left="740" w:hanging="327"/>
        <w:spacing w:after="0" w:line="308"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05" w:lineRule="exact"/>
        <w:rPr>
          <w:rFonts w:ascii="Arial" w:cs="Arial" w:eastAsia="Arial" w:hAnsi="Arial"/>
          <w:sz w:val="17"/>
          <w:szCs w:val="17"/>
          <w:color w:val="auto"/>
        </w:rPr>
      </w:pPr>
    </w:p>
    <w:p>
      <w:pPr>
        <w:ind w:left="74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long-term prospects depend in part upon discovering, developing and commercializing product candidates, which may fail in development or suffer delays that adversely affect their commercial viability.</w:t>
      </w:r>
    </w:p>
    <w:p>
      <w:pPr>
        <w:spacing w:after="0" w:line="129" w:lineRule="exact"/>
        <w:rPr>
          <w:rFonts w:ascii="Arial" w:cs="Arial" w:eastAsia="Arial" w:hAnsi="Arial"/>
          <w:sz w:val="18"/>
          <w:szCs w:val="18"/>
          <w:color w:val="auto"/>
        </w:rPr>
      </w:pPr>
    </w:p>
    <w:p>
      <w:pPr>
        <w:ind w:left="740" w:right="2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43" w:lineRule="exact"/>
        <w:rPr>
          <w:rFonts w:ascii="Arial" w:cs="Arial" w:eastAsia="Arial" w:hAnsi="Arial"/>
          <w:sz w:val="18"/>
          <w:szCs w:val="18"/>
          <w:color w:val="auto"/>
        </w:rPr>
      </w:pPr>
    </w:p>
    <w:p>
      <w:pPr>
        <w:ind w:left="74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129" w:lineRule="exact"/>
        <w:rPr>
          <w:rFonts w:ascii="Arial" w:cs="Arial" w:eastAsia="Arial" w:hAnsi="Arial"/>
          <w:sz w:val="18"/>
          <w:szCs w:val="18"/>
          <w:color w:val="auto"/>
        </w:rPr>
      </w:pPr>
    </w:p>
    <w:p>
      <w:pPr>
        <w:ind w:left="740" w:hanging="327"/>
        <w:spacing w:after="0" w:line="308"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right="20" w:hanging="327"/>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potential future pandemics could continue to adversely impact our business, including our current and future clinical trials, supply chain and business development activities.</w:t>
      </w:r>
    </w:p>
    <w:p>
      <w:pPr>
        <w:spacing w:after="0" w:line="143" w:lineRule="exact"/>
        <w:rPr>
          <w:rFonts w:ascii="Arial" w:cs="Arial" w:eastAsia="Arial" w:hAnsi="Arial"/>
          <w:sz w:val="18"/>
          <w:szCs w:val="18"/>
          <w:color w:val="auto"/>
        </w:rPr>
      </w:pPr>
    </w:p>
    <w:p>
      <w:pPr>
        <w:jc w:val="both"/>
        <w:ind w:left="740" w:hanging="327"/>
        <w:spacing w:after="0" w:line="259"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46" w:lineRule="exact"/>
        <w:rPr>
          <w:rFonts w:ascii="Arial" w:cs="Arial" w:eastAsia="Arial" w:hAnsi="Arial"/>
          <w:sz w:val="18"/>
          <w:szCs w:val="18"/>
          <w:color w:val="auto"/>
        </w:rPr>
      </w:pPr>
    </w:p>
    <w:p>
      <w:pPr>
        <w:jc w:val="both"/>
        <w:ind w:left="740" w:hanging="327"/>
        <w:spacing w:after="0" w:line="259"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46" w:lineRule="exact"/>
        <w:rPr>
          <w:rFonts w:ascii="Arial" w:cs="Arial" w:eastAsia="Arial" w:hAnsi="Arial"/>
          <w:sz w:val="18"/>
          <w:szCs w:val="18"/>
          <w:color w:val="auto"/>
        </w:rPr>
      </w:pPr>
    </w:p>
    <w:p>
      <w:pPr>
        <w:jc w:val="both"/>
        <w:ind w:left="740" w:hanging="327"/>
        <w:spacing w:after="0" w:line="263"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56" w:lineRule="exact"/>
        <w:rPr>
          <w:rFonts w:ascii="Arial" w:cs="Arial" w:eastAsia="Arial" w:hAnsi="Arial"/>
          <w:sz w:val="18"/>
          <w:szCs w:val="18"/>
          <w:color w:val="auto"/>
        </w:rPr>
      </w:pPr>
    </w:p>
    <w:p>
      <w:pPr>
        <w:jc w:val="both"/>
        <w:ind w:left="740" w:hanging="327"/>
        <w:spacing w:after="0" w:line="259"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6"/>
                <w:szCs w:val="16"/>
                <w:color w:val="auto"/>
              </w:rPr>
            </w:pPr>
          </w:p>
        </w:tc>
        <w:tc>
          <w:tcPr>
            <w:tcW w:w="146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December 31, 2022</w:t>
            </w:r>
          </w:p>
        </w:tc>
      </w:tr>
      <w:tr>
        <w:trPr>
          <w:trHeight w:val="39"/>
        </w:trPr>
        <w:tc>
          <w:tcPr>
            <w:tcW w:w="7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96"/>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73"/>
        </w:trPr>
        <w:tc>
          <w:tcPr>
            <w:tcW w:w="79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9"/>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77,430,283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72,636,886</w:t>
            </w:r>
          </w:p>
        </w:tc>
      </w:tr>
      <w:tr>
        <w:trPr>
          <w:trHeight w:val="173"/>
        </w:trPr>
        <w:tc>
          <w:tcPr>
            <w:tcW w:w="7900" w:type="dxa"/>
            <w:vAlign w:val="bottom"/>
          </w:tcPr>
          <w:p>
            <w:pPr>
              <w:ind w:left="100"/>
              <w:spacing w:after="0"/>
              <w:rPr>
                <w:sz w:val="20"/>
                <w:szCs w:val="20"/>
                <w:color w:val="auto"/>
              </w:rPr>
            </w:pPr>
            <w:r>
              <w:rPr>
                <w:rFonts w:ascii="Arial" w:cs="Arial" w:eastAsia="Arial" w:hAnsi="Arial"/>
                <w:sz w:val="13"/>
                <w:szCs w:val="13"/>
                <w:color w:val="auto"/>
              </w:rPr>
              <w:t>Marketable securities, current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14,105,560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32,887,970</w:t>
            </w:r>
          </w:p>
        </w:tc>
      </w:tr>
      <w:tr>
        <w:trPr>
          <w:trHeight w:val="29"/>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Accounts receivable</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12,417</w:t>
            </w:r>
          </w:p>
        </w:tc>
      </w:tr>
      <w:tr>
        <w:trPr>
          <w:trHeight w:val="173"/>
        </w:trPr>
        <w:tc>
          <w:tcPr>
            <w:tcW w:w="7900" w:type="dxa"/>
            <w:vAlign w:val="bottom"/>
          </w:tcPr>
          <w:p>
            <w:pPr>
              <w:ind w:left="100"/>
              <w:spacing w:after="0"/>
              <w:rPr>
                <w:sz w:val="20"/>
                <w:szCs w:val="20"/>
                <w:color w:val="auto"/>
              </w:rPr>
            </w:pPr>
            <w:r>
              <w:rPr>
                <w:rFonts w:ascii="Arial" w:cs="Arial" w:eastAsia="Arial" w:hAnsi="Arial"/>
                <w:sz w:val="13"/>
                <w:szCs w:val="13"/>
                <w:color w:val="auto"/>
              </w:rPr>
              <w:t>Prepaids and other current assets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2,696,640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3,209,536</w:t>
            </w:r>
          </w:p>
        </w:tc>
      </w:tr>
      <w:tr>
        <w:trPr>
          <w:trHeight w:val="29"/>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current assets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94,233,529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108,746,809</w:t>
            </w:r>
          </w:p>
        </w:tc>
      </w:tr>
      <w:tr>
        <w:trPr>
          <w:trHeight w:val="270"/>
        </w:trPr>
        <w:tc>
          <w:tcPr>
            <w:tcW w:w="7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18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1,325,192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1,369,608</w:t>
            </w:r>
          </w:p>
        </w:tc>
      </w:tr>
      <w:tr>
        <w:trPr>
          <w:trHeight w:val="173"/>
        </w:trPr>
        <w:tc>
          <w:tcPr>
            <w:tcW w:w="7900" w:type="dxa"/>
            <w:vAlign w:val="bottom"/>
          </w:tcPr>
          <w:p>
            <w:pPr>
              <w:ind w:left="20"/>
              <w:spacing w:after="0"/>
              <w:rPr>
                <w:sz w:val="20"/>
                <w:szCs w:val="20"/>
                <w:color w:val="auto"/>
              </w:rPr>
            </w:pPr>
            <w:r>
              <w:rPr>
                <w:rFonts w:ascii="Arial" w:cs="Arial" w:eastAsia="Arial" w:hAnsi="Arial"/>
                <w:sz w:val="13"/>
                <w:szCs w:val="13"/>
                <w:color w:val="auto"/>
              </w:rPr>
              <w:t>Goodwill</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6,690,431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6,690,431</w:t>
            </w:r>
          </w:p>
        </w:tc>
      </w:tr>
      <w:tr>
        <w:trPr>
          <w:trHeight w:val="29"/>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Intangible asset, net</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401,630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408,947</w:t>
            </w:r>
          </w:p>
        </w:tc>
      </w:tr>
      <w:tr>
        <w:trPr>
          <w:trHeight w:val="173"/>
        </w:trPr>
        <w:tc>
          <w:tcPr>
            <w:tcW w:w="7900" w:type="dxa"/>
            <w:vAlign w:val="bottom"/>
          </w:tcPr>
          <w:p>
            <w:pPr>
              <w:ind w:left="20"/>
              <w:spacing w:after="0"/>
              <w:rPr>
                <w:sz w:val="20"/>
                <w:szCs w:val="20"/>
                <w:color w:val="auto"/>
              </w:rPr>
            </w:pPr>
            <w:r>
              <w:rPr>
                <w:rFonts w:ascii="Arial" w:cs="Arial" w:eastAsia="Arial" w:hAnsi="Arial"/>
                <w:sz w:val="13"/>
                <w:szCs w:val="13"/>
                <w:color w:val="auto"/>
              </w:rPr>
              <w:t>Right-of-use assets, net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4,301,999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4,407,785</w:t>
            </w:r>
          </w:p>
        </w:tc>
      </w:tr>
      <w:tr>
        <w:trPr>
          <w:trHeight w:val="29"/>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743,703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743,703</w:t>
            </w:r>
          </w:p>
        </w:tc>
      </w:tr>
      <w:tr>
        <w:trPr>
          <w:trHeight w:val="195"/>
        </w:trPr>
        <w:tc>
          <w:tcPr>
            <w:tcW w:w="7900" w:type="dxa"/>
            <w:vAlign w:val="bottom"/>
          </w:tcPr>
          <w:p>
            <w:pPr>
              <w:ind w:left="260"/>
              <w:spacing w:after="0"/>
              <w:rPr>
                <w:sz w:val="20"/>
                <w:szCs w:val="20"/>
                <w:color w:val="auto"/>
              </w:rPr>
            </w:pPr>
            <w:r>
              <w:rPr>
                <w:rFonts w:ascii="Arial" w:cs="Arial" w:eastAsia="Arial" w:hAnsi="Arial"/>
                <w:sz w:val="13"/>
                <w:szCs w:val="13"/>
                <w:color w:val="auto"/>
              </w:rPr>
              <w:t>Total assets</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107,696,484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122,367,283</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8"/>
        </w:trPr>
        <w:tc>
          <w:tcPr>
            <w:tcW w:w="7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173"/>
        </w:trPr>
        <w:tc>
          <w:tcPr>
            <w:tcW w:w="7900" w:type="dxa"/>
            <w:vAlign w:val="bottom"/>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73"/>
        </w:trPr>
        <w:tc>
          <w:tcPr>
            <w:tcW w:w="790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2,723,624</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3,154,557</w:t>
            </w: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Accrued expenses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2,412,413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4,500,993</w:t>
            </w:r>
          </w:p>
        </w:tc>
      </w:tr>
      <w:tr>
        <w:trPr>
          <w:trHeight w:val="173"/>
        </w:trPr>
        <w:tc>
          <w:tcPr>
            <w:tcW w:w="7900" w:type="dxa"/>
            <w:vAlign w:val="bottom"/>
          </w:tcPr>
          <w:p>
            <w:pPr>
              <w:ind w:left="100"/>
              <w:spacing w:after="0"/>
              <w:rPr>
                <w:sz w:val="20"/>
                <w:szCs w:val="20"/>
                <w:color w:val="auto"/>
              </w:rPr>
            </w:pPr>
            <w:r>
              <w:rPr>
                <w:rFonts w:ascii="Arial" w:cs="Arial" w:eastAsia="Arial" w:hAnsi="Arial"/>
                <w:sz w:val="13"/>
                <w:szCs w:val="13"/>
                <w:color w:val="auto"/>
              </w:rPr>
              <w:t>Other liabilities, current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26,333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19,796</w:t>
            </w: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 liabilities, current</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363,238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378,723</w:t>
            </w:r>
          </w:p>
        </w:tc>
      </w:tr>
      <w:tr>
        <w:trPr>
          <w:trHeight w:val="166"/>
        </w:trPr>
        <w:tc>
          <w:tcPr>
            <w:tcW w:w="7900" w:type="dxa"/>
            <w:vAlign w:val="bottom"/>
          </w:tcPr>
          <w:p>
            <w:pPr>
              <w:ind w:left="260"/>
              <w:spacing w:after="0"/>
              <w:rPr>
                <w:sz w:val="20"/>
                <w:szCs w:val="20"/>
                <w:color w:val="auto"/>
              </w:rPr>
            </w:pPr>
            <w:r>
              <w:rPr>
                <w:rFonts w:ascii="Arial" w:cs="Arial" w:eastAsia="Arial" w:hAnsi="Arial"/>
                <w:sz w:val="13"/>
                <w:szCs w:val="13"/>
                <w:color w:val="auto"/>
              </w:rPr>
              <w:t>Total current liabilities</w:t>
            </w: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5,525,608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8,054,069</w:t>
            </w: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173"/>
        </w:trPr>
        <w:tc>
          <w:tcPr>
            <w:tcW w:w="7900" w:type="dxa"/>
            <w:vAlign w:val="bottom"/>
          </w:tcPr>
          <w:p>
            <w:pPr>
              <w:ind w:left="20"/>
              <w:spacing w:after="0"/>
              <w:rPr>
                <w:sz w:val="20"/>
                <w:szCs w:val="20"/>
                <w:color w:val="auto"/>
              </w:rPr>
            </w:pPr>
            <w:r>
              <w:rPr>
                <w:rFonts w:ascii="Arial" w:cs="Arial" w:eastAsia="Arial" w:hAnsi="Arial"/>
                <w:sz w:val="13"/>
                <w:szCs w:val="13"/>
                <w:color w:val="auto"/>
              </w:rPr>
              <w:t>Long-term liabilities: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 liabilities, non-current</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4,381,252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4,462,959</w:t>
            </w:r>
          </w:p>
        </w:tc>
      </w:tr>
      <w:tr>
        <w:trPr>
          <w:trHeight w:val="167"/>
        </w:trPr>
        <w:tc>
          <w:tcPr>
            <w:tcW w:w="7900" w:type="dxa"/>
            <w:vAlign w:val="bottom"/>
          </w:tcPr>
          <w:p>
            <w:pPr>
              <w:ind w:left="260"/>
              <w:spacing w:after="0"/>
              <w:rPr>
                <w:sz w:val="20"/>
                <w:szCs w:val="20"/>
                <w:color w:val="auto"/>
              </w:rPr>
            </w:pPr>
            <w:r>
              <w:rPr>
                <w:rFonts w:ascii="Arial" w:cs="Arial" w:eastAsia="Arial" w:hAnsi="Arial"/>
                <w:sz w:val="13"/>
                <w:szCs w:val="13"/>
                <w:color w:val="auto"/>
              </w:rPr>
              <w:t>Total liabilities</w:t>
            </w: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9,906,860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12,517,028</w:t>
            </w:r>
          </w:p>
        </w:tc>
      </w:tr>
      <w:tr>
        <w:trPr>
          <w:trHeight w:val="30"/>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10)</w:t>
            </w:r>
          </w:p>
        </w:tc>
        <w:tc>
          <w:tcPr>
            <w:tcW w:w="2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r>
      <w:tr>
        <w:trPr>
          <w:trHeight w:val="173"/>
        </w:trPr>
        <w:tc>
          <w:tcPr>
            <w:tcW w:w="790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61"/>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Preferred stock, $0.001 par value; 10,000,000 shares authorized at March 31, 2023 and December 31, 2022; 0 shares issued or outstanding at March 31,</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2023 and December 31, 2022</w:t>
            </w:r>
          </w:p>
        </w:tc>
        <w:tc>
          <w:tcPr>
            <w:tcW w:w="2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900" w:type="dxa"/>
            <w:vAlign w:val="bottom"/>
          </w:tcPr>
          <w:p>
            <w:pPr>
              <w:ind w:left="20"/>
              <w:spacing w:after="0"/>
              <w:rPr>
                <w:sz w:val="20"/>
                <w:szCs w:val="20"/>
                <w:color w:val="auto"/>
              </w:rPr>
            </w:pPr>
            <w:r>
              <w:rPr>
                <w:rFonts w:ascii="Arial" w:cs="Arial" w:eastAsia="Arial" w:hAnsi="Arial"/>
                <w:sz w:val="13"/>
                <w:szCs w:val="13"/>
                <w:color w:val="auto"/>
                <w:w w:val="89"/>
              </w:rPr>
              <w:t>Class A common stock, $0.001 par value, 200,000,000 shares authorized at March 31, 2023 and December 31, 2022; 26,495,797 and 26,418,732 shares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0"/>
        </w:trPr>
        <w:tc>
          <w:tcPr>
            <w:tcW w:w="7900" w:type="dxa"/>
            <w:vAlign w:val="bottom"/>
          </w:tcPr>
          <w:p>
            <w:pPr>
              <w:ind w:left="20"/>
              <w:spacing w:after="0"/>
              <w:rPr>
                <w:sz w:val="20"/>
                <w:szCs w:val="20"/>
                <w:color w:val="auto"/>
              </w:rPr>
            </w:pPr>
            <w:r>
              <w:rPr>
                <w:rFonts w:ascii="Arial" w:cs="Arial" w:eastAsia="Arial" w:hAnsi="Arial"/>
                <w:sz w:val="13"/>
                <w:szCs w:val="13"/>
                <w:color w:val="auto"/>
              </w:rPr>
              <w:t>issued and outstanding at March 31, 2023 and December 31, 2022, respectively</w:t>
            </w:r>
          </w:p>
        </w:tc>
        <w:tc>
          <w:tcPr>
            <w:tcW w:w="2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26,496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26,419</w:t>
            </w: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61"/>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Class B common stock, $0.001 par value, 20,000,000 shares authorized at March 31, 2023 and December 31, 2022; 0 shares issued and outstanding at</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March 31, 2023 and December 31, 2022</w:t>
            </w:r>
          </w:p>
        </w:tc>
        <w:tc>
          <w:tcPr>
            <w:tcW w:w="2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7900" w:type="dxa"/>
            <w:vAlign w:val="bottom"/>
          </w:tcPr>
          <w:p>
            <w:pPr>
              <w:ind w:left="20"/>
              <w:spacing w:after="0"/>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221,153,749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219,640,912</w:t>
            </w: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other comprehensive gain (loss)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(30,120)</w:t>
            </w:r>
          </w:p>
        </w:tc>
      </w:tr>
      <w:tr>
        <w:trPr>
          <w:trHeight w:val="173"/>
        </w:trPr>
        <w:tc>
          <w:tcPr>
            <w:tcW w:w="7900" w:type="dxa"/>
            <w:vAlign w:val="bottom"/>
          </w:tcPr>
          <w:p>
            <w:pPr>
              <w:ind w:left="20"/>
              <w:spacing w:after="0"/>
              <w:rPr>
                <w:sz w:val="20"/>
                <w:szCs w:val="20"/>
                <w:color w:val="auto"/>
              </w:rPr>
            </w:pPr>
            <w:r>
              <w:rPr>
                <w:rFonts w:ascii="Arial" w:cs="Arial" w:eastAsia="Arial" w:hAnsi="Arial"/>
                <w:sz w:val="13"/>
                <w:szCs w:val="13"/>
                <w:color w:val="auto"/>
              </w:rPr>
              <w:t>Accumulated deficit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(123,391,127)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(109,786,956)</w:t>
            </w:r>
          </w:p>
        </w:tc>
      </w:tr>
      <w:tr>
        <w:trPr>
          <w:trHeight w:val="30"/>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97,789,624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109,850,255</w:t>
            </w:r>
          </w:p>
        </w:tc>
      </w:tr>
      <w:tr>
        <w:trPr>
          <w:trHeight w:val="195"/>
        </w:trPr>
        <w:tc>
          <w:tcPr>
            <w:tcW w:w="7900" w:type="dxa"/>
            <w:vAlign w:val="bottom"/>
          </w:tcPr>
          <w:p>
            <w:pPr>
              <w:ind w:left="260"/>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107,696,484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122,367,283</w:t>
            </w:r>
          </w:p>
        </w:tc>
      </w:tr>
      <w:tr>
        <w:trPr>
          <w:trHeight w:val="22"/>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79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7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39"/>
        </w:trPr>
        <w:tc>
          <w:tcPr>
            <w:tcW w:w="79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50"/>
        </w:trPr>
        <w:tc>
          <w:tcPr>
            <w:tcW w:w="7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183,698</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90,846</w:t>
            </w:r>
          </w:p>
        </w:tc>
      </w:tr>
      <w:tr>
        <w:trPr>
          <w:trHeight w:val="27"/>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92,852</w:t>
            </w:r>
          </w:p>
        </w:tc>
      </w:tr>
      <w:tr>
        <w:trPr>
          <w:trHeight w:val="27"/>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10,210,926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9,058,545</w:t>
            </w:r>
          </w:p>
        </w:tc>
      </w:tr>
      <w:tr>
        <w:trPr>
          <w:trHeight w:val="243"/>
        </w:trPr>
        <w:tc>
          <w:tcPr>
            <w:tcW w:w="79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4,461,331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3,951,866</w:t>
            </w:r>
          </w:p>
        </w:tc>
      </w:tr>
      <w:tr>
        <w:trPr>
          <w:trHeight w:val="27"/>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w:t>
            </w:r>
          </w:p>
        </w:tc>
      </w:tr>
      <w:tr>
        <w:trPr>
          <w:trHeight w:val="237"/>
        </w:trPr>
        <w:tc>
          <w:tcPr>
            <w:tcW w:w="79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14,679,574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13,018,514</w:t>
            </w:r>
          </w:p>
        </w:tc>
      </w:tr>
      <w:tr>
        <w:trPr>
          <w:trHeight w:val="27"/>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(14,679,574)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(12,925,662)</w:t>
            </w:r>
          </w:p>
        </w:tc>
      </w:tr>
      <w:tr>
        <w:trPr>
          <w:trHeight w:val="270"/>
        </w:trPr>
        <w:tc>
          <w:tcPr>
            <w:tcW w:w="7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132,506</w:t>
            </w:r>
          </w:p>
        </w:tc>
      </w:tr>
      <w:tr>
        <w:trPr>
          <w:trHeight w:val="27"/>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(103,218)</w:t>
            </w:r>
          </w:p>
        </w:tc>
      </w:tr>
      <w:tr>
        <w:trPr>
          <w:trHeight w:val="263"/>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(13,604,171)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(12,896,374)</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70"/>
        </w:trPr>
        <w:tc>
          <w:tcPr>
            <w:tcW w:w="79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26,442,216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26,359,080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Unrealized gains (losses) from marketable securities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(118,386)</w:t>
            </w:r>
          </w:p>
        </w:tc>
      </w:tr>
      <w:tr>
        <w:trPr>
          <w:trHeight w:val="27"/>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(13,573,545)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(13,014,760)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140" w:type="dxa"/>
        <w:tblCellMar>
          <w:top w:w="0" w:type="dxa"/>
          <w:left w:w="0" w:type="dxa"/>
          <w:bottom w:w="0" w:type="dxa"/>
          <w:right w:w="0" w:type="dxa"/>
        </w:tblCellMar>
      </w:tblPr>
      <w:tr>
        <w:trPr>
          <w:trHeight w:val="140"/>
        </w:trPr>
        <w:tc>
          <w:tcPr>
            <w:tcW w:w="4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w w:val="89"/>
              </w:rPr>
              <w:t>Stockholders' Equity</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134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w w:val="99"/>
              </w:rPr>
              <w:t>Class A Common Stock</w:t>
            </w:r>
          </w:p>
        </w:tc>
        <w:tc>
          <w:tcPr>
            <w:tcW w:w="136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other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94"/>
        </w:trPr>
        <w:tc>
          <w:tcPr>
            <w:tcW w:w="46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center"/>
              <w:ind w:right="200"/>
              <w:spacing w:after="0" w:line="94"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900" w:type="dxa"/>
            <w:vAlign w:val="bottom"/>
            <w:gridSpan w:val="2"/>
          </w:tcPr>
          <w:p>
            <w:pPr>
              <w:jc w:val="center"/>
              <w:ind w:right="180"/>
              <w:spacing w:after="0" w:line="94" w:lineRule="exact"/>
              <w:rPr>
                <w:sz w:val="20"/>
                <w:szCs w:val="20"/>
                <w:color w:val="auto"/>
              </w:rPr>
            </w:pPr>
            <w:r>
              <w:rPr>
                <w:rFonts w:ascii="Arial" w:cs="Arial" w:eastAsia="Arial" w:hAnsi="Arial"/>
                <w:sz w:val="10"/>
                <w:szCs w:val="10"/>
                <w:b w:val="1"/>
                <w:bCs w:val="1"/>
                <w:color w:val="auto"/>
                <w:w w:val="92"/>
              </w:rPr>
              <w:t>comprehensive</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4" w:lineRule="exact"/>
              <w:rPr>
                <w:sz w:val="20"/>
                <w:szCs w:val="20"/>
                <w:color w:val="auto"/>
              </w:rPr>
            </w:pPr>
            <w:r>
              <w:rPr>
                <w:rFonts w:ascii="Arial" w:cs="Arial" w:eastAsia="Arial" w:hAnsi="Arial"/>
                <w:sz w:val="10"/>
                <w:szCs w:val="10"/>
                <w:b w:val="1"/>
                <w:bCs w:val="1"/>
                <w:color w:val="auto"/>
                <w:w w:val="95"/>
              </w:rPr>
              <w:t>Accumulated</w:t>
            </w:r>
          </w:p>
        </w:tc>
        <w:tc>
          <w:tcPr>
            <w:tcW w:w="100" w:type="dxa"/>
            <w:vAlign w:val="bottom"/>
          </w:tcPr>
          <w:p>
            <w:pPr>
              <w:spacing w:after="0"/>
              <w:rPr>
                <w:sz w:val="8"/>
                <w:szCs w:val="8"/>
                <w:color w:val="auto"/>
              </w:rPr>
            </w:pPr>
          </w:p>
        </w:tc>
        <w:tc>
          <w:tcPr>
            <w:tcW w:w="760" w:type="dxa"/>
            <w:vAlign w:val="bottom"/>
          </w:tcPr>
          <w:p>
            <w:pPr>
              <w:jc w:val="center"/>
              <w:ind w:right="47"/>
              <w:spacing w:after="0" w:line="94" w:lineRule="exact"/>
              <w:rPr>
                <w:sz w:val="20"/>
                <w:szCs w:val="20"/>
                <w:color w:val="auto"/>
              </w:rPr>
            </w:pPr>
            <w:r>
              <w:rPr>
                <w:rFonts w:ascii="Arial" w:cs="Arial" w:eastAsia="Arial" w:hAnsi="Arial"/>
                <w:sz w:val="10"/>
                <w:szCs w:val="10"/>
                <w:b w:val="1"/>
                <w:bCs w:val="1"/>
                <w:color w:val="auto"/>
                <w:w w:val="94"/>
              </w:rPr>
              <w:t>Stockholders'</w:t>
            </w:r>
          </w:p>
        </w:tc>
        <w:tc>
          <w:tcPr>
            <w:tcW w:w="0" w:type="dxa"/>
            <w:vAlign w:val="bottom"/>
          </w:tcPr>
          <w:p>
            <w:pPr>
              <w:spacing w:after="0"/>
              <w:rPr>
                <w:sz w:val="1"/>
                <w:szCs w:val="1"/>
                <w:color w:val="auto"/>
              </w:rPr>
            </w:pPr>
          </w:p>
        </w:tc>
      </w:tr>
      <w:tr>
        <w:trPr>
          <w:trHeight w:val="140"/>
        </w:trPr>
        <w:tc>
          <w:tcPr>
            <w:tcW w:w="460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3"/>
          </w:tcPr>
          <w:p>
            <w:pPr>
              <w:ind w:left="80"/>
              <w:spacing w:after="0"/>
              <w:rPr>
                <w:sz w:val="20"/>
                <w:szCs w:val="20"/>
                <w:color w:val="auto"/>
              </w:rPr>
            </w:pPr>
            <w:r>
              <w:rPr>
                <w:rFonts w:ascii="Arial" w:cs="Arial" w:eastAsia="Arial" w:hAnsi="Arial"/>
                <w:sz w:val="11"/>
                <w:szCs w:val="11"/>
                <w:b w:val="1"/>
                <w:bCs w:val="1"/>
                <w:color w:val="auto"/>
              </w:rPr>
              <w:t>Par Value</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Par Value</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2"/>
              </w:rPr>
              <w:t>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Deficit</w:t>
            </w:r>
          </w:p>
        </w:tc>
        <w:tc>
          <w:tcPr>
            <w:tcW w:w="100" w:type="dxa"/>
            <w:vAlign w:val="bottom"/>
          </w:tcPr>
          <w:p>
            <w:pPr>
              <w:spacing w:after="0"/>
              <w:rPr>
                <w:sz w:val="12"/>
                <w:szCs w:val="12"/>
                <w:color w:val="auto"/>
              </w:rPr>
            </w:pPr>
          </w:p>
        </w:tc>
        <w:tc>
          <w:tcPr>
            <w:tcW w:w="760" w:type="dxa"/>
            <w:vAlign w:val="bottom"/>
          </w:tcPr>
          <w:p>
            <w:pPr>
              <w:jc w:val="center"/>
              <w:ind w:right="47"/>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8"/>
              </w:rPr>
              <w:t>26,320,199</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26,320</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215,276,186</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(49,009)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(59,273,388)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155,980,109</w:t>
            </w:r>
          </w:p>
        </w:tc>
        <w:tc>
          <w:tcPr>
            <w:tcW w:w="0" w:type="dxa"/>
            <w:vAlign w:val="bottom"/>
          </w:tcPr>
          <w:p>
            <w:pPr>
              <w:spacing w:after="0"/>
              <w:rPr>
                <w:sz w:val="1"/>
                <w:szCs w:val="1"/>
                <w:color w:val="auto"/>
              </w:rPr>
            </w:pPr>
          </w:p>
        </w:tc>
      </w:tr>
      <w:tr>
        <w:trPr>
          <w:trHeight w:val="153"/>
        </w:trPr>
        <w:tc>
          <w:tcPr>
            <w:tcW w:w="460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580" w:type="dxa"/>
            <w:vAlign w:val="bottom"/>
          </w:tcPr>
          <w:p>
            <w:pPr>
              <w:jc w:val="right"/>
              <w:spacing w:after="0"/>
              <w:rPr>
                <w:sz w:val="20"/>
                <w:szCs w:val="20"/>
                <w:color w:val="auto"/>
              </w:rPr>
            </w:pPr>
            <w:r>
              <w:rPr>
                <w:rFonts w:ascii="Arial" w:cs="Arial" w:eastAsia="Arial" w:hAnsi="Arial"/>
                <w:sz w:val="11"/>
                <w:szCs w:val="11"/>
                <w:color w:val="auto"/>
              </w:rPr>
              <w:t>63,100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8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193,048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193,111</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897,650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897,650</w:t>
            </w:r>
          </w:p>
        </w:tc>
        <w:tc>
          <w:tcPr>
            <w:tcW w:w="0" w:type="dxa"/>
            <w:vAlign w:val="bottom"/>
          </w:tcPr>
          <w:p>
            <w:pPr>
              <w:spacing w:after="0"/>
              <w:rPr>
                <w:sz w:val="1"/>
                <w:szCs w:val="1"/>
                <w:color w:val="auto"/>
              </w:rPr>
            </w:pPr>
          </w:p>
        </w:tc>
      </w:tr>
      <w:tr>
        <w:trPr>
          <w:trHeight w:val="153"/>
        </w:trPr>
        <w:tc>
          <w:tcPr>
            <w:tcW w:w="4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(12,896,374)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(12,896,374)</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(118,386)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(118,386)</w:t>
            </w:r>
          </w:p>
        </w:tc>
        <w:tc>
          <w:tcPr>
            <w:tcW w:w="0" w:type="dxa"/>
            <w:vAlign w:val="bottom"/>
          </w:tcPr>
          <w:p>
            <w:pPr>
              <w:spacing w:after="0"/>
              <w:rPr>
                <w:sz w:val="1"/>
                <w:szCs w:val="1"/>
                <w:color w:val="auto"/>
              </w:rPr>
            </w:pPr>
          </w:p>
        </w:tc>
      </w:tr>
      <w:tr>
        <w:trPr>
          <w:trHeight w:val="147"/>
        </w:trPr>
        <w:tc>
          <w:tcPr>
            <w:tcW w:w="460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2022</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8"/>
              </w:rPr>
              <w:t>26,383,299</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26,383</w:t>
            </w:r>
          </w:p>
        </w:tc>
        <w:tc>
          <w:tcPr>
            <w:tcW w:w="80" w:type="dxa"/>
            <w:vAlign w:val="bottom"/>
          </w:tcPr>
          <w:p>
            <w:pPr>
              <w:spacing w:after="0"/>
              <w:rPr>
                <w:sz w:val="12"/>
                <w:szCs w:val="12"/>
                <w:color w:val="auto"/>
              </w:rPr>
            </w:pPr>
          </w:p>
        </w:tc>
        <w:tc>
          <w:tcPr>
            <w:tcW w:w="600" w:type="dxa"/>
            <w:vAlign w:val="bottom"/>
            <w:tcBorders>
              <w:top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216,366,884</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(167,395)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(72,169,762)</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144,056,110</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4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w w:val="89"/>
              </w:rPr>
              <w:t>Stockholders' Equity</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134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w w:val="99"/>
              </w:rPr>
              <w:t>Class A Common Stock</w:t>
            </w:r>
          </w:p>
        </w:tc>
        <w:tc>
          <w:tcPr>
            <w:tcW w:w="136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other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94"/>
        </w:trPr>
        <w:tc>
          <w:tcPr>
            <w:tcW w:w="46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center"/>
              <w:ind w:right="200"/>
              <w:spacing w:after="0" w:line="94"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900" w:type="dxa"/>
            <w:vAlign w:val="bottom"/>
            <w:gridSpan w:val="2"/>
          </w:tcPr>
          <w:p>
            <w:pPr>
              <w:jc w:val="center"/>
              <w:ind w:right="180"/>
              <w:spacing w:after="0" w:line="94" w:lineRule="exact"/>
              <w:rPr>
                <w:sz w:val="20"/>
                <w:szCs w:val="20"/>
                <w:color w:val="auto"/>
              </w:rPr>
            </w:pPr>
            <w:r>
              <w:rPr>
                <w:rFonts w:ascii="Arial" w:cs="Arial" w:eastAsia="Arial" w:hAnsi="Arial"/>
                <w:sz w:val="10"/>
                <w:szCs w:val="10"/>
                <w:b w:val="1"/>
                <w:bCs w:val="1"/>
                <w:color w:val="auto"/>
                <w:w w:val="92"/>
              </w:rPr>
              <w:t>comprehensive</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4" w:lineRule="exact"/>
              <w:rPr>
                <w:sz w:val="20"/>
                <w:szCs w:val="20"/>
                <w:color w:val="auto"/>
              </w:rPr>
            </w:pPr>
            <w:r>
              <w:rPr>
                <w:rFonts w:ascii="Arial" w:cs="Arial" w:eastAsia="Arial" w:hAnsi="Arial"/>
                <w:sz w:val="10"/>
                <w:szCs w:val="10"/>
                <w:b w:val="1"/>
                <w:bCs w:val="1"/>
                <w:color w:val="auto"/>
                <w:w w:val="95"/>
              </w:rPr>
              <w:t>Accumulated</w:t>
            </w:r>
          </w:p>
        </w:tc>
        <w:tc>
          <w:tcPr>
            <w:tcW w:w="100" w:type="dxa"/>
            <w:vAlign w:val="bottom"/>
          </w:tcPr>
          <w:p>
            <w:pPr>
              <w:spacing w:after="0"/>
              <w:rPr>
                <w:sz w:val="8"/>
                <w:szCs w:val="8"/>
                <w:color w:val="auto"/>
              </w:rPr>
            </w:pPr>
          </w:p>
        </w:tc>
        <w:tc>
          <w:tcPr>
            <w:tcW w:w="760" w:type="dxa"/>
            <w:vAlign w:val="bottom"/>
          </w:tcPr>
          <w:p>
            <w:pPr>
              <w:jc w:val="center"/>
              <w:ind w:right="47"/>
              <w:spacing w:after="0" w:line="94" w:lineRule="exact"/>
              <w:rPr>
                <w:sz w:val="20"/>
                <w:szCs w:val="20"/>
                <w:color w:val="auto"/>
              </w:rPr>
            </w:pPr>
            <w:r>
              <w:rPr>
                <w:rFonts w:ascii="Arial" w:cs="Arial" w:eastAsia="Arial" w:hAnsi="Arial"/>
                <w:sz w:val="10"/>
                <w:szCs w:val="10"/>
                <w:b w:val="1"/>
                <w:bCs w:val="1"/>
                <w:color w:val="auto"/>
                <w:w w:val="94"/>
              </w:rPr>
              <w:t>Stockholders'</w:t>
            </w:r>
          </w:p>
        </w:tc>
        <w:tc>
          <w:tcPr>
            <w:tcW w:w="0" w:type="dxa"/>
            <w:vAlign w:val="bottom"/>
          </w:tcPr>
          <w:p>
            <w:pPr>
              <w:spacing w:after="0"/>
              <w:rPr>
                <w:sz w:val="1"/>
                <w:szCs w:val="1"/>
                <w:color w:val="auto"/>
              </w:rPr>
            </w:pPr>
          </w:p>
        </w:tc>
      </w:tr>
      <w:tr>
        <w:trPr>
          <w:trHeight w:val="140"/>
        </w:trPr>
        <w:tc>
          <w:tcPr>
            <w:tcW w:w="460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3"/>
          </w:tcPr>
          <w:p>
            <w:pPr>
              <w:ind w:left="80"/>
              <w:spacing w:after="0"/>
              <w:rPr>
                <w:sz w:val="20"/>
                <w:szCs w:val="20"/>
                <w:color w:val="auto"/>
              </w:rPr>
            </w:pPr>
            <w:r>
              <w:rPr>
                <w:rFonts w:ascii="Arial" w:cs="Arial" w:eastAsia="Arial" w:hAnsi="Arial"/>
                <w:sz w:val="11"/>
                <w:szCs w:val="11"/>
                <w:b w:val="1"/>
                <w:bCs w:val="1"/>
                <w:color w:val="auto"/>
              </w:rPr>
              <w:t>Par Value</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Par Value</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2"/>
              </w:rPr>
              <w:t>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Deficit</w:t>
            </w:r>
          </w:p>
        </w:tc>
        <w:tc>
          <w:tcPr>
            <w:tcW w:w="100" w:type="dxa"/>
            <w:vAlign w:val="bottom"/>
          </w:tcPr>
          <w:p>
            <w:pPr>
              <w:spacing w:after="0"/>
              <w:rPr>
                <w:sz w:val="12"/>
                <w:szCs w:val="12"/>
                <w:color w:val="auto"/>
              </w:rPr>
            </w:pPr>
          </w:p>
        </w:tc>
        <w:tc>
          <w:tcPr>
            <w:tcW w:w="760" w:type="dxa"/>
            <w:vAlign w:val="bottom"/>
          </w:tcPr>
          <w:p>
            <w:pPr>
              <w:jc w:val="center"/>
              <w:ind w:right="47"/>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8"/>
              </w:rPr>
              <w:t>26,418,732</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26,419</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219,640,912</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(30,120)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(109,786,956)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109,850,255</w:t>
            </w:r>
          </w:p>
        </w:tc>
        <w:tc>
          <w:tcPr>
            <w:tcW w:w="0" w:type="dxa"/>
            <w:vAlign w:val="bottom"/>
          </w:tcPr>
          <w:p>
            <w:pPr>
              <w:spacing w:after="0"/>
              <w:rPr>
                <w:sz w:val="1"/>
                <w:szCs w:val="1"/>
                <w:color w:val="auto"/>
              </w:rPr>
            </w:pPr>
          </w:p>
        </w:tc>
      </w:tr>
      <w:tr>
        <w:trPr>
          <w:trHeight w:val="153"/>
        </w:trPr>
        <w:tc>
          <w:tcPr>
            <w:tcW w:w="460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580" w:type="dxa"/>
            <w:vAlign w:val="bottom"/>
          </w:tcPr>
          <w:p>
            <w:pPr>
              <w:jc w:val="right"/>
              <w:spacing w:after="0"/>
              <w:rPr>
                <w:sz w:val="20"/>
                <w:szCs w:val="20"/>
                <w:color w:val="auto"/>
              </w:rPr>
            </w:pPr>
            <w:r>
              <w:rPr>
                <w:rFonts w:ascii="Arial" w:cs="Arial" w:eastAsia="Arial" w:hAnsi="Arial"/>
                <w:sz w:val="11"/>
                <w:szCs w:val="11"/>
                <w:color w:val="auto"/>
              </w:rPr>
              <w:t>77,065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239,332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239,409</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1,273,505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1,273,505</w:t>
            </w:r>
          </w:p>
        </w:tc>
        <w:tc>
          <w:tcPr>
            <w:tcW w:w="0" w:type="dxa"/>
            <w:vAlign w:val="bottom"/>
          </w:tcPr>
          <w:p>
            <w:pPr>
              <w:spacing w:after="0"/>
              <w:rPr>
                <w:sz w:val="1"/>
                <w:szCs w:val="1"/>
                <w:color w:val="auto"/>
              </w:rPr>
            </w:pPr>
          </w:p>
        </w:tc>
      </w:tr>
      <w:tr>
        <w:trPr>
          <w:trHeight w:val="153"/>
        </w:trPr>
        <w:tc>
          <w:tcPr>
            <w:tcW w:w="4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(13,604,171)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(13,604,171)</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comprehensive gain</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30,626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30,626</w:t>
            </w:r>
          </w:p>
        </w:tc>
        <w:tc>
          <w:tcPr>
            <w:tcW w:w="0" w:type="dxa"/>
            <w:vAlign w:val="bottom"/>
          </w:tcPr>
          <w:p>
            <w:pPr>
              <w:spacing w:after="0"/>
              <w:rPr>
                <w:sz w:val="1"/>
                <w:szCs w:val="1"/>
                <w:color w:val="auto"/>
              </w:rPr>
            </w:pPr>
          </w:p>
        </w:tc>
      </w:tr>
      <w:tr>
        <w:trPr>
          <w:trHeight w:val="147"/>
        </w:trPr>
        <w:tc>
          <w:tcPr>
            <w:tcW w:w="460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2023</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8"/>
              </w:rPr>
              <w:t>26,495,797</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26,496</w:t>
            </w:r>
          </w:p>
        </w:tc>
        <w:tc>
          <w:tcPr>
            <w:tcW w:w="80" w:type="dxa"/>
            <w:vAlign w:val="bottom"/>
          </w:tcPr>
          <w:p>
            <w:pPr>
              <w:spacing w:after="0"/>
              <w:rPr>
                <w:sz w:val="12"/>
                <w:szCs w:val="12"/>
                <w:color w:val="auto"/>
              </w:rPr>
            </w:pPr>
          </w:p>
        </w:tc>
        <w:tc>
          <w:tcPr>
            <w:tcW w:w="600" w:type="dxa"/>
            <w:vAlign w:val="bottom"/>
            <w:tcBorders>
              <w:top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221,153,749</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506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(123,391,127)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97,789,624</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(13,604,171)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(12,896,374)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 to reconcile to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47,704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Reduction in carrying amount of right-of-use asset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144,821</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 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897,650</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Net amortization of premium (discount) on marketable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103,531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on disposal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Change in assets and liabilities: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decrease in: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(33,573)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1,409,016</w:t>
            </w: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(decrease) in: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(430,933)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248,022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(2,235,349)</w:t>
            </w:r>
          </w:p>
        </w:tc>
        <w:tc>
          <w:tcPr>
            <w:tcW w:w="0" w:type="dxa"/>
            <w:vAlign w:val="bottom"/>
          </w:tcPr>
          <w:p>
            <w:pPr>
              <w:spacing w:after="0"/>
              <w:rPr>
                <w:sz w:val="1"/>
                <w:szCs w:val="1"/>
                <w:color w:val="auto"/>
              </w:rPr>
            </w:pPr>
          </w:p>
        </w:tc>
      </w:tr>
      <w:tr>
        <w:trPr>
          <w:trHeight w:val="243"/>
        </w:trPr>
        <w:tc>
          <w:tcPr>
            <w:tcW w:w="8180" w:type="dxa"/>
            <w:vAlign w:val="bottom"/>
          </w:tcPr>
          <w:p>
            <w:pPr>
              <w:ind w:left="440"/>
              <w:spacing w:after="0"/>
              <w:rPr>
                <w:sz w:val="20"/>
                <w:szCs w:val="20"/>
                <w:color w:val="auto"/>
              </w:rPr>
            </w:pPr>
            <w:r>
              <w:rPr>
                <w:rFonts w:ascii="Arial" w:cs="Arial" w:eastAsia="Arial" w:hAnsi="Arial"/>
                <w:sz w:val="18"/>
                <w:szCs w:val="18"/>
                <w:color w:val="auto"/>
              </w:rPr>
              <w:t>Lease liability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(97,192)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(44,252)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57,112</w:t>
            </w:r>
          </w:p>
        </w:tc>
        <w:tc>
          <w:tcPr>
            <w:tcW w:w="0" w:type="dxa"/>
            <w:vAlign w:val="bottom"/>
          </w:tcPr>
          <w:p>
            <w:pPr>
              <w:spacing w:after="0"/>
              <w:rPr>
                <w:sz w:val="1"/>
                <w:szCs w:val="1"/>
                <w:color w:val="auto"/>
              </w:rPr>
            </w:pPr>
          </w:p>
        </w:tc>
      </w:tr>
      <w:tr>
        <w:trPr>
          <w:trHeight w:val="237"/>
        </w:trPr>
        <w:tc>
          <w:tcPr>
            <w:tcW w:w="818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(14,418,018)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(12,281,039)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(7,980,107)</w:t>
            </w: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Maturities of marketable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20,500,000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18,972,007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12,404,843</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193,111</w:t>
            </w:r>
          </w:p>
        </w:tc>
        <w:tc>
          <w:tcPr>
            <w:tcW w:w="0" w:type="dxa"/>
            <w:vAlign w:val="bottom"/>
          </w:tcPr>
          <w:p>
            <w:pPr>
              <w:spacing w:after="0"/>
              <w:rPr>
                <w:sz w:val="1"/>
                <w:szCs w:val="1"/>
                <w:color w:val="auto"/>
              </w:rPr>
            </w:pPr>
          </w:p>
        </w:tc>
      </w:tr>
      <w:tr>
        <w:trPr>
          <w:trHeight w:val="237"/>
        </w:trPr>
        <w:tc>
          <w:tcPr>
            <w:tcW w:w="8180" w:type="dxa"/>
            <w:vAlign w:val="bottom"/>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193,111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4,793,397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316,915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72,636,886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74,888,145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77,430,283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75,205,060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in accounts payable/accrued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80" w:type="dxa"/>
            <w:vAlign w:val="bottom"/>
          </w:tcPr>
          <w:p>
            <w:pPr>
              <w:ind w:left="140"/>
              <w:spacing w:after="0"/>
              <w:rPr>
                <w:sz w:val="20"/>
                <w:szCs w:val="20"/>
                <w:color w:val="auto"/>
              </w:rPr>
            </w:pPr>
            <w:r>
              <w:rPr>
                <w:rFonts w:ascii="Arial" w:cs="Arial" w:eastAsia="Arial" w:hAnsi="Arial"/>
                <w:sz w:val="18"/>
                <w:szCs w:val="18"/>
                <w:color w:val="auto"/>
              </w:rPr>
              <w:t>Reduction of right-of-use asset and lease liability in connection with lease modification</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347,739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Immuneering Corporation, a Delaware corporation, (“Immuneering” or the “Company”) was incorporated in 2008. Immuneering is a clinical-stage oncology company developing medicines for broad populations of cancer patients with an initial aim to therapeutically address universal-RAS. The company aims to achieve universal activity through deep cyclic inhibition of the MAPK pathway, impacting cancer cells while sparing healthy cells. Immuneering’s lead product candidate, IMM-1-104, is in a Phase 1/2a study in patients with advanced solid tumors harboring RAS mutations.</w:t>
      </w:r>
    </w:p>
    <w:p>
      <w:pPr>
        <w:spacing w:after="0" w:line="198"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21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On December 22, 2021, the Company acquired all outstanding shares of capital stock of BioArkive, Inc. (“BioArkive”), a California corporation, which as a result became a wholly owned subsidiary.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Immuneering, ISC and BioArkive are collectively referred to as “the Company” throughout these condensed consolidated financial statements.</w:t>
      </w:r>
    </w:p>
    <w:p>
      <w:pPr>
        <w:spacing w:after="0" w:line="264"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programs will be successful. In addition, the Company operates in an environment of rapid technological change and is largely dependent on the services of its employees, advisors, and consultants.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the Company has funded its operations through service revenues, and with proceeds from the sale of its capital stock and convertible notes and, most recently, with proceeds from the IPO. The Company has incurred recurring losses over the past several years and as of March 31, 2023, the Company had an accumulated deficit of $123,391,127.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and cash equivalents and marketable securities will be sufficient to fund its operating expenses and capital expenditure requirements for at least 12 months from the issuance date of the unaudited condensed consolidated financial statements.</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full extent to which coronavirus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pandemic related to COVID-19 and its variants and is not presently aware of any events or circumstances that would require the Company to update its estimates, judgements or revise the carrying values of its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condensed consolidated financial statements have been prepared in accordance with accounting standards set by the Financial Accounting Standards Board (“FASB”). The FASB sets generally accepted accounting principles (“GAAP”) to ensure the condensed consolidated financial statements are consistently reported. References to GAAP issued by the FASB in these footnotes are to the FASB Accounting Standards Codifications (“ASC”). The condensed consolidated financial statements include the accounts of the Company and its wholly owned subsidiaries. All intercompany balances and transactions have been eliminated in consolidation.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accounting policies of the Company as those set forth in Note 2 to the audited consolidated financial statements contained in the Annual Report on Form 10-K for the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unaudited interim condensed consolidated financial statements of the Company have been prepared, without audit,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2022.</w:t>
      </w:r>
    </w:p>
    <w:p>
      <w:pPr>
        <w:spacing w:after="0" w:line="16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judgements about the carrying values of assets, liabilities and the recording of expenses that are not readily apparent from other sources. Significant estimates reflected in these condensed consolidated financial statements included but are not limited to, the research and development expenses, determination of fair value of stock-based awards, the valuation of common stock prior to the IPO, and the right-to-use assets and operating lease liabilities. Actual results may differ materially and adversely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the fair value of the acquiree over the recognized basis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goodwill test is performed at least annually, or more frequently if events or changes in circumstances indicate that the asset might be impaired.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performs its annual impairment test during the fourth quarter of each fiscal year. There were no impairments identified for the year ended December 31, 2022 or quarter ended March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10, 2022, the Company entered into an Equity Distribution Agreement (“the Sales Agreement”) with Piper Sandler &amp; Co, (“the Sales Agent”) to sell shares of the Company’s common stock, par value $0.001 per share, with aggregate gross sales proceeds of up to $50 million, from time to time, through an “at the market” equity offering program. Deferred offering costs associated with the Sales Agreement are reclassified to additional paid in capital on a pro-rata basis when the Company completes offerings under the Sales Agreement. Any remaining deferred costs will be expensed to the statement of operations should the planned offering be abandoned. The Company had approximately $0.3 million of deferred offering costs as of both March 31, 2023 and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2016, the FASB issued Accounting Standards Update (“ASU”) No.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 - Overall, applied on an instrument-by-instrument basis for eligible instruments. ASU 2016-13, Financial Instruments - Credit Losses (Topic 326) will become effective for the Company on January 1, 2023. The Company adopted this effective January 1, 2023 and there was no impact to the condensed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w:t>
      </w:r>
      <w:r>
        <w:rPr>
          <w:rFonts w:ascii="Arial" w:cs="Arial" w:eastAsia="Arial" w:hAnsi="Arial"/>
          <w:sz w:val="18"/>
          <w:szCs w:val="18"/>
          <w:i w:val="1"/>
          <w:iCs w:val="1"/>
          <w:color w:val="auto"/>
        </w:rPr>
        <w:t>)</w:t>
      </w:r>
      <w:r>
        <w:rPr>
          <w:rFonts w:ascii="Arial" w:cs="Arial" w:eastAsia="Arial" w:hAnsi="Arial"/>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adopted this effective January 1, 2023 and there was no impact to the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Marketable Securities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marketable securities are classified as available-for-sale pursuant to ASC 320, Investments – Debt and Equity Securities and are recorded at fair value. Unrealized gains (losses) are included as a component of accumulated other comprehensive loss in the condensed consolidated balance sheets and statements of stockholders’ equity and a component of total comprehensive loss in the condensed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three months ended March 31, 2023 or 2022. Realized gains and losses are included in other expense on a specific-identification basis.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marketable securities portfolio only contains investments in U.S. Treasury and other U.S. government-backed securities. We review our portfolio based on the underlying risk profile of the securities and have a zero loss expectation for these investments. We also regularly review the securities in an unrealized loss position and evaluate the current expected credit loss by considering factors such as historical experience, market data, issuer-specific factors, and current economic conditions.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2023 and 2022, we recognized no year-to-date credit loss related to our short- and long-term investments, and had no allowance for credit loss recorded as of March 31, 2023 or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as of March 31, 2023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March 31, 2023</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020" w:type="dxa"/>
            <w:vAlign w:val="bottom"/>
            <w:vMerge w:val="restart"/>
          </w:tcPr>
          <w:p>
            <w:pPr>
              <w:jc w:val="right"/>
              <w:ind w:right="4370"/>
              <w:spacing w:after="0"/>
              <w:rPr>
                <w:sz w:val="20"/>
                <w:szCs w:val="20"/>
                <w:color w:val="auto"/>
              </w:rPr>
            </w:pPr>
            <w:r>
              <w:rPr>
                <w:rFonts w:ascii="Arial" w:cs="Arial" w:eastAsia="Arial" w:hAnsi="Arial"/>
                <w:sz w:val="18"/>
                <w:szCs w:val="18"/>
                <w:b w:val="1"/>
                <w:bCs w:val="1"/>
                <w:color w:val="auto"/>
                <w:w w:val="82"/>
              </w:rPr>
              <w:t>Assets: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tcPr>
          <w:p>
            <w:pPr>
              <w:jc w:val="right"/>
              <w:ind w:right="373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Government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7,165,744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7,161,512</w:t>
            </w:r>
          </w:p>
        </w:tc>
        <w:tc>
          <w:tcPr>
            <w:tcW w:w="0" w:type="dxa"/>
            <w:vAlign w:val="bottom"/>
          </w:tcPr>
          <w:p>
            <w:pPr>
              <w:spacing w:after="0"/>
              <w:rPr>
                <w:sz w:val="1"/>
                <w:szCs w:val="1"/>
                <w:color w:val="auto"/>
              </w:rPr>
            </w:pPr>
          </w:p>
        </w:tc>
      </w:tr>
      <w:tr>
        <w:trPr>
          <w:trHeight w:val="243"/>
        </w:trPr>
        <w:tc>
          <w:tcPr>
            <w:tcW w:w="5020" w:type="dxa"/>
            <w:vAlign w:val="bottom"/>
          </w:tcPr>
          <w:p>
            <w:pPr>
              <w:jc w:val="right"/>
              <w:ind w:right="1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6,942,394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6,944,048</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14,108,138</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14,105,560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as of December 31, 2022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 2022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020" w:type="dxa"/>
            <w:vAlign w:val="bottom"/>
            <w:vMerge w:val="restart"/>
          </w:tcPr>
          <w:p>
            <w:pPr>
              <w:jc w:val="right"/>
              <w:ind w:right="4370"/>
              <w:spacing w:after="0"/>
              <w:rPr>
                <w:sz w:val="20"/>
                <w:szCs w:val="20"/>
                <w:color w:val="auto"/>
              </w:rPr>
            </w:pPr>
            <w:r>
              <w:rPr>
                <w:rFonts w:ascii="Arial" w:cs="Arial" w:eastAsia="Arial" w:hAnsi="Arial"/>
                <w:sz w:val="18"/>
                <w:szCs w:val="18"/>
                <w:b w:val="1"/>
                <w:bCs w:val="1"/>
                <w:color w:val="auto"/>
                <w:w w:val="82"/>
              </w:rPr>
              <w:t>Assets: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tcPr>
          <w:p>
            <w:pPr>
              <w:jc w:val="right"/>
              <w:ind w:right="373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U.S. Treasuries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12,986,424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12,960,775</w:t>
            </w:r>
          </w:p>
        </w:tc>
        <w:tc>
          <w:tcPr>
            <w:tcW w:w="0" w:type="dxa"/>
            <w:vAlign w:val="bottom"/>
          </w:tcPr>
          <w:p>
            <w:pPr>
              <w:spacing w:after="0"/>
              <w:rPr>
                <w:sz w:val="1"/>
                <w:szCs w:val="1"/>
                <w:color w:val="auto"/>
              </w:rPr>
            </w:pPr>
          </w:p>
        </w:tc>
      </w:tr>
      <w:tr>
        <w:trPr>
          <w:trHeight w:val="243"/>
        </w:trPr>
        <w:tc>
          <w:tcPr>
            <w:tcW w:w="5020" w:type="dxa"/>
            <w:vAlign w:val="bottom"/>
          </w:tcPr>
          <w:p>
            <w:pPr>
              <w:jc w:val="right"/>
              <w:ind w:right="1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8,084,107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8,073,185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11,847,902</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11,854,010</w:t>
            </w:r>
          </w:p>
        </w:tc>
        <w:tc>
          <w:tcPr>
            <w:tcW w:w="0" w:type="dxa"/>
            <w:vAlign w:val="bottom"/>
          </w:tcPr>
          <w:p>
            <w:pPr>
              <w:spacing w:after="0"/>
              <w:rPr>
                <w:sz w:val="1"/>
                <w:szCs w:val="1"/>
                <w:color w:val="auto"/>
              </w:rPr>
            </w:pPr>
          </w:p>
        </w:tc>
      </w:tr>
      <w:tr>
        <w:trPr>
          <w:trHeight w:val="264"/>
        </w:trPr>
        <w:tc>
          <w:tcPr>
            <w:tcW w:w="50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 marketable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32,918,433</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32,887,970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assets and liabilities in active markets, quoted prices in markets that are not active, or inputs which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for substantially the full term of the asset or liability.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reflect our own assumptions about the assumptions market participants would use in pricing the asset or liability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there is little, if any, market activity for the asset or liability at the measurement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equivalents and marketable securities measured at fair value on a recurring basis as of March 31, 2023:</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70,438,536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70,438,536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5,743,364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5,743,364</w:t>
            </w: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995,630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995,630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70,438,536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6,738,994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77,177,530</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Government securities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7,161,513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7,161,513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6,944,047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6,944,047</w:t>
            </w:r>
          </w:p>
        </w:tc>
        <w:tc>
          <w:tcPr>
            <w:tcW w:w="0" w:type="dxa"/>
            <w:vAlign w:val="bottom"/>
          </w:tcPr>
          <w:p>
            <w:pPr>
              <w:spacing w:after="0"/>
              <w:rPr>
                <w:sz w:val="1"/>
                <w:szCs w:val="1"/>
                <w:color w:val="auto"/>
              </w:rPr>
            </w:pPr>
          </w:p>
        </w:tc>
      </w:tr>
      <w:tr>
        <w:trPr>
          <w:trHeight w:val="237"/>
        </w:trPr>
        <w:tc>
          <w:tcPr>
            <w:tcW w:w="5020" w:type="dxa"/>
            <w:vAlign w:val="bottom"/>
          </w:tcPr>
          <w:p>
            <w:pPr>
              <w:ind w:left="5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14,105,560</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14,105,560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70,438,536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20,844,554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91,283,090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have been no changes to the valuation methods during the three months ended March 31, 2023. There were no transfers between Level 1 and Level 2 and we had no financial assets or liabilities that were classified as Level 3 at any point during the three months ended March 31, 2023.</w:t>
      </w:r>
    </w:p>
    <w:p>
      <w:pPr>
        <w:jc w:val="both"/>
        <w:spacing w:after="0" w:line="273" w:lineRule="auto"/>
        <w:rPr>
          <w:sz w:val="20"/>
          <w:szCs w:val="20"/>
          <w:color w:val="auto"/>
        </w:rPr>
      </w:pPr>
      <w:r>
        <w:rPr>
          <w:rFonts w:ascii="Arial" w:cs="Arial" w:eastAsia="Arial" w:hAnsi="Arial"/>
          <w:sz w:val="17"/>
          <w:szCs w:val="17"/>
          <w:color w:val="auto"/>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our valuation procedures, we did not adjust or override any fair value measurements provided by the pricing services as of March 31, 2023 and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equivalents and marketable securities measured at fair value on a recurring basis as of December 31, 2022:</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19,118,892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19,118,892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1,249,575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1,249,575</w:t>
            </w: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Government securities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2,742,025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2,742,025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19,118,892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3,991,600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23,110,492</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U.S. Treasuries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12,960,775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12,960,775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8,073,185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8,073,185</w:t>
            </w: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11,854,010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11,854,010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12,960,775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19,927,195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32,887,970</w:t>
            </w:r>
          </w:p>
        </w:tc>
        <w:tc>
          <w:tcPr>
            <w:tcW w:w="0" w:type="dxa"/>
            <w:vAlign w:val="bottom"/>
          </w:tcPr>
          <w:p>
            <w:pPr>
              <w:spacing w:after="0"/>
              <w:rPr>
                <w:sz w:val="1"/>
                <w:szCs w:val="1"/>
                <w:color w:val="auto"/>
              </w:rPr>
            </w:pPr>
          </w:p>
        </w:tc>
      </w:tr>
      <w:tr>
        <w:trPr>
          <w:trHeight w:val="264"/>
        </w:trPr>
        <w:tc>
          <w:tcPr>
            <w:tcW w:w="5020" w:type="dxa"/>
            <w:vAlign w:val="bottom"/>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32,079,667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23,918,795</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55,998,462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437,346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91,317</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970,374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288,908</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1,787,945</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(418,337)</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1,325,192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1,369,608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$76,527 and $47,704 for the three months ended March 31, 2023 and 2022,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52"/>
        </w:trPr>
        <w:tc>
          <w:tcPr>
            <w:tcW w:w="8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0"/>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297,234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Accrued employee expenses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1,505,465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3,631,082</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contract research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425,846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146,831</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2,412,413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4,500,993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had 200,000,000 authorized shares of Class A common stock, $0.001 par value per share as of March 31, 2023 and December 31, 2022 of which 26,495,797 and 26,418,732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December 31, 2022, the following number of shares of Class A common stock have been reserved: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48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common stock options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5,291,970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3,559,041</w:t>
            </w:r>
          </w:p>
        </w:tc>
      </w:tr>
      <w:tr>
        <w:trPr>
          <w:trHeight w:val="236"/>
        </w:trPr>
        <w:tc>
          <w:tcPr>
            <w:tcW w:w="81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5,291,970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3,559,041</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20,000,000 authorized shares of Class B common stock, $0.001 par value per share as of March 31, 2023 and December 31, 2022,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3, 2021, the Company completed its initial public offering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August 3, 2021 in connection with the closing of the IPO, the Company filed a restated certificate of incorporation, which amended and restated the Company’s certificate of incorporation to, among other things: (i) increase the number of authorized shares of common stock to 200,000,000 shares of Class A common stock, 20,000,000 shares of Class B common stock, par value $0.001 per share, and (ii) authorize 10,000,000 shares of Preferred Stock; and (iii) authorize the Board of Directors to establish the rights, preferences and restrictions on any unissued series of Preferred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10, 2022, the Company entered into the Sales Agreement with the Sales Agent to sell shares of the Company’s common stock, par value $0.001 per share, with aggregate gross sales proceeds of up to $50 million, from time to time, through an “at the market” equity offering program. Subject to the terms and conditions of the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may terminate the Sales Agreement upon notice to the other party and subject to other conditions. The Company will pay the Sales Agent a commission equal to 3.0% of the gross proceeds of any Common Stock sold through the Sales Agent under the Sales Agreement and has provided the Sales Agent with customary indemnification rights.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Issuance costs incurred related to the Sales Agreement are classified as long-term assets on the balance sheet at March 31, 2023. The Company had approximately $0.3 million of deferred offering costs as of both March 31, 2023 and December 31, 2022. No shares were sold during the three months ended March 31, 2023 or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Net Loss Per Share Attributable to Common Stockholders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attributable to common stockholders was calculated at March 31, 2023 and March 31, 2022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0"/>
        </w:trPr>
        <w:tc>
          <w:tcPr>
            <w:tcW w:w="8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(13,604,171)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(12,896,374)</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 - basic and diluted: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basic and diluted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26,442,216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26,359,080</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potentially dilutive securities that have been excluded from the calculation of diluted net loss per share because to include them would be anti-dilutive (in common stock equivalent shares) at March 31, 2023 and March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5,291,970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3,715,956</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Total shares of common stock equivalents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5,291,970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3,715,956</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Upon the effectiveness of the Company’s 2021 Incentive Award Plan, the Company ceased granting awards under the Incentive Plan. However, the Incentive Plan continues to govern awards outstanding thereunder.</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23, 2021, the Company’s Board of Directors adopted, and on July 23, 2021 its stockholders approved, the 2021 Incentive Award Plan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March 31, 2023, there were 1,799,965 shares available for future issuance under the 2021 Plan.</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March 31, 2023, no shares had been issued under the 2021 ESPP.</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stock-based compensation expense of $1,273,505 and $897,650 during the three months ended March 31, 2023 and 2022, respectively. As of March 31, 2023, compensation expense remaining to be recognized for outstanding stock options was $13,558,198 and to be recognized over a weighted-average period of 3.00 years.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options granted is calculated on the grant date using the Black-Scholes option valuation model. Prior to the Company's IPO on August 3, 2021, the Company was a private company thus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publicly traded stock price. For the three months ended March 31, 2023, the Company granted 1,979,950 shares of stock options at a weighted-average grant date fair value of $4.72.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used the following assumptions in its application of the Black-Scholes option pricing model for grants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2022: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3620" w:type="dxa"/>
            <w:vAlign w:val="bottom"/>
            <w:gridSpan w:val="3"/>
          </w:tcPr>
          <w:p>
            <w:pPr>
              <w:ind w:left="820"/>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76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184"/>
        </w:trPr>
        <w:tc>
          <w:tcPr>
            <w:tcW w:w="76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39"/>
        </w:trPr>
        <w:tc>
          <w:tcPr>
            <w:tcW w:w="76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50"/>
        </w:trPr>
        <w:tc>
          <w:tcPr>
            <w:tcW w:w="76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3.60% - 3.89%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1.35% - 2.44%</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5.00 - 6.04 years</w:t>
            </w:r>
          </w:p>
        </w:tc>
        <w:tc>
          <w:tcPr>
            <w:tcW w:w="1760" w:type="dxa"/>
            <w:vAlign w:val="bottom"/>
          </w:tcPr>
          <w:p>
            <w:pPr>
              <w:ind w:left="220"/>
              <w:spacing w:after="0"/>
              <w:rPr>
                <w:sz w:val="20"/>
                <w:szCs w:val="20"/>
                <w:color w:val="auto"/>
              </w:rPr>
            </w:pPr>
            <w:r>
              <w:rPr>
                <w:rFonts w:ascii="Arial" w:cs="Arial" w:eastAsia="Arial" w:hAnsi="Arial"/>
                <w:sz w:val="18"/>
                <w:szCs w:val="18"/>
                <w:color w:val="auto"/>
              </w:rPr>
              <w:t>5.00 - 10.00 years</w:t>
            </w:r>
          </w:p>
        </w:tc>
      </w:tr>
      <w:tr>
        <w:trPr>
          <w:trHeight w:val="27"/>
        </w:trPr>
        <w:tc>
          <w:tcPr>
            <w:tcW w:w="7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65.01% - 67.50%</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65.96% - 78.12%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three months ended March 31, 2023 under the Plan: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left="328"/>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5020" w:type="dxa"/>
            <w:vAlign w:val="bottom"/>
          </w:tcPr>
          <w:p>
            <w:pPr>
              <w:spacing w:after="0"/>
              <w:rPr>
                <w:sz w:val="14"/>
                <w:szCs w:val="14"/>
                <w:color w:val="auto"/>
              </w:rPr>
            </w:pPr>
          </w:p>
        </w:tc>
        <w:tc>
          <w:tcPr>
            <w:tcW w:w="150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4"/>
                <w:szCs w:val="14"/>
                <w:color w:val="auto"/>
              </w:rPr>
            </w:pPr>
          </w:p>
        </w:tc>
        <w:tc>
          <w:tcPr>
            <w:tcW w:w="1280" w:type="dxa"/>
            <w:vAlign w:val="bottom"/>
          </w:tcPr>
          <w:p>
            <w:pPr>
              <w:jc w:val="right"/>
              <w:ind w:right="357"/>
              <w:spacing w:after="0"/>
              <w:rPr>
                <w:sz w:val="20"/>
                <w:szCs w:val="20"/>
                <w:color w:val="auto"/>
              </w:rPr>
            </w:pPr>
            <w:r>
              <w:rPr>
                <w:rFonts w:ascii="Arial" w:cs="Arial" w:eastAsia="Arial" w:hAnsi="Arial"/>
                <w:sz w:val="14"/>
                <w:szCs w:val="14"/>
                <w:b w:val="1"/>
                <w:bCs w:val="1"/>
                <w:color w:val="auto"/>
              </w:rPr>
              <w:t>Aggregate</w:t>
            </w:r>
          </w:p>
        </w:tc>
      </w:tr>
      <w:tr>
        <w:trPr>
          <w:trHeight w:val="200"/>
        </w:trPr>
        <w:tc>
          <w:tcPr>
            <w:tcW w:w="5020" w:type="dxa"/>
            <w:vAlign w:val="bottom"/>
          </w:tcPr>
          <w:p>
            <w:pPr>
              <w:spacing w:after="0"/>
              <w:rPr>
                <w:sz w:val="17"/>
                <w:szCs w:val="17"/>
                <w:color w:val="auto"/>
              </w:rPr>
            </w:pPr>
          </w:p>
        </w:tc>
        <w:tc>
          <w:tcPr>
            <w:tcW w:w="1500" w:type="dxa"/>
            <w:vAlign w:val="bottom"/>
          </w:tcPr>
          <w:p>
            <w:pPr>
              <w:jc w:val="right"/>
              <w:ind w:right="414"/>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7"/>
                <w:szCs w:val="17"/>
                <w:color w:val="auto"/>
              </w:rPr>
            </w:pPr>
          </w:p>
        </w:tc>
        <w:tc>
          <w:tcPr>
            <w:tcW w:w="106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per Share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 (in Years)</w:t>
            </w:r>
          </w:p>
        </w:tc>
        <w:tc>
          <w:tcPr>
            <w:tcW w:w="20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Arial" w:cs="Arial" w:eastAsia="Arial" w:hAnsi="Arial"/>
                <w:sz w:val="14"/>
                <w:szCs w:val="14"/>
                <w:b w:val="1"/>
                <w:bCs w:val="1"/>
                <w:color w:val="auto"/>
              </w:rPr>
              <w:t>Intrinsic Value</w:t>
            </w:r>
          </w:p>
        </w:tc>
      </w:tr>
      <w:tr>
        <w:trPr>
          <w:trHeight w:val="39"/>
        </w:trPr>
        <w:tc>
          <w:tcPr>
            <w:tcW w:w="50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50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3,559,041</w:t>
            </w:r>
          </w:p>
        </w:tc>
        <w:tc>
          <w:tcPr>
            <w:tcW w:w="114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1,979,950</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4.72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(77,065)</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(169,956)</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9.66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5,291,970</w:t>
            </w:r>
          </w:p>
        </w:tc>
        <w:tc>
          <w:tcPr>
            <w:tcW w:w="114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6.36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20,113,447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March 31, 2023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2,025,313</w:t>
            </w:r>
          </w:p>
        </w:tc>
        <w:tc>
          <w:tcPr>
            <w:tcW w:w="114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9,045,769</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Vested and expected to vest at March 31, 2023</w:t>
            </w:r>
          </w:p>
        </w:tc>
        <w:tc>
          <w:tcPr>
            <w:tcW w:w="1500" w:type="dxa"/>
            <w:vAlign w:val="bottom"/>
          </w:tcPr>
          <w:p>
            <w:pPr>
              <w:jc w:val="right"/>
              <w:spacing w:after="0"/>
              <w:rPr>
                <w:sz w:val="20"/>
                <w:szCs w:val="20"/>
                <w:color w:val="auto"/>
              </w:rPr>
            </w:pPr>
            <w:r>
              <w:rPr>
                <w:rFonts w:ascii="Arial" w:cs="Arial" w:eastAsia="Arial" w:hAnsi="Arial"/>
                <w:sz w:val="18"/>
                <w:szCs w:val="18"/>
                <w:color w:val="auto"/>
              </w:rPr>
              <w:t>5,291,970</w:t>
            </w:r>
          </w:p>
        </w:tc>
        <w:tc>
          <w:tcPr>
            <w:tcW w:w="114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6.36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20,113,447</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and 2022, the Company recognized share-based compensation expense recognized on the accompanying condensed consolidated statements of operations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80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84"/>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39"/>
        </w:trPr>
        <w:tc>
          <w:tcPr>
            <w:tcW w:w="80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8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432,719</w:t>
            </w:r>
          </w:p>
        </w:tc>
        <w:tc>
          <w:tcPr>
            <w:tcW w:w="1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682,670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460,301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3"/>
        </w:trPr>
        <w:tc>
          <w:tcPr>
            <w:tcW w:w="80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1,273,505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897,650</w:t>
            </w:r>
          </w:p>
        </w:tc>
        <w:tc>
          <w:tcPr>
            <w:tcW w:w="100" w:type="dxa"/>
            <w:vAlign w:val="bottom"/>
          </w:tcPr>
          <w:p>
            <w:pPr>
              <w:spacing w:after="0"/>
              <w:rPr>
                <w:sz w:val="22"/>
                <w:szCs w:val="22"/>
                <w:color w:val="auto"/>
              </w:rPr>
            </w:pPr>
          </w:p>
        </w:tc>
      </w:tr>
      <w:tr>
        <w:trPr>
          <w:trHeight w:val="21"/>
        </w:trPr>
        <w:tc>
          <w:tcPr>
            <w:tcW w:w="8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office space in Cambridge, Massachusetts, New York, New York and San Francisco, California, pursuant to short-term arrangements. The Cambridge lease is on a month-to-month basis, requiring one month’s notice before termination. The New York and San Francisco leasessec are renewable on a yearly basis and the most recent renewal extended the lease term until February 28, 2024 and July 31, 2023 respectively. These lease agreements include payments for lease and non-lease components. The Company has elected to not separate such components and these payments were recognized as rent expense.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total future minimum lease payments for its short-term leases in Cambridge, Massachusetts, New York, New York and San Francisco, California was $71,809 due in 2023 and $13,840 due in 2024.</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2020, the Company entered into an office lease (“Via Frontera Lease”) in San Diego, California with a lease term of 67 months. At the lease commencement date, a right-to-use asset and lease liability was recognized by the Company for $637,863. In January 2022, the Company exercised its option to terminate the Via Frontera Lease 20 months early. The lease will terminate on October 1, 2023. This was accounted for as a lease modification which reduces the term of the existing lease and the Company adjusted the value of its right-of-use asset and operating lease liability by $347,739 using an incremental borrowing rate of approximately 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modification is reflected as a non-cash operating activity in the statement of cash flows for the three months ended March 31, 2022.</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subsequently entered into a sublease of the Via Frontera Lease, the term of which commenced in March 2022 and continues through the full remaining obligation. As part of the BioArkive acquisition, the Company assumed the obligations of three leases in San Diego, California. One is for 38,613 square feet of office and laboratory space, under a lease that terminates on April 30, 2032, the second is for a 6,100 square feet of office and laboratory space under a lease that terminates on December 31, 2022 (the “Site 2 Lease”), and the third is for a lease for 4,760 square feet of office and laboratory space under a lease that terminates on March 31, 2024. As a result, the Company recorded right-to-use assets and lease liabilities of $4,824,700 on the acquisition date of December 22, 2021. In February 2022, the Company entered into a sublease of the Site 2 Lease, the term of which continues through the remaining term of the Site 2 Lease. Sublease income will be accounted for as a reduction of rent expense in the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operating leases with initial or remaining terms in excess of one year at March 31, 2023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9"/>
        </w:trPr>
        <w:tc>
          <w:tcPr>
            <w:tcW w:w="3900" w:type="dxa"/>
            <w:vAlign w:val="bottom"/>
            <w:tcBorders>
              <w:bottom w:val="single" w:sz="8" w:color="CCEEFF"/>
            </w:tcBorders>
          </w:tcPr>
          <w:p>
            <w:pPr>
              <w:spacing w:after="0"/>
              <w:rPr>
                <w:sz w:val="3"/>
                <w:szCs w:val="3"/>
                <w:color w:val="auto"/>
              </w:rPr>
            </w:pPr>
          </w:p>
        </w:tc>
        <w:tc>
          <w:tcPr>
            <w:tcW w:w="58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6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626,809</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2024</w:t>
            </w:r>
          </w:p>
        </w:tc>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732,546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739,689</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2026</w:t>
            </w:r>
          </w:p>
        </w:tc>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761,877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784,737</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3,682,509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7,328,167</w:t>
            </w:r>
          </w:p>
        </w:tc>
        <w:tc>
          <w:tcPr>
            <w:tcW w:w="0" w:type="dxa"/>
            <w:vAlign w:val="bottom"/>
          </w:tcPr>
          <w:p>
            <w:pPr>
              <w:spacing w:after="0"/>
              <w:rPr>
                <w:sz w:val="1"/>
                <w:szCs w:val="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Less: Imputed interest</w:t>
            </w:r>
          </w:p>
        </w:tc>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(2,583,677)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58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4,744,490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tcPr>
          <w:p>
            <w:pPr>
              <w:ind w:left="20"/>
              <w:spacing w:after="0"/>
              <w:rPr>
                <w:sz w:val="20"/>
                <w:szCs w:val="20"/>
                <w:color w:val="auto"/>
              </w:rPr>
            </w:pPr>
            <w:r>
              <w:rPr>
                <w:rFonts w:ascii="Arial" w:cs="Arial" w:eastAsia="Arial" w:hAnsi="Arial"/>
                <w:sz w:val="18"/>
                <w:szCs w:val="18"/>
                <w:color w:val="auto"/>
              </w:rPr>
              <w:t>Current portion lease liabilities</w:t>
            </w:r>
          </w:p>
        </w:tc>
        <w:tc>
          <w:tcPr>
            <w:tcW w:w="6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363,238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5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4,381,252</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8"/>
                <w:szCs w:val="18"/>
                <w:color w:val="auto"/>
              </w:rPr>
              <w:t>Total lease liabilities</w:t>
            </w:r>
          </w:p>
        </w:tc>
        <w:tc>
          <w:tcPr>
            <w:tcW w:w="58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4,744,490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860" w:type="dxa"/>
            <w:vAlign w:val="bottom"/>
            <w:vMerge w:val="restart"/>
          </w:tcPr>
          <w:p>
            <w:pPr>
              <w:jc w:val="right"/>
              <w:ind w:right="395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0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regarding the Company’s leases for the three months ended March 31, 2023 and 2022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5"/>
                <w:szCs w:val="15"/>
                <w:color w:val="auto"/>
              </w:rPr>
            </w:pPr>
          </w:p>
        </w:tc>
        <w:tc>
          <w:tcPr>
            <w:tcW w:w="130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79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costs: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Operating lease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225,248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264,544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lease cost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55,946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81,927</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Sublease income</w:t>
            </w:r>
          </w:p>
        </w:tc>
        <w:tc>
          <w:tcPr>
            <w:tcW w:w="30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(39,569)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(29,129)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costs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241,625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317,342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216,654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163,975</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Operating cash flows from short-term leases</w:t>
            </w:r>
          </w:p>
        </w:tc>
        <w:tc>
          <w:tcPr>
            <w:tcW w:w="300" w:type="dxa"/>
            <w:vAlign w:val="bottom"/>
          </w:tcPr>
          <w:p>
            <w:pPr>
              <w:spacing w:after="0"/>
              <w:rPr>
                <w:sz w:val="21"/>
                <w:szCs w:val="21"/>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55,946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81,927</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272,600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245,902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300" w:type="dxa"/>
            <w:vAlign w:val="bottom"/>
          </w:tcPr>
          <w:p>
            <w:pPr>
              <w:spacing w:after="0"/>
              <w:rPr>
                <w:sz w:val="18"/>
                <w:szCs w:val="18"/>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w w:val="99"/>
              </w:rPr>
              <w:t>8.95 years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9.65 years</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
        </w:trPr>
        <w:tc>
          <w:tcPr>
            <w:tcW w:w="7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and may be exposed to litigation in connection with its products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Clinical Research Contracts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and Sale of Class A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20, 2023, the Company completed an underwritten offering, pursuant to which it issued and sold 2,727,273 shares of its Class A common stock $0.001 par value per share at an offering price of $11.00 per share. The aggregate net proceeds received by the Company from the offering was $28,200,003, after deducting underwriting discounts and commissions, but before deducting offering costs payable by the Company, which are estimated to be $400,000.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with our Annual Report on Form 10-K for the fiscal year ended December 31, 2022, including the audited consolidated financial statements and notes thereto.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We are a clinical-stage oncology company developing medicines for broad populations of cancer patients. Our initial aim is to develop a universal-RAS therapy, an approach designed to include patients with solid tumors driven by any mutation in KRAS, NRAS or HRAS. Our inclusive approach differentiates us from narrowly targeted precision therapies, which are limited to patients with tumors harboring select mutations.</w:t>
      </w:r>
    </w:p>
    <w:p>
      <w:pPr>
        <w:spacing w:after="0" w:line="17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are currently evaluating our lead product candidate, IMM-1-104, in a Phase 1/2a clinical trial in patients with advanced solid tumors harboring RAS mutations. IMM-1-104 is being developed as a once-daily oral monotherapy that aims to achieve universal-RAS activity through deep cyclic inhibition of the MAPK pathway. Deep cyclic inhibition is a novel mechanism that aims to deprive tumor cells of the sustained proliferative signaling required for rapid growth, while sparing healthy cells through a cadenced, normalized level of signaling. This mechanism was engineered using our proprietary informatics-based discovery platform. The development of our pipeline is translationally guided by our proprietary, human-aligned 3D tumor modeling platform that we combine with bioinformatics-driven patient profiling, which we believe has the potential to increase the probability of success in clinical development versus traditional drug development approaches. Our second product candidate, IMM-6-415, aims to achieve universal-MAPK activity with an accelerated twice-daily oral dosing cadence, also through deep cyclic inhibition of the MAPK pathway. IMM-6-415 is currently in IND-enabling studies. Our pipeline also includes Trifecta MEK, RAS modulators and other small molecule drug discovery programs. In February 2023, we suspended our neuroscience programs, which were in the early stages of drug discovery, in order to focus on advancing our core oncology pipeline.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April 18, 2023, we announced initial pharmacokinetic, or PK, pharmacodynamic, or PD, and safety data from the ongoing Phase 1 portion of our Phase 1/2a clinical trial of IMM-1-104 in patients with advanced solid tumors harboring RAS mutations. As of April 10, 2023, we had PK, PD and safety data from four patients with pancreatic or colorectal cancer available for evaluation. Of these patients, we dosed one patient at 40 mg once daily oral dose, or the first dose level, one patient at 80 mg once daily oral dose, or the second dose level, and two patients at 160 mg once daily oral dose, or the third dose level. At the third dose level, we observed significant PK Cmax levels, which is the plasma concentration of therapy in a specific area of the body, with IMM-1-104 of over 2,000 ng/mL or approximately 1 uM drug free-fraction. In addition, we observed greater than 90% PD inhibition of phosphorylated extracellular signal-regulated kinase (pERK) with IMM-1-104 compared to pretreatment baseline for patients at the third dose level. A median plasma half-life of 1.94 hours was observed with IMM-1-104 across the first three dose levels evaluated in patients with pancreatic and colorectal cancer with different RAS mutations, including KRAS-G12D, the most common mutation present in pancreatic cancer. IMM-1-104 was well tolerated in these four patients, as well as one patient dosed at 320 mg once daily oral dose, or the fourth dose level, with no dose limiting toxicities or serious adverse events observed and no drug-related adverse events beyond Grade 1 observed.</w:t>
      </w:r>
    </w:p>
    <w:p>
      <w:pPr>
        <w:spacing w:after="0" w:line="20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Based on this initial data, we plan to announce the recommended Phase 2 dose in early 2024 instead of our prior guidance of mid-2024. In addition, we plan to submit an IND for IMM-6-415 to the U.S. Food and Drug Administration, or FDA, in the fourth quarter of 2023.</w:t>
      </w:r>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spacing w:after="0" w:line="20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On December 22, 2021, we completed the acquisition of all outstanding shares of capital stock of BioArkive, Inc., a California corporation (“BioArkive”) for a market value of $8.75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BioArkive is a San Diego based contract research organization that has previously provided preclinical research services and biosample storage to us and other biotechnology companies. BioArkive was fully integrated into our operations following the acquisition and exclusively supports our internal preclinical research activities for our oncology pipeline. In connection with the acquisition, we assumed the obligations under BioArkive’s three lease agreements.</w:t>
      </w:r>
    </w:p>
    <w:p>
      <w:pPr>
        <w:spacing w:after="0" w:line="1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April 20, 2023, we completed an underwritten offering, pursuant to which we issued and sold 2,727,273 shares of our Class A common stock at an offering price of $11.00 per share. The aggregate net proceeds received from the offering was $28.2 million, after deducting underwriting discounts and commissions, but before deducting offering costs payable by us, which are estimated to be $0.4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inception, we have had significant annual operating losses. Our net loss was approximately $13.6 million, for the three months ended March 31, 2023 and $50.5 million for the year ended December 31, 2022. As of March 31, 2023, we had an accumulated deficit of approximately $123.4 million and approximately $91.5 million in cash and cash equivalents and marketable securities.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current business plans, we believe that our existing cash, cash equivalents and marketable securities, including the estimated net proceeds from our April 2023 underwritten offering, will enable us to fund our development activities and other operations into 2025.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not had any internally developed products approved for sale. We do not expect to generate any product sales unless and until we successfully complete development and obtain regulatory approval for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has historically been generated by providing computational biology professional services to pharmaceutical and biotechnology companies. We charged an agreed upon rate per hour based on the aggregate level of personnel assigned to work on the project or a fixed fee for a defined scope of work. Our contracts specified the period of time over which these professional services would be provided. We recognized revenue over time by measuring the progress toward complete satisfaction of the performance obligation using a single method of measuring progress, which depicts the performance in transferring control of the associated services to the customer. We used input methods to measure the progress toward the complete satisfaction of performance obligations and evaluate the measure of progress each reporting period and, if necessary, adjusted the measure of performance and related revenue recognition. Any such adjustments were recorded on a cumulative catch-up basis, which would affect revenue and net loss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have ceased accepting new services contracts in order to focus on developing our wholly-owned internal pipeline. In September 2022, we completed our last remaining services contract associated with the computational biology professional services business.</w:t>
      </w:r>
    </w:p>
    <w:p>
      <w:pPr>
        <w:spacing w:after="0" w:line="21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have also discontinued our biosample storage business, which was acquired through the BioArkive transaction, to external parties. In December 2022, we completed our last remaining contract. The revenue earned associated with the biosample storage business for the year ended December 31, 2022 is immaterial to the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do not anticipate entering into any new service or storage contracts or agreements.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43"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color w:val="auto"/>
        </w:rPr>
        <w:t>Historically, our cost of revenue has primarily consisted of expenses related to providing professional services to our customers. These costs include salaries, bonuses, benefits, stock-based compensation expense, depreciation, facilities, and other outside services. As a result of the discontinued service contracts and bio-sample storage business, the cost of revenue incurred for the year ended December 31, 2022 is immaterial to the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consist of (i) research and development expenses and (ii) general and administrative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account for a significant portion of our operating expenses. Our research and development expenses consist primarily of direct and unallocated costs incurred in connection with the development of our research platform, product candidates, discovery efforts and preclinical and clinical activities related to our program pipeline.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direct costs include:</w:t>
      </w:r>
    </w:p>
    <w:p>
      <w:pPr>
        <w:spacing w:after="0" w:line="117" w:lineRule="exact"/>
        <w:rPr>
          <w:sz w:val="20"/>
          <w:szCs w:val="20"/>
          <w:color w:val="auto"/>
        </w:rPr>
      </w:pPr>
    </w:p>
    <w:p>
      <w:pPr>
        <w:ind w:left="66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expenses incurred under agreements with third-party contract research organizations, or CROs, and other vendors that conduct our preclinical and clinical activities on our behalf; including clinical trial sites that conduct research and development activities on our behalf.</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laboratory expenses related to the execution of discovery programs, preclinical studies and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production of clinical and preclinical materials, including fees paid to contract manufacturers.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unallocated costs include:</w:t>
      </w:r>
    </w:p>
    <w:p>
      <w:pPr>
        <w:spacing w:after="0" w:line="117" w:lineRule="exact"/>
        <w:rPr>
          <w:sz w:val="20"/>
          <w:szCs w:val="20"/>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personnel-related expenses, consisting of employee salaries, bonuses, benefits and stock-based compensation expense, and recruiting costs for personnel engaged in research and development activities;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contractor and consulting fees related to the preparation and ongoing support of clinical trials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and equipment related expenses, consisting of indirect and allocated expenses for rent, depreciation, maintenance of facilities, insurance, and other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expense research and development costs in the periods in which they are incurred.</w:t>
      </w:r>
    </w:p>
    <w:p>
      <w:pPr>
        <w:spacing w:after="0" w:line="252"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Our direct research and development expenses are tracked on a program-by-program basis once they are in Phase 1 and consist of external costs and fees paid to contract manufacturing organizations, or CMOs, and CROs in connection with our preclinical and clinical development and manufacturing activities. Such program costs also include the external costs of laboratory and consumable materials and costs of raw materials that are directly attributable to and incurred for any single program. We do not allocate employee costs, contractor/consultant fees, costs associated with our platform development and discovery efforts, payments made under third-party licensing agreements, costs of laboratory supplies and consumable materials that are not directly attributable to any single program, and facilities expenses, including rent, depreciation and other indirect costs, to specific product development programs because these costs are deployed across multiple programs and our platform technology and, as such, are not separately classified.</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programs. We are also unable to predict if, when, or to what extent we will obtain approval and generate revenues from the commercialization and sale of any of our product candidates.</w:t>
      </w:r>
    </w:p>
    <w:p>
      <w:pPr>
        <w:spacing w:after="0" w:line="21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duration, costs and timing of preclinical studies and clinical trials and development of our product candidates will depend on a variety of factors, such as:</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completion of preclinical studies and initiation of clinical trials for future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for our current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data from our clinical programs that support an acceptable risk-benefit profile of our product candidates in the intended patient populations;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by the FDA or other applicable regulatory agencies of IND applications, clinical trial applications and/or other regulatory filings for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and maintenance of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application for and receipt of marketing approvals from applicable regulatory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obtainment and maintenance of intellectual property protection and regulatory exclusivity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of arrangements with contract manufacturing organizations for, or establishment of, commercial manufacturing capabilities;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of sales, marketing and distribution capabilities and successful launch of commercial sales of our product candidates, if and when approved, whether alone or in collaboration with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obtainment and maintenance of coverage, adequate pricing and adequate reimbursement from third-party payors, including government payors;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maintenance, enforcement, defense and protection of our rights in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avoidance of infringement, misappropriation or other violations with respect to others’ intellectual property or proprietary rights;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products following receipt of any marketing approvals.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216"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Securities and Exchange Commission (“SEC”), Sarbanes-Oxley Act, director and officer insurance costs, and investor and public relations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 relates to the technology acquired in the BioArkive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5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Interest income consists of interest earned on our cash and cash equivalents balances and our marketable securities. The primary objective of our investment policy is capital preservation.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consists of the amortization of premiums or accretion of discounts related to our marketable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6"/>
                <w:szCs w:val="16"/>
                <w:color w:val="auto"/>
              </w:rPr>
            </w:pPr>
          </w:p>
        </w:tc>
        <w:tc>
          <w:tcPr>
            <w:tcW w:w="1660" w:type="dxa"/>
            <w:vAlign w:val="bottom"/>
            <w:gridSpan w:val="2"/>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39"/>
        </w:trPr>
        <w:tc>
          <w:tcPr>
            <w:tcW w:w="4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11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r>
      <w:tr>
        <w:trPr>
          <w:trHeight w:val="39"/>
        </w:trPr>
        <w:tc>
          <w:tcPr>
            <w:tcW w:w="4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00" w:type="dxa"/>
            <w:vAlign w:val="bottom"/>
            <w:gridSpan w:val="5"/>
          </w:tcPr>
          <w:p>
            <w:pPr>
              <w:ind w:left="220"/>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Pr>
          <w:p>
            <w:pPr>
              <w:spacing w:after="0"/>
              <w:rPr>
                <w:sz w:val="16"/>
                <w:szCs w:val="16"/>
                <w:color w:val="auto"/>
              </w:rPr>
            </w:pPr>
          </w:p>
        </w:tc>
      </w:tr>
      <w:tr>
        <w:trPr>
          <w:trHeight w:val="309"/>
        </w:trPr>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300" w:type="dxa"/>
            <w:vAlign w:val="bottom"/>
          </w:tcPr>
          <w:p>
            <w:pPr>
              <w:spacing w:after="0"/>
              <w:rPr>
                <w:sz w:val="21"/>
                <w:szCs w:val="21"/>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43"/>
        </w:trPr>
        <w:tc>
          <w:tcPr>
            <w:tcW w:w="49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7"/>
        </w:trPr>
        <w:tc>
          <w:tcPr>
            <w:tcW w:w="49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14,679</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524.8 %</w:t>
            </w:r>
          </w:p>
        </w:tc>
      </w:tr>
      <w:tr>
        <w:trPr>
          <w:trHeight w:val="243"/>
        </w:trPr>
        <w:tc>
          <w:tcPr>
            <w:tcW w:w="498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(336.9)%</w:t>
            </w: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6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recognized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5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ind w:left="96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r>
      <w:tr>
        <w:trPr>
          <w:trHeight w:val="39"/>
        </w:trPr>
        <w:tc>
          <w:tcPr>
            <w:tcW w:w="49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4960" w:type="dxa"/>
            <w:vAlign w:val="bottom"/>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02"/>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1120" w:type="dxa"/>
            <w:vAlign w:val="bottom"/>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39"/>
        </w:trPr>
        <w:tc>
          <w:tcPr>
            <w:tcW w:w="49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gridSpan w:val="6"/>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4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6"/>
          </w:tcPr>
          <w:p>
            <w:pPr>
              <w:ind w:left="54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6"/>
                <w:szCs w:val="16"/>
                <w:color w:val="auto"/>
              </w:rPr>
            </w:pPr>
          </w:p>
        </w:tc>
      </w:tr>
      <w:tr>
        <w:trPr>
          <w:trHeight w:val="309"/>
        </w:trPr>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848"/>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decreased by approximately $0.2 million, or 100.0%, to $0 for the three months ended March 31, 2023 compared to approximately $0.2 million for the three months ended March 31, 2022. The decrease in revenue was due to the completion of the remaining services contracts associated with the computational biology professional services business in September 2022, in addition to fulfilling the final bio-sample storage contract in December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decreased by approximately $91 thousand, or 100.0%, to $0 for the three months ended March 31, 2023 compared to approximately $91 thousand for the three months March 31, 2022. The decrease was primarily due to decreased employee-related costs of approximately $0.2 million related to services contracts that were discontinued as of September 2022.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our research and development expenses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0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6"/>
                <w:szCs w:val="16"/>
                <w:color w:val="auto"/>
              </w:rPr>
            </w:pPr>
          </w:p>
        </w:tc>
        <w:tc>
          <w:tcPr>
            <w:tcW w:w="1640" w:type="dxa"/>
            <w:vAlign w:val="bottom"/>
            <w:gridSpan w:val="2"/>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594"/>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11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6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 by program:</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IMM-1-104</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1,192</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133.9 %</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Programs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Employee-related costs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 and other expenses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204.8 %</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140.9 %</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00" w:type="dxa"/>
            <w:vAlign w:val="bottom"/>
          </w:tcPr>
          <w:p>
            <w:pPr>
              <w:ind w:left="20"/>
              <w:spacing w:after="0"/>
              <w:rPr>
                <w:sz w:val="20"/>
                <w:szCs w:val="20"/>
                <w:color w:val="auto"/>
              </w:rPr>
            </w:pPr>
            <w:r>
              <w:rPr>
                <w:rFonts w:ascii="Arial" w:cs="Arial" w:eastAsia="Arial" w:hAnsi="Arial"/>
                <w:sz w:val="18"/>
                <w:szCs w:val="18"/>
                <w:color w:val="auto"/>
              </w:rPr>
              <w:t>Total research and development</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10,211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N/M – Not meaningful</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50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expenses increased by approximately $1.2 million, or 12.7%, to approximately $10.2 million for the three months ended March 31, 2023 as compared to approximately $9.1 million for the three months ended March 31, 2022. The increase of approximately $1.2 million was primarily due to an increase of approximately $0.3 million related to direct research and development expenses, of which $1.2 million related to IMM-1-104 and a decrease of $0.9 million for earlier stage programs. The remaining increase was driven by unallocated research and development costs of approximately $0.8 million, which was primarily driven by the increase of $0.4 million in additional employee-related costs, $0.2 million related to stock-based compensation expense, and $0.2 million in depreciation, facilities, and other expenses in the aggregate.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our general and administrative expenses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39"/>
        </w:trPr>
        <w:tc>
          <w:tcPr>
            <w:tcW w:w="49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49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r>
      <w:tr>
        <w:trPr>
          <w:trHeight w:val="39"/>
        </w:trPr>
        <w:tc>
          <w:tcPr>
            <w:tcW w:w="49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gridSpan w:val="6"/>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4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gridSpan w:val="6"/>
          </w:tcPr>
          <w:p>
            <w:pPr>
              <w:ind w:left="540"/>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Pr>
          <w:p>
            <w:pPr>
              <w:spacing w:after="0"/>
              <w:rPr>
                <w:sz w:val="16"/>
                <w:szCs w:val="16"/>
                <w:color w:val="auto"/>
              </w:rPr>
            </w:pPr>
          </w:p>
        </w:tc>
      </w:tr>
      <w:tr>
        <w:trPr>
          <w:trHeight w:val="309"/>
        </w:trPr>
        <w:tc>
          <w:tcPr>
            <w:tcW w:w="4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Employee-related costs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2,347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48.5 %</w:t>
            </w: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Public relations</w:t>
            </w:r>
          </w:p>
        </w:tc>
        <w:tc>
          <w:tcPr>
            <w:tcW w:w="92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Outside consultants</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83.8 %</w:t>
            </w:r>
          </w:p>
        </w:tc>
      </w:tr>
      <w:tr>
        <w:trPr>
          <w:trHeight w:val="270"/>
        </w:trPr>
        <w:tc>
          <w:tcPr>
            <w:tcW w:w="498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r>
      <w:tr>
        <w:trPr>
          <w:trHeight w:val="289"/>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4,461</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3,952</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by approximately $0.5 million, or 12.9%, to approximately $4.5 million for the three months ended March 31, 2023 compared to approximately $4.0 million for the three months ended March 31, 2022. The increase of approximately $0.5 million was primarily due to an increase in employee-related costs of approximately $0.2 million, increased stock-based compensation expense of $0.2 million, decreased facilities and allocated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of approximately $0.2 million, increased professional fees for accounting, auditing and legal of $0.2 million, and approximately $0.2 million in other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 was $7,317 in the three months ended March 31, 2023, compared to $8,103 in the three months ended March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amortization is related to the technology acquired for the BioArkive acquisition completed in December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by approximately $0.7 million due to the interest earned on our cash and cash equivalents and marketable securities balances as a result of an increase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increased by approximately $244 thousand as a result of the increase in the amortization of premiums related to our marketable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inception, we have financed our operations through service revenues, the issuance of convertible notes payable, convertible preferred stock, common stock, and the exercise of stock options. As of March 31, 2023, we had an accumulated deficit of $123.4 million and $91.5 million in cash and cash equivalents and marketable securities.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19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proceeds from sales of our debt and equity securities.</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August 10, 2022, we entered into an Equity Distribution Agreement, or the Sales Agreement, with Piper Sandler &amp; Co, or the Sales Agent, to sell shares of our common stock with aggregate gross proceeds of up to $50 million, from time to time, through an “at the market” equity offering program. For the quarter ended March 31, 2023, we did not sell any shares of common stock under the Sales Agreement.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April 20, 2023, we completed an underwritten offering, pursuant to which we issued and sold 2,727,273 shares of our Class A common stock at an offering price of $11.00 per share. The aggregate net proceeds received from the offering was $28.2 million, after deducting underwriting discounts and commissions, but before deducting offering costs payable by us, which are estimated to be $0.4 million.</w:t>
      </w:r>
    </w:p>
    <w:p>
      <w:pPr>
        <w:spacing w:after="0" w:line="21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March 31, 2023, we have contractual obligations related to various leases of $0.6 million for 2023, $0.7 million for 2024, $0.7 million for 2025, $0.8 million for 2026, $0.8 million for 2027 and $3.7 million for the periods thereafter.</w:t>
      </w:r>
    </w:p>
    <w:p>
      <w:pPr>
        <w:spacing w:after="0" w:line="211"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(14,418)</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(12,281)</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12,405</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2023, operating activities used approximately $14.4 million of cash, primarily resulting from our net loss of approximately $13.6 million, partially offset by the reduction in carrying amount of right-of-use asset of $0.1 million and stock-based compensation expense of approximately $1.3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operating activities used approximately $12.3 million of cash, primarily resulting from our net loss of approximately $12.9 million and cash provided by changes in our operating assets and liabilities of approximately $0.4 million, partially offset by stock-based compensation expense of approximately $0.6 million.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2023, investing activities provided approximately $19.0 million of cash, primarily resulting from the maturities of marketable securities of approximately $19.0 million, partially offset by purchases of property and equipment of $27 thousand.</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three months ended March 31, 2022, investing activities provided approximately $12.4 million, primarily resulting from the maturities of marketable securities of approximately $20.5 million, offset by purchases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for $8.0 million and purchases of property and equipment of $0.1 million.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2023, net cash provided by financing activities was approximately $0.2 million, consisting of approximately $0.2 million from the exercise of stock options.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net cash provided by financing activities was approximately $0.2 million, consisting of approximately $0.2 million from the exercise of stock options.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Funding Requirements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4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results of our ongoing clinical trial for IMM-1-104 and potential future clinical trials for our other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other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any future commercialization activities, including product manufacturing, sales, marketing and distribution, for any of our product candidates for which we may receive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 related claims;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arrangements;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the private and public capital markets or to obtain financing at commercially reasonable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impacts of the pandemic related to COVID-19 and its variants and potential future pandemics.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our current business plans, we believe that our existing cash, cash equivalents and marketable securities, including the estimated net proceeds from our April 2023 underwritten offering, will enable us to fund our development activities and other operations into 2025. We have based this estimate on assumptions that may prove to be wrong, and we could utilize our available capital resources sooner than we expect.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Use of Estimates” in our Annual Report on 10-K for the fiscal year ending December 31, 2022.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our Annual Report on 10-K for the fiscal year ending December 31,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remain classified as an EGC until the end of the fiscal year following the fifth anniversary of our IPO, although if the market value of our common stock that is held by non-affiliates exceeds $700 million as of the last business day of the second fiscal quarter of any year before that time, or if we have annual gross revenues of $1.235 billion or more in any fiscal year, we would cease to be an EGC as of December 31 of the applicable year. We also would cease to be an EGC if we issue more than $1.0 billion of non-convertible debt over a three-year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smaller reporting company, as defined by Rule 12b-2 of the Securities Exchange Act of 1934, as amended, we are not required to provide this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Vice President of Finance and Treasurer (our principal financial officer and principal accounting officer, respectively), evaluated the effectiveness of our disclosure controls and procedures (as defined in Rules 13a-15(e) and 15d-15(e) under the Exchange Act) as of March 31, 2023. Based on that evaluation, our Chief Executive Officer and Vice President of Finance concluded that, as of March 31, 2023, our disclosure controls and procedures were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2023 that has materially affected, or is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 for a discussion of some of the forward-looking statements that are qualified by these risk factors. Factors that could cause or contribute to such differences include those factors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Pharmaceutical product development is a highly speculative undertaking and involves a substantial degree of risk. We are a clinical-stage oncology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and clinical studies of our product candidates, including our ongoing Phase 1/2a clinical trial of IMM-1-104 for the treatment of advanced solid tumors in patients harboring RAS mutant tumors.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incurred net losses in each reporting period for the past several years, have not generated any revenue from product sales to date and have financed our operations principally through our computational biology services to pharmaceutical and biotechnology companies, the issuance of convertible debt and the sale of our convertible preferred stock and Class A common stock. We have incurred net losses of approximately $13.6 million and $50.5 million for the three months ended March 31, 2023 and year ended December 31, 2022 respectively. As of March 31, 2023, we had an accumulated deficit of approximately $123.4 million. Our losses have resulted principally from expenses incurred in research and development of our product candidates, from management and administrative costs and other expenses that we have incurred while building our business infrastructure. We are currently conducting an ongoing Phase 1/2a clinical trial for our lead product candidate, IMM-1-104, for the treatment of advanced solid tumors in patients harboring RAS mutant tumors. Our other product candidates are in earlier stages of drug development. As a result, we expect that it will be several years, if ever, before we have a commercialized product and generate revenue from product sales. Even if we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substantially if and as we:</w:t>
      </w:r>
    </w:p>
    <w:p>
      <w:pPr>
        <w:spacing w:after="0" w:line="185" w:lineRule="exact"/>
        <w:rPr>
          <w:sz w:val="20"/>
          <w:szCs w:val="20"/>
          <w:color w:val="auto"/>
        </w:rPr>
      </w:pPr>
    </w:p>
    <w:p>
      <w:pPr>
        <w:ind w:left="140" w:hanging="132"/>
        <w:spacing w:after="0" w:line="277" w:lineRule="auto"/>
        <w:tabs>
          <w:tab w:leader="none" w:pos="127"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the development of our lead product candidate, IMM-1-104, and our other product candidates, including IMM-6-415, through preclinical and clinical development, and, if approved by the FDA or other comparable foreign regulatory authorities, commercialization;</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manufacturing costs for our product candidates;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research and development activities to identify and develop new product candidates;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 in measures to protect and expand our intellectual property;</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manufacturing and develop our commercialization efforts; and</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160"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 clinical trials are highly uncertain, we cannot reasonably estimate the actual amounts necessary to successfully complete the development and commercialization of any product candidate we develop. We also expect to incur additional costs associated with operating as a public company. Accordingly, it is likely that we will need to obtain substantial additional funding in order to maintain our continuing operations in the future.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2023, we had approximately $91.5 million in cash and cash equivalents and marketable securities. Based on our current business plans, we believe that our existing cash and cash equivalents and marketable securities, including the net proceeds from our April 2023 underwritten offering, will be sufficient to fund our development activities and other operations into 2025. Our estimate as to how long we expect our existing cash and cash equivalents and marketable securities to be able to continue to fund our operating expenses and capital expenditures requirements is based on assumptions that may prove to be wrong, and we could use our available capital resources sooner than we currently expect.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Changing circumstances, some of which may be beyond our control, could cause us to consume capital significantly faster than we currently anticipate, and we may need to seek additional funds sooner than planned.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85"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our clinical trials for our product candidates;</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additional research and preclinical studies related to pipeline development and other research programs we initiate in the future;</w:t>
      </w:r>
    </w:p>
    <w:p>
      <w:pPr>
        <w:spacing w:after="0" w:line="143"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manufacturing activities as we advance our product candidates through preclinical and clinical development, and commercialization;</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expansion of our current development programs to seek new indications;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negative impact of the COVID-19 pandemic or future pandemics on our business;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FDA and other comparable foreign regulatory authorities;</w:t>
      </w:r>
    </w:p>
    <w:p>
      <w:pPr>
        <w:spacing w:after="0" w:line="196" w:lineRule="exact"/>
        <w:rPr>
          <w:rFonts w:ascii="Arial" w:cs="Arial" w:eastAsia="Arial" w:hAnsi="Arial"/>
          <w:sz w:val="17"/>
          <w:szCs w:val="17"/>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patent claims and other intellectual property rights, in-licensed or otherwise;</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payment of licensing fees, potential royalty payments and potential milestone payments;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general operating expenses;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98"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operating as a public company.</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Advancing the development of our product candidates will require a significant amount of capital. Our existing cash and cash equivalents and marketable securities will not be sufficient to fund all of the activities that are necessary to complete the development of our product candidates.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For example, in 2022, due to macroeconomic conditions including inflation and higher interest rates, the stock price of biotech companies, including ours, has generally declined, which makes fundraising in our industry more difficult and on less favorable terms.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offering made pursuant to the Sales Agreement or otherwise,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other tax attributes may be limited.</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2022, we had approximately $77.0 million of federal and $76.2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85"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 w:hanging="132"/>
        <w:spacing w:after="0" w:line="263" w:lineRule="auto"/>
        <w:tabs>
          <w:tab w:leader="none" w:pos="1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56"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FDA or other comparable foreign regulatory authorities may disagree with our interpretation of data from preclinical studies or clinical trials;</w:t>
      </w:r>
    </w:p>
    <w:p>
      <w:pPr>
        <w:spacing w:after="0" w:line="196" w:lineRule="exact"/>
        <w:rPr>
          <w:rFonts w:ascii="Arial" w:cs="Arial" w:eastAsia="Arial" w:hAnsi="Arial"/>
          <w:sz w:val="17"/>
          <w:szCs w:val="17"/>
          <w:color w:val="auto"/>
        </w:rPr>
      </w:pPr>
    </w:p>
    <w:p>
      <w:pPr>
        <w:ind w:left="140" w:hanging="132"/>
        <w:spacing w:after="0" w:line="277" w:lineRule="auto"/>
        <w:tabs>
          <w:tab w:leader="none" w:pos="1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United States or elsewhere;</w:t>
      </w:r>
    </w:p>
    <w:p>
      <w:pPr>
        <w:spacing w:after="0" w:line="143"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a product candidate’s risk-benefit ratio for its proposed indication is acceptable;</w:t>
      </w:r>
    </w:p>
    <w:p>
      <w:pPr>
        <w:spacing w:after="0" w:line="129"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29"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21"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are a clinical-stage oncology company, and we may not be able to submit additional INDs or IND amendments or comparable documents in foreign jurisdictions to commence additional clinical trials on the timelines we expect, and even if we are able to, the FDA may not permit us to proceed.</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not be able to submit additional INDs or comparable documents for IMM-1-104, for which an IND was previously submitted, IMM-6-415 or our other potential product candidates on the timeline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clinical-stage oncology company, and our company has limited experience in designing clinical trials and may experience delays or unexpected difficulties in obtaining regulatory approval for our current and future product candidates.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clinical-stage oncology company, and we have limited experience in designing clinical trials and may be unable to design and execute a clinical trial to support marketing approval. We cannot be certain that our ongoing or planned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completing, or ultimately be unable to complete, the development and commercialization of our product candidates.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30"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198"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w:t>
      </w:r>
    </w:p>
    <w:p>
      <w:pPr>
        <w:spacing w:after="0" w:line="184"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subjects, or withdrawing their approval of the trial;</w:t>
      </w:r>
    </w:p>
    <w:p>
      <w:pPr>
        <w:spacing w:after="0" w:line="143"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enrollment due to travel or quarantine policies, or other factors related to COVID-19 and its variants, other pandemics or other events outside our control;</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candidates or obtaining sufficient quantities of combination therapies for use in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failing to enroll or remain in our trial at the rate we expect, or failing to return for post-treatment follow-up;</w:t>
      </w:r>
    </w:p>
    <w:p>
      <w:pPr>
        <w:spacing w:after="0" w:line="198"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 for which we are developing our product candidates, or participating in competing clinical trials;</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84" w:lineRule="exact"/>
        <w:rPr>
          <w:rFonts w:ascii="Arial" w:cs="Arial" w:eastAsia="Arial" w:hAnsi="Arial"/>
          <w:sz w:val="18"/>
          <w:szCs w:val="18"/>
          <w:color w:val="auto"/>
        </w:rPr>
      </w:pPr>
    </w:p>
    <w:p>
      <w:pPr>
        <w:jc w:val="both"/>
        <w:ind w:left="140" w:hanging="132"/>
        <w:spacing w:after="0" w:line="263" w:lineRule="auto"/>
        <w:tabs>
          <w:tab w:leader="none" w:pos="1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156"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198" w:lineRule="exact"/>
        <w:rPr>
          <w:rFonts w:ascii="Arial" w:cs="Arial" w:eastAsia="Arial" w:hAnsi="Arial"/>
          <w:sz w:val="18"/>
          <w:szCs w:val="18"/>
          <w:color w:val="auto"/>
        </w:rPr>
      </w:pPr>
    </w:p>
    <w:p>
      <w:pPr>
        <w:jc w:val="both"/>
        <w:ind w:left="140" w:hanging="132"/>
        <w:spacing w:after="0" w:line="263" w:lineRule="auto"/>
        <w:tabs>
          <w:tab w:leader="none" w:pos="1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continuance of the pandemic related to COVID-19 and its variants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30"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have regulatory authorities withdraw, or suspend, their approval of the drug or impose restrictions on its distribution in the form of a modified REMS;</w:t>
      </w:r>
    </w:p>
    <w:p>
      <w:pPr>
        <w:spacing w:after="0" w:line="209" w:lineRule="exact"/>
        <w:rPr>
          <w:rFonts w:ascii="Arial" w:cs="Arial" w:eastAsia="Arial" w:hAnsi="Arial"/>
          <w:sz w:val="17"/>
          <w:szCs w:val="17"/>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comparable foreign regulatory authorities despite having progressed through preclinical studies and early-stage clinical trials.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Most product candidates that begin clinical trials are never approved by regulatory authorities for commercialization.</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clinical-stage oncology company and, outside of our clinical trial of IMM-1-104 which commenced in November 2022, 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For example, we disclosed initial interim PK, PD and safety data from our Phase 1/2a clinical trial of IMM-1-104 in April 2023.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 Further, disclosure of interim data by us or by our competitors could result in volatility in the trading price of our Class A common stock.</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Moreover, such disclosure could adversely affect the trading price of our Class A common stock.</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later identify undesirable side effects caused by any product that we develop alone or with collaborators. Other potentially significant negative consequences include that:</w:t>
      </w:r>
    </w:p>
    <w:p>
      <w:pPr>
        <w:spacing w:after="0" w:line="143"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be forced to or decide to remove the product form the marketplace;</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or change their approvals of that product in one or more countries;</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the product for patients, or to conduct post-marketing studies;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be sued and held liable for harm caused to subjects or patients; and</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43"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enrollment of prospective patients by clinical trial sites;</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or difficulties in enrollment and completion of studies due to the pandemic related to COVID-19 and its variants or any future pandemic.</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57"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98"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as well as pricing, by third-party payors, including government authorities;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approvals and, as a result, may be unable to commercialize our product candidates.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only begun testing IMM-1-104 in humans and have only generated interim data from the ongoing Phase 1 portion of our Phase 1/2a study of IMM-1-104, and otherwise our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regulatory authorities. We cannot be certain that our approach will lead to the development of approvable or marketable products, alone or in combination with other therapies.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develop our current and future product candidates in combination with other therapies, which exposes us to additional risks.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confirmatory trials do not verify clinical benefit, or if we do not comply with rigorous post-marketing requirements, the FDA may seek to withdraw accelerated approval.</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early in our development efforts and we have not yet completed our Phase 1/2a clinical trial for our lead product candidate, IMM-1-104, for which we only recently disclosed initial interim PK, PD and safety data in April 2023. We have also not yet submitted our IND application for IMM-6-415. Our other product candidates are in earlier stages of drug development. We have invested substantially all of our efforts and financial resources in the identification of targets, preclinical and clinical development of small molecules targeting the MAPK and other pathways in cancer therapy.</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185"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and timely completion of additional preclinical studies;</w:t>
      </w:r>
    </w:p>
    <w:p>
      <w:pPr>
        <w:spacing w:after="0" w:line="184" w:lineRule="exact"/>
        <w:rPr>
          <w:rFonts w:ascii="Arial" w:cs="Arial" w:eastAsia="Arial" w:hAnsi="Arial"/>
          <w:sz w:val="18"/>
          <w:szCs w:val="18"/>
          <w:color w:val="auto"/>
        </w:rPr>
      </w:pPr>
    </w:p>
    <w:p>
      <w:pPr>
        <w:ind w:left="140" w:right="20" w:hanging="132"/>
        <w:spacing w:after="0" w:line="308" w:lineRule="auto"/>
        <w:tabs>
          <w:tab w:leader="none" w:pos="12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successful initiation, patient enrollment and completion of our clinical trial for which we are currently recruiting and future clinical trials which we may initiate, on a timely basis, including any delays arising out of the pandemic related to COVID-19 and its variants or any future pandemic;</w:t>
      </w:r>
    </w:p>
    <w:p>
      <w:pPr>
        <w:spacing w:after="0" w:line="119" w:lineRule="exact"/>
        <w:rPr>
          <w:rFonts w:ascii="Arial" w:cs="Arial" w:eastAsia="Arial" w:hAnsi="Arial"/>
          <w:sz w:val="17"/>
          <w:szCs w:val="17"/>
          <w:color w:val="auto"/>
        </w:rPr>
      </w:pPr>
    </w:p>
    <w:p>
      <w:pPr>
        <w:ind w:left="120" w:hanging="112"/>
        <w:spacing w:after="0"/>
        <w:tabs>
          <w:tab w:leader="none" w:pos="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maintaining and establishing relationships with CROs and clinical sites for clinical development, both in the United States and internationally;</w:t>
      </w:r>
    </w:p>
    <w:p>
      <w:pPr>
        <w:spacing w:after="0" w:line="196" w:lineRule="exact"/>
        <w:rPr>
          <w:rFonts w:ascii="Arial" w:cs="Arial" w:eastAsia="Arial" w:hAnsi="Arial"/>
          <w:sz w:val="17"/>
          <w:szCs w:val="17"/>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 in the clinical trials;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efficacy, safety and tolerability profiles that are satisfactory to the FDA or any comparable foreign regulatory authority for marketing approval;</w:t>
      </w:r>
    </w:p>
    <w:p>
      <w:pPr>
        <w:spacing w:after="0" w:line="209" w:lineRule="exact"/>
        <w:rPr>
          <w:rFonts w:ascii="Arial" w:cs="Arial" w:eastAsia="Arial" w:hAnsi="Arial"/>
          <w:sz w:val="17"/>
          <w:szCs w:val="17"/>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timely receipt of marketing approvals from applicable regulatory authorities;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w:t>
      </w:r>
    </w:p>
    <w:p>
      <w:pPr>
        <w:spacing w:after="0" w:line="143"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the product candidates we have or may develop will depend on many factors, including the following:</w:t>
      </w:r>
    </w:p>
    <w:p>
      <w:pPr>
        <w:spacing w:after="0" w:line="198"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our research methodology in identifying potential indications or product candidates;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events in the clinical trials; and</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potential interruptions or delays resulting from factors related to the pandemic related to COVID-19 and its variants or any future pandemic.</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For example, our product candidates and programs for oncology will compete with products or programs being advanced by certain pharmaceutical and biotechnology companies.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or other comparable foreign regulatory authorities or in discovering, developing and commercializing products in our field before we do.</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If the FDA does not accept or approve our NDAs for our product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and potential future pandemics could continue to adversely impact our business, including our current and future clinical trials, supply chain and business development activities.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effects of government actions and our own policies and those of third parties to reduce the spread of COVID-19 and its variants or any future pandemic may negatively impact productivity and slow down or delay our future clinical trials, preclinical studies and research and development activities, and may cause disruptions to our supply chain and impair our ability to execute our business development strategy. We may also experience delays in receiving approval from regulatory authorities to initiate or conduct our ongoing or planned clinical trials and delays in regulatory review or approval of any NDA or similar foreign filing we may submit following positive results, if any, in a pivotal study for any of our drug candidates. We may also experience operational delays such as delays or difficulties in enrolling patients in our clinical trials;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and changes in local regulations as part of a response to the pandemic related to COVID-19 and its variants which may require us to change the ways in which our clinical trials are conducted, which may result in unexpected costs, or to discontinue such clinical trials altogether.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potential economic impact brought by, and the duration of, the pandemic related to COVID-19 and its variants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pandemic related to COVID-19 and its variants.</w:t>
      </w:r>
    </w:p>
    <w:p>
      <w:pPr>
        <w:spacing w:after="0" w:line="146" w:lineRule="exact"/>
        <w:rPr>
          <w:sz w:val="20"/>
          <w:szCs w:val="20"/>
          <w:color w:val="auto"/>
        </w:rPr>
      </w:pPr>
    </w:p>
    <w:p>
      <w:pPr>
        <w:ind w:right="200"/>
        <w:spacing w:after="0" w:line="461" w:lineRule="auto"/>
        <w:rPr>
          <w:sz w:val="20"/>
          <w:szCs w:val="20"/>
          <w:color w:val="auto"/>
        </w:rPr>
      </w:pPr>
      <w:r>
        <w:rPr>
          <w:rFonts w:ascii="Arial" w:cs="Arial" w:eastAsia="Arial" w:hAnsi="Arial"/>
          <w:sz w:val="18"/>
          <w:szCs w:val="18"/>
          <w:color w:val="auto"/>
        </w:rPr>
        <w:t xml:space="preserve">These and other disruptions in our operations and the global economy could negatively impact our business, results of operations and financial condition. </w:t>
      </w:r>
      <w:r>
        <w:rPr>
          <w:rFonts w:ascii="Arial" w:cs="Arial" w:eastAsia="Arial" w:hAnsi="Arial"/>
          <w:sz w:val="18"/>
          <w:szCs w:val="18"/>
          <w:b w:val="1"/>
          <w:bCs w:val="1"/>
          <w:color w:val="auto"/>
        </w:rPr>
        <w:t>Risks Relating to Our Dependence on Third Parties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substantially rely, and expect to continue to rely, on third parties, including independent clinical investigators and third-party CROs, to conduct certain aspects of our preclinical and clinical studies and to monitor and manage data for our ongoing preclinical and clinical programs. We rely on these parties for execution of our preclinical studies and clinical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4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or future pandemics,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strategic collaborations for the clinical supply and development of companion diagnostics. If these diagnostics are not able to be developed,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152" w:lineRule="exact"/>
        <w:rPr>
          <w:sz w:val="20"/>
          <w:szCs w:val="20"/>
          <w:color w:val="auto"/>
        </w:rPr>
      </w:pPr>
    </w:p>
    <w:p>
      <w:pPr>
        <w:ind w:left="140" w:hanging="132"/>
        <w:spacing w:after="0" w:line="277" w:lineRule="auto"/>
        <w:tabs>
          <w:tab w:leader="none" w:pos="1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29"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right="20"/>
        <w:spacing w:after="0" w:line="277" w:lineRule="auto"/>
        <w:rPr>
          <w:sz w:val="20"/>
          <w:szCs w:val="20"/>
          <w:color w:val="auto"/>
        </w:rPr>
      </w:pPr>
      <w:r>
        <w:rPr>
          <w:rFonts w:ascii="Arial" w:cs="Arial" w:eastAsia="Arial" w:hAnsi="Arial"/>
          <w:sz w:val="18"/>
          <w:szCs w:val="18"/>
          <w:color w:val="auto"/>
        </w:rPr>
        <w:t>collaborators’ strategic focus, including as a result of a sale or disposition of a business unit or development function, or available funding or external factors such as an acquisition that diverts resources or creates competing priorities;</w:t>
      </w:r>
    </w:p>
    <w:p>
      <w:pPr>
        <w:spacing w:after="0" w:line="143" w:lineRule="exact"/>
        <w:rPr>
          <w:sz w:val="20"/>
          <w:szCs w:val="20"/>
          <w:color w:val="auto"/>
        </w:rPr>
      </w:pPr>
    </w:p>
    <w:p>
      <w:pPr>
        <w:ind w:left="140" w:hanging="132"/>
        <w:spacing w:after="0" w:line="277" w:lineRule="auto"/>
        <w:tabs>
          <w:tab w:leader="none" w:pos="1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29" w:lineRule="exact"/>
        <w:rPr>
          <w:rFonts w:ascii="Arial" w:cs="Arial" w:eastAsia="Arial" w:hAnsi="Arial"/>
          <w:sz w:val="18"/>
          <w:szCs w:val="18"/>
          <w:color w:val="auto"/>
        </w:rPr>
      </w:pPr>
    </w:p>
    <w:p>
      <w:pPr>
        <w:jc w:val="both"/>
        <w:ind w:left="140" w:hanging="132"/>
        <w:spacing w:after="0" w:line="263" w:lineRule="auto"/>
        <w:tabs>
          <w:tab w:leader="none" w:pos="1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43"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143" w:lineRule="exact"/>
        <w:rPr>
          <w:rFonts w:ascii="Arial" w:cs="Arial" w:eastAsia="Arial" w:hAnsi="Arial"/>
          <w:sz w:val="18"/>
          <w:szCs w:val="18"/>
          <w:color w:val="auto"/>
        </w:rPr>
      </w:pPr>
    </w:p>
    <w:p>
      <w:pPr>
        <w:jc w:val="both"/>
        <w:ind w:left="140" w:hanging="132"/>
        <w:spacing w:after="0" w:line="286" w:lineRule="auto"/>
        <w:tabs>
          <w:tab w:leader="none" w:pos="127"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24" w:lineRule="exact"/>
        <w:rPr>
          <w:rFonts w:ascii="Arial" w:cs="Arial" w:eastAsia="Arial" w:hAnsi="Arial"/>
          <w:sz w:val="17"/>
          <w:szCs w:val="17"/>
          <w:color w:val="auto"/>
        </w:rPr>
      </w:pPr>
    </w:p>
    <w:p>
      <w:pPr>
        <w:ind w:left="140" w:hanging="132"/>
        <w:spacing w:after="0" w:line="277" w:lineRule="auto"/>
        <w:tabs>
          <w:tab w:leader="none" w:pos="1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29"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196" w:lineRule="exact"/>
        <w:rPr>
          <w:rFonts w:ascii="Arial" w:cs="Arial" w:eastAsia="Arial" w:hAnsi="Arial"/>
          <w:sz w:val="17"/>
          <w:szCs w:val="17"/>
          <w:color w:val="auto"/>
        </w:rPr>
      </w:pPr>
    </w:p>
    <w:p>
      <w:pPr>
        <w:ind w:left="140" w:hanging="132"/>
        <w:spacing w:after="0" w:line="277" w:lineRule="auto"/>
        <w:tabs>
          <w:tab w:leader="none" w:pos="1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38" w:lineRule="exact"/>
        <w:rPr>
          <w:sz w:val="20"/>
          <w:szCs w:val="20"/>
          <w:color w:val="auto"/>
        </w:rPr>
      </w:pPr>
    </w:p>
    <w:p>
      <w:pPr>
        <w:jc w:val="both"/>
        <w:ind w:left="140" w:hanging="132"/>
        <w:spacing w:after="0" w:line="263" w:lineRule="auto"/>
        <w:tabs>
          <w:tab w:leader="none" w:pos="1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98"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129"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 the misappropriation of our proprietary information, including our trade secrets and know-how.</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or future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143" w:lineRule="exact"/>
        <w:rPr>
          <w:sz w:val="20"/>
          <w:szCs w:val="20"/>
          <w:color w:val="auto"/>
        </w:rPr>
      </w:pPr>
    </w:p>
    <w:p>
      <w:pPr>
        <w:ind w:left="120" w:hanging="112"/>
        <w:spacing w:after="0"/>
        <w:tabs>
          <w:tab w:leader="none" w:pos="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meet our product specifications and quality requirements consistently;</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initiate or continue clinical trials of our product candidates under development;</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submitting regulatory applications, or receiving marketing approvals, for our product candidates, if at all;</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commercialize any product candidates that receive marketing approval on a timely basis;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the cooperation of future collaborators;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or any other future product candidates; and</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profit margins.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147" w:lineRule="exact"/>
        <w:rPr>
          <w:sz w:val="20"/>
          <w:szCs w:val="20"/>
          <w:color w:val="auto"/>
        </w:rPr>
      </w:pPr>
    </w:p>
    <w:p>
      <w:pPr>
        <w:jc w:val="both"/>
        <w:ind w:left="140" w:hanging="132"/>
        <w:spacing w:after="0" w:line="275" w:lineRule="auto"/>
        <w:tabs>
          <w:tab w:leader="none" w:pos="12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135" w:lineRule="exact"/>
        <w:rPr>
          <w:rFonts w:ascii="Arial" w:cs="Arial" w:eastAsia="Arial" w:hAnsi="Arial"/>
          <w:sz w:val="17"/>
          <w:szCs w:val="17"/>
          <w:color w:val="auto"/>
        </w:rPr>
      </w:pPr>
    </w:p>
    <w:p>
      <w:pPr>
        <w:jc w:val="both"/>
        <w:ind w:left="140" w:hanging="132"/>
        <w:spacing w:after="0" w:line="273" w:lineRule="auto"/>
        <w:tabs>
          <w:tab w:leader="none" w:pos="12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150" w:lineRule="exact"/>
        <w:rPr>
          <w:rFonts w:ascii="Arial" w:cs="Arial" w:eastAsia="Arial" w:hAnsi="Arial"/>
          <w:sz w:val="17"/>
          <w:szCs w:val="17"/>
          <w:color w:val="auto"/>
        </w:rPr>
      </w:pPr>
    </w:p>
    <w:p>
      <w:pPr>
        <w:jc w:val="both"/>
        <w:ind w:left="140" w:hanging="132"/>
        <w:spacing w:after="0" w:line="259" w:lineRule="auto"/>
        <w:tabs>
          <w:tab w:leader="none" w:pos="1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46" w:lineRule="exact"/>
        <w:rPr>
          <w:rFonts w:ascii="Arial" w:cs="Arial" w:eastAsia="Arial" w:hAnsi="Arial"/>
          <w:sz w:val="18"/>
          <w:szCs w:val="18"/>
          <w:color w:val="auto"/>
        </w:rPr>
      </w:pPr>
    </w:p>
    <w:p>
      <w:pPr>
        <w:jc w:val="both"/>
        <w:ind w:left="140" w:hanging="132"/>
        <w:spacing w:after="0" w:line="257" w:lineRule="auto"/>
        <w:tabs>
          <w:tab w:leader="none" w:pos="1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47" w:lineRule="exact"/>
        <w:rPr>
          <w:rFonts w:ascii="Arial" w:cs="Arial" w:eastAsia="Arial" w:hAnsi="Arial"/>
          <w:sz w:val="18"/>
          <w:szCs w:val="18"/>
          <w:color w:val="auto"/>
        </w:rPr>
      </w:pPr>
    </w:p>
    <w:p>
      <w:pPr>
        <w:jc w:val="both"/>
        <w:ind w:left="140" w:hanging="132"/>
        <w:spacing w:after="0" w:line="311" w:lineRule="auto"/>
        <w:tabs>
          <w:tab w:leader="none" w:pos="1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 w:hanging="132"/>
        <w:spacing w:after="0" w:line="255" w:lineRule="auto"/>
        <w:tabs>
          <w:tab w:leader="none" w:pos="1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165" w:lineRule="exact"/>
        <w:rPr>
          <w:rFonts w:ascii="Arial" w:cs="Arial" w:eastAsia="Arial" w:hAnsi="Arial"/>
          <w:sz w:val="18"/>
          <w:szCs w:val="18"/>
          <w:color w:val="auto"/>
        </w:rPr>
      </w:pPr>
    </w:p>
    <w:p>
      <w:pPr>
        <w:jc w:val="both"/>
        <w:ind w:left="140" w:hanging="132"/>
        <w:spacing w:after="0" w:line="257" w:lineRule="auto"/>
        <w:tabs>
          <w:tab w:leader="none" w:pos="1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147" w:lineRule="exact"/>
        <w:rPr>
          <w:rFonts w:ascii="Arial" w:cs="Arial" w:eastAsia="Arial" w:hAnsi="Arial"/>
          <w:sz w:val="18"/>
          <w:szCs w:val="18"/>
          <w:color w:val="auto"/>
        </w:rPr>
      </w:pPr>
    </w:p>
    <w:p>
      <w:pPr>
        <w:jc w:val="both"/>
        <w:ind w:left="140" w:hanging="132"/>
        <w:spacing w:after="0" w:line="259" w:lineRule="auto"/>
        <w:tabs>
          <w:tab w:leader="none" w:pos="1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by the Health Information Technology for Economic and Clinical Health Act, and the regulations promulgated thereunder, or collectively, HIPAA. While we do not believe that we are currently acting as a covered entity or business associate under HIPAA and thus are not directly regulated under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also or may become subject to rapidly evolving data protection laws, rules and regulations in foreign jurisdictions. For example, the European Union General Data Protection Regulation, or the GDPR, governs certain collection and other processing activities involving personal data about individuals in the European Economic Area, or the EEA. The GDPR imposes substantial fines for breaches and violations (up to the greater of €20 million or 4% of our annual global revenue). The GDPR also confers a private right of action on data subjects and consumer associations to lodge complaints with supervisory authorities, seek judicial remedies and obtain compensation for damages resulting from violations of the GDPR. Further, since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GDPR and UK GDPR regulate cross-border transfers of personal data out of the EEA and the UK respectively. Recent legal developments in Europe have created complexity and uncertainty regarding such transfers, in particular in relation to transfers to the United States. On July 16, 2020, the Court of Justice of the European Union or the CJEU invalidated the EU-US Privacy Shield Framework, or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also adversely affect our business, operations and financial condition.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or third-party contract manufacturing organizations, or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 the future may involve the use of hazardous and flammable materials, including chemicals and biological materials. Our operations in the future may also produce hazardous waste products. In the future,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FDA or other comparable foreign regulatory authorities may not accept data from trials conducted in locations outside of their jurisdiction.</w:t>
      </w:r>
    </w:p>
    <w:p>
      <w:pPr>
        <w:spacing w:after="0" w:line="20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choose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authority requirements may subject our company to administrative or judicially imposed sanctions, including:</w:t>
      </w:r>
    </w:p>
    <w:p>
      <w:pPr>
        <w:spacing w:after="0" w:line="141" w:lineRule="exact"/>
        <w:rPr>
          <w:sz w:val="20"/>
          <w:szCs w:val="20"/>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in recent years, the U.S. government shut down several times and certain regulatory agencies, such as the FDA and the SEC, had to furlough critical employees and stop critical activities. If a prolonged government shut down or other disruption at the FDA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pandemic related to COVID-19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the American Rescue Plan Act of 2021, which eliminates the statutory Medicaid drug rebate cap, currently set at 100% of a drug’s average manufacturer price, beginning January 1, 2024.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13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March 31, 2023, we owned one issued patent and four pending patent applications, in the United States only, related to our platform technologies, as well as pending patent applications related to our product candidates in and outside the United States. We currently do not have any issued patents related to our product candidates.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issued patent and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3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143" w:lineRule="exact"/>
        <w:rPr>
          <w:sz w:val="20"/>
          <w:szCs w:val="20"/>
          <w:color w:val="auto"/>
        </w:rPr>
      </w:pPr>
    </w:p>
    <w:p>
      <w:pPr>
        <w:jc w:val="both"/>
        <w:ind w:left="140" w:hanging="132"/>
        <w:spacing w:after="0" w:line="263" w:lineRule="auto"/>
        <w:tabs>
          <w:tab w:leader="none" w:pos="1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98"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29" w:lineRule="exact"/>
        <w:rPr>
          <w:rFonts w:ascii="Arial" w:cs="Arial" w:eastAsia="Arial" w:hAnsi="Arial"/>
          <w:sz w:val="18"/>
          <w:szCs w:val="18"/>
          <w:color w:val="auto"/>
        </w:rPr>
      </w:pPr>
    </w:p>
    <w:p>
      <w:pPr>
        <w:jc w:val="both"/>
        <w:ind w:left="140" w:hanging="132"/>
        <w:spacing w:after="0" w:line="263" w:lineRule="auto"/>
        <w:tabs>
          <w:tab w:leader="none" w:pos="1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43" w:lineRule="exact"/>
        <w:rPr>
          <w:rFonts w:ascii="Arial" w:cs="Arial" w:eastAsia="Arial" w:hAnsi="Arial"/>
          <w:sz w:val="18"/>
          <w:szCs w:val="18"/>
          <w:color w:val="auto"/>
        </w:rPr>
      </w:pPr>
    </w:p>
    <w:p>
      <w:pPr>
        <w:ind w:left="140" w:right="20" w:hanging="132"/>
        <w:spacing w:after="0" w:line="308" w:lineRule="auto"/>
        <w:tabs>
          <w:tab w:leader="none" w:pos="12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19" w:lineRule="exact"/>
        <w:rPr>
          <w:rFonts w:ascii="Arial" w:cs="Arial" w:eastAsia="Arial" w:hAnsi="Arial"/>
          <w:sz w:val="17"/>
          <w:szCs w:val="17"/>
          <w:color w:val="auto"/>
        </w:rPr>
      </w:pPr>
    </w:p>
    <w:p>
      <w:pPr>
        <w:ind w:left="140" w:hanging="132"/>
        <w:spacing w:after="0" w:line="277" w:lineRule="auto"/>
        <w:tabs>
          <w:tab w:leader="none" w:pos="1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disputes may arise between us and any future licensors regarding intellectual property subject to a license agreement, including:</w:t>
      </w:r>
    </w:p>
    <w:p>
      <w:pPr>
        <w:spacing w:after="0" w:line="185" w:lineRule="exact"/>
        <w:rPr>
          <w:sz w:val="20"/>
          <w:szCs w:val="20"/>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rights granted and obligations imposed under the license agreement and other interpretation-related issues;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intellectual property of the licensor that is not subject to the licensing agreement;</w:t>
      </w:r>
    </w:p>
    <w:p>
      <w:pPr>
        <w:spacing w:after="0" w:line="221" w:lineRule="exact"/>
        <w:rPr>
          <w:rFonts w:ascii="Arial" w:cs="Arial" w:eastAsia="Arial" w:hAnsi="Arial"/>
          <w:sz w:val="16"/>
          <w:szCs w:val="16"/>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if any, we owe to a potential licensor in respect of sublicense fees or income or in respect of backup product;</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84"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its affiliates and sublicensees and by us and our partners and sublicensees.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patent protection and patent prosecution for some of our product candidates may be dependent on our future licensors and third parties.</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third parties may obtain patents in the future and claim that use of our technologies infringes upon these patents. Any claims of patent infringement asserted by third parties would be time-consuming and could:</w:t>
      </w:r>
    </w:p>
    <w:p>
      <w:pPr>
        <w:spacing w:after="0" w:line="130"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unenforceable or not infringed in a court of law;</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84"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no third party has asserted a claim of patent infringement against us as of the date of this Quarterly Report on Form 10-Q,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governing patents could change in unpredictable ways that would weaken our or our licensors’ ability to obtain new patents or to enforce our existing patents and patents we might obtain in the future.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employees or third-party consultants and vendors that we engage to perform research, clinical trials or manufacturing activities, or misappropriation by third parties (such as through a 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third-party open source software, which could negatively affect our ability to offer our solutions and subject us to litigation or other actions.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w:t>
      </w:r>
    </w:p>
    <w:p>
      <w:pPr>
        <w:spacing w:after="0" w:line="130" w:lineRule="exact"/>
        <w:rPr>
          <w:sz w:val="20"/>
          <w:szCs w:val="20"/>
          <w:color w:val="auto"/>
        </w:rPr>
      </w:pPr>
    </w:p>
    <w:p>
      <w:pPr>
        <w:ind w:left="140" w:hanging="132"/>
        <w:spacing w:after="0" w:line="277" w:lineRule="auto"/>
        <w:tabs>
          <w:tab w:leader="none" w:pos="1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may own or license;</w:t>
      </w:r>
    </w:p>
    <w:p>
      <w:pPr>
        <w:spacing w:after="0" w:line="129"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potential future licensors might not have been the first to make the inventions covered by the issued patents or patent application that we may own or license;</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4"/>
          <w:szCs w:val="14"/>
          <w:color w:val="auto"/>
        </w:rPr>
      </w:pPr>
      <w:r>
        <w:rPr>
          <w:rFonts w:ascii="Arial" w:cs="Arial" w:eastAsia="Arial" w:hAnsi="Arial"/>
          <w:sz w:val="18"/>
          <w:szCs w:val="18"/>
          <w:color w:val="auto"/>
        </w:rPr>
        <w:t>we or our potential future licensors might not have been the first to file patent applications covering certain of our inventions;</w:t>
      </w:r>
    </w:p>
    <w:p>
      <w:pPr>
        <w:spacing w:after="0" w:line="184" w:lineRule="exact"/>
        <w:rPr>
          <w:rFonts w:ascii="Arial" w:cs="Arial" w:eastAsia="Arial" w:hAnsi="Arial"/>
          <w:sz w:val="14"/>
          <w:szCs w:val="14"/>
          <w:color w:val="auto"/>
        </w:rPr>
      </w:pPr>
    </w:p>
    <w:p>
      <w:pPr>
        <w:ind w:left="140" w:right="20" w:hanging="132"/>
        <w:spacing w:after="0" w:line="277" w:lineRule="auto"/>
        <w:tabs>
          <w:tab w:leader="none" w:pos="1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our, or our future licensors’, pending patent applications will not lead to issued patents;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issued patents that we own or license may be held invalid or unenforceable, as a result of legal challenges by our competitors;</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principal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we had 68 full-time employees, including 56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w:t>
      </w:r>
    </w:p>
    <w:p>
      <w:pPr>
        <w:spacing w:after="0" w:line="160"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84" w:lineRule="exact"/>
        <w:rPr>
          <w:rFonts w:ascii="Arial" w:cs="Arial" w:eastAsia="Arial" w:hAnsi="Arial"/>
          <w:sz w:val="18"/>
          <w:szCs w:val="18"/>
          <w:color w:val="auto"/>
        </w:rPr>
      </w:pPr>
    </w:p>
    <w:p>
      <w:pPr>
        <w:jc w:val="both"/>
        <w:ind w:left="140" w:hanging="132"/>
        <w:spacing w:after="0" w:line="263" w:lineRule="auto"/>
        <w:tabs>
          <w:tab w:leader="none" w:pos="1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of IMM-1-104, IMM-6-415, and any other product candidate we develop, while complying with any contractual obligations to contractors and other third parties we may have; and</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IMM-1-104, IMM-6-415 and any other current or future product candidates and, accordingly, may not achieve our research, development and commercialization goals.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value of our Class A common stock may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trading price of our Class A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Broad market and industry factors may negatively affect the market price of our Class A common stock, regardless of our actual operating performance. In addition to the factors discussed in this “Risk Factors” section and elsewhere in this Quarterly Report on Form 10-Q, these factors include:</w:t>
      </w:r>
    </w:p>
    <w:p>
      <w:pPr>
        <w:spacing w:after="0" w:line="97"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or those of our competitors;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collaborations or capital commitments;</w:t>
      </w:r>
    </w:p>
    <w:p>
      <w:pPr>
        <w:spacing w:after="0" w:line="196" w:lineRule="exact"/>
        <w:rPr>
          <w:rFonts w:ascii="Arial" w:cs="Arial" w:eastAsia="Arial" w:hAnsi="Arial"/>
          <w:sz w:val="17"/>
          <w:szCs w:val="17"/>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Class A common stock by us, our insiders or our other stockholders;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 and</w:t>
      </w:r>
    </w:p>
    <w:p>
      <w:pPr>
        <w:spacing w:after="0" w:line="184" w:lineRule="exact"/>
        <w:rPr>
          <w:rFonts w:ascii="Arial" w:cs="Arial" w:eastAsia="Arial" w:hAnsi="Arial"/>
          <w:sz w:val="18"/>
          <w:szCs w:val="18"/>
          <w:color w:val="auto"/>
        </w:rPr>
      </w:pPr>
    </w:p>
    <w:p>
      <w:pPr>
        <w:jc w:val="both"/>
        <w:ind w:left="140" w:hanging="132"/>
        <w:spacing w:after="0" w:line="263" w:lineRule="auto"/>
        <w:tabs>
          <w:tab w:leader="none" w:pos="1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the effects of recession or slow economic growth in the U.S. and abroad, interest rates, inflation, fuel prices, international currency fluctuations, corruption, political instability, acts of war, acts of terrorism, and the ongoing COVID-19 pandemic or other public health crises.</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securities or industry analysts publish about us, our business or our market. If any of the analysts who cover us issue adverse or misleading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2023, our executive officers, directors, holders of 5% or more of our capital stock and their respective affiliates beneficially owned approximately 69.8% of our voting stock and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Class A and/or Class B common stock in the public market could cause our stock price to fall.</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will be sold under the registration statement filed with the SEC on August 10, 2022 are, or will be, as applicable, freely transferable without restrictions or further registration under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57"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could use to implement a stockholder rights plan (also known as a “poison pill”);</w:t>
      </w:r>
    </w:p>
    <w:p>
      <w:pPr>
        <w:spacing w:after="0" w:line="207" w:lineRule="exact"/>
        <w:rPr>
          <w:rFonts w:ascii="Arial" w:cs="Arial" w:eastAsia="Arial" w:hAnsi="Arial"/>
          <w:sz w:val="16"/>
          <w:szCs w:val="16"/>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84" w:lineRule="exact"/>
        <w:rPr>
          <w:rFonts w:ascii="Arial" w:cs="Arial" w:eastAsia="Arial" w:hAnsi="Arial"/>
          <w:sz w:val="18"/>
          <w:szCs w:val="18"/>
          <w:color w:val="auto"/>
        </w:rPr>
      </w:pPr>
    </w:p>
    <w:p>
      <w:pPr>
        <w:ind w:left="140" w:right="20" w:hanging="132"/>
        <w:spacing w:after="0" w:line="277" w:lineRule="auto"/>
        <w:tabs>
          <w:tab w:leader="none" w:pos="1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Quarterly Report on Form 10-Q. Nothing in our amended and restated certificate of incorporation or amended and restated bylaws preclude stockholders that assert claims under the Exchange Act from bringing such claims in state or federal court, subject to applicable law.</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information technology systems, or those of any of our CROs, manufacturers, other contractors, consultants, collaborators or potential future collaborators, may fail or suffer security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information technology systems and those of our current and any future CROs and other contractors, consultants, collaborators and third-party service providers, are vulnerable to attack, interruption and damage from computer viruses (e.g. ransomware), cybersecurity threats, malicious code,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43" w:lineRule="exact"/>
        <w:rPr>
          <w:sz w:val="20"/>
          <w:szCs w:val="20"/>
          <w:color w:val="auto"/>
        </w:rPr>
      </w:pPr>
    </w:p>
    <w:p>
      <w:pPr>
        <w:jc w:val="both"/>
        <w:ind w:left="140" w:hanging="132"/>
        <w:spacing w:after="0" w:line="263" w:lineRule="auto"/>
        <w:tabs>
          <w:tab w:leader="none" w:pos="1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Quarterly Report on Form 10-Q;</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98"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84" w:lineRule="exact"/>
        <w:rPr>
          <w:rFonts w:ascii="Arial" w:cs="Arial" w:eastAsia="Arial" w:hAnsi="Arial"/>
          <w:sz w:val="18"/>
          <w:szCs w:val="18"/>
          <w:color w:val="auto"/>
        </w:rPr>
      </w:pPr>
    </w:p>
    <w:p>
      <w:pPr>
        <w:ind w:left="140" w:hanging="132"/>
        <w:spacing w:after="0" w:line="277" w:lineRule="auto"/>
        <w:tabs>
          <w:tab w:leader="none" w:pos="1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disclosing information in this Quarterly Report on Form 10-Q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tax legislation may impact our results of operations and financial condition.</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For example, the recently enacted Inflation Reduction Act, among other changes, introduced a 15% corporate minimum tax on certain United States corporations and a 1% excise tax on certain stock redemptions by United States corporations. The likelihood of these or other further changes being enacted or implemented is unclear. We are currently unable to predict whether such changes will occur. If such changes are enacted or implemented as well as the scope of any such changes, we are currently unable to predict the ultimate impact on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center"/>
        <w:ind w:right="9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80" w:type="dxa"/>
            <w:vAlign w:val="bottom"/>
            <w:gridSpan w:val="2"/>
          </w:tcPr>
          <w:p>
            <w:pPr>
              <w:ind w:left="52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39"/>
        </w:trPr>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6"/>
              </w:rPr>
              <w:t>Filing</w:t>
            </w:r>
          </w:p>
        </w:tc>
        <w:tc>
          <w:tcPr>
            <w:tcW w:w="1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200"/>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Exhibit Number</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100" w:type="dxa"/>
            <w:vAlign w:val="bottom"/>
            <w:gridSpan w:val="6"/>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File No.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9"/>
        </w:trPr>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1260" w:type="dxa"/>
            <w:vAlign w:val="bottom"/>
          </w:tcPr>
          <w:p>
            <w:pPr>
              <w:ind w:left="20"/>
              <w:spacing w:after="0"/>
              <w:rPr>
                <w:sz w:val="20"/>
                <w:szCs w:val="20"/>
                <w:color w:val="auto"/>
              </w:rPr>
            </w:pPr>
            <w:r>
              <w:rPr>
                <w:rFonts w:ascii="Arial" w:cs="Arial" w:eastAsia="Arial" w:hAnsi="Arial"/>
                <w:sz w:val="18"/>
                <w:szCs w:val="18"/>
                <w:color w:val="auto"/>
              </w:rPr>
              <w:t>3.1</w:t>
            </w:r>
          </w:p>
        </w:tc>
        <w:tc>
          <w:tcPr>
            <w:tcW w:w="4600" w:type="dxa"/>
            <w:vAlign w:val="bottom"/>
            <w:gridSpan w:val="8"/>
          </w:tcPr>
          <w:p>
            <w:pPr>
              <w:spacing w:after="0"/>
              <w:rPr>
                <w:rFonts w:ascii="Arial" w:cs="Arial" w:eastAsia="Arial" w:hAnsi="Arial"/>
                <w:sz w:val="18"/>
                <w:szCs w:val="18"/>
                <w:color w:val="0000FF"/>
              </w:rPr>
            </w:pPr>
            <w:hyperlink r:id="rId99">
              <w:r>
                <w:rPr>
                  <w:rFonts w:ascii="Arial" w:cs="Arial" w:eastAsia="Arial" w:hAnsi="Arial"/>
                  <w:sz w:val="18"/>
                  <w:szCs w:val="18"/>
                  <w:color w:val="0000FF"/>
                </w:rPr>
                <w:t>Amended and Restated Certificate of Incorporation of</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001-40675</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9/9/2021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Immuneering Corporation</w:t>
              </w:r>
            </w:hyperlink>
          </w:p>
        </w:tc>
        <w:tc>
          <w:tcPr>
            <w:tcW w:w="2000" w:type="dxa"/>
            <w:vAlign w:val="bottom"/>
            <w:tcBorders>
              <w:top w:val="single" w:sz="8" w:color="0000FF"/>
            </w:tcBorders>
          </w:tcPr>
          <w:p>
            <w:pPr>
              <w:spacing w:after="0"/>
              <w:rPr>
                <w:sz w:val="17"/>
                <w:szCs w:val="17"/>
                <w:color w:val="auto"/>
              </w:rPr>
            </w:pPr>
          </w:p>
        </w:tc>
        <w:tc>
          <w:tcPr>
            <w:tcW w:w="72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3.2</w:t>
            </w:r>
          </w:p>
        </w:tc>
        <w:tc>
          <w:tcPr>
            <w:tcW w:w="4380" w:type="dxa"/>
            <w:vAlign w:val="bottom"/>
            <w:tcBorders>
              <w:bottom w:val="single" w:sz="8" w:color="0000FF"/>
            </w:tcBorders>
            <w:gridSpan w:val="6"/>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Amended and Restated Bylaws of Immuneering Corporation</w:t>
              </w:r>
            </w:hyperlink>
          </w:p>
        </w:tc>
        <w:tc>
          <w:tcPr>
            <w:tcW w:w="220" w:type="dxa"/>
            <w:vAlign w:val="bottom"/>
            <w:gridSpan w:val="2"/>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001-40675</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9/9/2021</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w:t>
            </w:r>
          </w:p>
        </w:tc>
        <w:tc>
          <w:tcPr>
            <w:tcW w:w="4600" w:type="dxa"/>
            <w:vAlign w:val="bottom"/>
            <w:gridSpan w:val="8"/>
          </w:tcPr>
          <w:p>
            <w:pPr>
              <w:spacing w:after="0"/>
              <w:rPr>
                <w:rFonts w:ascii="Arial" w:cs="Arial" w:eastAsia="Arial" w:hAnsi="Arial"/>
                <w:sz w:val="18"/>
                <w:szCs w:val="18"/>
                <w:color w:val="0000FF"/>
                <w:w w:val="95"/>
              </w:rPr>
            </w:pPr>
            <w:hyperlink r:id="rId101">
              <w:r>
                <w:rPr>
                  <w:rFonts w:ascii="Arial" w:cs="Arial" w:eastAsia="Arial" w:hAnsi="Arial"/>
                  <w:sz w:val="18"/>
                  <w:szCs w:val="18"/>
                  <w:color w:val="0000FF"/>
                  <w:w w:val="95"/>
                </w:rPr>
                <w:t>Equity Distribution Agreement, dated as of August 10, 2022,</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333-266738</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8/10/2022</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0" w:type="dxa"/>
            <w:vAlign w:val="bottom"/>
            <w:gridSpan w:val="8"/>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by and between Immuneering Corporation and Piper Sandler &amp;</w:t>
              </w:r>
            </w:hyperlink>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5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Co.</w:t>
              </w:r>
            </w:hyperlink>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31.1</w:t>
            </w:r>
          </w:p>
        </w:tc>
        <w:tc>
          <w:tcPr>
            <w:tcW w:w="43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Certification of Principal Executive Officer pursuant to Rule</w:t>
            </w:r>
          </w:p>
        </w:tc>
        <w:tc>
          <w:tcPr>
            <w:tcW w:w="22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9"/>
              </w:rPr>
              <w:t>13a-14(a)/15d-14(a).</w:t>
            </w:r>
          </w:p>
        </w:tc>
        <w:tc>
          <w:tcPr>
            <w:tcW w:w="310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31.2</w:t>
            </w:r>
          </w:p>
        </w:tc>
        <w:tc>
          <w:tcPr>
            <w:tcW w:w="4600" w:type="dxa"/>
            <w:vAlign w:val="bottom"/>
            <w:gridSpan w:val="8"/>
          </w:tcPr>
          <w:p>
            <w:pPr>
              <w:spacing w:after="0"/>
              <w:rPr>
                <w:sz w:val="20"/>
                <w:szCs w:val="20"/>
                <w:color w:val="auto"/>
              </w:rPr>
            </w:pPr>
            <w:r>
              <w:rPr>
                <w:rFonts w:ascii="Arial" w:cs="Arial" w:eastAsia="Arial" w:hAnsi="Arial"/>
                <w:sz w:val="18"/>
                <w:szCs w:val="18"/>
                <w:color w:val="0000FF"/>
                <w:w w:val="99"/>
              </w:rPr>
              <w:t>Certification of Principal Financial Officer pursuant to Rule</w:t>
            </w:r>
          </w:p>
        </w:tc>
        <w:tc>
          <w:tcPr>
            <w:tcW w:w="8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9"/>
              </w:rPr>
              <w:t>13a-14(a)/15d-14(a).</w:t>
            </w:r>
          </w:p>
        </w:tc>
        <w:tc>
          <w:tcPr>
            <w:tcW w:w="2800" w:type="dxa"/>
            <w:vAlign w:val="bottom"/>
            <w:tcBorders>
              <w:top w:val="single" w:sz="8" w:color="0000FF"/>
            </w:tcBorders>
            <w:gridSpan w:val="3"/>
          </w:tcPr>
          <w:p>
            <w:pPr>
              <w:spacing w:after="0"/>
              <w:rPr>
                <w:sz w:val="17"/>
                <w:szCs w:val="17"/>
                <w:color w:val="auto"/>
              </w:rPr>
            </w:pPr>
          </w:p>
        </w:tc>
        <w:tc>
          <w:tcPr>
            <w:tcW w:w="30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gridSpan w:val="2"/>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39"/>
        </w:trPr>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Filing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200"/>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1520" w:type="dxa"/>
            <w:vAlign w:val="bottom"/>
          </w:tcPr>
          <w:p>
            <w:pPr>
              <w:spacing w:after="0"/>
              <w:rPr>
                <w:sz w:val="17"/>
                <w:szCs w:val="17"/>
                <w:color w:val="auto"/>
              </w:rPr>
            </w:pPr>
          </w:p>
        </w:tc>
        <w:tc>
          <w:tcPr>
            <w:tcW w:w="3080" w:type="dxa"/>
            <w:vAlign w:val="bottom"/>
            <w:gridSpan w:val="3"/>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Form</w:t>
            </w:r>
          </w:p>
        </w:tc>
        <w:tc>
          <w:tcPr>
            <w:tcW w:w="1180" w:type="dxa"/>
            <w:vAlign w:val="bottom"/>
          </w:tcPr>
          <w:p>
            <w:pPr>
              <w:ind w:left="340"/>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6"/>
        </w:trPr>
        <w:tc>
          <w:tcPr>
            <w:tcW w:w="12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42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Principal Executive Officer pursuant to 18</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U.S.C. Section 1350.</w:t>
            </w:r>
          </w:p>
        </w:tc>
        <w:tc>
          <w:tcPr>
            <w:tcW w:w="30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4600" w:type="dxa"/>
            <w:vAlign w:val="bottom"/>
            <w:gridSpan w:val="4"/>
          </w:tcPr>
          <w:p>
            <w:pPr>
              <w:spacing w:after="0"/>
              <w:rPr>
                <w:sz w:val="20"/>
                <w:szCs w:val="20"/>
                <w:color w:val="auto"/>
              </w:rPr>
            </w:pPr>
            <w:r>
              <w:rPr>
                <w:rFonts w:ascii="Arial" w:cs="Arial" w:eastAsia="Arial" w:hAnsi="Arial"/>
                <w:sz w:val="18"/>
                <w:szCs w:val="18"/>
                <w:color w:val="0000FF"/>
              </w:rPr>
              <w:t>Certification of Principal Financial Officer pursuant to 18</w:t>
            </w: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U.S.C. Section 1350.</w:t>
            </w:r>
          </w:p>
        </w:tc>
        <w:tc>
          <w:tcPr>
            <w:tcW w:w="26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4600" w:type="dxa"/>
            <w:vAlign w:val="bottom"/>
            <w:gridSpan w:val="4"/>
          </w:tcPr>
          <w:p>
            <w:pPr>
              <w:spacing w:after="0"/>
              <w:rPr>
                <w:sz w:val="20"/>
                <w:szCs w:val="20"/>
                <w:color w:val="auto"/>
              </w:rPr>
            </w:pPr>
            <w:r>
              <w:rPr>
                <w:rFonts w:ascii="Arial" w:cs="Arial" w:eastAsia="Arial" w:hAnsi="Arial"/>
                <w:sz w:val="18"/>
                <w:szCs w:val="18"/>
                <w:color w:val="auto"/>
                <w:w w:val="91"/>
              </w:rPr>
              <w:t>Inline XBRL Instance Document – the instance document does</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w w:val="93"/>
              </w:rPr>
              <w:t>not appear in the Interactive Data File because its XBRL tags</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are embedded within the Inline XBRL document.</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46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46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46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4600" w:type="dxa"/>
            <w:vAlign w:val="bottom"/>
            <w:gridSpan w:val="4"/>
          </w:tcPr>
          <w:p>
            <w:pPr>
              <w:spacing w:after="0"/>
              <w:rPr>
                <w:sz w:val="20"/>
                <w:szCs w:val="20"/>
                <w:color w:val="auto"/>
              </w:rPr>
            </w:pPr>
            <w:r>
              <w:rPr>
                <w:rFonts w:ascii="Arial" w:cs="Arial" w:eastAsia="Arial" w:hAnsi="Arial"/>
                <w:sz w:val="18"/>
                <w:szCs w:val="18"/>
                <w:color w:val="auto"/>
                <w:w w:val="94"/>
              </w:rPr>
              <w:t>Inline XBRL Taxonomy Extension Label Linkbase Document.</w:t>
            </w: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46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4600" w:type="dxa"/>
            <w:vAlign w:val="bottom"/>
            <w:gridSpan w:val="4"/>
          </w:tcPr>
          <w:p>
            <w:pPr>
              <w:spacing w:after="0"/>
              <w:rPr>
                <w:sz w:val="20"/>
                <w:szCs w:val="20"/>
                <w:color w:val="auto"/>
              </w:rPr>
            </w:pPr>
            <w:r>
              <w:rPr>
                <w:rFonts w:ascii="Arial" w:cs="Arial" w:eastAsia="Arial" w:hAnsi="Arial"/>
                <w:sz w:val="18"/>
                <w:szCs w:val="18"/>
                <w:color w:val="auto"/>
                <w:w w:val="97"/>
              </w:rPr>
              <w:t>Cover Page Interactive Data File (formatted as Inline XBRL</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and contained in Exhibit 101)</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gridSpan w:val="5"/>
          </w:tcPr>
          <w:p>
            <w:pPr>
              <w:ind w:left="40"/>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gridSpan w:val="5"/>
          </w:tcPr>
          <w:p>
            <w:pPr>
              <w:ind w:left="120"/>
              <w:spacing w:after="0"/>
              <w:rPr>
                <w:sz w:val="20"/>
                <w:szCs w:val="20"/>
                <w:color w:val="auto"/>
              </w:rPr>
            </w:pPr>
            <w:r>
              <w:rPr>
                <w:rFonts w:ascii="Arial" w:cs="Arial" w:eastAsia="Arial" w:hAnsi="Arial"/>
                <w:sz w:val="18"/>
                <w:szCs w:val="18"/>
                <w:color w:val="auto"/>
              </w:rPr>
              <w:t>Furnished herewith.</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0" w:type="dxa"/>
            <w:vAlign w:val="bottom"/>
            <w:gridSpan w:val="4"/>
          </w:tcPr>
          <w:p>
            <w:pPr>
              <w:ind w:left="4280"/>
              <w:spacing w:after="0"/>
              <w:rPr>
                <w:sz w:val="20"/>
                <w:szCs w:val="20"/>
                <w:color w:val="auto"/>
              </w:rPr>
            </w:pPr>
            <w:r>
              <w:rPr>
                <w:rFonts w:ascii="Arial" w:cs="Arial" w:eastAsia="Arial" w:hAnsi="Arial"/>
                <w:sz w:val="18"/>
                <w:szCs w:val="18"/>
                <w:color w:val="auto"/>
              </w:rPr>
              <w:t>86</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080" w:type="dxa"/>
            <w:vAlign w:val="bottom"/>
            <w:gridSpan w:val="3"/>
          </w:tcPr>
          <w:p>
            <w:pPr>
              <w:ind w:left="1800"/>
              <w:spacing w:after="0"/>
              <w:rPr>
                <w:sz w:val="20"/>
                <w:szCs w:val="20"/>
                <w:color w:val="auto"/>
              </w:rPr>
            </w:pPr>
            <w:r>
              <w:rPr>
                <w:rFonts w:ascii="Arial" w:cs="Arial" w:eastAsia="Arial" w:hAnsi="Arial"/>
                <w:sz w:val="18"/>
                <w:szCs w:val="18"/>
                <w:b w:val="1"/>
                <w:bCs w:val="1"/>
                <w:color w:val="auto"/>
              </w:rPr>
              <w:t>IMMUNEERING CORPORATION</w:t>
            </w:r>
          </w:p>
        </w:tc>
      </w:tr>
      <w:tr>
        <w:trPr>
          <w:trHeight w:val="533"/>
        </w:trPr>
        <w:tc>
          <w:tcPr>
            <w:tcW w:w="3140" w:type="dxa"/>
            <w:vAlign w:val="bottom"/>
          </w:tcPr>
          <w:p>
            <w:pPr>
              <w:spacing w:after="0"/>
              <w:rPr>
                <w:sz w:val="20"/>
                <w:szCs w:val="20"/>
                <w:color w:val="auto"/>
              </w:rPr>
            </w:pPr>
            <w:r>
              <w:rPr>
                <w:rFonts w:ascii="Arial" w:cs="Arial" w:eastAsia="Arial" w:hAnsi="Arial"/>
                <w:sz w:val="18"/>
                <w:szCs w:val="18"/>
                <w:color w:val="auto"/>
              </w:rPr>
              <w:t>Date: May 4, 2023</w:t>
            </w:r>
          </w:p>
        </w:tc>
        <w:tc>
          <w:tcPr>
            <w:tcW w:w="2320" w:type="dxa"/>
            <w:vAlign w:val="bottom"/>
          </w:tcPr>
          <w:p>
            <w:pPr>
              <w:ind w:left="1800"/>
              <w:spacing w:after="0"/>
              <w:rPr>
                <w:sz w:val="20"/>
                <w:szCs w:val="20"/>
                <w:color w:val="auto"/>
              </w:rPr>
            </w:pPr>
            <w:r>
              <w:rPr>
                <w:rFonts w:ascii="Arial" w:cs="Arial" w:eastAsia="Arial" w:hAnsi="Arial"/>
                <w:sz w:val="18"/>
                <w:szCs w:val="18"/>
                <w:color w:val="auto"/>
              </w:rPr>
              <w:t>By:</w:t>
            </w:r>
          </w:p>
        </w:tc>
        <w:tc>
          <w:tcPr>
            <w:tcW w:w="82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J. Zeskind</w:t>
            </w:r>
          </w:p>
        </w:tc>
      </w:tr>
      <w:tr>
        <w:trPr>
          <w:trHeight w:val="243"/>
        </w:trPr>
        <w:tc>
          <w:tcPr>
            <w:tcW w:w="3140" w:type="dxa"/>
            <w:vAlign w:val="bottom"/>
          </w:tcPr>
          <w:p>
            <w:pPr>
              <w:spacing w:after="0"/>
              <w:rPr>
                <w:sz w:val="21"/>
                <w:szCs w:val="21"/>
                <w:color w:val="auto"/>
              </w:rPr>
            </w:pPr>
          </w:p>
        </w:tc>
        <w:tc>
          <w:tcPr>
            <w:tcW w:w="2320" w:type="dxa"/>
            <w:vAlign w:val="bottom"/>
          </w:tcPr>
          <w:p>
            <w:pPr>
              <w:ind w:left="1800"/>
              <w:spacing w:after="0"/>
              <w:rPr>
                <w:sz w:val="20"/>
                <w:szCs w:val="20"/>
                <w:color w:val="auto"/>
              </w:rPr>
            </w:pPr>
            <w:r>
              <w:rPr>
                <w:rFonts w:ascii="Arial" w:cs="Arial" w:eastAsia="Arial" w:hAnsi="Arial"/>
                <w:sz w:val="18"/>
                <w:szCs w:val="18"/>
                <w:color w:val="auto"/>
                <w:w w:val="94"/>
              </w:rPr>
              <w:t>Name:</w:t>
            </w:r>
          </w:p>
        </w:tc>
        <w:tc>
          <w:tcPr>
            <w:tcW w:w="82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Benjamin J. Zeskind, Ph.D.</w:t>
            </w:r>
          </w:p>
        </w:tc>
      </w:tr>
      <w:tr>
        <w:trPr>
          <w:trHeight w:val="242"/>
        </w:trPr>
        <w:tc>
          <w:tcPr>
            <w:tcW w:w="3140" w:type="dxa"/>
            <w:vAlign w:val="bottom"/>
          </w:tcPr>
          <w:p>
            <w:pPr>
              <w:spacing w:after="0"/>
              <w:rPr>
                <w:sz w:val="21"/>
                <w:szCs w:val="21"/>
                <w:color w:val="auto"/>
              </w:rPr>
            </w:pPr>
          </w:p>
        </w:tc>
        <w:tc>
          <w:tcPr>
            <w:tcW w:w="2320" w:type="dxa"/>
            <w:vAlign w:val="bottom"/>
          </w:tcPr>
          <w:p>
            <w:pPr>
              <w:ind w:left="1800"/>
              <w:spacing w:after="0"/>
              <w:rPr>
                <w:sz w:val="20"/>
                <w:szCs w:val="20"/>
                <w:color w:val="auto"/>
              </w:rPr>
            </w:pPr>
            <w:r>
              <w:rPr>
                <w:rFonts w:ascii="Arial" w:cs="Arial" w:eastAsia="Arial" w:hAnsi="Arial"/>
                <w:sz w:val="18"/>
                <w:szCs w:val="18"/>
                <w:color w:val="auto"/>
              </w:rPr>
              <w:t>Title:</w:t>
            </w:r>
          </w:p>
        </w:tc>
        <w:tc>
          <w:tcPr>
            <w:tcW w:w="82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Co-Founder, President, Chief Executive Officer and Director</w:t>
            </w:r>
          </w:p>
        </w:tc>
      </w:tr>
      <w:tr>
        <w:trPr>
          <w:trHeight w:val="230"/>
        </w:trPr>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817"/>
        </w:trPr>
        <w:tc>
          <w:tcPr>
            <w:tcW w:w="3140" w:type="dxa"/>
            <w:vAlign w:val="bottom"/>
          </w:tcPr>
          <w:p>
            <w:pPr>
              <w:spacing w:after="0"/>
              <w:rPr>
                <w:sz w:val="20"/>
                <w:szCs w:val="20"/>
                <w:color w:val="auto"/>
              </w:rPr>
            </w:pPr>
            <w:r>
              <w:rPr>
                <w:rFonts w:ascii="Arial" w:cs="Arial" w:eastAsia="Arial" w:hAnsi="Arial"/>
                <w:sz w:val="18"/>
                <w:szCs w:val="18"/>
                <w:color w:val="auto"/>
              </w:rPr>
              <w:t>Date: May 4, 2023</w:t>
            </w:r>
          </w:p>
        </w:tc>
        <w:tc>
          <w:tcPr>
            <w:tcW w:w="2320" w:type="dxa"/>
            <w:vAlign w:val="bottom"/>
          </w:tcPr>
          <w:p>
            <w:pPr>
              <w:ind w:left="1800"/>
              <w:spacing w:after="0"/>
              <w:rPr>
                <w:sz w:val="20"/>
                <w:szCs w:val="20"/>
                <w:color w:val="auto"/>
              </w:rPr>
            </w:pPr>
            <w:r>
              <w:rPr>
                <w:rFonts w:ascii="Arial" w:cs="Arial" w:eastAsia="Arial" w:hAnsi="Arial"/>
                <w:sz w:val="18"/>
                <w:szCs w:val="18"/>
                <w:color w:val="auto"/>
              </w:rPr>
              <w:t>By:</w:t>
            </w:r>
          </w:p>
        </w:tc>
        <w:tc>
          <w:tcPr>
            <w:tcW w:w="82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Mallory Morales</w:t>
            </w:r>
          </w:p>
        </w:tc>
      </w:tr>
      <w:tr>
        <w:trPr>
          <w:trHeight w:val="243"/>
        </w:trPr>
        <w:tc>
          <w:tcPr>
            <w:tcW w:w="3140" w:type="dxa"/>
            <w:vAlign w:val="bottom"/>
          </w:tcPr>
          <w:p>
            <w:pPr>
              <w:spacing w:after="0"/>
              <w:rPr>
                <w:sz w:val="21"/>
                <w:szCs w:val="21"/>
                <w:color w:val="auto"/>
              </w:rPr>
            </w:pPr>
          </w:p>
        </w:tc>
        <w:tc>
          <w:tcPr>
            <w:tcW w:w="2320" w:type="dxa"/>
            <w:vAlign w:val="bottom"/>
          </w:tcPr>
          <w:p>
            <w:pPr>
              <w:ind w:left="1800"/>
              <w:spacing w:after="0"/>
              <w:rPr>
                <w:sz w:val="20"/>
                <w:szCs w:val="20"/>
                <w:color w:val="auto"/>
              </w:rPr>
            </w:pPr>
            <w:r>
              <w:rPr>
                <w:rFonts w:ascii="Arial" w:cs="Arial" w:eastAsia="Arial" w:hAnsi="Arial"/>
                <w:sz w:val="18"/>
                <w:szCs w:val="18"/>
                <w:color w:val="auto"/>
                <w:w w:val="94"/>
              </w:rPr>
              <w:t>Name:</w:t>
            </w:r>
          </w:p>
        </w:tc>
        <w:tc>
          <w:tcPr>
            <w:tcW w:w="82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Mallory Morales</w:t>
            </w:r>
          </w:p>
        </w:tc>
      </w:tr>
      <w:tr>
        <w:trPr>
          <w:trHeight w:val="242"/>
        </w:trPr>
        <w:tc>
          <w:tcPr>
            <w:tcW w:w="3140" w:type="dxa"/>
            <w:vAlign w:val="bottom"/>
          </w:tcPr>
          <w:p>
            <w:pPr>
              <w:spacing w:after="0"/>
              <w:rPr>
                <w:sz w:val="21"/>
                <w:szCs w:val="21"/>
                <w:color w:val="auto"/>
              </w:rPr>
            </w:pPr>
          </w:p>
        </w:tc>
        <w:tc>
          <w:tcPr>
            <w:tcW w:w="2320" w:type="dxa"/>
            <w:vAlign w:val="bottom"/>
          </w:tcPr>
          <w:p>
            <w:pPr>
              <w:ind w:left="1800"/>
              <w:spacing w:after="0"/>
              <w:rPr>
                <w:sz w:val="20"/>
                <w:szCs w:val="20"/>
                <w:color w:val="auto"/>
              </w:rPr>
            </w:pPr>
            <w:r>
              <w:rPr>
                <w:rFonts w:ascii="Arial" w:cs="Arial" w:eastAsia="Arial" w:hAnsi="Arial"/>
                <w:sz w:val="18"/>
                <w:szCs w:val="18"/>
                <w:color w:val="auto"/>
              </w:rPr>
              <w:t>Title:</w:t>
            </w:r>
          </w:p>
        </w:tc>
        <w:tc>
          <w:tcPr>
            <w:tcW w:w="82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Vice President of Finance and Treasurer</w:t>
            </w:r>
          </w:p>
        </w:tc>
      </w:tr>
      <w:tr>
        <w:trPr>
          <w:trHeight w:val="230"/>
        </w:trPr>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851"/>
        </w:trPr>
        <w:tc>
          <w:tcPr>
            <w:tcW w:w="3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20" w:type="dxa"/>
            <w:vAlign w:val="bottom"/>
          </w:tcPr>
          <w:p>
            <w:pPr>
              <w:jc w:val="right"/>
              <w:ind w:right="490"/>
              <w:spacing w:after="0"/>
              <w:rPr>
                <w:sz w:val="20"/>
                <w:szCs w:val="20"/>
                <w:color w:val="auto"/>
              </w:rPr>
            </w:pPr>
            <w:r>
              <w:rPr>
                <w:rFonts w:ascii="Arial" w:cs="Arial" w:eastAsia="Arial" w:hAnsi="Arial"/>
                <w:sz w:val="18"/>
                <w:szCs w:val="18"/>
                <w:color w:val="auto"/>
              </w:rPr>
              <w:t>87</w:t>
            </w:r>
          </w:p>
        </w:tc>
        <w:tc>
          <w:tcPr>
            <w:tcW w:w="49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Benjamin J. Zeskind, certify that:</w:t>
      </w:r>
    </w:p>
    <w:p>
      <w:pPr>
        <w:spacing w:after="0" w:line="117"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Immuneering Corporation;</w:t>
      </w:r>
    </w:p>
    <w:p>
      <w:pPr>
        <w:spacing w:after="0" w:line="117"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486"/>
        <w:spacing w:after="0" w:line="342" w:lineRule="auto"/>
        <w:tabs>
          <w:tab w:leader="none" w:pos="9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486"/>
        <w:spacing w:after="0" w:line="277" w:lineRule="auto"/>
        <w:tabs>
          <w:tab w:leader="none" w:pos="97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79"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60"/>
              <w:spacing w:after="0"/>
              <w:rPr>
                <w:sz w:val="20"/>
                <w:szCs w:val="20"/>
                <w:color w:val="auto"/>
              </w:rPr>
            </w:pPr>
            <w:r>
              <w:rPr>
                <w:rFonts w:ascii="Arial" w:cs="Arial" w:eastAsia="Arial" w:hAnsi="Arial"/>
                <w:sz w:val="18"/>
                <w:szCs w:val="18"/>
                <w:color w:val="auto"/>
              </w:rPr>
              <w:t>/s/ Benjamin J. Zeskind</w:t>
            </w:r>
          </w:p>
        </w:tc>
      </w:tr>
      <w:tr>
        <w:trPr>
          <w:trHeight w:val="27"/>
        </w:trPr>
        <w:tc>
          <w:tcPr>
            <w:tcW w:w="8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Benjamin J. Zeskind, Ph.D</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w w:val="92"/>
              </w:rPr>
              <w:t>Co-Founder, President, Chief Executive Officer and Director (Principal</w:t>
            </w:r>
          </w:p>
        </w:tc>
      </w:tr>
      <w:tr>
        <w:trPr>
          <w:trHeight w:val="230"/>
        </w:trPr>
        <w:tc>
          <w:tcPr>
            <w:tcW w:w="8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Executive Officer)</w:t>
            </w:r>
          </w:p>
        </w:tc>
      </w:tr>
    </w:tbl>
    <w:p>
      <w:pPr>
        <w:sectPr>
          <w:pgSz w:w="11900" w:h="16838" w:orient="portrait"/>
          <w:cols w:equalWidth="0" w:num="1">
            <w:col w:w="11240"/>
          </w:cols>
          <w:pgMar w:left="320" w:top="114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Mallory Morales, certify that:</w:t>
      </w:r>
    </w:p>
    <w:p>
      <w:pPr>
        <w:spacing w:after="0" w:line="11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Immuneering Corporation;</w:t>
      </w:r>
    </w:p>
    <w:p>
      <w:pPr>
        <w:spacing w:after="0" w:line="117"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486"/>
        <w:spacing w:after="0" w:line="263" w:lineRule="auto"/>
        <w:tabs>
          <w:tab w:leader="none" w:pos="9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486"/>
        <w:spacing w:after="0" w:line="342" w:lineRule="auto"/>
        <w:tabs>
          <w:tab w:leader="none" w:pos="974"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486"/>
        <w:spacing w:after="0" w:line="342" w:lineRule="auto"/>
        <w:tabs>
          <w:tab w:leader="none" w:pos="974"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486"/>
        <w:spacing w:after="0" w:line="277" w:lineRule="auto"/>
        <w:tabs>
          <w:tab w:leader="none" w:pos="9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79"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Mallory Morales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Mallory Morales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vMerge w:val="restart"/>
          </w:tcPr>
          <w:p>
            <w:pPr>
              <w:ind w:left="20"/>
              <w:spacing w:after="0"/>
              <w:rPr>
                <w:sz w:val="20"/>
                <w:szCs w:val="20"/>
                <w:color w:val="auto"/>
              </w:rPr>
            </w:pPr>
            <w:r>
              <w:rPr>
                <w:rFonts w:ascii="Arial" w:cs="Arial" w:eastAsia="Arial" w:hAnsi="Arial"/>
                <w:sz w:val="18"/>
                <w:szCs w:val="18"/>
                <w:color w:val="auto"/>
              </w:rPr>
              <w:t>Vice President of Finance and Treasurer</w:t>
            </w:r>
          </w:p>
        </w:tc>
        <w:tc>
          <w:tcPr>
            <w:tcW w:w="0" w:type="dxa"/>
            <w:vAlign w:val="bottom"/>
          </w:tcPr>
          <w:p>
            <w:pPr>
              <w:spacing w:after="0"/>
              <w:rPr>
                <w:sz w:val="1"/>
                <w:szCs w:val="1"/>
                <w:color w:val="auto"/>
              </w:rPr>
            </w:pPr>
          </w:p>
        </w:tc>
      </w:tr>
      <w:tr>
        <w:trPr>
          <w:trHeight w:val="94"/>
        </w:trPr>
        <w:tc>
          <w:tcPr>
            <w:tcW w:w="78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 connection with the Quarterly Report on Form 10-Q of Immuneering Corporation (the “Company”) for the quarterly period ended March 31, 2023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76" w:lineRule="exact"/>
        <w:rPr>
          <w:sz w:val="20"/>
          <w:szCs w:val="20"/>
          <w:color w:val="auto"/>
        </w:rPr>
      </w:pPr>
    </w:p>
    <w:p>
      <w:pPr>
        <w:ind w:left="820" w:hanging="488"/>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17" w:lineRule="exact"/>
        <w:rPr>
          <w:rFonts w:ascii="Arial" w:cs="Arial" w:eastAsia="Arial" w:hAnsi="Arial"/>
          <w:sz w:val="18"/>
          <w:szCs w:val="18"/>
          <w:color w:val="auto"/>
        </w:rPr>
      </w:pPr>
    </w:p>
    <w:p>
      <w:pPr>
        <w:ind w:left="820" w:right="760" w:hanging="488"/>
        <w:spacing w:after="0" w:line="277" w:lineRule="auto"/>
        <w:tabs>
          <w:tab w:leader="none" w:pos="8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79"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Benjamin J. Zeskind</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Benjamin J. Zeskind, Ph.D.</w:t>
            </w:r>
          </w:p>
        </w:tc>
        <w:tc>
          <w:tcPr>
            <w:tcW w:w="0" w:type="dxa"/>
            <w:vAlign w:val="bottom"/>
          </w:tcPr>
          <w:p>
            <w:pPr>
              <w:spacing w:after="0"/>
              <w:rPr>
                <w:sz w:val="1"/>
                <w:szCs w:val="1"/>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w w:val="92"/>
              </w:rPr>
              <w:t>Co-Founder, President, Chief Executive Officer and Director (Principal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 TIFICATION PURSUANT TO</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connection with the Quarterly Report on Form 10-Q of Immuneering Corporation (the “Company”) for the quarterly period ended March 31, 2023,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76" w:lineRule="exact"/>
        <w:rPr>
          <w:sz w:val="20"/>
          <w:szCs w:val="20"/>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17" w:lineRule="exact"/>
        <w:rPr>
          <w:rFonts w:ascii="Arial" w:cs="Arial" w:eastAsia="Arial" w:hAnsi="Arial"/>
          <w:sz w:val="18"/>
          <w:szCs w:val="18"/>
          <w:color w:val="auto"/>
        </w:rPr>
      </w:pPr>
    </w:p>
    <w:p>
      <w:pPr>
        <w:ind w:left="980" w:right="600" w:hanging="486"/>
        <w:spacing w:after="0" w:line="277" w:lineRule="auto"/>
        <w:tabs>
          <w:tab w:leader="none" w:pos="9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79"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Mallory Morales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Mallory Morales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vMerge w:val="restart"/>
          </w:tcPr>
          <w:p>
            <w:pPr>
              <w:ind w:left="20"/>
              <w:spacing w:after="0"/>
              <w:rPr>
                <w:sz w:val="20"/>
                <w:szCs w:val="20"/>
                <w:color w:val="auto"/>
              </w:rPr>
            </w:pPr>
            <w:r>
              <w:rPr>
                <w:rFonts w:ascii="Arial" w:cs="Arial" w:eastAsia="Arial" w:hAnsi="Arial"/>
                <w:sz w:val="18"/>
                <w:szCs w:val="18"/>
                <w:color w:val="auto"/>
              </w:rPr>
              <w:t>Vice President of Finance and Treasurer</w:t>
            </w:r>
          </w:p>
        </w:tc>
        <w:tc>
          <w:tcPr>
            <w:tcW w:w="0" w:type="dxa"/>
            <w:vAlign w:val="bottom"/>
          </w:tcPr>
          <w:p>
            <w:pPr>
              <w:spacing w:after="0"/>
              <w:rPr>
                <w:sz w:val="1"/>
                <w:szCs w:val="1"/>
                <w:color w:val="auto"/>
              </w:rPr>
            </w:pPr>
          </w:p>
        </w:tc>
      </w:tr>
      <w:tr>
        <w:trPr>
          <w:trHeight w:val="94"/>
        </w:trPr>
        <w:tc>
          <w:tcPr>
            <w:tcW w:w="78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99" Type="http://schemas.openxmlformats.org/officeDocument/2006/relationships/hyperlink" Target="https://www.sec.gov/Archives/edgar/data/1790340/000155837021012336/imrx-20210630xex3d1.htm" TargetMode="External"/><Relationship Id="rId100" Type="http://schemas.openxmlformats.org/officeDocument/2006/relationships/hyperlink" Target="https://www.sec.gov/Archives/edgar/data/1790340/000155837021012336/imrx-20210630xex3d2.htm" TargetMode="External"/><Relationship Id="rId101" Type="http://schemas.openxmlformats.org/officeDocument/2006/relationships/hyperlink" Target="https://www.sec.gov/Archives/edgar/data/1790340/000110465922088662/tm2222025d2_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2023-05-04T15:19:43Z</dcterms:created>
  <dcterms:modified xsi:type="dcterms:W3CDTF">2023-05-04T15:19:43Z</dcterms:modified>
</cp:coreProperties>
</file>