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0" w:after="0"/>
        <w:jc w:val="left"/>
        <w:rPr>
          <w:rFonts w:ascii="Times New Roman;sans-serif" w:hAnsi="Times New Roman;sans-serif"/>
          <w:b/>
          <w:color w:val="000000"/>
          <w:sz w:val="14"/>
        </w:rPr>
      </w:pPr>
      <w:r>
        <w:rPr>
          <w:rFonts w:ascii="Times New Roman;sans-serif" w:hAnsi="Times New Roman;sans-serif"/>
          <w:b/>
          <w:color w:val="000000"/>
          <w:sz w:val="14"/>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color w:val="000000"/>
                <w:sz w:val="18"/>
              </w:rPr>
            </w:pPr>
            <w:r>
              <w:rPr>
                <w:rFonts w:ascii="Wingdings;sans-serif" w:hAnsi="Wingdings;sans-serif"/>
                <w:b/>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4"/>
        </w:rPr>
      </w:pPr>
      <w:r>
        <w:rPr>
          <w:rFonts w:ascii="Times New Roman;sans-serif" w:hAnsi="Times New Roman;sans-serif"/>
          <w:b/>
          <w:color w:val="000000"/>
          <w:sz w:val="14"/>
        </w:rPr>
        <w:t>For the quarterly period ended September 30, 2023</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4"/>
        </w:rPr>
      </w:pPr>
      <w:r>
        <w:rPr>
          <w:rFonts w:ascii="Times New Roman;sans-serif" w:hAnsi="Times New Roman;sans-serif"/>
          <w:b/>
          <w:color w:val="000000"/>
          <w:sz w:val="14"/>
        </w:rPr>
        <w:t>For the transition period from _____________ to</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 001-40675</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Immuneering Corporation</w:t>
      </w:r>
    </w:p>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(Exact name of registrant as specified in its charter)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tbl>
      <w:tblPr>
        <w:tblW w:w="5503" w:type="dxa"/>
        <w:jc w:val="left"/>
        <w:tblInd w:w="0" w:type="dxa"/>
        <w:tblLayout w:type="fixed"/>
        <w:tblCellMar>
          <w:top w:w="28" w:type="dxa"/>
          <w:left w:w="28" w:type="dxa"/>
          <w:bottom w:w="28" w:type="dxa"/>
          <w:right w:w="28" w:type="dxa"/>
        </w:tblCellMar>
      </w:tblPr>
      <w:tblGrid>
        <w:gridCol w:w="1178"/>
        <w:gridCol w:w="1032"/>
        <w:gridCol w:w="1044"/>
        <w:gridCol w:w="659"/>
        <w:gridCol w:w="659"/>
        <w:gridCol w:w="931"/>
      </w:tblGrid>
      <w:tr>
        <w:trPr/>
        <w:tc>
          <w:tcPr>
            <w:tcW w:w="117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Delaware</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26-1976972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(I.R.S. Employer Identification Number)</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245 Main St.</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Second Floor</w:t>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Cambridge, MA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02142</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(Address of Principal Executive Offices)</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2"/>
              </w:rPr>
            </w:pPr>
            <w:r>
              <w:rPr>
                <w:rFonts w:ascii="Times New Roman;sans-serif" w:hAnsi="Times New Roman;sans-serif"/>
                <w:b/>
                <w:color w:val="000000"/>
                <w:sz w:val="12"/>
              </w:rPr>
              <w:t>(Zip Code)</w:t>
            </w:r>
          </w:p>
        </w:tc>
      </w:tr>
    </w:tbl>
    <w:p>
      <w:pPr>
        <w:pStyle w:val="TextBody"/>
        <w:bidi w:val="0"/>
        <w:spacing w:lineRule="auto" w:line="288" w:before="120" w:after="283"/>
        <w:jc w:val="center"/>
        <w:rPr>
          <w:rFonts w:ascii="Times New Roman;sans-serif" w:hAnsi="Times New Roman;sans-serif"/>
          <w:b/>
          <w:color w:val="000000"/>
          <w:sz w:val="14"/>
        </w:rPr>
      </w:pPr>
      <w:r>
        <w:rPr>
          <w:rFonts w:ascii="Times New Roman;sans-serif" w:hAnsi="Times New Roman;sans-serif"/>
          <w:b/>
          <w:color w:val="000000"/>
          <w:sz w:val="14"/>
        </w:rPr>
        <w:t>(617) 500-8080</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(Registrant’s telephone number)</w:t>
      </w:r>
    </w:p>
    <w:p>
      <w:pPr>
        <w:pStyle w:val="TextBody"/>
        <w:bidi w:val="0"/>
        <w:spacing w:lineRule="auto" w:line="288" w:before="120" w:after="283"/>
        <w:jc w:val="center"/>
        <w:rPr>
          <w:rFonts w:ascii="Times New Roman;sans-serif" w:hAnsi="Times New Roman;sans-serif"/>
          <w:b/>
          <w:color w:val="000000"/>
          <w:sz w:val="12"/>
        </w:rPr>
      </w:pPr>
      <w:r>
        <w:rPr>
          <w:rFonts w:ascii="Times New Roman;sans-serif" w:hAnsi="Times New Roman;sans-serif"/>
          <w:b/>
          <w:color w:val="000000"/>
          <w:sz w:val="12"/>
        </w:rPr>
        <w:t>N/A</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_________________________________________________</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7252" w:type="dxa"/>
        <w:jc w:val="left"/>
        <w:tblInd w:w="0" w:type="dxa"/>
        <w:tblLayout w:type="fixed"/>
        <w:tblCellMar>
          <w:top w:w="28" w:type="dxa"/>
          <w:left w:w="28" w:type="dxa"/>
          <w:bottom w:w="28" w:type="dxa"/>
          <w:right w:w="28" w:type="dxa"/>
        </w:tblCellMar>
      </w:tblPr>
      <w:tblGrid>
        <w:gridCol w:w="1122"/>
        <w:gridCol w:w="985"/>
        <w:gridCol w:w="997"/>
        <w:gridCol w:w="109"/>
        <w:gridCol w:w="109"/>
        <w:gridCol w:w="109"/>
        <w:gridCol w:w="354"/>
        <w:gridCol w:w="354"/>
        <w:gridCol w:w="356"/>
        <w:gridCol w:w="109"/>
        <w:gridCol w:w="109"/>
        <w:gridCol w:w="109"/>
        <w:gridCol w:w="712"/>
        <w:gridCol w:w="712"/>
        <w:gridCol w:w="1006"/>
      </w:tblGrid>
      <w:tr>
        <w:trPr/>
        <w:tc>
          <w:tcPr>
            <w:tcW w:w="11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 of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IMRX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The Nasdaq Global Market</w:t>
            </w:r>
          </w:p>
        </w:tc>
      </w:tr>
    </w:tbl>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04"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09"/>
        <w:gridCol w:w="549"/>
        <w:gridCol w:w="549"/>
        <w:gridCol w:w="551"/>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120" w:after="283"/>
        <w:jc w:val="left"/>
        <w:rPr/>
      </w:pPr>
      <w:r>
        <w:rPr>
          <w:rFonts w:ascii="Times New Roman;sans-serif" w:hAnsi="Times New Roman;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ans-serif" w:hAnsi="Times New Roman;sans-serif"/>
          <w:b w:val="false"/>
          <w:color w:val="000000"/>
          <w:sz w:val="14"/>
        </w:rPr>
        <w:t xml:space="preserve">Indicate by check mark whether the registrant is a shell company (as defined in Rule 12b-2 of the Exchange Act). Yes </w:t>
      </w:r>
      <w:r>
        <w:rPr>
          <w:rFonts w:ascii="Wingdings;sans-serif" w:hAnsi="Wingdings;sans-serif"/>
          <w:b w:val="false"/>
          <w:color w:val="000000"/>
          <w:sz w:val="14"/>
        </w:rPr>
        <w:t>o</w:t>
      </w:r>
      <w:r>
        <w:rPr>
          <w:color w:val="000000"/>
        </w:rPr>
        <w:t xml:space="preserve"> </w:t>
      </w:r>
      <w:r>
        <w:rPr>
          <w:rFonts w:ascii="Times New Roman;sans-serif" w:hAnsi="Times New Roman;sans-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 of October 31, 2023 the registrant had 29,269,121 shares of Class A common stock, $0.001 par value per share, issued and outstanding and 0 shares of Class B common stock, $0.001 par value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0"/>
        <w:gridCol w:w="290"/>
        <w:gridCol w:w="262"/>
        <w:gridCol w:w="2994"/>
        <w:gridCol w:w="2903"/>
        <w:gridCol w:w="2912"/>
        <w:gridCol w:w="149"/>
        <w:gridCol w:w="149"/>
        <w:gridCol w:w="216"/>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6">
              <w:r>
                <w:rPr>
                  <w:rStyle w:val="InternetLink"/>
                  <w:rFonts w:ascii="Times New Roman;sans-serif" w:hAnsi="Times New Roman;sans-serif"/>
                  <w:b/>
                  <w:color w:val="0000FF"/>
                  <w:sz w:val="20"/>
                  <w:u w:val="single"/>
                </w:rPr>
                <w:t>Part I</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6">
              <w:r>
                <w:rPr>
                  <w:rStyle w:val="InternetLink"/>
                  <w:rFonts w:ascii="Times New Roman;sans-serif" w:hAnsi="Times New Roman;sans-serif"/>
                  <w:b/>
                  <w:color w:val="0000FF"/>
                  <w:sz w:val="20"/>
                  <w:u w:val="single"/>
                </w:rPr>
                <w:t>Financial Information</w:t>
              </w:r>
            </w:hyperlink>
          </w:p>
        </w:tc>
        <w:tc>
          <w:tcPr>
            <w:tcW w:w="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53086dbc9ffd474b87dac07570c985f2_16">
              <w:r>
                <w:rPr>
                  <w:rStyle w:val="InternetLink"/>
                  <w:rFonts w:ascii="Times New Roman;sans-serif" w:hAnsi="Times New Roman;sans-serif"/>
                  <w:b w:val="false"/>
                  <w:strike w:val="false"/>
                  <w:dstrike w:val="false"/>
                  <w:color w:val="000000"/>
                  <w:sz w:val="20"/>
                  <w:u w:val="none"/>
                  <w:effect w:val="none"/>
                </w:rPr>
                <w:t>7</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9">
              <w:r>
                <w:rPr>
                  <w:rStyle w:val="InternetLink"/>
                  <w:rFonts w:ascii="Times New Roman;sans-serif" w:hAnsi="Times New Roman;sans-serif"/>
                  <w:b w:val="false"/>
                  <w:color w:val="0000FF"/>
                  <w:sz w:val="20"/>
                  <w:u w:val="single"/>
                </w:rPr>
                <w:t>Item 1.</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9">
              <w:r>
                <w:rPr>
                  <w:rStyle w:val="InternetLink"/>
                  <w:rFonts w:ascii="Times New Roman;sans-serif" w:hAnsi="Times New Roman;sans-serif"/>
                  <w:b w:val="false"/>
                  <w:color w:val="0000FF"/>
                  <w:sz w:val="20"/>
                  <w:u w:val="single"/>
                </w:rPr>
                <w:t>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9">
              <w:r>
                <w:rPr>
                  <w:rStyle w:val="InternetLink"/>
                  <w:rFonts w:ascii="Times New Roman;sans-serif" w:hAnsi="Times New Roman;sans-serif"/>
                  <w:b w:val="false"/>
                  <w:strike w:val="false"/>
                  <w:dstrike w:val="false"/>
                  <w:color w:val="000000"/>
                  <w:sz w:val="20"/>
                  <w:u w:val="none"/>
                  <w:effect w:val="none"/>
                </w:rPr>
                <w:t>7</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22">
              <w:r>
                <w:rPr>
                  <w:rStyle w:val="InternetLink"/>
                  <w:rFonts w:ascii="Times New Roman;sans-serif" w:hAnsi="Times New Roman;sans-serif"/>
                  <w:b w:val="false"/>
                  <w:color w:val="000080"/>
                  <w:sz w:val="20"/>
                  <w:u w:val="single"/>
                </w:rPr>
                <w:t xml:space="preserve">Condensed Consolidated Balance Sheets as of </w:t>
              </w:r>
            </w:hyperlink>
            <w:hyperlink w:anchor="i53086dbc9ffd474b87dac07570c985f2_22">
              <w:r>
                <w:rPr>
                  <w:rStyle w:val="InternetLink"/>
                  <w:rFonts w:ascii="Times New Roman;sans-serif" w:hAnsi="Times New Roman;sans-serif"/>
                  <w:b w:val="false"/>
                  <w:color w:val="000080"/>
                  <w:sz w:val="20"/>
                  <w:u w:val="single"/>
                </w:rPr>
                <w:t>Sep</w:t>
              </w:r>
            </w:hyperlink>
            <w:hyperlink w:anchor="i53086dbc9ffd474b87dac07570c985f2_22">
              <w:r>
                <w:rPr>
                  <w:rStyle w:val="InternetLink"/>
                  <w:rFonts w:ascii="Times New Roman;sans-serif" w:hAnsi="Times New Roman;sans-serif"/>
                  <w:b w:val="false"/>
                  <w:color w:val="000080"/>
                  <w:sz w:val="20"/>
                  <w:u w:val="single"/>
                </w:rPr>
                <w:t>tember</w:t>
              </w:r>
            </w:hyperlink>
            <w:hyperlink w:anchor="i53086dbc9ffd474b87dac07570c985f2_22">
              <w:r>
                <w:rPr>
                  <w:rStyle w:val="InternetLink"/>
                  <w:rFonts w:ascii="Times New Roman;sans-serif" w:hAnsi="Times New Roman;sans-serif"/>
                  <w:b w:val="false"/>
                  <w:color w:val="000080"/>
                  <w:sz w:val="20"/>
                  <w:u w:val="single"/>
                </w:rPr>
                <w:t xml:space="preserve"> 30, 2023 and December 31, 2022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22">
              <w:r>
                <w:rPr>
                  <w:rStyle w:val="InternetLink"/>
                  <w:rFonts w:ascii="Times New Roman;sans-serif" w:hAnsi="Times New Roman;sans-serif"/>
                  <w:b w:val="false"/>
                  <w:strike w:val="false"/>
                  <w:dstrike w:val="false"/>
                  <w:color w:val="000000"/>
                  <w:sz w:val="20"/>
                  <w:u w:val="none"/>
                  <w:effect w:val="none"/>
                </w:rPr>
                <w:t>7</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25">
              <w:r>
                <w:rPr>
                  <w:rStyle w:val="InternetLink"/>
                  <w:rFonts w:ascii="Times New Roman;sans-serif" w:hAnsi="Times New Roman;sans-serif"/>
                  <w:b w:val="false"/>
                  <w:color w:val="000080"/>
                  <w:sz w:val="20"/>
                  <w:u w:val="single"/>
                </w:rPr>
                <w:t xml:space="preserve">Condensed Consolidated Statements of Operations and Comprehensive Loss for the three months and </w:t>
              </w:r>
            </w:hyperlink>
            <w:hyperlink w:anchor="i53086dbc9ffd474b87dac07570c985f2_25">
              <w:r>
                <w:rPr>
                  <w:rStyle w:val="InternetLink"/>
                  <w:rFonts w:ascii="Times New Roman;sans-serif" w:hAnsi="Times New Roman;sans-serif"/>
                  <w:b w:val="false"/>
                  <w:color w:val="000080"/>
                  <w:sz w:val="20"/>
                  <w:u w:val="single"/>
                </w:rPr>
                <w:t>nine</w:t>
              </w:r>
            </w:hyperlink>
            <w:hyperlink w:anchor="i53086dbc9ffd474b87dac07570c985f2_25">
              <w:r>
                <w:rPr>
                  <w:rStyle w:val="InternetLink"/>
                  <w:rFonts w:ascii="Times New Roman;sans-serif" w:hAnsi="Times New Roman;sans-serif"/>
                  <w:b w:val="false"/>
                  <w:color w:val="000080"/>
                  <w:sz w:val="20"/>
                  <w:u w:val="single"/>
                </w:rPr>
                <w:t xml:space="preserve"> months ended </w:t>
              </w:r>
            </w:hyperlink>
            <w:hyperlink w:anchor="i53086dbc9ffd474b87dac07570c985f2_25">
              <w:r>
                <w:rPr>
                  <w:rStyle w:val="InternetLink"/>
                  <w:rFonts w:ascii="Times New Roman;sans-serif" w:hAnsi="Times New Roman;sans-serif"/>
                  <w:b w:val="false"/>
                  <w:color w:val="000080"/>
                  <w:sz w:val="20"/>
                  <w:u w:val="single"/>
                </w:rPr>
                <w:t>September</w:t>
              </w:r>
            </w:hyperlink>
            <w:hyperlink w:anchor="i53086dbc9ffd474b87dac07570c985f2_25">
              <w:r>
                <w:rPr>
                  <w:rStyle w:val="InternetLink"/>
                  <w:rFonts w:ascii="Times New Roman;sans-serif" w:hAnsi="Times New Roman;sans-serif"/>
                  <w:b w:val="false"/>
                  <w:color w:val="000080"/>
                  <w:sz w:val="20"/>
                  <w:u w:val="single"/>
                </w:rPr>
                <w:t xml:space="preserve"> 30, 2023 and 2022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25">
              <w:r>
                <w:rPr>
                  <w:rStyle w:val="InternetLink"/>
                  <w:rFonts w:ascii="Times New Roman;sans-serif" w:hAnsi="Times New Roman;sans-serif"/>
                  <w:b w:val="false"/>
                  <w:strike w:val="false"/>
                  <w:dstrike w:val="false"/>
                  <w:color w:val="000000"/>
                  <w:sz w:val="20"/>
                  <w:u w:val="none"/>
                  <w:effect w:val="none"/>
                </w:rPr>
                <w:t>8</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28">
              <w:r>
                <w:rPr>
                  <w:rStyle w:val="InternetLink"/>
                  <w:rFonts w:ascii="Times New Roman;sans-serif" w:hAnsi="Times New Roman;sans-serif"/>
                  <w:b w:val="false"/>
                  <w:color w:val="000080"/>
                  <w:sz w:val="20"/>
                  <w:u w:val="single"/>
                </w:rPr>
                <w:t xml:space="preserve">Condensed Consolidated Statements of Stockholders’ Equity for the three months and </w:t>
              </w:r>
            </w:hyperlink>
            <w:hyperlink w:anchor="i53086dbc9ffd474b87dac07570c985f2_28">
              <w:r>
                <w:rPr>
                  <w:rStyle w:val="InternetLink"/>
                  <w:rFonts w:ascii="Times New Roman;sans-serif" w:hAnsi="Times New Roman;sans-serif"/>
                  <w:b w:val="false"/>
                  <w:color w:val="000080"/>
                  <w:sz w:val="20"/>
                  <w:u w:val="single"/>
                </w:rPr>
                <w:t>nine</w:t>
              </w:r>
            </w:hyperlink>
            <w:hyperlink w:anchor="i53086dbc9ffd474b87dac07570c985f2_28">
              <w:r>
                <w:rPr>
                  <w:rStyle w:val="InternetLink"/>
                  <w:rFonts w:ascii="Times New Roman;sans-serif" w:hAnsi="Times New Roman;sans-serif"/>
                  <w:b w:val="false"/>
                  <w:color w:val="000080"/>
                  <w:sz w:val="20"/>
                  <w:u w:val="single"/>
                </w:rPr>
                <w:t xml:space="preserve"> months ended </w:t>
              </w:r>
            </w:hyperlink>
            <w:hyperlink w:anchor="i53086dbc9ffd474b87dac07570c985f2_28">
              <w:r>
                <w:rPr>
                  <w:rStyle w:val="InternetLink"/>
                  <w:rFonts w:ascii="Times New Roman;sans-serif" w:hAnsi="Times New Roman;sans-serif"/>
                  <w:b w:val="false"/>
                  <w:color w:val="000080"/>
                  <w:sz w:val="20"/>
                  <w:u w:val="single"/>
                </w:rPr>
                <w:t>September</w:t>
              </w:r>
            </w:hyperlink>
            <w:hyperlink w:anchor="i53086dbc9ffd474b87dac07570c985f2_28">
              <w:r>
                <w:rPr>
                  <w:rStyle w:val="InternetLink"/>
                  <w:rFonts w:ascii="Times New Roman;sans-serif" w:hAnsi="Times New Roman;sans-serif"/>
                  <w:b w:val="false"/>
                  <w:color w:val="000080"/>
                  <w:sz w:val="20"/>
                  <w:u w:val="single"/>
                </w:rPr>
                <w:t xml:space="preserve"> 30, 2023 and 2022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28">
              <w:r>
                <w:rPr>
                  <w:rStyle w:val="InternetLink"/>
                  <w:rFonts w:ascii="Times New Roman;sans-serif" w:hAnsi="Times New Roman;sans-serif"/>
                  <w:b w:val="false"/>
                  <w:strike w:val="false"/>
                  <w:dstrike w:val="false"/>
                  <w:color w:val="000000"/>
                  <w:sz w:val="20"/>
                  <w:u w:val="none"/>
                  <w:effect w:val="none"/>
                </w:rPr>
                <w:t>9</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31">
              <w:r>
                <w:rPr>
                  <w:rStyle w:val="InternetLink"/>
                  <w:rFonts w:ascii="Times New Roman;sans-serif" w:hAnsi="Times New Roman;sans-serif"/>
                  <w:b w:val="false"/>
                  <w:color w:val="000080"/>
                  <w:sz w:val="20"/>
                  <w:u w:val="single"/>
                </w:rPr>
                <w:t xml:space="preserve">Condensed Consolidated Statements of Cash Flows for the </w:t>
              </w:r>
            </w:hyperlink>
            <w:hyperlink w:anchor="i53086dbc9ffd474b87dac07570c985f2_31">
              <w:r>
                <w:rPr>
                  <w:rStyle w:val="InternetLink"/>
                  <w:rFonts w:ascii="Times New Roman;sans-serif" w:hAnsi="Times New Roman;sans-serif"/>
                  <w:b w:val="false"/>
                  <w:color w:val="000080"/>
                  <w:sz w:val="20"/>
                  <w:u w:val="single"/>
                </w:rPr>
                <w:t>nine</w:t>
              </w:r>
            </w:hyperlink>
            <w:hyperlink w:anchor="i53086dbc9ffd474b87dac07570c985f2_31">
              <w:r>
                <w:rPr>
                  <w:rStyle w:val="InternetLink"/>
                  <w:rFonts w:ascii="Times New Roman;sans-serif" w:hAnsi="Times New Roman;sans-serif"/>
                  <w:b w:val="false"/>
                  <w:color w:val="000080"/>
                  <w:sz w:val="20"/>
                  <w:u w:val="single"/>
                </w:rPr>
                <w:t xml:space="preserve"> months ended </w:t>
              </w:r>
            </w:hyperlink>
            <w:hyperlink w:anchor="i53086dbc9ffd474b87dac07570c985f2_31">
              <w:r>
                <w:rPr>
                  <w:rStyle w:val="InternetLink"/>
                  <w:rFonts w:ascii="Times New Roman;sans-serif" w:hAnsi="Times New Roman;sans-serif"/>
                  <w:b w:val="false"/>
                  <w:color w:val="000080"/>
                  <w:sz w:val="20"/>
                  <w:u w:val="single"/>
                </w:rPr>
                <w:t>September</w:t>
              </w:r>
            </w:hyperlink>
            <w:hyperlink w:anchor="i53086dbc9ffd474b87dac07570c985f2_31">
              <w:r>
                <w:rPr>
                  <w:rStyle w:val="InternetLink"/>
                  <w:rFonts w:ascii="Times New Roman;sans-serif" w:hAnsi="Times New Roman;sans-serif"/>
                  <w:b w:val="false"/>
                  <w:color w:val="000080"/>
                  <w:sz w:val="20"/>
                  <w:u w:val="single"/>
                </w:rPr>
                <w:t xml:space="preserve"> 30, 2023 and 2022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31">
              <w:r>
                <w:rPr>
                  <w:rStyle w:val="InternetLink"/>
                  <w:rFonts w:ascii="Times New Roman;sans-serif" w:hAnsi="Times New Roman;sans-serif"/>
                  <w:b w:val="false"/>
                  <w:strike w:val="false"/>
                  <w:dstrike w:val="false"/>
                  <w:color w:val="000000"/>
                  <w:sz w:val="20"/>
                  <w:u w:val="none"/>
                  <w:effect w:val="none"/>
                </w:rPr>
                <w:t>11</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34">
              <w:r>
                <w:rPr>
                  <w:rStyle w:val="InternetLink"/>
                  <w:rFonts w:ascii="Times New Roman;sans-serif" w:hAnsi="Times New Roman;sans-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34">
              <w:r>
                <w:rPr>
                  <w:rStyle w:val="InternetLink"/>
                  <w:rFonts w:ascii="Times New Roman;sans-serif" w:hAnsi="Times New Roman;sans-serif"/>
                  <w:b w:val="false"/>
                  <w:strike w:val="false"/>
                  <w:dstrike w:val="false"/>
                  <w:color w:val="000000"/>
                  <w:sz w:val="20"/>
                  <w:u w:val="none"/>
                  <w:effect w:val="none"/>
                </w:rPr>
                <w:t>12</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76">
              <w:r>
                <w:rPr>
                  <w:rStyle w:val="InternetLink"/>
                  <w:rFonts w:ascii="Times New Roman;sans-serif" w:hAnsi="Times New Roman;sans-serif"/>
                  <w:b w:val="false"/>
                  <w:color w:val="0000FF"/>
                  <w:sz w:val="20"/>
                  <w:u w:val="single"/>
                </w:rPr>
                <w:t>Item 2.</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76">
              <w:r>
                <w:rPr>
                  <w:rStyle w:val="InternetLink"/>
                  <w:rFonts w:ascii="Times New Roman;sans-serif" w:hAnsi="Times New Roman;sans-serif"/>
                  <w:b w:val="false"/>
                  <w:strike w:val="false"/>
                  <w:dstrike w:val="false"/>
                  <w:color w:val="000000"/>
                  <w:sz w:val="20"/>
                  <w:u w:val="none"/>
                  <w:effect w:val="none"/>
                </w:rPr>
                <w:t>23</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03">
              <w:r>
                <w:rPr>
                  <w:rStyle w:val="InternetLink"/>
                  <w:rFonts w:ascii="Times New Roman;sans-serif" w:hAnsi="Times New Roman;sans-serif"/>
                  <w:b w:val="false"/>
                  <w:color w:val="0000FF"/>
                  <w:sz w:val="20"/>
                  <w:u w:val="single"/>
                </w:rPr>
                <w:t>Item 3.</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03">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03">
              <w:r>
                <w:rPr>
                  <w:rStyle w:val="InternetLink"/>
                  <w:rFonts w:ascii="Times New Roman;sans-serif" w:hAnsi="Times New Roman;sans-serif"/>
                  <w:b w:val="false"/>
                  <w:strike w:val="false"/>
                  <w:dstrike w:val="false"/>
                  <w:color w:val="000000"/>
                  <w:sz w:val="20"/>
                  <w:u w:val="none"/>
                  <w:effect w:val="none"/>
                </w:rPr>
                <w:t>35</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06">
              <w:r>
                <w:rPr>
                  <w:rStyle w:val="InternetLink"/>
                  <w:rFonts w:ascii="Times New Roman;sans-serif" w:hAnsi="Times New Roman;sans-serif"/>
                  <w:b w:val="false"/>
                  <w:color w:val="0000FF"/>
                  <w:sz w:val="20"/>
                  <w:u w:val="single"/>
                </w:rPr>
                <w:t>Item 4.</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06">
              <w:r>
                <w:rPr>
                  <w:rStyle w:val="InternetLink"/>
                  <w:rFonts w:ascii="Times New Roman;sans-serif" w:hAnsi="Times New Roman;sans-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06">
              <w:r>
                <w:rPr>
                  <w:rStyle w:val="InternetLink"/>
                  <w:rFonts w:ascii="Times New Roman;sans-serif" w:hAnsi="Times New Roman;sans-serif"/>
                  <w:b w:val="false"/>
                  <w:strike w:val="false"/>
                  <w:dstrike w:val="false"/>
                  <w:color w:val="000000"/>
                  <w:sz w:val="20"/>
                  <w:u w:val="none"/>
                  <w:effect w:val="none"/>
                </w:rPr>
                <w:t>35</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09">
              <w:r>
                <w:rPr>
                  <w:rStyle w:val="InternetLink"/>
                  <w:rFonts w:ascii="Times New Roman;sans-serif" w:hAnsi="Times New Roman;sans-serif"/>
                  <w:b/>
                  <w:color w:val="0000FF"/>
                  <w:sz w:val="20"/>
                  <w:u w:val="single"/>
                </w:rPr>
                <w:t>Part II</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09">
              <w:r>
                <w:rPr>
                  <w:rStyle w:val="InternetLink"/>
                  <w:rFonts w:ascii="Times New Roman;sans-serif" w:hAnsi="Times New Roman;sans-serif"/>
                  <w:b/>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09">
              <w:r>
                <w:rPr>
                  <w:rStyle w:val="InternetLink"/>
                  <w:rFonts w:ascii="Times New Roman;sans-serif" w:hAnsi="Times New Roman;sans-serif"/>
                  <w:b w:val="false"/>
                  <w:strike w:val="false"/>
                  <w:dstrike w:val="false"/>
                  <w:color w:val="000000"/>
                  <w:sz w:val="20"/>
                  <w:u w:val="none"/>
                  <w:effect w:val="none"/>
                </w:rPr>
                <w:t>36</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12">
              <w:r>
                <w:rPr>
                  <w:rStyle w:val="InternetLink"/>
                  <w:rFonts w:ascii="Times New Roman;sans-serif" w:hAnsi="Times New Roman;sans-serif"/>
                  <w:b w:val="false"/>
                  <w:color w:val="0000FF"/>
                  <w:sz w:val="20"/>
                  <w:u w:val="single"/>
                </w:rPr>
                <w:t>Item 1.</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12">
              <w:r>
                <w:rPr>
                  <w:rStyle w:val="InternetLink"/>
                  <w:rFonts w:ascii="Times New Roman;sans-serif" w:hAnsi="Times New Roman;sans-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12">
              <w:r>
                <w:rPr>
                  <w:rStyle w:val="InternetLink"/>
                  <w:rFonts w:ascii="Times New Roman;sans-serif" w:hAnsi="Times New Roman;sans-serif"/>
                  <w:b w:val="false"/>
                  <w:strike w:val="false"/>
                  <w:dstrike w:val="false"/>
                  <w:color w:val="000000"/>
                  <w:sz w:val="20"/>
                  <w:u w:val="none"/>
                  <w:effect w:val="none"/>
                </w:rPr>
                <w:t>36</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15">
              <w:r>
                <w:rPr>
                  <w:rStyle w:val="InternetLink"/>
                  <w:rFonts w:ascii="Times New Roman;sans-serif" w:hAnsi="Times New Roman;sans-serif"/>
                  <w:b w:val="false"/>
                  <w:color w:val="0000FF"/>
                  <w:sz w:val="20"/>
                  <w:u w:val="single"/>
                </w:rPr>
                <w:t>Item 1A.</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15">
              <w:r>
                <w:rPr>
                  <w:rStyle w:val="InternetLink"/>
                  <w:rFonts w:ascii="Times New Roman;sans-serif" w:hAnsi="Times New Roman;sans-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15">
              <w:r>
                <w:rPr>
                  <w:rStyle w:val="InternetLink"/>
                  <w:rFonts w:ascii="Times New Roman;sans-serif" w:hAnsi="Times New Roman;sans-serif"/>
                  <w:b w:val="false"/>
                  <w:strike w:val="false"/>
                  <w:dstrike w:val="false"/>
                  <w:color w:val="000000"/>
                  <w:sz w:val="20"/>
                  <w:u w:val="none"/>
                  <w:effect w:val="none"/>
                </w:rPr>
                <w:t>36</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18">
              <w:r>
                <w:rPr>
                  <w:rStyle w:val="InternetLink"/>
                  <w:rFonts w:ascii="Times New Roman;sans-serif" w:hAnsi="Times New Roman;sans-serif"/>
                  <w:b w:val="false"/>
                  <w:color w:val="0000FF"/>
                  <w:sz w:val="20"/>
                  <w:u w:val="single"/>
                </w:rPr>
                <w:t>Item 2.</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18">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18">
              <w:r>
                <w:rPr>
                  <w:rStyle w:val="InternetLink"/>
                  <w:rFonts w:ascii="Times New Roman;sans-serif" w:hAnsi="Times New Roman;sans-serif"/>
                  <w:b w:val="false"/>
                  <w:strike w:val="false"/>
                  <w:dstrike w:val="false"/>
                  <w:color w:val="000000"/>
                  <w:sz w:val="20"/>
                  <w:u w:val="none"/>
                  <w:effect w:val="none"/>
                </w:rPr>
                <w:t>88</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21">
              <w:r>
                <w:rPr>
                  <w:rStyle w:val="InternetLink"/>
                  <w:rFonts w:ascii="Times New Roman;sans-serif" w:hAnsi="Times New Roman;sans-serif"/>
                  <w:b w:val="false"/>
                  <w:color w:val="0000FF"/>
                  <w:sz w:val="20"/>
                  <w:u w:val="single"/>
                </w:rPr>
                <w:t>Item 3.</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21">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21">
              <w:r>
                <w:rPr>
                  <w:rStyle w:val="InternetLink"/>
                  <w:rFonts w:ascii="Times New Roman;sans-serif" w:hAnsi="Times New Roman;sans-serif"/>
                  <w:b w:val="false"/>
                  <w:strike w:val="false"/>
                  <w:dstrike w:val="false"/>
                  <w:color w:val="000000"/>
                  <w:sz w:val="20"/>
                  <w:u w:val="none"/>
                  <w:effect w:val="none"/>
                </w:rPr>
                <w:t>88</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24">
              <w:r>
                <w:rPr>
                  <w:rStyle w:val="InternetLink"/>
                  <w:rFonts w:ascii="Times New Roman;sans-serif" w:hAnsi="Times New Roman;sans-serif"/>
                  <w:b w:val="false"/>
                  <w:color w:val="0000FF"/>
                  <w:sz w:val="20"/>
                  <w:u w:val="single"/>
                </w:rPr>
                <w:t>Item 4.</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24">
              <w:r>
                <w:rPr>
                  <w:rStyle w:val="InternetLink"/>
                  <w:rFonts w:ascii="Times New Roman;sans-serif" w:hAnsi="Times New Roman;sans-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24">
              <w:r>
                <w:rPr>
                  <w:rStyle w:val="InternetLink"/>
                  <w:rFonts w:ascii="Times New Roman;sans-serif" w:hAnsi="Times New Roman;sans-serif"/>
                  <w:b w:val="false"/>
                  <w:strike w:val="false"/>
                  <w:dstrike w:val="false"/>
                  <w:color w:val="000000"/>
                  <w:sz w:val="20"/>
                  <w:u w:val="none"/>
                  <w:effect w:val="none"/>
                </w:rPr>
                <w:t>89</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27">
              <w:r>
                <w:rPr>
                  <w:rStyle w:val="InternetLink"/>
                  <w:rFonts w:ascii="Times New Roman;sans-serif" w:hAnsi="Times New Roman;sans-serif"/>
                  <w:b w:val="false"/>
                  <w:color w:val="0000FF"/>
                  <w:sz w:val="20"/>
                  <w:u w:val="single"/>
                </w:rPr>
                <w:t>Item 5.</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27">
              <w:r>
                <w:rPr>
                  <w:rStyle w:val="InternetLink"/>
                  <w:rFonts w:ascii="Times New Roman;sans-serif" w:hAnsi="Times New Roman;sans-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27">
              <w:r>
                <w:rPr>
                  <w:rStyle w:val="InternetLink"/>
                  <w:rFonts w:ascii="Times New Roman;sans-serif" w:hAnsi="Times New Roman;sans-serif"/>
                  <w:b w:val="false"/>
                  <w:strike w:val="false"/>
                  <w:dstrike w:val="false"/>
                  <w:color w:val="000000"/>
                  <w:sz w:val="20"/>
                  <w:u w:val="none"/>
                  <w:effect w:val="none"/>
                </w:rPr>
                <w:t>89</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30">
              <w:r>
                <w:rPr>
                  <w:rStyle w:val="InternetLink"/>
                  <w:rFonts w:ascii="Times New Roman;sans-serif" w:hAnsi="Times New Roman;sans-serif"/>
                  <w:b w:val="false"/>
                  <w:color w:val="0000FF"/>
                  <w:sz w:val="20"/>
                  <w:u w:val="single"/>
                </w:rPr>
                <w:t>Item 6.</w:t>
              </w:r>
            </w:hyperlink>
          </w:p>
        </w:tc>
        <w:tc>
          <w:tcPr>
            <w:tcW w:w="880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3086dbc9ffd474b87dac07570c985f2_130">
              <w:r>
                <w:rPr>
                  <w:rStyle w:val="InternetLink"/>
                  <w:rFonts w:ascii="Times New Roman;sans-serif" w:hAnsi="Times New Roman;sans-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30">
              <w:r>
                <w:rPr>
                  <w:rStyle w:val="InternetLink"/>
                  <w:rFonts w:ascii="Times New Roman;sans-serif" w:hAnsi="Times New Roman;sans-serif"/>
                  <w:b w:val="false"/>
                  <w:strike w:val="false"/>
                  <w:dstrike w:val="false"/>
                  <w:color w:val="000000"/>
                  <w:sz w:val="20"/>
                  <w:u w:val="none"/>
                  <w:effect w:val="none"/>
                </w:rPr>
                <w:t>89</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lineRule="auto" w:line="273" w:before="0" w:after="0"/>
              <w:ind w:left="0" w:right="0" w:hanging="240"/>
              <w:jc w:val="left"/>
              <w:rPr/>
            </w:pPr>
            <w:hyperlink w:anchor="i53086dbc9ffd474b87dac07570c985f2_133">
              <w:r>
                <w:rPr>
                  <w:rStyle w:val="InternetLink"/>
                  <w:rFonts w:ascii="Times New Roman;sans-serif" w:hAnsi="Times New Roman;sans-serif"/>
                  <w:b w:val="false"/>
                  <w:color w:val="0000FF"/>
                  <w:sz w:val="20"/>
                  <w:u w:val="single"/>
                </w:rPr>
                <w:t>Signatures</w:t>
              </w:r>
            </w:hyperlink>
          </w:p>
        </w:tc>
        <w:tc>
          <w:tcPr>
            <w:tcW w:w="8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3086dbc9ffd474b87dac07570c985f2_133">
              <w:r>
                <w:rPr>
                  <w:rStyle w:val="InternetLink"/>
                  <w:rFonts w:ascii="Times New Roman;sans-serif" w:hAnsi="Times New Roman;sans-serif"/>
                  <w:b w:val="false"/>
                  <w:strike w:val="false"/>
                  <w:dstrike w:val="false"/>
                  <w:color w:val="000000"/>
                  <w:sz w:val="20"/>
                  <w:u w:val="none"/>
                  <w:effect w:val="none"/>
                </w:rPr>
                <w:t>91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19"/>
          <w:shd w:fill="FFFFFF" w:val="clear"/>
        </w:rPr>
      </w:pPr>
      <w:r>
        <w:rPr>
          <w:rFonts w:ascii="Times New Roman;sans-serif" w:hAnsi="Times New Roman;sans-serif"/>
          <w:b/>
          <w:color w:val="000000"/>
          <w:sz w:val="19"/>
          <w:shd w:fill="FFFFFF" w:val="clear"/>
        </w:rPr>
        <w:t>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Quarterly Report on Form 10-Q contains forward-looking statements including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(including whether as potential monotherapies or in combination with other therapeutic agents), the design, timing or outcome of our ongoing or planned preclinical studies or clinical trials involving IMM-1-104, IMM-6-415, any of our other pipeline product candidates and any future product candidates, the clinical utility of our product candidates when administered alone or in combination with other therapeutic agents, the filing with, and approval by, regulatory authorities of our product candidates, the sufficiency of funds to operate the business of the Company, and the potential impact of the pandemic related to COVID-19 and its variants on our business and operations, are 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limited operating history;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history of operating losses;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raise the substantial additional capital that will be required to finance our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difficulty of obtaining regulatory approval for any of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submit an Investigational New Drug application, or IND, or IND amendments or comparable documents in foreign jurisdictions in order to commence clinical trials on the timelines we expect;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limited experience in designing and conducting clinical trials;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timing of the initiation, progress and potential results of our ongoing and planned preclinical studies and clinical trials and our research programs, including our Phase 1/2a clinical trial of IMM-1-104;</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our ability to successfully complete our Phase 1/2a clinical trial of IMM-1-104;</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the risk of substantial delays in completing, if at all, the development and commercialization of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adverse events, toxicities or other undesirable side effects caused by our current or future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risk of delays or difficulties in the enrollment and/or maintenance of patients in clinical trials;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substantial reliance on the successful development of our current and future product candidates, as well as our platform, including our proprietary product candidate identification and screening technologies such as Disease Cancelling Technology ("DCT") and Fluency;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competition in our industry;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market opportunity for our product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 xml:space="preserve">risks related to manufacturing;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our reliance on third parties;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our intellectual property;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or the context requires otherwise, references to “Immuneering,” the “Company,” “we,” “us,” and “our,” refer to Immuneering Corporation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risks and uncertainties, including those further described below in Part II, Item IA.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regulatory approval processes of the U.S. Food and Drug Administration, or FDA, and other comparable foreign regulatory authorities are lengthy, time consuming and inherently unpredictable with respect to outcomes.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approach to the discovery and development of product candidates is unproven, and we may not be successful in our efforts to use and expand our DCT platform to build a pipeline of product candidates with commercial value.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substantially rely, and expect to continue to rely, on third parties, including independent clinical investigators and contract research organizations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2"/>
        <w:gridCol w:w="2170"/>
        <w:gridCol w:w="2145"/>
        <w:gridCol w:w="205"/>
        <w:gridCol w:w="1105"/>
        <w:gridCol w:w="114"/>
        <w:gridCol w:w="109"/>
        <w:gridCol w:w="109"/>
        <w:gridCol w:w="109"/>
        <w:gridCol w:w="203"/>
        <w:gridCol w:w="1090"/>
        <w:gridCol w:w="164"/>
      </w:tblGrid>
      <w:tr>
        <w:trPr/>
        <w:tc>
          <w:tcPr>
            <w:tcW w:w="268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68,040,264 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72,636,886 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 current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29,202,248 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32,887,970 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Prepaids and other current assets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3,340,248 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3,209,536 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100,582,760 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108,746,809 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1,393,173 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1,369,608 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6,690,431 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6,690,431 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386,997 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408,947 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4,083,875 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4,407,785 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743,703 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743,703 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113,880,939 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122,367,283 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3,154,557 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3,299,053 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4,500,993 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current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current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378,723 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5,622,282 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8,054,069 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non-current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4,241,020 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4,462,959 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9,863,302 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12,517,028 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10,000,000 shares authorized at September 30, 2023 and December 31, 2022; 0 shares issued or outstanding at September 30, 2023 and December 31, 2022</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 200,000,000 shares authorized at September 30, 2023 and December 31, 2022; 29,269,121 and 26,418,732 shares issued and outstanding at September 30, 2023 and December 31, 2022, respectively</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 20,000,000 shares authorized at September 30, 2023 and December 31, 2022; 0 shares issued and outstanding at September 30, 2023 and December 31, 2022</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252,157,847 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219,640,912 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(148,175,086)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(109,786,956)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104,017,637 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109,850,255 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113,880,939 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122,367,283 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19"/>
        <w:gridCol w:w="950"/>
        <w:gridCol w:w="947"/>
        <w:gridCol w:w="211"/>
        <w:gridCol w:w="1120"/>
        <w:gridCol w:w="109"/>
        <w:gridCol w:w="109"/>
        <w:gridCol w:w="109"/>
        <w:gridCol w:w="109"/>
        <w:gridCol w:w="211"/>
        <w:gridCol w:w="1120"/>
        <w:gridCol w:w="109"/>
        <w:gridCol w:w="109"/>
        <w:gridCol w:w="109"/>
        <w:gridCol w:w="109"/>
        <w:gridCol w:w="211"/>
        <w:gridCol w:w="1120"/>
        <w:gridCol w:w="109"/>
        <w:gridCol w:w="109"/>
        <w:gridCol w:w="109"/>
        <w:gridCol w:w="109"/>
        <w:gridCol w:w="211"/>
        <w:gridCol w:w="1120"/>
        <w:gridCol w:w="157"/>
      </w:tblGrid>
      <w:tr>
        <w:trPr/>
        <w:tc>
          <w:tcPr>
            <w:tcW w:w="151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26,395,355 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37,918,236 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(42,110,899)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(37,759,861)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(12,595,211)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(12,844,330)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(38,388,130)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(37,268,007)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29,266,309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26,380,101</w:t>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from marketable securities</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(12,587,386)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(12,805,242)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(38,352,403)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(37,361,471)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530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09"/>
        <w:gridCol w:w="255"/>
        <w:gridCol w:w="255"/>
        <w:gridCol w:w="256"/>
        <w:gridCol w:w="586"/>
        <w:gridCol w:w="305"/>
        <w:gridCol w:w="305"/>
        <w:gridCol w:w="306"/>
        <w:gridCol w:w="175"/>
        <w:gridCol w:w="175"/>
        <w:gridCol w:w="176"/>
        <w:gridCol w:w="196"/>
        <w:gridCol w:w="646"/>
        <w:gridCol w:w="109"/>
        <w:gridCol w:w="195"/>
        <w:gridCol w:w="195"/>
        <w:gridCol w:w="196"/>
        <w:gridCol w:w="290"/>
        <w:gridCol w:w="290"/>
        <w:gridCol w:w="291"/>
        <w:gridCol w:w="109"/>
        <w:gridCol w:w="109"/>
        <w:gridCol w:w="109"/>
        <w:gridCol w:w="335"/>
        <w:gridCol w:w="694"/>
        <w:gridCol w:w="187"/>
        <w:gridCol w:w="175"/>
        <w:gridCol w:w="175"/>
        <w:gridCol w:w="176"/>
        <w:gridCol w:w="196"/>
        <w:gridCol w:w="1051"/>
        <w:gridCol w:w="109"/>
        <w:gridCol w:w="109"/>
        <w:gridCol w:w="109"/>
        <w:gridCol w:w="109"/>
        <w:gridCol w:w="196"/>
        <w:gridCol w:w="776"/>
        <w:gridCol w:w="109"/>
        <w:gridCol w:w="109"/>
        <w:gridCol w:w="109"/>
        <w:gridCol w:w="109"/>
        <w:gridCol w:w="196"/>
        <w:gridCol w:w="976"/>
        <w:gridCol w:w="109"/>
        <w:gridCol w:w="109"/>
        <w:gridCol w:w="109"/>
        <w:gridCol w:w="109"/>
        <w:gridCol w:w="196"/>
        <w:gridCol w:w="10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8" w:type="dxa"/>
            <w:gridSpan w:val="5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c>
          <w:tcPr>
            <w:tcW w:w="333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26,320,199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215,276,186 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(59,273,388)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155,980,109 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63,100</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(12,896,374)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26,383,299</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216,366,884 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(72,169,762)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144,056,110 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9,000</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1,052,421 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(11,527,303)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(11,527,303)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26,392,299</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217,447,080 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(83,697,065)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133,594,846 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(12,844,330)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(12,844,330)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26,404,732</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218,550,665 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(142,473)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(96,541,395)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121,893,202 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before="240" w:after="283"/>
        <w:jc w:val="center"/>
        <w:rPr/>
      </w:pPr>
      <w:r>
        <w:rPr/>
      </w:r>
    </w:p>
    <w:tbl>
      <w:tblPr>
        <w:tblW w:w="15395"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109"/>
        <w:gridCol w:w="109"/>
        <w:gridCol w:w="109"/>
        <w:gridCol w:w="109"/>
        <w:gridCol w:w="255"/>
        <w:gridCol w:w="255"/>
        <w:gridCol w:w="256"/>
        <w:gridCol w:w="586"/>
        <w:gridCol w:w="305"/>
        <w:gridCol w:w="305"/>
        <w:gridCol w:w="306"/>
        <w:gridCol w:w="175"/>
        <w:gridCol w:w="175"/>
        <w:gridCol w:w="176"/>
        <w:gridCol w:w="196"/>
        <w:gridCol w:w="646"/>
        <w:gridCol w:w="109"/>
        <w:gridCol w:w="195"/>
        <w:gridCol w:w="195"/>
        <w:gridCol w:w="196"/>
        <w:gridCol w:w="290"/>
        <w:gridCol w:w="290"/>
        <w:gridCol w:w="291"/>
        <w:gridCol w:w="109"/>
        <w:gridCol w:w="109"/>
        <w:gridCol w:w="109"/>
        <w:gridCol w:w="335"/>
        <w:gridCol w:w="694"/>
        <w:gridCol w:w="187"/>
        <w:gridCol w:w="175"/>
        <w:gridCol w:w="175"/>
        <w:gridCol w:w="176"/>
        <w:gridCol w:w="196"/>
        <w:gridCol w:w="1051"/>
        <w:gridCol w:w="109"/>
        <w:gridCol w:w="109"/>
        <w:gridCol w:w="109"/>
        <w:gridCol w:w="109"/>
        <w:gridCol w:w="219"/>
        <w:gridCol w:w="739"/>
        <w:gridCol w:w="123"/>
        <w:gridCol w:w="109"/>
        <w:gridCol w:w="109"/>
        <w:gridCol w:w="109"/>
        <w:gridCol w:w="196"/>
        <w:gridCol w:w="1066"/>
        <w:gridCol w:w="109"/>
        <w:gridCol w:w="109"/>
        <w:gridCol w:w="109"/>
        <w:gridCol w:w="109"/>
        <w:gridCol w:w="196"/>
        <w:gridCol w:w="10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88" w:type="dxa"/>
            <w:gridSpan w:val="5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 (Loss)</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c>
          <w:tcPr>
            <w:tcW w:w="342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26,418,732</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219,640,912 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(109,786,956)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109,850,255 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77,065</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1,273,505 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26,495,797</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221,153,749 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(123,391,127)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97,789,624 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39,958</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1,333,882 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public offering, net of commissions, underwriting discounts and $203,768 in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2,727,273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27,993,508 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27,996,235 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(12,188,748)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(12,188,748)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29,263,028</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250,657,245 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(135,579,875)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115,104,415 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6,093</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(12,595,211)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(12,595,211)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29,269,121</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252,157,847 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(148,175,086)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104,017,637 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NINE MONTHS ENDED SEPTEMBER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02"/>
        <w:gridCol w:w="2184"/>
        <w:gridCol w:w="2200"/>
        <w:gridCol w:w="211"/>
        <w:gridCol w:w="1152"/>
        <w:gridCol w:w="109"/>
        <w:gridCol w:w="109"/>
        <w:gridCol w:w="109"/>
        <w:gridCol w:w="109"/>
        <w:gridCol w:w="211"/>
        <w:gridCol w:w="1152"/>
        <w:gridCol w:w="157"/>
      </w:tblGrid>
      <w:tr>
        <w:trPr/>
        <w:tc>
          <w:tcPr>
            <w:tcW w:w="2502"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(37,268,007)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to net loss to net cash used in operating activities:</w:t>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 expense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amount of right-of-use assets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3,016,283 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premium (accretion of discount) on marketable securities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fixed assets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assets and liabilities:</w:t>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w:t>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w:t>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(32,352,651)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(673,181)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(37,726,144)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marketable securities</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72,078,000 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33,678,675 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public offering of common stock, net of commissions and underwriting</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1,529,705 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74,888,145 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68,040,264 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76,417,850 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information:</w:t>
            </w:r>
          </w:p>
        </w:tc>
        <w:tc>
          <w:tcPr>
            <w:tcW w:w="147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in accounts payable/accrued expenses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of right-of-use asset and lease liability in connection with lease modification</w:t>
            </w:r>
          </w:p>
        </w:tc>
        <w:tc>
          <w:tcPr>
            <w:tcW w:w="13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396,901 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offering costs included in accounts payable/accrued expenses</w:t>
            </w:r>
          </w:p>
        </w:tc>
        <w:tc>
          <w:tcPr>
            <w:tcW w:w="13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224,448 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IMMUNEERING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tNote 1 – Organization and Nature of Business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Immuneering Corporation, a Delaware corporation, (“Immuneering” or the “Company”) was incorporated in 2008. Immuneering is a clinical-stage oncology company seeking to develop medicines for broad populations of cancer patients with an initial aim to therapeutically address universal-RAS. The Company aims to achieve universal activity through deep cyclic inhibition of the MAPK pathway, impacting cancer cells while sparing healthy cells. Immuneering’s lead product candidate, IMM-1-104, is in a Phase 1/2a study in patients with advanced solid tumors harboring RAS mutations.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30, 2019, Immuneering formed a wholly owned subsidiary, Immuneering Securities Corporation (“ISC”), a Massachusetts securities corporation, for the sole purpose of buying, selling and holding securities on the Company’s behalf.</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22, 2021, the Company acquired all outstanding shares of capital stock of BioArkive, Inc. (“BioArkive”), a California corporation, which as a result became a wholly owned subsidiary.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Immuneering, ISC and BioArkive are collectively referred to as the “Company” throughout these condensed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programs will be successful. In addition, the Company operates in an environment of rapid technological change and is largely dependent on the services of its employees, advisors, and consultants.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w:t>
      </w:r>
    </w:p>
    <w:p>
      <w:pPr>
        <w:pStyle w:val="TextBody"/>
        <w:bidi w:val="0"/>
        <w:spacing w:lineRule="auto" w:line="288" w:before="240" w:after="283"/>
        <w:jc w:val="both"/>
        <w:rPr/>
      </w:pPr>
      <w:r>
        <w:rPr>
          <w:rFonts w:ascii="Times New Roman;sans-serif" w:hAnsi="Times New Roman;sans-serif"/>
          <w:b w:val="false"/>
          <w:color w:val="000000"/>
          <w:sz w:val="20"/>
        </w:rPr>
        <w:t>On April 20, 2023, the Company completed an underwritten follow-on equity offering, pursuant to which it issued and sold</w:t>
      </w:r>
      <w:r>
        <w:rPr>
          <w:color w:val="000000"/>
          <w:shd w:fill="FFFFFF" w:val="clear"/>
        </w:rPr>
        <w:t xml:space="preserve"> </w:t>
      </w:r>
      <w:r>
        <w:rPr>
          <w:rFonts w:ascii="Times New Roman;sans-serif" w:hAnsi="Times New Roman;sans-serif"/>
          <w:b w:val="false"/>
          <w:color w:val="000000"/>
          <w:sz w:val="20"/>
          <w:shd w:fill="FFFFFF" w:val="clear"/>
        </w:rPr>
        <w:t>2,727,273 shares of its Class A common stock $0.001 par value per share at an offering price of $11.00 per share. The aggregate net proceeds received by the Company from the offering were $28,200,003, after deducting underwriting discounts and commissions, but before deducting offering costs payable by the Company of $203,768.</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date, the Company has funded its operations through service revenues (which have since ceased), and with proceeds from the sale of its capital stock and convertible notes. The Company has incurred recurring losses over the past several years and as of September 30, 2023, the Company had an accumulated deficit of $148,175,086.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considered whether or not there are conditions or events, in the aggregate, that raise substantial doubt about the entity’s ability to continue as a going concern, and concluded that there are none as it estimates that its cash, cash equivalents and marketable securities will be sufficient to fund its operating expenses and capital expenditure requirements for at least 12 months from the issuance date of the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full extent to which the coronavirus (“COVID-19”) pandemic will directly or indirectly impact the Company’s business, results of operations and financial 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subsidiaries. All intercompany balances and transactions have been eliminated in consolidation.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the accounting policies of the Company as those set forth in Note 2 to the audited consolidated financial statements contained in the Annual Report on Form 10-K for the fiscal year ended December 31,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Unaudited Interim Financial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liabilities. Actual results may differ materially and adversely from these estimates.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fair value of the acquiree over the recognized basis of the net identifiable assets acquired and includes the future economic benefits from other assets that could not be individually identified and separately recognized. Goodwill is not amortized, but instead is periodically reviewed for impairment and an impairment charge is recorded in the periods in which the recorded carrying value of goodwill exceeds its fair value.</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 quarterly basis, the Company performs a review of its business to determine if events or changes in circumstances have occurred which could have a material adverse effect on the fair value of the Company and its goodwill. If such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or changes in circumstances were deemed to have occurred, the Company would perform an impairment test of goodwill as of the end of the quarter and record any noted impairment loss.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goodwill test is performed at least annually, or more frequently if events or changes in circumstances indicate that the asset might be impaired.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performs its annual impairment test during the fourth quarter of each fiscal year. There were no impairments identified for the year ended December 31, 2022 or the nine months ended September 30,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Deferred Offering Costs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legal, professional, and other third-party charges related to ongoing equity financings as deferred offering costs until fully consummated. These costs are to be recorded as a reduction of the offering’s proceeds which are recorded to additional paid-in capital within stockholders’ equity. Should the Company choose not to initiate such financing, the deferred offering costs would be immediately expensed as 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entered into an Equity Distribution Agreement (the “Sales Agreement”) with Piper Sandler &amp; Co, (the “Sales Agent”) to sell shares of the Company’s common stock, par value $0.001 per share, with aggregate gross sales proceeds of up to $50 million, from time to time, through an “at the market” equity offering program. Deferred offering costs associated with the Sales Agreement are reclassified to additional paid-in capital on a pro-rata basis when the Company completes offerings under the Sales Agreement. Any remaining deferred costs will be expensed to the statement of operations should the planned offering be abandoned. The Company had approximately $0.3 million of deferred offering costs as of both September 30, 2023 and December 31,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certain new or revised accounting standards on the relevant dates on which adoption of such standards is required for other public companies.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2016, the FASB issued Accounting Standards Update (“ASU”)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became effective for the Company on January 1, 2023. The Company adopted this effective January 1, 2023 and there was no impact to the condensed consolidated financial statements.</w:t>
      </w:r>
    </w:p>
    <w:p>
      <w:pPr>
        <w:pStyle w:val="TextBody"/>
        <w:bidi w:val="0"/>
        <w:spacing w:lineRule="auto" w:line="288" w:before="240" w:after="283"/>
        <w:jc w:val="both"/>
        <w:rPr/>
      </w:pPr>
      <w:r>
        <w:rPr>
          <w:rFonts w:ascii="Times New Roman;sans-serif" w:hAnsi="Times New Roman;sans-serif"/>
          <w:b w:val="false"/>
          <w:color w:val="000000"/>
          <w:sz w:val="20"/>
        </w:rPr>
        <w:t>In January 2017, the FASB issued ASU 2017-04, Intangibles - Goodwill and Other (Topic 350</w:t>
      </w:r>
      <w:r>
        <w:rPr>
          <w:rFonts w:ascii="Times New Roman;sans-serif" w:hAnsi="Times New Roman;sans-serif"/>
          <w:b w:val="false"/>
          <w:i/>
          <w:color w:val="000000"/>
          <w:sz w:val="20"/>
        </w:rPr>
        <w:t>)</w:t>
      </w:r>
      <w:r>
        <w:rPr>
          <w:rFonts w:ascii="Times New Roman;sans-serif" w:hAnsi="Times New Roman;sans-serif"/>
          <w:b w:val="false"/>
          <w:color w:val="000000"/>
          <w:sz w:val="20"/>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adopted this effective January 1, 2023 and there was no impact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3 – Marketable Securities </w:t>
      </w:r>
    </w:p>
    <w:p>
      <w:pPr>
        <w:pStyle w:val="TextBody"/>
        <w:bidi w:val="0"/>
        <w:spacing w:lineRule="auto" w:line="288" w:before="240" w:after="283"/>
        <w:jc w:val="both"/>
        <w:rPr/>
      </w:pPr>
      <w:r>
        <w:rPr>
          <w:rFonts w:ascii="Times New Roman;sans-serif" w:hAnsi="Times New Roman;sans-serif"/>
          <w:b w:val="false"/>
          <w:color w:val="000000"/>
          <w:sz w:val="20"/>
        </w:rPr>
        <w:t>Our marketable securities are classified as available-for-sale pursuant to ASC 320,</w:t>
      </w:r>
      <w:r>
        <w:rPr>
          <w:color w:val="000000"/>
          <w:shd w:fill="FFFFFF" w:val="clear"/>
        </w:rPr>
        <w:t xml:space="preserve"> </w:t>
      </w:r>
      <w:r>
        <w:rPr>
          <w:rFonts w:ascii="Times New Roman;sans-serif" w:hAnsi="Times New Roman;sans-serif"/>
          <w:b w:val="false"/>
          <w:color w:val="000000"/>
          <w:sz w:val="20"/>
          <w:shd w:fill="FFFFFF" w:val="clear"/>
        </w:rPr>
        <w:t>Investments – Debt and Equity Securities</w:t>
      </w:r>
      <w:r>
        <w:rPr>
          <w:color w:val="000000"/>
        </w:rPr>
        <w:t xml:space="preserve"> </w:t>
      </w:r>
      <w:r>
        <w:rPr>
          <w:rFonts w:ascii="Times New Roman;sans-serif" w:hAnsi="Times New Roman;sans-serif"/>
          <w:b w:val="false"/>
          <w:color w:val="000000"/>
          <w:sz w:val="20"/>
        </w:rPr>
        <w:t xml:space="preserve">and are recorded at fair value. Unrealized gains (losses) are included as a component of accumulated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in the condensed consolidated balance sheets and statements of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and nine months ended September 30, 2023 or 2022. Realized gains and losses are included in other income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marketable securities portfolio contains investments in U.S. Treasury, other U.S. government-backed securities, and commercial paper. We review our portfolio based on the underlying risk profile of the securities and we don't expect there to be a loss on these investments. We also regularly review the securities in an unrealized loss position and evaluate the current expected credit loss by considering factors such as historical experience, market data, issuer-specific factors, and current economic conditions.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and 2022, we recognized no year-to-date credit loss related to our short-term investments, and had no allowance for credit loss recorded as of September 30, 2023 or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as of September 30, 2023 consisted of the following:</w:t>
      </w:r>
    </w:p>
    <w:tbl>
      <w:tblPr>
        <w:tblW w:w="9830" w:type="dxa"/>
        <w:jc w:val="left"/>
        <w:tblInd w:w="0" w:type="dxa"/>
        <w:tblLayout w:type="fixed"/>
        <w:tblCellMar>
          <w:top w:w="28" w:type="dxa"/>
          <w:left w:w="28" w:type="dxa"/>
          <w:bottom w:w="28" w:type="dxa"/>
          <w:right w:w="28" w:type="dxa"/>
        </w:tblCellMar>
      </w:tblPr>
      <w:tblGrid>
        <w:gridCol w:w="882"/>
        <w:gridCol w:w="775"/>
        <w:gridCol w:w="787"/>
        <w:gridCol w:w="109"/>
        <w:gridCol w:w="109"/>
        <w:gridCol w:w="109"/>
        <w:gridCol w:w="214"/>
        <w:gridCol w:w="1100"/>
        <w:gridCol w:w="110"/>
        <w:gridCol w:w="109"/>
        <w:gridCol w:w="109"/>
        <w:gridCol w:w="109"/>
        <w:gridCol w:w="354"/>
        <w:gridCol w:w="1035"/>
        <w:gridCol w:w="185"/>
        <w:gridCol w:w="109"/>
        <w:gridCol w:w="109"/>
        <w:gridCol w:w="109"/>
        <w:gridCol w:w="360"/>
        <w:gridCol w:w="1086"/>
        <w:gridCol w:w="188"/>
        <w:gridCol w:w="109"/>
        <w:gridCol w:w="109"/>
        <w:gridCol w:w="109"/>
        <w:gridCol w:w="211"/>
        <w:gridCol w:w="1081"/>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13,094,059 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11,678,343 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29,197,849 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29,202,248 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as of December 31, 2022 consisted of the following:</w:t>
      </w:r>
    </w:p>
    <w:tbl>
      <w:tblPr>
        <w:tblW w:w="9830" w:type="dxa"/>
        <w:jc w:val="left"/>
        <w:tblInd w:w="0" w:type="dxa"/>
        <w:tblLayout w:type="fixed"/>
        <w:tblCellMar>
          <w:top w:w="28" w:type="dxa"/>
          <w:left w:w="28" w:type="dxa"/>
          <w:bottom w:w="28" w:type="dxa"/>
          <w:right w:w="28" w:type="dxa"/>
        </w:tblCellMar>
      </w:tblPr>
      <w:tblGrid>
        <w:gridCol w:w="882"/>
        <w:gridCol w:w="775"/>
        <w:gridCol w:w="787"/>
        <w:gridCol w:w="109"/>
        <w:gridCol w:w="109"/>
        <w:gridCol w:w="109"/>
        <w:gridCol w:w="214"/>
        <w:gridCol w:w="1100"/>
        <w:gridCol w:w="110"/>
        <w:gridCol w:w="109"/>
        <w:gridCol w:w="109"/>
        <w:gridCol w:w="109"/>
        <w:gridCol w:w="354"/>
        <w:gridCol w:w="1035"/>
        <w:gridCol w:w="185"/>
        <w:gridCol w:w="109"/>
        <w:gridCol w:w="109"/>
        <w:gridCol w:w="109"/>
        <w:gridCol w:w="309"/>
        <w:gridCol w:w="1166"/>
        <w:gridCol w:w="159"/>
        <w:gridCol w:w="109"/>
        <w:gridCol w:w="109"/>
        <w:gridCol w:w="109"/>
        <w:gridCol w:w="211"/>
        <w:gridCol w:w="1081"/>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12,986,424 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8,084,107 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11,847,902 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Total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32,918,433 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32,887,970 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pStyle w:val="TextBody"/>
        <w:bidi w:val="0"/>
        <w:spacing w:lineRule="auto" w:line="288" w:before="240" w:after="283"/>
        <w:jc w:val="both"/>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Unadjusted quoted prices in active markets for identical assets or liabilities.</w:t>
      </w:r>
    </w:p>
    <w:p>
      <w:pPr>
        <w:pStyle w:val="TextBody"/>
        <w:bidi w:val="0"/>
        <w:spacing w:lineRule="auto" w:line="288" w:before="240" w:after="283"/>
        <w:jc w:val="both"/>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Quoted prices for similar assets and liabilities in active markets, quoted prices in markets that are not active, or inputs which are observable, directly or indirectly, for substantially the full term of the asset or liability.</w:t>
      </w:r>
    </w:p>
    <w:p>
      <w:pPr>
        <w:pStyle w:val="TextBody"/>
        <w:bidi w:val="0"/>
        <w:spacing w:lineRule="auto" w:line="288" w:before="240" w:after="283"/>
        <w:jc w:val="both"/>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Unobservable inputs that reflect our own assumptions about the assumptions market participants would use in pricing the asset or liability in which there is little, if any, market activity for the asset or liability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marketable securities measured at fair value on a recurring basis as of September 30, 2023:</w:t>
      </w:r>
    </w:p>
    <w:tbl>
      <w:tblPr>
        <w:tblW w:w="10013" w:type="dxa"/>
        <w:jc w:val="left"/>
        <w:tblInd w:w="0" w:type="dxa"/>
        <w:tblLayout w:type="fixed"/>
        <w:tblCellMar>
          <w:top w:w="28" w:type="dxa"/>
          <w:left w:w="28" w:type="dxa"/>
          <w:bottom w:w="28" w:type="dxa"/>
          <w:right w:w="28" w:type="dxa"/>
        </w:tblCellMar>
      </w:tblPr>
      <w:tblGrid>
        <w:gridCol w:w="1463"/>
        <w:gridCol w:w="1287"/>
        <w:gridCol w:w="1300"/>
        <w:gridCol w:w="211"/>
        <w:gridCol w:w="1081"/>
        <w:gridCol w:w="109"/>
        <w:gridCol w:w="109"/>
        <w:gridCol w:w="109"/>
        <w:gridCol w:w="109"/>
        <w:gridCol w:w="211"/>
        <w:gridCol w:w="1081"/>
        <w:gridCol w:w="109"/>
        <w:gridCol w:w="109"/>
        <w:gridCol w:w="109"/>
        <w:gridCol w:w="109"/>
        <w:gridCol w:w="213"/>
        <w:gridCol w:w="411"/>
        <w:gridCol w:w="110"/>
        <w:gridCol w:w="109"/>
        <w:gridCol w:w="109"/>
        <w:gridCol w:w="109"/>
        <w:gridCol w:w="211"/>
        <w:gridCol w:w="108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65,717,507 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67,712,727 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11,678,968 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29,202,248 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78,812,037 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96,914,975 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valuation methods during the nine months ended September 30, 2023. There were no transfers between Level 1 and Level 2 and we had no financial assets or liabilities that were classified as Level 3 at any point during the nine months ended September 30, 2023.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September 30, 2023 and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equivalents and marketable securities measured at fair value on a recurring basis as of December 31, 2022:</w:t>
      </w:r>
    </w:p>
    <w:tbl>
      <w:tblPr>
        <w:tblW w:w="10013" w:type="dxa"/>
        <w:jc w:val="left"/>
        <w:tblInd w:w="0" w:type="dxa"/>
        <w:tblLayout w:type="fixed"/>
        <w:tblCellMar>
          <w:top w:w="28" w:type="dxa"/>
          <w:left w:w="28" w:type="dxa"/>
          <w:bottom w:w="28" w:type="dxa"/>
          <w:right w:w="28" w:type="dxa"/>
        </w:tblCellMar>
      </w:tblPr>
      <w:tblGrid>
        <w:gridCol w:w="1463"/>
        <w:gridCol w:w="1287"/>
        <w:gridCol w:w="1300"/>
        <w:gridCol w:w="211"/>
        <w:gridCol w:w="1081"/>
        <w:gridCol w:w="109"/>
        <w:gridCol w:w="109"/>
        <w:gridCol w:w="109"/>
        <w:gridCol w:w="109"/>
        <w:gridCol w:w="211"/>
        <w:gridCol w:w="1081"/>
        <w:gridCol w:w="109"/>
        <w:gridCol w:w="109"/>
        <w:gridCol w:w="109"/>
        <w:gridCol w:w="109"/>
        <w:gridCol w:w="213"/>
        <w:gridCol w:w="411"/>
        <w:gridCol w:w="110"/>
        <w:gridCol w:w="109"/>
        <w:gridCol w:w="109"/>
        <w:gridCol w:w="109"/>
        <w:gridCol w:w="211"/>
        <w:gridCol w:w="1081"/>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23,110,492 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8,073,185 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32,887,970 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32,079,667 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55,998,462 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6323" w:type="dxa"/>
        <w:jc w:val="left"/>
        <w:tblInd w:w="0" w:type="dxa"/>
        <w:tblLayout w:type="fixed"/>
        <w:tblCellMar>
          <w:top w:w="28" w:type="dxa"/>
          <w:left w:w="28" w:type="dxa"/>
          <w:bottom w:w="28" w:type="dxa"/>
          <w:right w:w="28" w:type="dxa"/>
        </w:tblCellMar>
      </w:tblPr>
      <w:tblGrid>
        <w:gridCol w:w="1217"/>
        <w:gridCol w:w="1067"/>
        <w:gridCol w:w="1075"/>
        <w:gridCol w:w="211"/>
        <w:gridCol w:w="976"/>
        <w:gridCol w:w="109"/>
        <w:gridCol w:w="109"/>
        <w:gridCol w:w="109"/>
        <w:gridCol w:w="109"/>
        <w:gridCol w:w="211"/>
        <w:gridCol w:w="976"/>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Depreciation/amortization expense totaled $78,294 and $68,075 for the three months ended September 30, 2023 and 2022, respectively. Depreciation/amortization expense totaled $233,062 and $170,337 for the nine months ended September 30,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6699" w:type="dxa"/>
        <w:jc w:val="left"/>
        <w:tblInd w:w="0" w:type="dxa"/>
        <w:tblLayout w:type="fixed"/>
        <w:tblCellMar>
          <w:top w:w="28" w:type="dxa"/>
          <w:left w:w="28" w:type="dxa"/>
          <w:bottom w:w="28" w:type="dxa"/>
          <w:right w:w="28" w:type="dxa"/>
        </w:tblCellMar>
      </w:tblPr>
      <w:tblGrid>
        <w:gridCol w:w="1352"/>
        <w:gridCol w:w="1190"/>
        <w:gridCol w:w="1193"/>
        <w:gridCol w:w="211"/>
        <w:gridCol w:w="976"/>
        <w:gridCol w:w="109"/>
        <w:gridCol w:w="109"/>
        <w:gridCol w:w="109"/>
        <w:gridCol w:w="109"/>
        <w:gridCol w:w="211"/>
        <w:gridCol w:w="97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200,000,000 authorized shares of Class A common stock, $0.001 par value per share as of September 30, 2023 and December 31, 2022 of which 29,269,121 and 26,418,732 were issued and outstanding, respectively. The holders of Class A common stock are entitled one vote for each share of common stock. Dividends may be paid when, and if declared by the Board of Directors, subject to the limitations, powers and preferences granted to the Preferred Stockholders and on a proportionate basis with holders of Class B common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following number of shares of Class A common stock have been reserved:</w:t>
      </w:r>
    </w:p>
    <w:tbl>
      <w:tblPr>
        <w:tblW w:w="5515" w:type="dxa"/>
        <w:jc w:val="left"/>
        <w:tblInd w:w="0" w:type="dxa"/>
        <w:tblLayout w:type="fixed"/>
        <w:tblCellMar>
          <w:top w:w="28" w:type="dxa"/>
          <w:left w:w="28" w:type="dxa"/>
          <w:bottom w:w="28" w:type="dxa"/>
          <w:right w:w="28" w:type="dxa"/>
        </w:tblCellMar>
      </w:tblPr>
      <w:tblGrid>
        <w:gridCol w:w="1053"/>
        <w:gridCol w:w="926"/>
        <w:gridCol w:w="930"/>
        <w:gridCol w:w="379"/>
        <w:gridCol w:w="379"/>
        <w:gridCol w:w="381"/>
        <w:gridCol w:w="109"/>
        <w:gridCol w:w="109"/>
        <w:gridCol w:w="109"/>
        <w:gridCol w:w="334"/>
        <w:gridCol w:w="334"/>
        <w:gridCol w:w="472"/>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options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20,000,000 authorized shares of Class B common stock, $0.001 par value per share as of September 30, 2023 and December 31, 2022, of which no shares have been issued nor are outstanding. The holders of Class B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have no voting rights. Dividends may be paid when, and if, declared by the Board of Directors, subject to the limitations, powers and preferences granted to the preferred stockholders and on a proportionate basis with holders of Class A common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IPO</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and 20,000,000 shares of Class B common stock, par value $0.001 per share; (ii) authorize 10,000,000 shares of Preferred Stock; and (iii) authorize the Board of Directors to establish the rights, preferences and restrictions on any unissued series of Preferred Stock.</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Equity Offerings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filed a Registration Statement on Form S-3 (File No. 333-266738) (the “2022 Shelf Registration Statement”) with the SEC in relation to the registration of common stock, preferred stock, debt securities, warrants and/or units or any combination thereof in the aggregate amount of up to $200 million for a period of up to three years from the date of its effectiveness on August 19,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10, 2022, the Company also entered into the Sales Agreement with the Sales Agent to sell shares of the Company’s Class A common stock, par value $0.001 per share, with aggregate gross sales proceeds of up to $50 million, from time to time, through an “at the market” equity offering program (the “ATM Program”) under the 2022 Shelf Registration Statement. Subject to the terms and conditions of the Sales Agreement, the Sales Agent may sell the shares by methods deemed to be an “at the market offering” as defined in Rule 415 promulgated under the Securities Act, including sales made through the Nasdaq Global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Issuance costs incurred related to the Sales Agreement are classified as long-term assets on the balance sheet at September 30, 2023. The Company had approximately $0.3 million of deferred offering costs as of both September 30, 2023 and December 31, 2022. No shares were sold pursuant to the ATM Program during the three or nine month periods ended September 30, 2023 or September 30, 2022, respectively.</w:t>
      </w:r>
    </w:p>
    <w:p>
      <w:pPr>
        <w:pStyle w:val="TextBody"/>
        <w:bidi w:val="0"/>
        <w:spacing w:lineRule="auto" w:line="288" w:before="240" w:after="283"/>
        <w:jc w:val="both"/>
        <w:rPr/>
      </w:pPr>
      <w:r>
        <w:rPr>
          <w:rFonts w:ascii="Times New Roman;sans-serif" w:hAnsi="Times New Roman;sans-serif"/>
          <w:b w:val="false"/>
          <w:color w:val="000000"/>
          <w:sz w:val="20"/>
        </w:rPr>
        <w:t>On April 20, 2023, the Company completed an underwritten follow-on equity offering, pursuant to which it issued and sold</w:t>
      </w:r>
      <w:r>
        <w:rPr>
          <w:color w:val="000000"/>
          <w:shd w:fill="FFFFFF" w:val="clear"/>
        </w:rPr>
        <w:t xml:space="preserve"> </w:t>
      </w:r>
      <w:r>
        <w:rPr>
          <w:rFonts w:ascii="Times New Roman;sans-serif" w:hAnsi="Times New Roman;sans-serif"/>
          <w:b w:val="false"/>
          <w:color w:val="000000"/>
          <w:sz w:val="20"/>
          <w:shd w:fill="FFFFFF" w:val="clear"/>
        </w:rPr>
        <w:t>2,727,273 shares of its Class A common stock, $0.001 par value per share, at an offering price of $11.00 per share under the 2022 Shelf Registration Statement. The aggregate net proceeds received by the Company from the offering were $28,200,003, after deducting underwriting discounts and commissions, but before deducting offering costs payable by the Company of $203,768.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Net Loss Per Share Attributable to Common Stockholders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was calculated at September 30, 2023 and September 30, 2022 as follows:</w:t>
      </w:r>
    </w:p>
    <w:tbl>
      <w:tblPr>
        <w:tblW w:w="10205" w:type="dxa"/>
        <w:jc w:val="left"/>
        <w:tblInd w:w="0" w:type="dxa"/>
        <w:tblLayout w:type="fixed"/>
        <w:tblCellMar>
          <w:top w:w="28" w:type="dxa"/>
          <w:left w:w="28" w:type="dxa"/>
          <w:bottom w:w="28" w:type="dxa"/>
          <w:right w:w="28" w:type="dxa"/>
        </w:tblCellMar>
      </w:tblPr>
      <w:tblGrid>
        <w:gridCol w:w="1369"/>
        <w:gridCol w:w="1011"/>
        <w:gridCol w:w="1021"/>
        <w:gridCol w:w="211"/>
        <w:gridCol w:w="1124"/>
        <w:gridCol w:w="109"/>
        <w:gridCol w:w="109"/>
        <w:gridCol w:w="109"/>
        <w:gridCol w:w="109"/>
        <w:gridCol w:w="211"/>
        <w:gridCol w:w="1124"/>
        <w:gridCol w:w="109"/>
        <w:gridCol w:w="109"/>
        <w:gridCol w:w="109"/>
        <w:gridCol w:w="109"/>
        <w:gridCol w:w="211"/>
        <w:gridCol w:w="1124"/>
        <w:gridCol w:w="109"/>
        <w:gridCol w:w="109"/>
        <w:gridCol w:w="109"/>
        <w:gridCol w:w="109"/>
        <w:gridCol w:w="211"/>
        <w:gridCol w:w="1124"/>
        <w:gridCol w:w="156"/>
      </w:tblGrid>
      <w:tr>
        <w:trPr/>
        <w:tc>
          <w:tcPr>
            <w:tcW w:w="136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(12,595,211)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(38,388,130)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(37,268,007)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basic and diluted:</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29,266,309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26,394,490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28,129,005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26,380,101</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potentially dilutive securities that have been excluded from the calculation of diluted net loss per share because to include them would be anti-dilutive (in common stock equivalent shares) at September 30, 2023 and September 30, 2022:</w:t>
      </w:r>
    </w:p>
    <w:tbl>
      <w:tblPr>
        <w:tblW w:w="5759" w:type="dxa"/>
        <w:jc w:val="left"/>
        <w:tblInd w:w="0" w:type="dxa"/>
        <w:tblLayout w:type="fixed"/>
        <w:tblCellMar>
          <w:top w:w="28" w:type="dxa"/>
          <w:left w:w="28" w:type="dxa"/>
          <w:bottom w:w="28" w:type="dxa"/>
          <w:right w:w="28" w:type="dxa"/>
        </w:tblCellMar>
      </w:tblPr>
      <w:tblGrid>
        <w:gridCol w:w="1274"/>
        <w:gridCol w:w="1123"/>
        <w:gridCol w:w="1128"/>
        <w:gridCol w:w="309"/>
        <w:gridCol w:w="309"/>
        <w:gridCol w:w="313"/>
        <w:gridCol w:w="109"/>
        <w:gridCol w:w="109"/>
        <w:gridCol w:w="109"/>
        <w:gridCol w:w="284"/>
        <w:gridCol w:w="284"/>
        <w:gridCol w:w="408"/>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3,598,026</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equivalents</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Upon the effectiveness of the Company’s 2021 Incentive Award Plan (the "2021 Plan"), the Company ceased granting awards under the Incentive Plan. However, the Incentive Plan continues to govern awards outstanding thereunder.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Company’s Board of Directors adopted, and on July 23, 2021 its stockholders approved,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September 30, 2023, there were 1,555,719 shares available for future issuance under the 2021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September 30, 2023, there were 777,389 shares of common stock reserved for future issuance under the 2021 ESPP and no shares had been granted or purchased under the 2021 ESPP.</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of $1,479,160 and $4,086,547 during the three and nine months ended September 30, 2023, respectively. During the three and nine months ended September 30, 2022, the Company recognized stock-based compensation expense of $1,066,212 and $3,016,283, respectively. As of September 30, 2023, compensation expense remaining to be recognized for outstanding stock options was $12,450,569 and to be recognized over a weighted-average period of 2.65 years.</w:t>
      </w:r>
    </w:p>
    <w:p>
      <w:pPr>
        <w:pStyle w:val="TextBody"/>
        <w:bidi w:val="0"/>
        <w:spacing w:lineRule="auto" w:line="288" w:before="240" w:after="283"/>
        <w:jc w:val="both"/>
        <w:rPr/>
      </w:pPr>
      <w:r>
        <w:rPr>
          <w:rFonts w:ascii="Times New Roman;sans-serif" w:hAnsi="Times New Roman;sans-serif"/>
          <w:b w:val="false"/>
          <w:color w:val="000000"/>
          <w:sz w:val="20"/>
        </w:rPr>
        <w:t xml:space="preserve">The fair value of options granted is calculated on the grant date using the Black-Scholes option valuation model. Prior to the Company's IPO on August 3, 2021, the Company was </w:t>
      </w:r>
      <w:r>
        <w:rPr>
          <w:rFonts w:ascii="Times New Roman;sans-serif" w:hAnsi="Times New Roman;sans-serif"/>
          <w:b w:val="false"/>
          <w:color w:val="000000"/>
          <w:sz w:val="20"/>
          <w:shd w:fill="FFFFFF" w:val="clear"/>
        </w:rPr>
        <w:t>a private company and thus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publicly traded stock price.</w:t>
      </w:r>
      <w:r>
        <w:rPr>
          <w:color w:val="000000"/>
        </w:rPr>
        <w:t xml:space="preserve"> </w:t>
      </w:r>
      <w:r>
        <w:rPr>
          <w:rFonts w:ascii="Times New Roman;sans-serif" w:hAnsi="Times New Roman;sans-serif"/>
          <w:b w:val="false"/>
          <w:color w:val="000000"/>
          <w:sz w:val="20"/>
        </w:rPr>
        <w:t>For the nine months ended September 30, 2023, the Company granted 2,269,610 shares of stock options at a weighted-average grant date fair value of $5.31.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the following assumptions in its application of the Black-Scholes option pricing model for grants during the nine months ended September 30, 2023 and 2022:</w:t>
      </w:r>
    </w:p>
    <w:tbl>
      <w:tblPr>
        <w:tblW w:w="7215" w:type="dxa"/>
        <w:jc w:val="left"/>
        <w:tblInd w:w="0" w:type="dxa"/>
        <w:tblLayout w:type="fixed"/>
        <w:tblCellMar>
          <w:top w:w="28" w:type="dxa"/>
          <w:left w:w="28" w:type="dxa"/>
          <w:bottom w:w="28" w:type="dxa"/>
          <w:right w:w="28" w:type="dxa"/>
        </w:tblCellMar>
      </w:tblPr>
      <w:tblGrid>
        <w:gridCol w:w="1196"/>
        <w:gridCol w:w="1050"/>
        <w:gridCol w:w="1054"/>
        <w:gridCol w:w="505"/>
        <w:gridCol w:w="505"/>
        <w:gridCol w:w="505"/>
        <w:gridCol w:w="280"/>
        <w:gridCol w:w="280"/>
        <w:gridCol w:w="280"/>
        <w:gridCol w:w="457"/>
        <w:gridCol w:w="457"/>
        <w:gridCol w:w="64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3.46% - 4.24%</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 - 3.31%</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5.00 - 10.00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5.00 - 10.00</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64.86% - 70.50%</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64.78% - 78.12%</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 during the nine months ended September 30, 2023:</w:t>
      </w:r>
    </w:p>
    <w:tbl>
      <w:tblPr>
        <w:tblW w:w="9625" w:type="dxa"/>
        <w:jc w:val="left"/>
        <w:tblInd w:w="0" w:type="dxa"/>
        <w:tblLayout w:type="fixed"/>
        <w:tblCellMar>
          <w:top w:w="28" w:type="dxa"/>
          <w:left w:w="28" w:type="dxa"/>
          <w:bottom w:w="28" w:type="dxa"/>
          <w:right w:w="28" w:type="dxa"/>
        </w:tblCellMar>
      </w:tblPr>
      <w:tblGrid>
        <w:gridCol w:w="1391"/>
        <w:gridCol w:w="1221"/>
        <w:gridCol w:w="1227"/>
        <w:gridCol w:w="309"/>
        <w:gridCol w:w="309"/>
        <w:gridCol w:w="313"/>
        <w:gridCol w:w="109"/>
        <w:gridCol w:w="109"/>
        <w:gridCol w:w="109"/>
        <w:gridCol w:w="296"/>
        <w:gridCol w:w="719"/>
        <w:gridCol w:w="154"/>
        <w:gridCol w:w="109"/>
        <w:gridCol w:w="109"/>
        <w:gridCol w:w="109"/>
        <w:gridCol w:w="419"/>
        <w:gridCol w:w="419"/>
        <w:gridCol w:w="421"/>
        <w:gridCol w:w="109"/>
        <w:gridCol w:w="109"/>
        <w:gridCol w:w="109"/>
        <w:gridCol w:w="211"/>
        <w:gridCol w:w="108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 xml:space="preserve">Contractual </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September 30, 2023</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September 30, 2023</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Company recognized share-based compensation expense on the accompanying condensed consolidated statements of operations as follows:</w:t>
      </w:r>
    </w:p>
    <w:tbl>
      <w:tblPr>
        <w:tblW w:w="8520" w:type="dxa"/>
        <w:jc w:val="left"/>
        <w:tblInd w:w="0" w:type="dxa"/>
        <w:tblLayout w:type="fixed"/>
        <w:tblCellMar>
          <w:top w:w="28" w:type="dxa"/>
          <w:left w:w="28" w:type="dxa"/>
          <w:bottom w:w="28" w:type="dxa"/>
          <w:right w:w="28" w:type="dxa"/>
        </w:tblCellMar>
      </w:tblPr>
      <w:tblGrid>
        <w:gridCol w:w="835"/>
        <w:gridCol w:w="736"/>
        <w:gridCol w:w="73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1,066,212 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Leases</w:t>
      </w:r>
    </w:p>
    <w:p>
      <w:pPr>
        <w:pStyle w:val="TextBody"/>
        <w:bidi w:val="0"/>
        <w:spacing w:lineRule="auto" w:line="288" w:before="240" w:after="283"/>
        <w:jc w:val="both"/>
        <w:rPr/>
      </w:pPr>
      <w:r>
        <w:rPr>
          <w:rFonts w:ascii="Times New Roman;sans-serif" w:hAnsi="Times New Roman;sans-serif"/>
          <w:b w:val="false"/>
          <w:color w:val="000000"/>
          <w:sz w:val="20"/>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w:t>
      </w:r>
      <w:r>
        <w:rPr>
          <w:rFonts w:ascii="Times New Roman;sans-serif" w:hAnsi="Times New Roman;sans-serif"/>
          <w:b w:val="false"/>
          <w:color w:val="000000"/>
          <w:sz w:val="20"/>
          <w:shd w:fill="FFFFFF" w:val="clear"/>
        </w:rPr>
        <w:t>. T</w:t>
      </w:r>
      <w:r>
        <w:rPr>
          <w:rFonts w:ascii="Times New Roman;sans-serif" w:hAnsi="Times New Roman;sans-serif"/>
          <w:b w:val="false"/>
          <w:color w:val="000000"/>
          <w:sz w:val="20"/>
        </w:rPr>
        <w:t>he Company subsequently entered into a sublease of the Via Frontera Lease, the term of which commenced in March 2022. The lease and sublease terminated on October 1, 2023. The lease termination was accounted for as a lease modification which reduces the term of the existing lease and the Company adjusted the value of its right-of-use asset and operating lease liability by $347,739 using an incremental borrowing rate of approximately 6%. The sublease income was accounted for as a reduction of rent expense in the statement of operations.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modification is reflected as a non-cash operating activity in the statement of cash flows for the nine months ended September 30,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BioArkive acquisition, the Company assumed the obligations of three leases in San Diego, California. One is for 38,613 square feet of office and laboratory space, under a lease that terminates on April 30, 2032, the second was for a 6,100 square feet of office and laboratory space under a lease that terminated on December 31, 2022 (and that was not renewed), and the third is for a lease for 4,760 square feet of office and laboratory space under a lease that terminates on March 31, 2024. As a result, the Company recorded right-to-use assets and lease liabilities of $4,824,700 on the acquisition date of December 22, 2021.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also leases office space in Cambridge, Massachusetts and New York, New York pursuant to short-term arrangements. The Cambridge lease is on a month-to-month basis, requiring one month’s notice before termination. The New York lease is renewable on a yearly basis and the most recent renewal extended the lease term until February 28, 2024. The Company also previously leased office space in San Francisco, California, pursuant to a short-term rental arrangement with a lease term that ended on July 31, 2023 and the Company chose not to renew. These lease agreements include or included payments for lease and non-lease components. The Company has elected to not separate such components and these payments were recognized as rent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total future minimum lease payments for its short-term leases in Cambridge, Massachusetts, and New York, New York were $20,760 due in 2023 and $13,840 due in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for operating leases with initial or remaining terms in excess of one year at September 30, 2023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tbl>
      <w:tblPr>
        <w:tblW w:w="3995" w:type="dxa"/>
        <w:jc w:val="left"/>
        <w:tblInd w:w="0" w:type="dxa"/>
        <w:tblLayout w:type="fixed"/>
        <w:tblCellMar>
          <w:top w:w="28" w:type="dxa"/>
          <w:left w:w="28" w:type="dxa"/>
          <w:bottom w:w="28" w:type="dxa"/>
          <w:right w:w="28" w:type="dxa"/>
        </w:tblCellMar>
      </w:tblPr>
      <w:tblGrid>
        <w:gridCol w:w="961"/>
        <w:gridCol w:w="843"/>
        <w:gridCol w:w="850"/>
        <w:gridCol w:w="211"/>
        <w:gridCol w:w="97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payments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4,542,653 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lease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301,633 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4,542,653 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Quantitative information regarding the Company’s leases for the nine months ended September 30, 2023 and 2022 is as follows:</w:t>
      </w:r>
    </w:p>
    <w:tbl>
      <w:tblPr>
        <w:tblW w:w="8852" w:type="dxa"/>
        <w:jc w:val="left"/>
        <w:tblInd w:w="0" w:type="dxa"/>
        <w:tblLayout w:type="fixed"/>
        <w:tblCellMar>
          <w:top w:w="28" w:type="dxa"/>
          <w:left w:w="28" w:type="dxa"/>
          <w:bottom w:w="28" w:type="dxa"/>
          <w:right w:w="28" w:type="dxa"/>
        </w:tblCellMar>
      </w:tblPr>
      <w:tblGrid>
        <w:gridCol w:w="2124"/>
        <w:gridCol w:w="1857"/>
        <w:gridCol w:w="1883"/>
        <w:gridCol w:w="211"/>
        <w:gridCol w:w="826"/>
        <w:gridCol w:w="271"/>
        <w:gridCol w:w="109"/>
        <w:gridCol w:w="109"/>
        <w:gridCol w:w="109"/>
        <w:gridCol w:w="211"/>
        <w:gridCol w:w="826"/>
        <w:gridCol w:w="316"/>
      </w:tblGrid>
      <w:tr>
        <w:trPr/>
        <w:tc>
          <w:tcPr>
            <w:tcW w:w="212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short-term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705,815 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years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Company’s leases typically do not provide an implicit rate, the Company uses an estimate of its incremental borrowing rate based on the information available at the lease commencement date in determining the present value of lease payments.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Litigation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have certain contingent liabilities that arise in the ordinary course of its business activities and may be exposed to litigation in connection with its product candidates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pStyle w:val="TextBody"/>
        <w:bidi w:val="0"/>
        <w:spacing w:lineRule="auto" w:line="288" w:before="24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Clinical Research Contracts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enter into contracts in the normal course of business with contract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2022,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oncology company seeking to develop medicines for broad populations of cancer patients. Our initial aim is to develop a universal-RAS therapy, an approach designed to include patients with solid tumors driven by any mutation in KRAS, NRAS or HRAS. Our inclusive approach differentiates us from narrowly targeted precision therapies, which are limited to patients with tumors harboring select mutations.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evaluating our lead product candidate, IMM-1-104, in a Phase 1/2a clinical trial in patients with advanced solid tumors harboring RAS mutations. IMM-1-104 is being developed as a once-daily oral monotherapy that aims to achieve universal-RAS activity through deep cyclic inhibition of the MAPK pathway. Deep cyclic inhibition is a novel mechanism that aims to deprive tumor cells of the sustained proliferative signaling required for rapid growth, while sparing healthy cells through a cadenced, normalized level of signaling. This mechanism was engineered using our proprietary informatics-based discovery platform. The development of our pipeline is translationally guided by our proprietary, human-aligned 3D tumor modeling platform that we combine with bioinformatics-driven patient profiling, which we believe has the potential to increase the probability of success in clinical development versus traditional drug development approaches. Our second product candidate, IMM-6-415, aims to achieve universal-MAPK activity with an accelerated twice-daily oral dosing cadence, also through deep cyclic inhibition of the MAPK pathway. IMM-6-415 is currently in IND-enabling studies. Our pipeline also includes Trifecta MEK, RAS modulators and other small molecule drug discovery programs.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2023, we announced initial pharmacokinetic, or PK, pharmacodynamic, or PD, and safety data from the ongoing Phase 1 portion of our Phase 1/2a clinical trial of IMM-1-104 in patients with advanced solid tumors harboring RAS mutations.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we announced the completion of the dose-escalation portion of the Phase 1/2a clinical trial of IMM-1-104. The trial’s Safety Review Committee ("SRC") completed its evaluation and observed that doses up to and including 320 mg once daily were tolerable with no dose limiting toxicities observed. We subsequently commenced enrollment in the Phase 1b dose evaluation portion of the trial, which is designed in part to evaluate two dosing cohorts at an oral dose of 240mg or 320 mg once daily.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we announced additional preclinical data that further support the potential of IMM-1-104 and IMM-6-415 both as single agents and in combination regimens with other therapeutic agents across multiple MAPK-driven tumor types, including those with RAS or RAF mutations. We believe these findings support the potential therapeutic use of cytotoxic agents and RAF inhibitors in combination with our product candidates, and build on our previously disclosed data supporting combinations with KRAS-G12C inhibitors and immuno-oncology agents. Additionally, IMM-1-104 and IMM6-415 are designed with a unique deep cyclic inhibition mechanism that aims to provide improved tolerability, which is important for successful combination therapies.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announced an expanded clinical development plan for the Phase 1/2a clinical trial of IMM-1-104, including with respect to an additional: two Phase 1b/2a combination therapy arms (intended to enroll approximately 60 total patients with pancreatic ductal adenocarcinoma ("PDAC") in a first-line setting), and three Phase 2a monotherapy expansion arms (intended to enroll approximately 90 total patients with PDAC, RAS-mutant melanoma, or RAS-mutant non-small cell lung cancer).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Subject to the results of the ongoing Phase 1b portion of the IMM-1-104 trial, in early 2024 we expect to: announce our projected recommendation for a Phase 2 dose, provide additional safety data, and begin dosing in the Phase 2a portion of the IMM-1-104 trial. We also expect to announce initial data from multiple arms of the Phase 2a portion of the IMM-1-104 trial in 2024. In addition, we plan to submit an IND for IMM-6-415 to the U.S. Food and Drug Administration, or FDA, in the fourth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from inception through 2017, we devoted substantially all of our efforts to business planning, service revenue generation, developing tools to aid in drug discovery, and recruiting management and technical staff. Since 2018, we have focused significant effort on our own internal research and development programs, and since December 2022 have exclusively focused our efforts on such programs. We have financed our operations through service revenues (which have since ceased), the issuance of convertible debt and the sale of convertible preferred stock and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22, 2021, we completed the acquisition of all outstanding shares of capital stock of BioArkive, Inc., a California corporation (“BioArkive”) for a market value of $8.75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BioArkive is a San Diego based contract research organization that previously provided preclinical research services and biosample storage to us and other biotechnology companies. BioArkive was fully integrated into our operations following the acquisition and exclusively supports our internal preclinical research activities for our oncology pipeline. In connection with the acquisition, we assumed the obligations under BioArkive’s three lease agreements.</w:t>
      </w:r>
    </w:p>
    <w:p>
      <w:pPr>
        <w:pStyle w:val="TextBody"/>
        <w:bidi w:val="0"/>
        <w:spacing w:lineRule="auto" w:line="288" w:before="240" w:after="283"/>
        <w:jc w:val="both"/>
        <w:rPr/>
      </w:pPr>
      <w:r>
        <w:rPr>
          <w:rFonts w:ascii="Times New Roman;sans-serif" w:hAnsi="Times New Roman;sans-serif"/>
          <w:b w:val="false"/>
          <w:color w:val="000000"/>
          <w:sz w:val="20"/>
        </w:rPr>
        <w:t>On April 20, 2023, we completed an underwritten offering, pursuant to which we issued and sold</w:t>
      </w:r>
      <w:r>
        <w:rPr>
          <w:color w:val="000000"/>
          <w:shd w:fill="FFFFFF" w:val="clear"/>
        </w:rPr>
        <w:t xml:space="preserve"> </w:t>
      </w:r>
      <w:r>
        <w:rPr>
          <w:rFonts w:ascii="Times New Roman;sans-serif" w:hAnsi="Times New Roman;sans-serif"/>
          <w:b w:val="false"/>
          <w:color w:val="000000"/>
          <w:sz w:val="20"/>
          <w:shd w:fill="FFFFFF" w:val="clear"/>
        </w:rPr>
        <w:t>2,727,273 shares of our Class A common stock at an offering price of $11.00 per share. The aggregate net proceeds received from the offering was $28.2 million, after deducting underwriting discounts and commissions, but before deducting offering costs payable by us, which were $0.2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annual operating losses. Our net loss was approximately $38.4 million, for the nine months ended September 30, 2023 and $50.5 million for the year ended December 31, 2022. As of September 30, 2023, we had an accumulated deficit of approximately $148.2 million and approximately $97.2 million in cash, cash equivalents and marketable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plans, we believe that our existing cash, cash equivalents and marketable securities will enable us to fund our development activities and other operations into 2025. We have based this estimate on assumptions that may prove to be wrong, and we could exhaust our available capital resources sooner than we expect. To finance our operations beyond that point we will need to raise additional capital, which cannot be assured.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had any internally developed products approved for sale. We do not expect to generate any product sales unless and until we successfully complete development of, obtain regulatory approval for, and successfully bring to market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without limitation potential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was historically generated by providing computational biology professional services to pharmaceutical and biotechnology companies. We charged an agreed upon rate per hour based on the aggregate level of personnel assigned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work on the project or a fixed fee for a defined scope of work. Our contracts specified the period of time over which these professional services would be provided. We recognized revenue over time by measuring the progress toward complete satisfaction of the performance obligation using a single method of measuring progress, which depicts the performance in transferring control of the associated services to the customer. We used input methods to measure the progress toward the complete satisfaction of performance obligations and evaluate the measure of progress each reporting period and, if necessary, adjusted the measure of performance and related revenue recognition. Any such adjustments were recorded on a cumulative catch-up basis, which would affect revenue and net loss in the period of adjustment.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ceased accepting new services contracts in order to focus on developing our wholly-owned internal pipeline. In September 2022, we completed our last remaining services contract associated with the computational biology professional services business.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discontinued our biosample storage business, which was acquired through the BioArkive transaction, to external parties. In December 2022, we completed our last remaining storage contract. The revenue earned associated with the biosample storage business for the year ended December 31, 2022 is immaterial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we do not anticipate entering into any new service or storage contracts or agreements.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cost of revenue has primarily consisted of expenses related to providing professional services to our customers. These costs include salaries, bonuses, benefits, stock-based compensation expense, depreciation, facilities, and other outside services. As a result of the discontinued service contracts and bio-sample storage business, the cost of revenue incurred for the year ended December 31, 2022 is immaterial to the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(i) research and development expenses, and (ii) general and administrative expenses.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Our research and development expenses consist primarily of direct and unallocated costs incurred in connection with the development of our research platform, product candidates, discovery efforts and preclinical and clinical activities related to our program pipeline.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direct costs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expenses incurred under agreements with third-party contract research organizations, or CROs, and other vendors that conduct our preclinical and clinical activities on our behalf, including clinical trial sites that conduct research and development activities on our behalf;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laboratory expenses related to the execution of discovery programs, preclinical studies and clinical trials;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costs related to production of clinical and preclinical materials, including fees paid to contract manufacturers.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unallocated costs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personnel-related expenses, consisting of employee salaries, bonuses, benefits and stock-based compensation expense, and recruiting costs for personnel engaged in research and development activities;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contractor and consulting fees related to the preparation and ongoing support of clinical trials;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facility and equipment related expenses, consisting of indirect and allocated expenses for rent, depreciation, maintenance of facilities, insurance, and other supplies.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in the periods in which they are incurred.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 research and development expenses are tracked on a program-by-program basis once they are in Phase 1 clinical trials and consist of external costs and fees paid to contract manufacturing organizations, or CMOs, and CROs in connection with our preclinical and clinical development and manufacturing activities. Such program costs also include the external costs of laboratory and consumable materials and costs of raw materials that are directly attributable to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incurred for any single program. We do not allocate employee costs, contractor/consultant fees, costs associated with our platform development and discovery efforts, payments made under third-party licensing agreements, costs of laboratory supplies and consumable materials that are not directly attributable to any single program, and facilities expenses, including rent, depreciation and other indirect costs, to specific product development programs because these costs are deployed across multiple programs and our platform technology and, as such, are not separately classified.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duration, costs and timing of preclinical studies and clinical trials and development of our product candidates will depend on a variety of factors, such 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completion of preclinical studies and initiation of clinical trials for future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enrollment and completion of clinical trials for our current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data from our clinical programs that support an acceptable risk-benefit profile of our product candidates in the intended patient populations;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acceptance by the FDA or other applicable regulatory agencies of IND applications, clinical trial applications and/or other regulatory filings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expansion and maintenance of a workforce of experienced scientists and others to continue to develop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 application for and receipt of marketing approvals from applicable regulatory authorities;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obtainment and maintenance of intellectual property protection and regulatory exclusivity for our product candidates;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making of arrangements with contract manufacturing organizations for, or establishment of, commercial manufacturing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establishment of sales, marketing and distribution capabilities and successful launch of commercial sales of our product candidates, if and when approved, whether alone or in collaboration with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effective competition with other therapies;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obtainment and maintenance of coverage, adequate pricing and adequate reimbursement from third-party payors, including government payors;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maintenance, enforcement, defense and protection of our rights in our intellectual property portfolio;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avoidance of infringement, misappropriation or other violations with respect to others’ intellectual property or proprietary rights;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maintenance of a continued acceptable safety profile of our product candidates following receipt of marketing approvals, if any.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any of our product candidates could significantly change the costs and timing associated with the development of that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conducting the necessary preclinical and clinical research to obtain regulatory approval is costly and time-consuming. The actual probability of success for our product candidates may be affected by a variety of factors.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if such was to occur.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will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Securities and Exchange Commission (“SEC”), Sarbanes-Oxley Act, director and officer insurance costs, and investor and public relations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 relates to the technology acquired in the BioArkive acquisition.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Interest income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consists of interest earned on our cash and cash equivalents balances and our marketable securities. The primary objective of our investment policy is capital preservation.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(expense)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income (expense) consists of the amortization of premiums or accretion of discounts related to our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Three Months Ended September 30,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8023" w:type="dxa"/>
        <w:jc w:val="left"/>
        <w:tblInd w:w="0" w:type="dxa"/>
        <w:tblLayout w:type="fixed"/>
        <w:tblCellMar>
          <w:top w:w="28" w:type="dxa"/>
          <w:left w:w="28" w:type="dxa"/>
          <w:bottom w:w="28" w:type="dxa"/>
          <w:right w:w="28" w:type="dxa"/>
        </w:tblCellMar>
      </w:tblPr>
      <w:tblGrid>
        <w:gridCol w:w="1031"/>
        <w:gridCol w:w="908"/>
        <w:gridCol w:w="911"/>
        <w:gridCol w:w="221"/>
        <w:gridCol w:w="835"/>
        <w:gridCol w:w="114"/>
        <w:gridCol w:w="114"/>
        <w:gridCol w:w="114"/>
        <w:gridCol w:w="114"/>
        <w:gridCol w:w="221"/>
        <w:gridCol w:w="835"/>
        <w:gridCol w:w="114"/>
        <w:gridCol w:w="109"/>
        <w:gridCol w:w="109"/>
        <w:gridCol w:w="109"/>
        <w:gridCol w:w="211"/>
        <w:gridCol w:w="481"/>
        <w:gridCol w:w="109"/>
        <w:gridCol w:w="109"/>
        <w:gridCol w:w="109"/>
        <w:gridCol w:w="109"/>
        <w:gridCol w:w="344"/>
        <w:gridCol w:w="346"/>
        <w:gridCol w:w="346"/>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Amortization of intangible asset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(12,594)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(12,844)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recognized for the periods indicated:</w:t>
      </w:r>
    </w:p>
    <w:tbl>
      <w:tblPr>
        <w:tblW w:w="5936" w:type="dxa"/>
        <w:jc w:val="left"/>
        <w:tblInd w:w="0" w:type="dxa"/>
        <w:tblLayout w:type="fixed"/>
        <w:tblCellMar>
          <w:top w:w="28" w:type="dxa"/>
          <w:left w:w="28" w:type="dxa"/>
          <w:bottom w:w="28" w:type="dxa"/>
          <w:right w:w="28" w:type="dxa"/>
        </w:tblCellMar>
      </w:tblPr>
      <w:tblGrid>
        <w:gridCol w:w="304"/>
        <w:gridCol w:w="268"/>
        <w:gridCol w:w="269"/>
        <w:gridCol w:w="326"/>
        <w:gridCol w:w="628"/>
        <w:gridCol w:w="168"/>
        <w:gridCol w:w="168"/>
        <w:gridCol w:w="168"/>
        <w:gridCol w:w="168"/>
        <w:gridCol w:w="326"/>
        <w:gridCol w:w="559"/>
        <w:gridCol w:w="168"/>
        <w:gridCol w:w="109"/>
        <w:gridCol w:w="109"/>
        <w:gridCol w:w="109"/>
        <w:gridCol w:w="211"/>
        <w:gridCol w:w="436"/>
        <w:gridCol w:w="109"/>
        <w:gridCol w:w="109"/>
        <w:gridCol w:w="109"/>
        <w:gridCol w:w="109"/>
        <w:gridCol w:w="344"/>
        <w:gridCol w:w="346"/>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approximately $38 thousand, or 100.0%, to $0 for the three months ended September 30, 2023 compared to approximately $38 thousand for the three months ended September 30, 2022. The decrease in revenue was due to the completion of the remaining services contracts associated with the computational biology professional services business in September 2022, in addition to fulfilling the final bio-sample storage contract in December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decreased by approximately $19 thousand, or 100.0%, to $0 for the three months ended September 30, 2023 compared to approximately $19 thousand for the three months ended September 30, 2022. The decrease was primarily due to decreased employee-related costs related to services contracts that were discontinued as of September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our research and development expenses for the periods indicated:</w:t>
      </w:r>
    </w:p>
    <w:tbl>
      <w:tblPr>
        <w:tblW w:w="9645" w:type="dxa"/>
        <w:jc w:val="left"/>
        <w:tblInd w:w="0" w:type="dxa"/>
        <w:tblLayout w:type="fixed"/>
        <w:tblCellMar>
          <w:top w:w="28" w:type="dxa"/>
          <w:left w:w="28" w:type="dxa"/>
          <w:bottom w:w="28" w:type="dxa"/>
          <w:right w:w="28" w:type="dxa"/>
        </w:tblCellMar>
      </w:tblPr>
      <w:tblGrid>
        <w:gridCol w:w="1664"/>
        <w:gridCol w:w="1459"/>
        <w:gridCol w:w="1467"/>
        <w:gridCol w:w="245"/>
        <w:gridCol w:w="840"/>
        <w:gridCol w:w="127"/>
        <w:gridCol w:w="127"/>
        <w:gridCol w:w="127"/>
        <w:gridCol w:w="127"/>
        <w:gridCol w:w="245"/>
        <w:gridCol w:w="718"/>
        <w:gridCol w:w="127"/>
        <w:gridCol w:w="109"/>
        <w:gridCol w:w="109"/>
        <w:gridCol w:w="109"/>
        <w:gridCol w:w="211"/>
        <w:gridCol w:w="466"/>
        <w:gridCol w:w="109"/>
        <w:gridCol w:w="109"/>
        <w:gridCol w:w="109"/>
        <w:gridCol w:w="109"/>
        <w:gridCol w:w="306"/>
        <w:gridCol w:w="310"/>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 by program:</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IMM-1-104</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research and development expenses:</w:t>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expenses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approximately $0.7 million, or 7.3%, to approximately $10.1 million for the three months ended September 30, 2023 as compared to approximately $9.4 million for the three months ended September 30, 2022. The increase of approximately $0.7 million was primarily due to an increase of approximately $0.7 million related to direct research and development expenses, including a $0.9 million increase in expenses related to IMM-1-104, offset by a decrease of $0.2 million in expenses for earlier stage programs. The remaining variance was driven by unallocated research and development expenses of approximately $13 thousand, which were primarily driven by the decrease of $0.4 million in employee-related costs, offset by an increase of $0.2 million related to stock-based compensation expense, as well as an increase of $0.2 million in depreciation/amortization, and facilities and other expenses, in the aggregate.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our general and administrative expenses for the periods indicated:</w:t>
      </w:r>
    </w:p>
    <w:tbl>
      <w:tblPr>
        <w:tblW w:w="8278" w:type="dxa"/>
        <w:jc w:val="left"/>
        <w:tblInd w:w="0" w:type="dxa"/>
        <w:tblLayout w:type="fixed"/>
        <w:tblCellMar>
          <w:top w:w="28" w:type="dxa"/>
          <w:left w:w="28" w:type="dxa"/>
          <w:bottom w:w="28" w:type="dxa"/>
          <w:right w:w="28" w:type="dxa"/>
        </w:tblCellMar>
      </w:tblPr>
      <w:tblGrid>
        <w:gridCol w:w="1177"/>
        <w:gridCol w:w="1037"/>
        <w:gridCol w:w="1040"/>
        <w:gridCol w:w="257"/>
        <w:gridCol w:w="752"/>
        <w:gridCol w:w="133"/>
        <w:gridCol w:w="133"/>
        <w:gridCol w:w="133"/>
        <w:gridCol w:w="133"/>
        <w:gridCol w:w="257"/>
        <w:gridCol w:w="752"/>
        <w:gridCol w:w="133"/>
        <w:gridCol w:w="109"/>
        <w:gridCol w:w="109"/>
        <w:gridCol w:w="109"/>
        <w:gridCol w:w="211"/>
        <w:gridCol w:w="466"/>
        <w:gridCol w:w="109"/>
        <w:gridCol w:w="109"/>
        <w:gridCol w:w="109"/>
        <w:gridCol w:w="109"/>
        <w:gridCol w:w="291"/>
        <w:gridCol w:w="294"/>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by approximately $33 thousand, or 0.9%, to approximately $3.9 million for the three months ended September 30, 2023 compared to approximately $3.8 million for the three months ended September 30, 2022. The increase of approximately $33 thousand was primarily due to decreased facilities and other allocated expenses of approximately $0.4 million, and decreased professional fees for accounting, auditing and legal services of $0.2 million, partially offset by increased stock-based compensation expense of $0.3 million, an increase in employee-related costs of approximately $0.2 million, and an increase of $0.1 million in other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 was $7,317 in the three months ended September 30, 2023, compared to $7,317 in the three months ended September 30, 2022. This amortization is related to the technology acquired for the BioArkive acquisition completed in December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approximately $0.6 million for the three months ended September 30, 2023, compared to the three months ended September 30, 2022, due to the interest earned on our cash, cash equivalents and marketable securities balances as a result of an increase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was approximately $0.5 million for the three months ended September 30, 2023, primarily as a result of the increase in the accretion of premiums related to our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Nine Months Ended September 30, 2023 and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periods indicated:</w:t>
      </w:r>
    </w:p>
    <w:tbl>
      <w:tblPr>
        <w:tblW w:w="8217" w:type="dxa"/>
        <w:jc w:val="left"/>
        <w:tblInd w:w="0" w:type="dxa"/>
        <w:tblLayout w:type="fixed"/>
        <w:tblCellMar>
          <w:top w:w="28" w:type="dxa"/>
          <w:left w:w="28" w:type="dxa"/>
          <w:bottom w:w="28" w:type="dxa"/>
          <w:right w:w="28" w:type="dxa"/>
        </w:tblCellMar>
      </w:tblPr>
      <w:tblGrid>
        <w:gridCol w:w="1031"/>
        <w:gridCol w:w="908"/>
        <w:gridCol w:w="911"/>
        <w:gridCol w:w="214"/>
        <w:gridCol w:w="807"/>
        <w:gridCol w:w="110"/>
        <w:gridCol w:w="110"/>
        <w:gridCol w:w="110"/>
        <w:gridCol w:w="110"/>
        <w:gridCol w:w="214"/>
        <w:gridCol w:w="807"/>
        <w:gridCol w:w="110"/>
        <w:gridCol w:w="109"/>
        <w:gridCol w:w="109"/>
        <w:gridCol w:w="109"/>
        <w:gridCol w:w="211"/>
        <w:gridCol w:w="691"/>
        <w:gridCol w:w="109"/>
        <w:gridCol w:w="109"/>
        <w:gridCol w:w="109"/>
        <w:gridCol w:w="109"/>
        <w:gridCol w:w="368"/>
        <w:gridCol w:w="371"/>
        <w:gridCol w:w="371"/>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Amortization of intangible asset</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(14600.0)%</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(38,388)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(37,268)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3.0</w:t>
            </w: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recognized for the periods indicated:</w:t>
      </w:r>
    </w:p>
    <w:tbl>
      <w:tblPr>
        <w:tblW w:w="5951" w:type="dxa"/>
        <w:jc w:val="left"/>
        <w:tblInd w:w="0" w:type="dxa"/>
        <w:tblLayout w:type="fixed"/>
        <w:tblCellMar>
          <w:top w:w="28" w:type="dxa"/>
          <w:left w:w="28" w:type="dxa"/>
          <w:bottom w:w="28" w:type="dxa"/>
          <w:right w:w="28" w:type="dxa"/>
        </w:tblCellMar>
      </w:tblPr>
      <w:tblGrid>
        <w:gridCol w:w="304"/>
        <w:gridCol w:w="268"/>
        <w:gridCol w:w="269"/>
        <w:gridCol w:w="297"/>
        <w:gridCol w:w="573"/>
        <w:gridCol w:w="153"/>
        <w:gridCol w:w="153"/>
        <w:gridCol w:w="153"/>
        <w:gridCol w:w="153"/>
        <w:gridCol w:w="297"/>
        <w:gridCol w:w="657"/>
        <w:gridCol w:w="153"/>
        <w:gridCol w:w="109"/>
        <w:gridCol w:w="109"/>
        <w:gridCol w:w="109"/>
        <w:gridCol w:w="211"/>
        <w:gridCol w:w="541"/>
        <w:gridCol w:w="109"/>
        <w:gridCol w:w="109"/>
        <w:gridCol w:w="109"/>
        <w:gridCol w:w="109"/>
        <w:gridCol w:w="344"/>
        <w:gridCol w:w="346"/>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decreased by approximately $0.3 million, or 100.0%, to $0 for the nine months ended September 30, 2023 compared to approximately $0.3 million for the nine months ended September 30, 2022. The decrease in revenue was due to the completion of the remaining services contracts associated with the computational biology professional services business in September 2022, in addition to fulfilling the final bio-sample storage contract in December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approximately $0.2 million, or 100.0%, to $0 for the nine months ended September 30, 2023 compared to approximately $0.2 million for the nine months ended September 30, 2022. The decrease was primarily due to decreased employee-related costs related to services contracts that were discontinued as of September 2022.</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research and development expenses for the periods indicated:</w:t>
      </w:r>
    </w:p>
    <w:tbl>
      <w:tblPr>
        <w:tblW w:w="9703" w:type="dxa"/>
        <w:jc w:val="left"/>
        <w:tblInd w:w="0" w:type="dxa"/>
        <w:tblLayout w:type="fixed"/>
        <w:tblCellMar>
          <w:top w:w="28" w:type="dxa"/>
          <w:left w:w="28" w:type="dxa"/>
          <w:bottom w:w="28" w:type="dxa"/>
          <w:right w:w="28" w:type="dxa"/>
        </w:tblCellMar>
      </w:tblPr>
      <w:tblGrid>
        <w:gridCol w:w="1664"/>
        <w:gridCol w:w="1459"/>
        <w:gridCol w:w="1467"/>
        <w:gridCol w:w="227"/>
        <w:gridCol w:w="776"/>
        <w:gridCol w:w="117"/>
        <w:gridCol w:w="117"/>
        <w:gridCol w:w="117"/>
        <w:gridCol w:w="117"/>
        <w:gridCol w:w="227"/>
        <w:gridCol w:w="776"/>
        <w:gridCol w:w="117"/>
        <w:gridCol w:w="109"/>
        <w:gridCol w:w="109"/>
        <w:gridCol w:w="109"/>
        <w:gridCol w:w="211"/>
        <w:gridCol w:w="616"/>
        <w:gridCol w:w="109"/>
        <w:gridCol w:w="109"/>
        <w:gridCol w:w="109"/>
        <w:gridCol w:w="109"/>
        <w:gridCol w:w="307"/>
        <w:gridCol w:w="309"/>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expenses by program:</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IMM-1-104</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research and development expenses: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Depreciation/amortization</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approximately $3.3 million, or 12.6%, to approximately $29.7 million for the nine months ended September 30, 2023 as compared to approximately $26.4 million for the nine months ended September 30, 2022. The increase of approximately $3.3 million was primarily due to an increase of approximately $2.3 million related to direct research and development expenses, of which there was a $2.6 million increase in expenses related to IMM-1-104, offset by a $0.3 million decrease for earlier stage programs. The remaining increase was driven by unallocated research and development costs of approximately $1.0 million, of which $0.7 million related to depreciation/amortization, and facilities and other allocated expenses, in the aggregate, and $0.4 million related to stock-based compensation expense. This was partially offset by a $0.1 million decrease related to additional employee-related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general and administrative expenses for the periods indicated:</w:t>
      </w:r>
    </w:p>
    <w:tbl>
      <w:tblPr>
        <w:tblW w:w="8291" w:type="dxa"/>
        <w:jc w:val="left"/>
        <w:tblInd w:w="0" w:type="dxa"/>
        <w:tblLayout w:type="fixed"/>
        <w:tblCellMar>
          <w:top w:w="28" w:type="dxa"/>
          <w:left w:w="28" w:type="dxa"/>
          <w:bottom w:w="28" w:type="dxa"/>
          <w:right w:w="28" w:type="dxa"/>
        </w:tblCellMar>
      </w:tblPr>
      <w:tblGrid>
        <w:gridCol w:w="1177"/>
        <w:gridCol w:w="1037"/>
        <w:gridCol w:w="1040"/>
        <w:gridCol w:w="227"/>
        <w:gridCol w:w="776"/>
        <w:gridCol w:w="117"/>
        <w:gridCol w:w="117"/>
        <w:gridCol w:w="117"/>
        <w:gridCol w:w="117"/>
        <w:gridCol w:w="227"/>
        <w:gridCol w:w="776"/>
        <w:gridCol w:w="117"/>
        <w:gridCol w:w="109"/>
        <w:gridCol w:w="109"/>
        <w:gridCol w:w="109"/>
        <w:gridCol w:w="211"/>
        <w:gridCol w:w="466"/>
        <w:gridCol w:w="109"/>
        <w:gridCol w:w="109"/>
        <w:gridCol w:w="109"/>
        <w:gridCol w:w="109"/>
        <w:gridCol w:w="343"/>
        <w:gridCol w:w="347"/>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costs</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consultants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40" w:after="283"/>
        <w:jc w:val="both"/>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approximately $0.9 million, or 7.6%, to approximately $12.4 million for the nine months ended September 30, 2023 compared to approximately $11.5 million for the nine months ended September 30, 2022. The increase of approximately $0.9 million was primarily due to increased stock-based compensation expense of approximately $0.7 million, an increase in professional fees incurred for accounting, auditing, legal and tax services of approximately $0.4 million, increased other expenses of $0.4 million, and an increase in employee-related costs of $0.3 million. This was offset by a decrease of $0.8 million for facilities and other allocated expense and $68 thousand for outside consultants.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Amortization of Intangible Asset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 was $21,950 in the nine months ended September 30, 2023, compared to $22,737 in the nine months ended September 30, 2022. This amortization is related to the technology acquired for the BioArkive acquisition completed in December 2021.</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approximately $2.4 million for the nine months ended September 30, 2023, compared to the nine months ended September 30, 2022, due to the interest earned on our cash, cash equivalents and marketable securities balances as a result of an increase in interest rates.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was approximately $0.9 million for the nine months ended September 30, 2023, primarily a result of the increase in the accretion of premiums related to our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finance our operations through the issuance of convertible notes payable, convertible preferred stock, common stock, and the exercise of stock options. As of September 30, 2023, we had an accumulated deficit of $148.2 million and $97.2 million in cash,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proceeds from sales of our debt and equity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10, 2022, we entered into an Equity Distribution Agreement (the "Sales Agreement") with Piper Sandler &amp; Co (the "Sales Agent"), to sell shares of our common stock with aggregate gross proceeds of up to $50 million, from time to time, through an “at the market” equity offering program ("ATM Program"). During the three- and nine-months ended September 30, 2023, we did not sell any shares of common stock pursuant to the Sales Agreement under the ATM Program.</w:t>
      </w:r>
    </w:p>
    <w:p>
      <w:pPr>
        <w:pStyle w:val="TextBody"/>
        <w:bidi w:val="0"/>
        <w:spacing w:lineRule="auto" w:line="288" w:before="240" w:after="283"/>
        <w:jc w:val="both"/>
        <w:rPr/>
      </w:pPr>
      <w:r>
        <w:rPr>
          <w:rFonts w:ascii="Times New Roman;sans-serif" w:hAnsi="Times New Roman;sans-serif"/>
          <w:b w:val="false"/>
          <w:color w:val="000000"/>
          <w:sz w:val="20"/>
        </w:rPr>
        <w:t>On April 20, 2023, we completed an underwritten follow-on equity offering, pursuant to which we issued and sold</w:t>
      </w:r>
      <w:r>
        <w:rPr>
          <w:color w:val="000000"/>
          <w:shd w:fill="FFFFFF" w:val="clear"/>
        </w:rPr>
        <w:t xml:space="preserve"> </w:t>
      </w:r>
      <w:r>
        <w:rPr>
          <w:rFonts w:ascii="Times New Roman;sans-serif" w:hAnsi="Times New Roman;sans-serif"/>
          <w:b w:val="false"/>
          <w:color w:val="000000"/>
          <w:sz w:val="20"/>
          <w:shd w:fill="FFFFFF" w:val="clear"/>
        </w:rPr>
        <w:t>2,727,273 shares of our Class A common stock at an offering price of $11.00 per share. The aggregate net proceeds received from the offering was $28.2 million, after deducting underwriting discounts and commissions, but before deducting offering costs payable by us, which were $0.2 million.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contractual obligations related to various leases of $0.2 million for 2023, $0.7 million for 2024, $0.7 million for 2025, $0.8 million for 2026, $0.8 million for 2027 and $3.7 million for the periods thereafter.</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sources and uses of cash for the periods indicated:</w:t>
      </w:r>
    </w:p>
    <w:tbl>
      <w:tblPr>
        <w:tblW w:w="6956" w:type="dxa"/>
        <w:jc w:val="left"/>
        <w:tblInd w:w="0" w:type="dxa"/>
        <w:tblLayout w:type="fixed"/>
        <w:tblCellMar>
          <w:top w:w="28" w:type="dxa"/>
          <w:left w:w="28" w:type="dxa"/>
          <w:bottom w:w="28" w:type="dxa"/>
          <w:right w:w="28" w:type="dxa"/>
        </w:tblCellMar>
      </w:tblPr>
      <w:tblGrid>
        <w:gridCol w:w="1562"/>
        <w:gridCol w:w="1375"/>
        <w:gridCol w:w="1383"/>
        <w:gridCol w:w="213"/>
        <w:gridCol w:w="807"/>
        <w:gridCol w:w="110"/>
        <w:gridCol w:w="110"/>
        <w:gridCol w:w="110"/>
        <w:gridCol w:w="110"/>
        <w:gridCol w:w="213"/>
        <w:gridCol w:w="807"/>
        <w:gridCol w:w="156"/>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operating activities used approximately $37.2 million of cash, primarily resulting from our net loss of approximately $38.4 million and changes in assets and liabilities of $2.9 million, partially offset by stock-based compensation expense of approximately $4.1 million and the reduction in carrying amount of right-of-use assets of $0.3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operating activities used approximately $32.4 million of cash, primarily resulting from our net loss of approximately $37.3 million, partially offset by right-of-use asset amortization of $0.4 million and stock-based compensation expense of approximately $3.0 million.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Provided by Investing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investing activities provided approximately $4.2 million of cash, primarily resulting from the maturities of marketable securities of approximately $33.3 million, partially offset by purchases of marketable securities of $28.9 million and purchases of property and equipment of $0.2 million.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investing activities provided approximately $33.7 million, primarily resulting from the maturities of marketable securities of approximately $72.1 million, partially offset by purchases of marketable securities for $37.7 million and purchases of property and equipment of $0.7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net cash provided by financing activities was approximately $28.4 million, primarily driven by net proceeds of approximately $28.2 million from the Company's underwritten follow-on equity offering, after deducting commissions and underwriting fees, in addition to $0.4 million from the exercise of stock options. This was partially offset by $0.2 million in payments of costs related to the public offering.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net cash provided by financing activities was approximately $0.2 million, consisting of approximately $0.3 million from the exercise of stock options, offset by $0.1 million of payments towards offering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Future Funding Requirements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results of our ongoing clinical trial for IMM-1-104 and potential future clinical trials for our other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scope, progress, results and costs of discovery research, preclinical development, laboratory testing and clinical trials for our other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timing and outcome of regulatory review of our product candidates;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enter into contract manufacturing arrangements for supply of active pharmaceutical ingredient, or API, and manufacture of our product candidates and the terms of such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payment or receipt of milestones and receipt of other collaboration-based revenues, if any;</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timing of future commercialization activities, if any, including product manufacturing, sales, marketing and distribution, for any of our product candidates for which we may receive marketing approval;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amount and timing of revenue, if any, received from commercial sales of our product candidates for which we receive marketing approval;</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and timing of preparing, filing and prosecuting patent applications, maintaining and enforcing our intellectual property and proprietary rights and defending any intellectual property related claims;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extent to which we acquire or in-license other products, product candidates, technologies or data referencing rights;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establish and maintain strategic collaborations, licensing or other arrangements and the financial terms of such arrangements;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our ability to access the private and public capital markets or to obtain financing at commercially reasonable rate;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ability to receive additional non-dilutive funding, including grants from organizations and foundations;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costs of operating as a public company; and</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the impacts, if any, of the pandemic related to COVID-19 and its variants and potential future pandemics.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business plans, we believe that our existing cash, cash equivalents and marketable securities will enable us to fund our development activities and other operations into 2025. We have based this estimate on assumptions that may prove to be wrong, and we could utilize our available capital resources sooner than we expect.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10-K for the fiscal year ending December 31, 2022.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10-K for the fiscal year ending December 31, 2022.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remain classified as an EGC until the end of the fiscal year following the fifth anniversary of our IPO, although if the market value of our common stock that is held by non-affiliates exceeds $700 million as of the last business day of the second fiscal quarter of any year before that time, or if we have annual gross revenues of $1.235 billion or more in any fiscal year, we would cease to be an EGC as of December 31 of the applicable year. We also would cease to be an EGC if we issue more than $1.0 billion of non-convertible debt over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by Rule 12b-2 of the Securities Exchange Act of 1934, as amended,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our principal financial officer, evaluated the effectiveness of our disclosure controls and procedures (as defined in Rules 13a-15(e) and 15d-15(e) under the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 as of September 30, 2023. Based on that evaluation, our Chief Executive Officer and our Chief Accounting Officer and Treasurer concluded that, as of September 30, 2023, our disclosure controls and procedures were effective at the reasonable assurance level.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change in our internal control over financial reporting (as defined in Rules 13a-15(f) and 15d-15(f) under the Exchange Act) occurred during the three months ended September 30, 2023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future operating results could differ materially from the results described in this Quarterly Report on Form 10-Q due to the risks and uncertainties described below, elsewhere in this document and in our other reports filed with the SEC.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 for a discussion of some of the forward-looking statements that are qualified by these risk factors. Factors that could cause or contribute to such differences include those factors discussed below.</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with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Pharmaceutical product development is a highly speculative undertaking and involves a substantial degree of risk. We are a clinical-stage oncology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and clinical trials of our product candidates, including our ongoing Phase 1/2a clinical trial of IMM-1-104 for the treatment of advanced solid tumors in patients harboring RAS mutant tumors.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and development focus to a company capable of supporting commercial activities. If we do not adequately address these risks and difficulties or successfully make such a transition, our business will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for the past several years and we expect to continue to incur significant net losses for the foreseeable future and may never obtain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each reporting period for the past several years, have not generated any revenue from product sales to date and have financed our operations principally through our historical computational biology services to pharmaceutical and biotechnology companies (which have since ceased), the issuance of convertible debt and the sale of our convertible preferred stock and Class A common stock. We have incurred net losses of approximately $38.4 million and $50.5 million for the nine months ended September 30, 2023 and year ended December 31, 2022 respectively. As of September 30, 2023, we had an accumulated deficit of approximately $148.2 million. Our losses have resulted principally from expenses incurred in research and development of our product candidates, from management and administrative costs and other expenses that we have incurred while building our business infrastructure. We are currently conducting an ongoing Phase 1/2a clinical trial for our lead product candidate, IMM-1-104, for the treatment of advanced solid tumors in patients harboring RAS mutant tumors. Our other product candidates are in earlier stages of drug development, including IMM-6-415 for which we plan to file an IND in the fourth quarter of 2023.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expect these losses to increase substantially if and as we: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advance the development of our lead product candidate, IMM-1-104, and our other product candidates, including IMM-6-415, through preclinical and clinical development, and, if approved by the FDA or other comparable foreign regulatory authorities, commercialization;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incur manufacturing costs for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seek regulatory approvals for any of our product candidates that successfully complete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increase our research and development activities to identify and develop new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hire additional personnel;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expand our operational, financial and management systems;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invest in measures to protect and expand our intellectual property;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 candidates for which we may obtain marketing approval and intend to commercialize;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expand our manufacturing and develop our commercialization efforts, if any;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operate as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current and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approximately $97.2 million in cash, cash equivalents and marketable securities. Based on our current business plans, we believe that our existing cash, cash equivalents and marketable securities will be sufficient to fund our development activities and other operations into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initiation, progress, timeline, cost and results of our clinical trials for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initiation, progress, timeline, cost and results of additional research and preclinical studies related to pipeline development and other research programs we initiate in the future;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and timing of manufacturing activities as we advance our product candidates through preclinical and clinical development, and possibly commercialization;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potential expansion of our current development programs to seek new indications;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potential negative impact of the COVID-19 pandemic or future pandemics on our business;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filing, prosecuting, defending and enforcing patent claims and other intellectual property rights, in-licensed or otherwise;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payment of licensing fees, potential royalty payments and potential milestone payments;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general operating expenses;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and timing of completion of commercial-scale manufacturing activities;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Advancing the development of our product candidates will require a significant amount of capital. Our existing cash, cash equivalents and marketable securities will not be sufficient to fund all of the activities that are necessary to complete the development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For example in 2022, due to macroeconomic conditions including inflation and higher interest rates, the stock price of biotech companies, including ours, generally declined, making fundraising in our industry more difficult and on less favorable terms. Furthermore, additional fundraising efforts may divert our management from their day-to-day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activities, which may adversely affect our ability to develop and potentially commercialize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the majority of our cash and cash equivalents in accounts with major U.S. and multi-national financial institutions, and our deposits at certain of these institutions exceed insured limits. Market conditions have in the past impacted and may in the future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offering made pursuant to the Sales Agreement or otherwise,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other tax attributes may be limited.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approximately $77.0 million of federal and $76.2 million of state net operating loss carryforwards, or NOLs, available to offset future taxable income. Under Sections 382 and 383 of the U.S. Internal Revenue Code of 1986, as amended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Development, Regulatory Approval and Commercialization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comparable foreign regulatory authorities may approve our product candidates for a more limited indication or a narrower patient population than we originally requested. We have not submitted for, or obtained, regulatory approval for any product candidate, and it is possible that none of our existing product candidates or any product candidates we may seek to develop in the future will ever obtain regulatory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Applications for our product candidates could fail to receive, or be delayed in receiving, regulatory approval for many reasons,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disagree with the design, implementation or results of our clinical trials, including without limitation with respect to the proper escalation of dosing in patients;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population studied in the clinical trial may not be sufficiently broad or representative to assure efficacy and safety in the full population for which we seek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disagree with our interpretation of data from preclinical studies or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data collected from clinical trials of our product candidates may not be sufficient to support the submission of a New Drug Application, or NDA, or other submission or to obtain regulatory approval in the United States or elsewhere;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unable to demonstrate to the FDA or other comparable foreign regulatory authorities that a product candidate’s risk-benefit ratio for its proposed indication is acceptable;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approval policies or regulations of the FDA or other comparable foreign regulatory authorities may significantly change in a manner rendering our clinical data insufficient for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and we may not be able to submit additional INDs or IND amendments or comparable documents in foreign jurisdictions to commence additional clinical trials on the timelines we expect, and even if we are able to, the FDA may not permit us to proceed.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submit additional INDs or comparable documents for IMM-1-104, for which an IND was previously submitted, IMM-6-415 or our other potential product candidates on the timeline we expect.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 clinical-stage oncology company, and our company has limited experience in designing clinical trials and may experience delays or unexpected difficulties in obtaining regulatory approval for our current and future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oncology company, and we have limited experience in designing clinical trials and may be unable to design and execute a clinical trial to support marketing approval. We cannot be certain that our ongoing or planned clinical trials or any future clinical trials will be successful. It is possible that the FDA may refuse to accept, or be delayed in accepting,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encounter substantial delays in completing, or ultimately be unable to complete, the development and commercialization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FDA or comparable foreign regulatory authorities disagreeing as to the design or implementation of our clinical studies, including without limitation with respect to the proper escalation of dosing in patients;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regulatory authorizations to commence a trial or reaching a consensus with regulatory authorities on trial design;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approval from one or more institutional review boards, or IRBs;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IRBs refusing to approve, suspending or terminating the trial at an investigational site, precluding enrollment of additional subjects, or withdrawing their approval of the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enrollment due to travel or quarantine policies, or other factors related to COVID-19 and its variants, other pandemics or other events outside our control;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changes to clinical trial protocol;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clinical sites deviating from trial protocol or dropping out of a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manufacturing sufficient quantities of product candidates or obtaining sufficient quantities of combination therapies for use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failing to enroll or remain in our trial at the rate, with the tumor types, and / or at the stage(s) of disease that we expect, or failing to return for post-treatment follow-up;</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choosing an alternative treatment for the indication for which we are developing our product candidates, or participating in competing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occurrence of serious adverse events in trials of the same class of agents conducted by other companies;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selection of clinical end points that require prolonged periods of clinical observation or analysis of the resulting data;</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contractors not performing data collection or analysis in a timely or accurate manner;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occurrence of any public health crisis or similar global events, such as the pandemic related to COVID-19 and its variants,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these changes. Amendments may require us to resubmit our clinical trial protocols to IRBs for reexamination, which may impact the costs, timing or successful completion of a clinical trial.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including with respect to healthcare, cybersecurity and data privacy matters, as well as political and economic risks or military conflicts relevant to such foreign countries.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results of our clinical trials are inconclusive or if there are safety concerns or serious adverse events associated with our product candidates, we may: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delayed in obtaining marketing approval, if at all;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required to perform additional clinical trials to support approval or be subject to additional post-marketing testing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have regulatory authorities withdraw, or suspend, their approval of the drug or impose restrictions on its distribution in the form of a modified REMS;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subject to the addition of labeling statements, such as warnings or contraindications;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 sued;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experience damage to our reputation.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candidates. The FDA has substantial discretion in the review and approval process and may disagree that our data support the claims we propose.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viability of our product candidates could be significantly reduced. Any of these occurrences may harm our business, financial condition and prospects significantly.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Additionally, any safety concerns observed in any one of our clinical trials in our targeted indications could limit the prospects for regulatory approval of our product candidates in those and other indications, which could seriously harm our business. Most product candidates that begin clinical trials are never approved by regulatory authorities for commercialization.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also disclose interim data from our preclinical studies and clinical trials. For example, we disclosed initial interim PK, PD and safety data from our Phase 1/2a clinical trial of IMM-1-104 in April 2023. Interim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potentially commercialize, our product candidates may be harmed, which could harm our business, results of operations, prospects or financial condition. Moreover, such disclosure could adversely affect the trading price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our product candidates, when used in combination with other therapies, may exacerbate adverse events associated with the therapy. Patients treated with our product candidates may also be undergoing surgical, radiation, chemotherapy or other aggressive treatments, which can cause side effects or adverse events that are unrelated to our product candidate, but may still negatively impact the success of our clinical trials. Similarly, already critically ill patients that we enroll in our clinical trials have in the past and may in the future experience adverse medical events due to the general gravity or advanced stage of such patients’ illnesses, in each case which could adversely affect our clinical trials even though such outcomes are not related or attributable to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forced to suspend marketing of that product, or be forced to or decide to remove the product form the marketplace;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authorities may withdraw or change their approvals of that product in one or more countries;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required to create a medication guide outlining the risks of the product for patients, or to conduct post-marketing studies;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be required to change the way the product is administered;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could be subject to fines, injunctions, or the imposition of criminal or civil penalties, or to be sued and held liable for harm caused to subjects or patients;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product may become less competitive, and our reputation may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size and nature of the patient population;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severity of the disease under investigation;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availability and efficacy of approved drugs for the disease under investigation;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patient eligibility criteria for the trial in question as defined in the protocol;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perceived risks and benefits of the product candidate under study;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efforts to facilitate timely enrollment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patient referral practices of physicians;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ability to monitor patients adequately during and after treatment;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proximity and availability of clinical trial sites for prospective patients;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continued enrollment of prospective patients by clinical trial sites;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or difficulties in enrollment and completion of studies due to the pandemic related to COVID-19 and its variants or any future pandemic.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Even if approved, our product candidates may not achieve adequate market acceptance among physicians, patients, healthcare payors and others in the medical community necessary for commercial success.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efficacy and safety profile as demonstrated in clinical trials compared to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the use of our product candidates, such as boxed warnings or contraindications in labeling, or a REMS, if any, which may not be required of alternative treatments and competitor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potential and perceived advantages of product candidates over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availability of coverage and adequate reimbursement, as well as pricing, by third-party payors, including government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availability of the approved product candidate for use as a combination therapy;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effectiveness of sales and marketing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unfavorable publicity relating to our products or product candidates or similar approved products or product candidates in development by third parties;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 xml:space="preserve">the approval of other new therapies for the same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obtain U.S. or foreign regulatory approvals and, as a result, may be unable to commercialize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approach to the discovery and development of product candidates is unproven, and we may not be successful in our efforts to use and expand our DCT platform to build a pipeline of product candidates with commercial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preclinical and clinical development of IMM-1-104 and other product candidates,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only begun testing IMM-1-104 in humans and have only generated interim data from the ongoing Phase 1 portion of our Phase 1/2a study of IMM-1-104, and otherwise our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intend to develop certain of our current product candidates in combination with other therapies, and may develop our future product candidates in combination with other therapies, which exposes us to additional risks.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develop IMM-1-104 as a potential biologic/drug combination product, and we may also develop other current or future product candidates as biologic/drug combination products. Additional time may be required to obtain regulatory approval for any of our current or future product candidates if or when they are developed as potential combination products. Any of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may choose to evaluate our current product candidates or any other future product candidates in combination with one or more therapies that have not yet been approved for marketing by the FDA or comparable foreign regulatory authorities. We will not be able to market and sell our product candidates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ultimately commercialize any product candidates we develop, or experience significant delays in doing so, our business will be materially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early in our development efforts and we have not yet completed our Phase 1/2a clinical trial for our lead product candidate, IMM-1-104, for which we disclosed initial interim PK, PD and safety data in April 2023. We have also not yet submitted our IND application for IMM-6-415. Our other product candidates are in earlier stages of drug development. We have invested substantially all of our efforts and financial resources in the identification of targets, preclinical and clinical development of small molecules targeting the MAPK and other pathways in cancer therapy.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and future product candidates will depend on several factors,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and timely completion of additional preclinical studies;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initiation, patient enrollment and completion of our ongoing and future clinical trials which we may initiate, on a timely basis, including despite any delays arising out of the pandemic related to COVID-19 and its variants or any future pandemic;</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maintaining and establishing relationships with CROs and clinical sites for clinical development,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frequency and severity of adverse events in the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efficacy, safety and tolerability profiles that are satisfactory to the FDA or any comparable foreign regulatory authority for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timely receipt of marketing approvals from applicable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maintenance of existing or the establishment of new supply arrangements with third-party drug product suppliers and manufacturers for clinical development;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maintenance of existing, or the establishment of new, scaled production arrangements with third-party manufacturers to obtain finished products that are appropriate for commercial sale of our product candidates, if approved;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and maintaining patent protection, trade secret protection and regulatory exclusivity, both in the United States and internationally;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protection of our rights in our intellectual property portfolio;</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successful launch of commercial sales following any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continued acceptable safety profile following any marketing approval;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commercial acceptance by patients, the medical community and third-party payors;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ability to compete with other therapies.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candidates we develop, which would materially harm our business. If we do not receive marketing approvals for IMM-1-104, or any other product candidate we develop, we may not be able to continue our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long-term prospects depend in part upon discovering, developing and commercializing product candidates, which may fail in development or suffer delays that adversely affect their commercial viability.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results of operations are dependent on our ability to successfully discover, develop, obtain regulatory approval for and commercialize product candidates beyond those we currently have in preclinical studies and early stage 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product candidates we have or may develop will depend on many factors,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 of our research methodology in identifying potential indications or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generating sufficient data to support the initiation or continuation of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contracting with the necessary parties to conduct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successful enrollment of patients in, and the completion of, clinical trials on a timely basis;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timely manufacture of sufficient quantities of the product candidate for use in clinical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adverse events in the clinical trials;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any potential interruptions or delays resulting from factors related to the pandemic related to COVID-19 and its variants or any future pandemic.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commercialized a product candidate, and we currently have no sales force, marketing or distribution capabilities. We will have to develop our own sales, marketing and supply organization or outsource these activities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third party to commercialize our products. If we decide to license our product candidates to others, we may need to rely on the marketing assistance and guidance of those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pStyle w:val="TextBody"/>
        <w:bidi w:val="0"/>
        <w:spacing w:lineRule="auto" w:line="288" w:before="200" w:after="283"/>
        <w:jc w:val="both"/>
        <w:rPr/>
      </w:pPr>
      <w:r>
        <w:rPr>
          <w:rFonts w:ascii="Times New Roman;sans-serif" w:hAnsi="Times New Roman;sans-serif"/>
          <w:b w:val="false"/>
          <w:color w:val="000000"/>
          <w:sz w:val="20"/>
        </w:rPr>
        <w:t>The pharmaceutical and biotechnology industries are characterized by rapidly advancing technologies, intense competition and a strong emphasis on proprietary and novel products and product candidates. Our</w:t>
      </w:r>
      <w:r>
        <w:rPr>
          <w:color w:val="000000"/>
        </w:rPr>
        <w:t xml:space="preserve"> </w:t>
      </w:r>
      <w:r>
        <w:rPr>
          <w:rFonts w:ascii="Times New Roman;sans-serif" w:hAnsi="Times New Roman;sans-serif"/>
          <w:b w:val="false"/>
          <w:color w:val="000000"/>
          <w:sz w:val="20"/>
        </w:rPr>
        <w:t xml:space="preserve">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Our product candidates and programs for oncology will compete with products or programs being advanced by certain of these pharmaceutical and biotechnology companies, organizations and institutions. We also compete with these organizations to recruit management, scientists and clinical development and other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or other comparable foreign regulatory authorities or in discovering, developing and commercializing products in our field before we do.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obsolete, less competitive or not economical. If we are unable to compete effectively, our opportunity to generate revenue from the sale of our products we may develop, if approved, could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the market opportunity for any product candidate that we develop is smaller than we believe, our revenue may be adversely affected and our business may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obtained marketing approval for a product candidate and we may be unable to obtain, or may be delayed in obtaining, marketing approval for any product candidate.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If the FDA does not accept or approve our NDAs for our product candidates, it may require that we conduct additional clinical trials,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COVID-19 pandemic and potential future pandemics could continue to adversely impact our business, including our current and future clinical trials, supply chain and business development activities.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government actions and our own policies and those of third parties to reduce the spread of COVID-19 and its variants or any future pandemic may negatively impact productivity and slow down or delay our future clinical trials, preclinical studies and research and development activities, and may cause disruptions to our supply chain and impair our ability to execute our business development strategy. We may also experience delays in receiving approval from regulatory authorities to initiate or conduct our ongoing or planned clinical trials and delays in regulatory review or approval of any NDA or similar foreign filing we may submit following positive results, if any, in a pivotal study for any of our drug candidates. We may also experience operational delays such as delays or difficulties in enrolling patients in our clinical trials; 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 and 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potential economic impact brought by, and the duration of, the pandemic related to COVID-19 and its variants may be difficult to assess or predict, there has been and could further be a significant disruption of global financial markets, reducing our ability to access capital, which could in the future negatively affect our liquidity and financial position. In addition, the trading prices for other biopharmaceutical companies have been highly volatile in part as a result of the pandemic related to COVID-19 and its variants.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other disruptions in our operations and the global economy, due to COVID-19, its variants, or any other public health crisis, could negatively impact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Relating to Our Dependence on Third Parties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substantially rely, and expect to continue to rely, on third parties, including independent clinical investigators and CROs, to conduct certain aspects of our preclinical studies and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substantially rely, and expect to continue to rely, on third parties, including independent clinical investigators and third-party CROs,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or future pandemics,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CROs generally have the right to terminate their agreements with us in the event of an uncured material breach. In addition, some of our CROs may also have an ability to terminate their respective agreements with us for other reasons, including without limitation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at a commercially reasonable cost or at all,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decide to establish new collaborations in the future, but are not able to establish those collaborations on commercially reasonable terms, we may have to alter our development and commercialization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have significant discretion in determining the efforts and resources that they will apply to these collaborations and may not perform their obligations as expected;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 collaborator with marketing and distribution rights to multiple products may not commit sufficient resources to the marketing and distribution of our product relative to other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collaboration agreements may not lead to development or commercialization of product candidates in the most efficient manner or at all;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Manufacturing</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Manufacturing drugs, especially in large quantities, is complex and may require the use of innovative technologies. Each lot of an approved drug product must undergo thorough testing for identity, strength, quality, purity and potency.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drugs requires facilities specifically designed for and validated for this purpose, as well as sophisticated quality assurance and quality control procedures.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manufacture of our product candidates for preclinical studies and clinical trials, and expect to continue to do so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reduction or termination of production or deliveries by suppliers, or the raising of prices or renegotiation of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termination or nonrenewal of arrangements or agreements by our third-party contractors at a time that is costly or inconvenient for us;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breach by the third-party contractors of our agreements with them;</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third-party contractors to comply with applicable regulatory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failure of the third party to manufacture our product candidates according to our specifications;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mislabeling of clinical supplies, potentially resulting in the wrong dose amounts being supplied or active drug or placebo not being properly identified;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misappropriation of our proprietary information, including our trade secrets and know-how.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or future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or a third-party’s, failure to execute on our manufacturing requirements, to do so on commercially reasonable terms and timelines, or to comply with cGMP requirements could adversely affect our business in a number of ways,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meet our product specifications and quality requirements consistently;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initiate or continue clinical trials of our product candidates under development;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submitting regulatory applications, or receiving marketing approvals, for our product candidates,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inability to commercialize any product candidates that receive marketing approval on a timely basis;</w:t>
      </w:r>
    </w:p>
    <w:p>
      <w:pPr>
        <w:pStyle w:val="TextBody"/>
        <w:bidi w:val="0"/>
        <w:spacing w:lineRule="auto" w:line="288" w:before="200" w:after="283"/>
        <w:ind w:left="0" w:right="0" w:hanging="144"/>
        <w:jc w:val="both"/>
        <w:rPr/>
      </w:pPr>
      <w:r>
        <w:rPr>
          <w:color w:val="000000"/>
        </w:rPr>
        <w:t xml:space="preserve">• </w:t>
      </w:r>
      <w:r>
        <w:rPr>
          <w:rFonts w:ascii="Times New Roman;sans-serif" w:hAnsi="Times New Roman;sans-serif"/>
          <w:b w:val="false"/>
          <w:color w:val="000000"/>
          <w:sz w:val="20"/>
        </w:rPr>
        <w:t>loss of the cooperation of future collaborators;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subjecting third-party manufacturing facilities or our manufacturing facilities, if any, to additional inspections by regulatory authorities;</w:t>
      </w:r>
      <w:r>
        <w:rPr>
          <w:color w:val="000000"/>
        </w:rPr>
        <w:t xml:space="preserve"> </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requirements to cease development or to recall batches of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 the event of approval to market and commercialize our product candidates, an inability to meet commercial demands for our product or any other future product candidates;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future profit margins.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studies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 Matters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 xml:space="preserve">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false, fictitious, or fraudulent statement or entry in connection with the delivery of or payment for healthcare benefits, items, or services;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non-physician providers including physician assistants and nurse practitioners, and teaching hospitals, as well as information regarding ownership and investment interests held by physicians and their immediate family members. The information reported is publicly available on a searchable website, with disclosure required annually;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by the Health Information Technology for Economic and Clinical Health Act, and the regulations promulgated thereunder, or collectively, HIPAA. While we do not believe that we are currently acting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or may become subject to rapidly evolving data protection laws, rules and regulations in foreign jurisdictions. For example, the European Union General Data Protection Regulation (the "GDPR"), governs certain collection and other processing activities involving personal data about individuals in the European Economic Area (the "EEA").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since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GDPR and UK GDPR regulate cross-border transfers of personal data out of the EEA and the UK respectively. Recent legal developments in Europe have created complexity and uncertainty regarding such transfers, in particular in relation to transfers to the United States. On July 16, 2020, the Court of Justice of the European Union or the CJEU invalidated the EU-US Privacy Shield Framework, or Privacy Shield, under which personal information could be transferred from the EEA (and the UK)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the enforcement landscape further develops, and supervisory authorities issue further guidance on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also adversely affect our business,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or third-party CMOs, CROs or other contractors or consultants fail to comply with applicable federal, state, local or foreign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entails a significant risk of product liability and if we are unable to obtain sufficient insurance coverage such inability could have an adverse effect on our business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if at all, to protect us against losses caused by product liability claims that could have an adverse effect on our business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Any product candidates we develop may become subject to unfavorable third-party coverage and reimbursement practices, as well as pricing regulations.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candidate that we may be able to commercialize and, if reimbursement is available, what the level of reimbursement will be.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may also produce hazardous waste products.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FDA or other comparable foreign regulatory authorities may not accept data from trials conducted in locations outside of their jurisdiction.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would be costly and time-consuming and delay aspects of our business plan, and which may result in our product candidates not receiving approval for commercialization in the applicable jurisdiction.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Even if our product candidates receive regulatory approval, they will be subject to significant post-marketing regulatory requirements and oversight.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authority requirements may subject our company to administrative or judicially imposed sanctions,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delays in or the rejection of product approvals;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injunctions;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product seizures, detentions or import bans;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total or partial suspension of production;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imposition of restrictions on operations, including costly new manufacturing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further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FDA and other regulatory agencies actively enforce the laws and regulations prohibiting the promotion of off-label uses.</w:t>
      </w:r>
    </w:p>
    <w:p>
      <w:pPr>
        <w:pStyle w:val="TextBody"/>
        <w:bidi w:val="0"/>
        <w:spacing w:lineRule="auto" w:line="288" w:before="200" w:after="283"/>
        <w:jc w:val="both"/>
        <w:rPr/>
      </w:pPr>
      <w:r>
        <w:rPr>
          <w:rFonts w:ascii="Times New Roman;sans-serif" w:hAnsi="Times New Roman;sans-serif"/>
          <w:b w:val="false"/>
          <w:color w:val="000000"/>
          <w:sz w:val="20"/>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w:t>
      </w:r>
      <w:r>
        <w:rPr>
          <w:color w:val="000000"/>
        </w:rPr>
        <w:t xml:space="preserve"> </w:t>
      </w:r>
      <w:r>
        <w:rPr>
          <w:rFonts w:ascii="Times New Roman;sans-serif" w:hAnsi="Times New Roman;sans-serif"/>
          <w:b w:val="false"/>
          <w:color w:val="000000"/>
          <w:sz w:val="20"/>
        </w:rPr>
        <w:t>successfully manage the promotion of our product candidates, if approved, we could become subject to significant liability, which would materially adversely affect our business and financial condition.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 down or other disruption at the FDA occurs, it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global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face difficulties from changes to current regulations and future legislation.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other legislative changes have been proposed and adopted in the United States since the ACA was enacted. These changes included the American Rescue Plan Act of 2021, which eliminates the statutory Medicaid drug rebate cap, currently set at 100% of a drug’s average manufacturer price, beginning January 1, 2024. 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(HHS) to implement many of these provisions through guidance, as opposed to regulation, for the initial years. For that and other reasons, it is currently unclear how the IRA will be effectuated.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owned one issued patent and three pending patent applications, in the United States only, related to our platform technologies, as well as pending patent applications related to our product candidates in and outside the United States. We currently do not have any issued patents related to our product candidates. Further, patent prosecution with respect to our pending patent applications related to our product candidates is in many cases in the early stages and, as such, no patent examiner has yet fully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patent applications may not result in any patents being issued;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patents may be challenged, invalidated, modified, revoked, circumvented, found to be unenforceable or otherwise may not provide any competitive advantage;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countries other than the United States may have patent laws less favorable to patentees than the patent law typically applied by U.S. courts, allowing foreign competitors a better opportunity to create, develop and market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although we seek to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 Moreover, it is possible that we may not enter into non-disclosure and confidentiality agreements with such parties, thereby potentially compromising our confidential information or otherwise subjecting it to potential loss or misuse.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 royalties and other obligations. If we fail to comply with our obligations under these agreements,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disputes may arise between us and any future licensors regarding intellectual property subject to a license agreement,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scope of rights granted and obligations imposed under the license agreement and other interpretation-related issues;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whether and the extent to which our technology and processes infringe intellectual property of the licensor that is not subject to the licensing agreement;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right to sublicense patents and other rights to third parties;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amounts, if any, we owe to a potential licensor in respect of sublicense fees or income or in respect of backup product;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right to transfer or assign the license;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licensors and its affiliates and sublicensees and by us and our partners and sublicensees.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patent protection and patent prosecution for some of our product candidates may be dependent on our future licensors and third parties.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lineRule="auto" w:line="288" w:before="200" w:after="283"/>
        <w:jc w:val="both"/>
        <w:rPr/>
      </w:pPr>
      <w:r>
        <w:rPr>
          <w:rFonts w:ascii="Times New Roman;sans-serif" w:hAnsi="Times New Roman;sans-serif"/>
          <w:b w:val="false"/>
          <w:color w:val="000000"/>
          <w:sz w:val="20"/>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w:t>
      </w:r>
      <w:r>
        <w:rPr>
          <w:color w:val="000000"/>
        </w:rPr>
        <w:t xml:space="preserve"> </w:t>
      </w:r>
      <w:r>
        <w:rPr>
          <w:rFonts w:ascii="Times New Roman;sans-serif" w:hAnsi="Times New Roman;sans-serif"/>
          <w:b w:val="false"/>
          <w:color w:val="000000"/>
          <w:sz w:val="20"/>
        </w:rPr>
        <w:t>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third parties may obtain patents in the future and claim that use of our technologies infringes upon these patents. Any claims of patent infringement asserted by third parties would be time-consuming and could: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result in costly litigation that may cause negative publicity;</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divert the time and attention of our technical personnel and management;</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cause development delays;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prevent us from commercializing any of our product candidates until the asserted patent expires or is held finally invalid or unenforceable or not infringed in a court of law;</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us to develop non-infringing technology, which may not be possible on a cost-effective basis;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subject us to significant liability to third parties; 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us to enter into royalty or licensing agreements, that may not be available on commercially reasonable terms, or at all, or that might be non-exclusive, which could result in our competitors gaining access to the same technology.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litigation may lead to unfavorable publicity that harms our reputation and causes the market price of our common shares to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Derivation or interference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Patent reform legislation could increase the uncertainties and costs surrounding the prosecution of our patent applications and the enforcement or defense of our issued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in U.S. patent law, or laws in other countries, could diminish the value of patents in general, thereby impairing our ability to protect our product candidates.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Congress or other foreign legislative bodies may pass patent reform legislation that is unfavorable to us.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or our future licensors may be subject to claims challenging the inventorship or ownership of our or our future in-licensed patents and other 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advisors, consultants, contractors and other third parties, including certain service providers,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FDA marketing approval, if any,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 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pStyle w:val="TextBody"/>
        <w:bidi w:val="0"/>
        <w:spacing w:lineRule="auto" w:line="288" w:before="200" w:after="283"/>
        <w:jc w:val="both"/>
        <w:rPr/>
      </w:pPr>
      <w:r>
        <w:rPr>
          <w:rFonts w:ascii="Times New Roman;sans-serif" w:hAnsi="Times New Roman;sans-serif"/>
          <w:b w:val="false"/>
          <w:color w:val="000000"/>
          <w:sz w:val="20"/>
        </w:rPr>
        <w:t>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prescribers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use third-party open source software, which could negatively affect our ability to offer our solutions and subject us to litigation or other actions.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 make our systems more vulnerable to data breaches. In addition, the public availability of such software may make it easier for others to compromise our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others may be able to develop products that are similar to our product candidates but that are not covered by the claims of the patents that we may own or license;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or our potential future licensors might not have been the first to make the inventions covered by the issued patents or patent application that we may own or license;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or our potential future licensors might not have been the first to file patent applications covering certain of our inventions;</w:t>
      </w:r>
      <w:r>
        <w:rPr>
          <w:color w:val="000000"/>
        </w:rPr>
        <w:t xml:space="preserve"> </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it is possible that our, or our future licensors’, pending patent applications will not lead to issued patents;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future issued patents that we own or license may be held invalid or unenforceable, as a result of legal challenges by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it could significantly harm our business,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Employee Matters and Managing our Growth</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establish sales or marketing capabilities or enter into agreements with third parties to sell or market our product candidates, we may not be able to successfully sell or market our product candidates that obtain regulatory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success is highly dependent on our ability to attract and retain highly skilled executive officers and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 We currently do not maintain "key person" insurance for any of our executive officers (other than our chief executive officer) or other employees, and such insurance, even if in place, may not be adequate.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67 full-time employees, including 52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identifying, recruiting, integrating, maintaining and motivating additional employees;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and/or engaging additional third-party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maintain an active, liquid and orderly trading market for our Class A common stock and, as a result, it may be difficult for you to sell your shares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our Class A common stock has in the past decreased from time to time, and may in the future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price of our Class A common stock has in the past been, and in the future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timing and results of preclinical studies and clinical trials of our product candidates or those of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success of competitive products or announcements by potential competitors of their product development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the recruitment or departure of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market conditions in the pharmaceutical and biotechnology sector;</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changes in the structure of healthcare payment systems;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sales of our Class A common stock by us, our insiders or our other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expiration of market stand-off or lock-up agreements;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general economic, industry and market conditions, including the effects of recession or slow economic growth in the U.S. and abroad, interest rates, inflation, fuel prices, international currency fluctuations, corruption, political instability, acts of war, acts of terrorism, and the ongoing COVID-19 pandemic or other public health crises.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realization of any of the above risks or any of a broad range of other risks, including those described in this “Risk Factors” section, could have a dramatic and adverse impact on the market price of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principal stockholders and management own a significant percentage of our stock and will be able to exert significant control over matters subject to stockholder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holders of 5% or more of our capital stock and their respective affiliates beneficially own a significant percentage of our voting stock and these stockholders will be able to influence us through this ownership position. These stockholders, if they were to vote their shares in the same or a similar manner as one another,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Class A and/or Class B common stock in the public market could cause our stock price to fall.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and shares of Class A common stock that were or will be sold under the registration statement filed with the SEC on August 10, 2022 are, or will be, as applicable, freely transferable without restrictions or further registration under the Securities Act, except for any shares acquired by our affiliates, as defined in Rule 144 under the Securities Act. The remaining shares of our Class A common stock that are outstanding are either unrestricted or restricted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Class A common stock and, consequently, your ability to achieve a return on your investment will depend on appreciation of the value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equity securities. We currently anticipate that we will retain future earnings, if any,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Delaware law might discourage, delay or prevent a change in control of our company or changes in our management and, therefore, depress the market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 classified board of directors so that not all members of our board are elected at one time;</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prohibit cumulative voting;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authorize our board of directors to amend the bylaws;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require a super-majority vote of stockholders to amend some provisions described above.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General Corporation Law of the State of Delaware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any of our CROs, manufacturers, other contractors, consultants, collaborators or potential future collaborators, may fail or suffer security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our information technology systems and those of our current and any future CROs and other contractors, consultants, collaborators and third-party service providers, are vulnerable to attack, interruption and damage from computer viruses (e.g. ransomware), cybersecurity threats, malicious code, unauthorized access, natural disasters, terrorism, war and telecommunication and electrical failure,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We have also outsourced elements of our information technology infrastructure, and as a result a number of third-party vendors may or could have access to our confidential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of a security breach or disruption, particularly through cyberattacks or cyber intrusion, including by computer hackers, foreign governments and cyber terrorists, has generally increased as the number, intensity and sophistication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attempted attacks and intrusions from around the world have increased and evolved.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If we or our third-party vendors were to experience a significant 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or result in the unauthorized acquisition of or access to our trade secrets, health-related or other personal information or other proprietary or sensitive information, it could result in a material disruption of our drug discovery and development programs and our business operations, whether due to a loss of our trade secrets or other similar disruptions, and it may be necessary to notify individuals, governmental authorities, supervisory bodies, the media and other parties pursuant to data privacy and security laws.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are vulnerable to interruption by fire, severe weather conditions, power loss, telecommunications failure, terrorist activity, future pandemics and other events beyond our control, which could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geopolitical conflicts, future pandemics, public health crises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an “emerging growth company,” and we cannot be certain if the reduced reporting requirements applicable to emerging growth companies will make our Class A common stock less attractive to investors.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not being required to comply with the auditor attestation requirements of Section 404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the communication of critical audit matters in the auditor’s report on financial statements;</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reduced disclosure obligations regarding executive compensation in our periodic reports and proxy statements; and</w:t>
      </w:r>
    </w:p>
    <w:p>
      <w:pPr>
        <w:pStyle w:val="TextBody"/>
        <w:bidi w:val="0"/>
        <w:spacing w:lineRule="auto" w:line="288" w:before="200" w:after="283"/>
        <w:ind w:left="0" w:right="0" w:hanging="144"/>
        <w:jc w:val="both"/>
        <w:rPr/>
      </w:pPr>
      <w:r>
        <w:rPr>
          <w:color w:val="000000"/>
        </w:rPr>
        <w:t>•</w:t>
      </w:r>
      <w:r>
        <w:rPr>
          <w:rFonts w:ascii="Times New Roman;sans-serif" w:hAnsi="Times New Roman;sans-serif"/>
          <w:b w:val="false"/>
          <w:color w:val="000000"/>
          <w:sz w:val="20"/>
        </w:rPr>
        <w:t>exemptions from the requirements of holding nonbinding advisory stockholder votes on executive compensation and stockholder approval of any golden parachute payments not previously approved.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result in more litigation and divert management’s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Even if the claims do not result in litigation or are resolved in our favor, the time and resources needed to resolve them could divert our management’s resources and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New tax legislation may impact our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For example, the recently enacted Inflation Reduction Act, among other changes, introduced a 15% corporate minimum tax on certain United States corporations and a 1% excise tax on certain stock redemptions by United States corporations. The likelihood of these or other further changes being enacted or implemented is unclear. We are currently unable to predict whether such changes will occur. If such changes are enacted or implemented as well as the scope of any such changes, we are currently unable to predict the ultimate impact on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Use of Proceeds, and Issuer Purchases of Equity Securities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Unregistered Sales of Equity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Use of Proceeds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Issuer Purchases of Equity Securities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On November 8, 2023, the Company and Scott Barrett, M.D., the Company’s Chief Medical Officer, agreed that Dr. Barrett will depart the Company effective November 30, 2023. Brett Hall, Ph.D., the Company’s Chief Scientific Officer, will lead the Company’s clinical activities in the interim while the Company conducts a search for a new chief medical officer. Dr. Barrett’s departure is not the result of any disagreement with the Company on any matter relating to the Company’s operations, policies, or practices. A copy of the Separation Agreement and Release (the “Separation Agreement”) executed by and between Dr. Barrett and the Company, memorializing the financial, transitional, and other terms of Dr. Barrett’s departure, is filed as Exhibit 10.2 to this Quarterly Report on Form 10-Q for the period ended September 30, 2023. The foregoing description of the Separation Agreement is qualified in its entirety by the full text of the Separation Agreement.</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27"/>
        <w:gridCol w:w="288"/>
        <w:gridCol w:w="290"/>
        <w:gridCol w:w="2070"/>
        <w:gridCol w:w="1932"/>
        <w:gridCol w:w="1877"/>
        <w:gridCol w:w="171"/>
        <w:gridCol w:w="171"/>
        <w:gridCol w:w="169"/>
        <w:gridCol w:w="263"/>
        <w:gridCol w:w="263"/>
        <w:gridCol w:w="235"/>
        <w:gridCol w:w="210"/>
        <w:gridCol w:w="210"/>
        <w:gridCol w:w="211"/>
        <w:gridCol w:w="213"/>
        <w:gridCol w:w="213"/>
        <w:gridCol w:w="214"/>
        <w:gridCol w:w="255"/>
        <w:gridCol w:w="255"/>
        <w:gridCol w:w="368"/>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Amended and Restated Certificate of Incorporation of Immuneering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Amended and Restated Bylaws of Immuneering Corporation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001-40675</w:t>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9/9/2021</w:t>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101.htm">
              <w:r>
                <w:rPr>
                  <w:rStyle w:val="InternetLink"/>
                  <w:rFonts w:ascii="Times New Roman;sans-serif" w:hAnsi="Times New Roman;sans-serif"/>
                  <w:b w:val="false"/>
                  <w:color w:val="000080"/>
                  <w:sz w:val="20"/>
                  <w:u w:val="single"/>
                </w:rPr>
                <w:t xml:space="preserve">Immuneering Corporation Non-Employee Director Compensation Program, as amended, effective </w:t>
              </w:r>
            </w:hyperlink>
            <w:hyperlink w:anchor="imrx-20230930xex101.htm">
              <w:r>
                <w:rPr>
                  <w:rStyle w:val="InternetLink"/>
                  <w:rFonts w:ascii="Times New Roman;sans-serif" w:hAnsi="Times New Roman;sans-serif"/>
                  <w:b w:val="false"/>
                  <w:color w:val="000080"/>
                  <w:sz w:val="20"/>
                  <w:u w:val="single"/>
                </w:rPr>
                <w:t>October 16</w:t>
              </w:r>
            </w:hyperlink>
            <w:hyperlink w:anchor="imrx-20230930xex101.htm">
              <w:r>
                <w:rPr>
                  <w:rStyle w:val="InternetLink"/>
                  <w:rFonts w:ascii="Times New Roman;sans-serif" w:hAnsi="Times New Roman;sans-serif"/>
                  <w:b w:val="false"/>
                  <w:color w:val="000080"/>
                  <w:sz w:val="20"/>
                  <w:u w:val="single"/>
                </w:rPr>
                <w:t>, 2023</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102.htm">
              <w:r>
                <w:rPr>
                  <w:rStyle w:val="InternetLink"/>
                  <w:rFonts w:ascii="Times New Roman;sans-serif" w:hAnsi="Times New Roman;sans-serif"/>
                  <w:b w:val="false"/>
                  <w:color w:val="000080"/>
                  <w:sz w:val="20"/>
                  <w:u w:val="single"/>
                </w:rPr>
                <w:t>Separation Agreement and Relea</w:t>
              </w:r>
            </w:hyperlink>
            <w:hyperlink w:anchor="imrx-20230930xex102.htm">
              <w:r>
                <w:rPr>
                  <w:rStyle w:val="InternetLink"/>
                  <w:rFonts w:ascii="Times New Roman;sans-serif" w:hAnsi="Times New Roman;sans-serif"/>
                  <w:b w:val="false"/>
                  <w:color w:val="000080"/>
                  <w:sz w:val="20"/>
                  <w:u w:val="single"/>
                </w:rPr>
                <w:t>se, by and between Scott Barrett and Immuneering</w:t>
              </w:r>
            </w:hyperlink>
            <w:hyperlink w:anchor="imrx-20230930xex102.htm">
              <w:r>
                <w:rPr>
                  <w:rStyle w:val="InternetLink"/>
                  <w:rFonts w:ascii="Times New Roman;sans-serif" w:hAnsi="Times New Roman;sans-serif"/>
                  <w:b w:val="false"/>
                  <w:color w:val="000080"/>
                  <w:sz w:val="20"/>
                  <w:u w:val="single"/>
                </w:rPr>
                <w:t xml:space="preserve"> </w:t>
              </w:r>
            </w:hyperlink>
            <w:hyperlink w:anchor="imrx-20230930xex102.htm">
              <w:r>
                <w:rPr>
                  <w:rStyle w:val="InternetLink"/>
                  <w:rFonts w:ascii="Times New Roman;sans-serif" w:hAnsi="Times New Roman;sans-serif"/>
                  <w:b w:val="false"/>
                  <w:color w:val="000080"/>
                  <w:sz w:val="20"/>
                  <w:u w:val="single"/>
                </w:rPr>
                <w:t xml:space="preserve">Corporation, dated </w:t>
              </w:r>
            </w:hyperlink>
            <w:hyperlink w:anchor="imrx-20230930xex102.htm">
              <w:r>
                <w:rPr>
                  <w:rStyle w:val="InternetLink"/>
                  <w:rFonts w:ascii="Times New Roman;sans-serif" w:hAnsi="Times New Roman;sans-serif"/>
                  <w:b w:val="false"/>
                  <w:color w:val="000080"/>
                  <w:sz w:val="20"/>
                  <w:u w:val="single"/>
                </w:rPr>
                <w:t xml:space="preserve">November </w:t>
              </w:r>
            </w:hyperlink>
            <w:hyperlink w:anchor="imrx-20230930xex102.htm">
              <w:r>
                <w:rPr>
                  <w:rStyle w:val="InternetLink"/>
                  <w:rFonts w:ascii="Times New Roman;sans-serif" w:hAnsi="Times New Roman;sans-serif"/>
                  <w:b w:val="false"/>
                  <w:color w:val="000080"/>
                  <w:sz w:val="20"/>
                  <w:u w:val="single"/>
                </w:rPr>
                <w:t>8</w:t>
              </w:r>
            </w:hyperlink>
            <w:hyperlink w:anchor="imrx-20230930xex102.htm">
              <w:r>
                <w:rPr>
                  <w:rStyle w:val="InternetLink"/>
                  <w:rFonts w:ascii="Times New Roman;sans-serif" w:hAnsi="Times New Roman;sans-serif"/>
                  <w:b w:val="false"/>
                  <w:color w:val="000080"/>
                  <w:sz w:val="20"/>
                  <w:u w:val="single"/>
                </w:rPr>
                <w:t>, 2023</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311.htm">
              <w:r>
                <w:rPr>
                  <w:rStyle w:val="InternetLink"/>
                  <w:rFonts w:ascii="Times New Roman;sans-serif" w:hAnsi="Times New Roman;sans-serif"/>
                  <w:b w:val="false"/>
                  <w:color w:val="0000FF"/>
                  <w:sz w:val="20"/>
                  <w:u w:val="single"/>
                </w:rPr>
                <w:t>Certification of Principal Executive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312.htm">
              <w:r>
                <w:rPr>
                  <w:rStyle w:val="InternetLink"/>
                  <w:rFonts w:ascii="Times New Roman;sans-serif" w:hAnsi="Times New Roman;sans-serif"/>
                  <w:b w:val="false"/>
                  <w:color w:val="0000FF"/>
                  <w:sz w:val="20"/>
                  <w:u w:val="single"/>
                </w:rPr>
                <w:t>Certification of Principal Financial Officer pursuant to Rule 13a-14(a)/15d-14(a).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321.htm">
              <w:r>
                <w:rPr>
                  <w:rStyle w:val="InternetLink"/>
                  <w:rFonts w:ascii="Times New Roman;sans-serif" w:hAnsi="Times New Roman;sans-serif"/>
                  <w:b w:val="false"/>
                  <w:color w:val="0000FF"/>
                  <w:sz w:val="20"/>
                  <w:u w:val="single"/>
                </w:rPr>
                <w:t>Certification of Principal Executive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mrx-20230930xex322.htm">
              <w:r>
                <w:rPr>
                  <w:rStyle w:val="InternetLink"/>
                  <w:rFonts w:ascii="Times New Roman;sans-serif" w:hAnsi="Times New Roman;sans-serif"/>
                  <w:b w:val="false"/>
                  <w:color w:val="0000FF"/>
                  <w:sz w:val="20"/>
                  <w:u w:val="single"/>
                </w:rPr>
                <w:t>Certification of Principal Financial Officer pursuant to 18 U.S.C. Section 1350.</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5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1"/>
        <w:gridCol w:w="363"/>
        <w:gridCol w:w="364"/>
        <w:gridCol w:w="1998"/>
        <w:gridCol w:w="1956"/>
        <w:gridCol w:w="1965"/>
        <w:gridCol w:w="171"/>
        <w:gridCol w:w="171"/>
        <w:gridCol w:w="170"/>
        <w:gridCol w:w="209"/>
        <w:gridCol w:w="197"/>
        <w:gridCol w:w="197"/>
        <w:gridCol w:w="210"/>
        <w:gridCol w:w="210"/>
        <w:gridCol w:w="211"/>
        <w:gridCol w:w="175"/>
        <w:gridCol w:w="175"/>
        <w:gridCol w:w="176"/>
        <w:gridCol w:w="255"/>
        <w:gridCol w:w="255"/>
        <w:gridCol w:w="366"/>
      </w:tblGrid>
      <w:tr>
        <w:trPr/>
        <w:tc>
          <w:tcPr>
            <w:tcW w:w="41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Furnished</w:t>
              <w:br/>
              <w:t>Herewith</w:t>
            </w:r>
          </w:p>
        </w:tc>
      </w:tr>
      <w:tr>
        <w:trPr/>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9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w:t>
              <w:br/>
              <w:t>Date</w:t>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53086dbc9ffd474b87dac07570c985f2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duly authorized. </w:t>
      </w:r>
    </w:p>
    <w:tbl>
      <w:tblPr>
        <w:tblW w:w="10205" w:type="dxa"/>
        <w:jc w:val="left"/>
        <w:tblInd w:w="0" w:type="dxa"/>
        <w:tblLayout w:type="fixed"/>
        <w:tblCellMar>
          <w:top w:w="28" w:type="dxa"/>
          <w:left w:w="28" w:type="dxa"/>
          <w:bottom w:w="28" w:type="dxa"/>
          <w:right w:w="28" w:type="dxa"/>
        </w:tblCellMar>
      </w:tblPr>
      <w:tblGrid>
        <w:gridCol w:w="709"/>
        <w:gridCol w:w="624"/>
        <w:gridCol w:w="628"/>
        <w:gridCol w:w="464"/>
        <w:gridCol w:w="464"/>
        <w:gridCol w:w="464"/>
        <w:gridCol w:w="2012"/>
        <w:gridCol w:w="1985"/>
        <w:gridCol w:w="2855"/>
      </w:tblGrid>
      <w:tr>
        <w:trPr/>
        <w:tc>
          <w:tcPr>
            <w:tcW w:w="7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IMMUNEERING CORPORATION</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8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J. Zeskind</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85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Immuneering Corporation</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Compensation Program</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(Effective as of October 16, 2023)</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Non-employee members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Immuneering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shall receive cash and equity compensation as set forth in this Non-Employee Director Compensation Program (this “</w:t>
      </w:r>
      <w:r>
        <w:rPr>
          <w:rFonts w:ascii="Times New Roman;sans-serif" w:hAnsi="Times New Roman;sans-serif"/>
          <w:b/>
          <w:i/>
          <w:color w:val="000000"/>
          <w:sz w:val="24"/>
        </w:rPr>
        <w:t>Program</w:t>
      </w:r>
      <w:r>
        <w:rPr>
          <w:color w:val="000000"/>
        </w:rPr>
        <w:t>”</w:t>
      </w:r>
      <w:r>
        <w:rPr>
          <w:rFonts w:ascii="Times New Roman;sans-serif" w:hAnsi="Times New Roman;sans-serif"/>
          <w:b w:val="false"/>
          <w:color w:val="000000"/>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sans-serif" w:hAnsi="Times New Roman;sans-serif"/>
          <w:b/>
          <w:i/>
          <w:color w:val="000000"/>
          <w:sz w:val="24"/>
        </w:rPr>
        <w:t>Non-Employee Director</w:t>
      </w:r>
      <w:r>
        <w:rPr>
          <w:color w:val="000000"/>
        </w:rPr>
        <w:t>”</w:t>
      </w:r>
      <w:r>
        <w:rPr>
          <w:rFonts w:ascii="Times New Roman;sans-serif" w:hAnsi="Times New Roman;sans-serif"/>
          <w:b w:val="false"/>
          <w:color w:val="000000"/>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first set forth above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I. Cash Compensation</w:t>
      </w:r>
    </w:p>
    <w:p>
      <w:pPr>
        <w:pStyle w:val="TextBody"/>
        <w:bidi w:val="0"/>
        <w:spacing w:before="0" w:after="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Annual Retainers</w:t>
      </w:r>
      <w:r>
        <w:rPr>
          <w:rFonts w:ascii="Times New Roman;sans-serif" w:hAnsi="Times New Roman;sans-serif"/>
          <w:b w:val="false"/>
          <w:color w:val="000000"/>
          <w:sz w:val="24"/>
        </w:rPr>
        <w:t>. Each Non-Employee Director shall receive an annual retainer of $35,000 (the “</w:t>
      </w:r>
      <w:r>
        <w:rPr>
          <w:rFonts w:ascii="Times New Roman;sans-serif" w:hAnsi="Times New Roman;sans-serif"/>
          <w:b/>
          <w:i/>
          <w:color w:val="000000"/>
          <w:sz w:val="24"/>
        </w:rPr>
        <w:t>Base Retainer</w:t>
      </w:r>
      <w:r>
        <w:rPr>
          <w:color w:val="000000"/>
        </w:rPr>
        <w:t>”</w:t>
      </w:r>
      <w:r>
        <w:rPr>
          <w:rFonts w:ascii="Times New Roman;sans-serif" w:hAnsi="Times New Roman;sans-serif"/>
          <w:b w:val="false"/>
          <w:color w:val="000000"/>
          <w:sz w:val="24"/>
        </w:rPr>
        <w:t xml:space="preserve">) for service on the Board. </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Additional Annual Retainers</w:t>
      </w:r>
      <w:r>
        <w:rPr>
          <w:rFonts w:ascii="Times New Roman;sans-serif" w:hAnsi="Times New Roman;sans-serif"/>
          <w:b w:val="false"/>
          <w:color w:val="000000"/>
          <w:sz w:val="24"/>
        </w:rPr>
        <w:t>. In addition, each Non-Employee Director shall receive the following annual retainers:</w:t>
      </w:r>
    </w:p>
    <w:p>
      <w:pPr>
        <w:pStyle w:val="TextBody"/>
        <w:bidi w:val="0"/>
        <w:spacing w:before="0" w:after="0"/>
        <w:ind w:left="0" w:right="0" w:firstLine="144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Chairman of the Board or Lead Independent Director</w:t>
      </w:r>
      <w:r>
        <w:rPr>
          <w:rFonts w:ascii="Times New Roman;sans-serif" w:hAnsi="Times New Roman;sans-serif"/>
          <w:b w:val="false"/>
          <w:color w:val="000000"/>
          <w:sz w:val="24"/>
        </w:rPr>
        <w:t>. A Non-Employee Director serving as Chair of the Board or Lead Independent Director shall receive an additional annual retainer of $30,000 for such service (the “</w:t>
      </w:r>
      <w:r>
        <w:rPr>
          <w:rFonts w:ascii="Times New Roman;sans-serif" w:hAnsi="Times New Roman;sans-serif"/>
          <w:b/>
          <w:i/>
          <w:color w:val="000000"/>
          <w:sz w:val="24"/>
        </w:rPr>
        <w:t>COB or LID Retainer</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Audit Committee</w:t>
      </w:r>
      <w:r>
        <w:rPr>
          <w:rFonts w:ascii="Times New Roman;sans-serif" w:hAnsi="Times New Roman;sans-serif"/>
          <w:b w:val="false"/>
          <w:color w:val="000000"/>
          <w:sz w:val="24"/>
        </w:rPr>
        <w:t>. A Non-Employee Director serving as Chair of the Audit Committee shall receive an additional annual retainer of $15,000 for such service. A Non-Employee Director serving as a member other than the Chair of the Audit Committee shall receive an additional annual retainer of $7,500 for such service.</w:t>
      </w:r>
    </w:p>
    <w:p>
      <w:pPr>
        <w:pStyle w:val="TextBody"/>
        <w:bidi w:val="0"/>
        <w:spacing w:before="0" w:after="0"/>
        <w:ind w:left="0" w:right="0" w:firstLine="216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3. </w:t>
      </w:r>
      <w:r>
        <w:rPr>
          <w:rFonts w:ascii="Times New Roman;sans-serif" w:hAnsi="Times New Roman;sans-serif"/>
          <w:b w:val="false"/>
          <w:i/>
          <w:color w:val="000000"/>
          <w:sz w:val="24"/>
        </w:rPr>
        <w:t>Compensation Committee</w:t>
      </w:r>
      <w:r>
        <w:rPr>
          <w:rFonts w:ascii="Times New Roman;sans-serif" w:hAnsi="Times New Roman;sans-serif"/>
          <w:b w:val="false"/>
          <w:color w:val="000000"/>
          <w:sz w:val="24"/>
        </w:rPr>
        <w:t>. A Non-Employee Director serving as Chair of the Compensation Committee shall receive an additional annual retainer of $10,000 for such service. A Non-Employee Director serving as a member other than the Chair of the Compensation Committee shall receive an additional annual retainer of $5,000 for such service.</w:t>
      </w:r>
    </w:p>
    <w:p>
      <w:pPr>
        <w:pStyle w:val="TextBody"/>
        <w:bidi w:val="0"/>
        <w:spacing w:lineRule="auto" w:line="268"/>
        <w:ind w:left="0" w:right="0" w:firstLine="2160"/>
        <w:jc w:val="both"/>
        <w:rPr/>
      </w:pPr>
      <w:r>
        <w:rPr>
          <w:rFonts w:ascii="Times New Roman;sans-serif" w:hAnsi="Times New Roman;sans-serif"/>
          <w:b w:val="false"/>
          <w:color w:val="000000"/>
          <w:sz w:val="24"/>
        </w:rPr>
        <w:t xml:space="preserve">4. </w:t>
      </w:r>
      <w:r>
        <w:rPr>
          <w:rFonts w:ascii="Times New Roman;sans-serif" w:hAnsi="Times New Roman;sans-serif"/>
          <w:b w:val="false"/>
          <w:i/>
          <w:color w:val="000000"/>
          <w:sz w:val="24"/>
        </w:rPr>
        <w:t>Nominating and Corporate Governance Committee</w:t>
      </w:r>
      <w:r>
        <w:rPr>
          <w:rFonts w:ascii="Times New Roman;sans-serif" w:hAnsi="Times New Roman;sans-serif"/>
          <w:b w:val="false"/>
          <w:color w:val="000000"/>
          <w:sz w:val="24"/>
        </w:rPr>
        <w:t xml:space="preserve">. A Non-Employee Director serving as Chair of the Nominating and Corporate Governance Committee shall receive an additional annual retainer of $8,000 for such service. A Non-Employee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serving as a member other than the Chair of the Nominating and Corporate Governance Committee shall receive an additional annual retainer of $4,000 for such service.</w:t>
      </w:r>
    </w:p>
    <w:p>
      <w:pPr>
        <w:pStyle w:val="TextBody"/>
        <w:bidi w:val="0"/>
        <w:spacing w:before="0" w:after="0"/>
        <w:ind w:left="0" w:right="0" w:firstLine="2160"/>
        <w:jc w:val="both"/>
        <w:rPr/>
      </w:pPr>
      <w:r>
        <w:rPr/>
      </w:r>
    </w:p>
    <w:p>
      <w:pPr>
        <w:pStyle w:val="TextBody"/>
        <w:bidi w:val="0"/>
        <w:spacing w:lineRule="auto" w:line="268" w:before="0" w:after="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Payment of Retainers</w:t>
      </w:r>
      <w:r>
        <w:rPr>
          <w:rFonts w:ascii="Times New Roman;sans-serif" w:hAnsi="Times New Roman;sans-serif"/>
          <w:b w:val="false"/>
          <w:color w:val="000000"/>
          <w:sz w:val="24"/>
        </w:rPr>
        <w:t xml:space="preserve">.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Annual Retainer Election</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Election</w:t>
      </w:r>
      <w:r>
        <w:rPr>
          <w:rFonts w:ascii="Times New Roman;sans-serif" w:hAnsi="Times New Roman;sans-serif"/>
          <w:b w:val="false"/>
          <w:color w:val="000000"/>
          <w:sz w:val="24"/>
        </w:rPr>
        <w:t>. Beginning with Annual Retainers earned in 2024, each Non-Employee Director may elect (an “</w:t>
      </w:r>
      <w:r>
        <w:rPr>
          <w:rFonts w:ascii="Times New Roman;sans-serif" w:hAnsi="Times New Roman;sans-serif"/>
          <w:b/>
          <w:i/>
          <w:color w:val="000000"/>
          <w:sz w:val="24"/>
        </w:rPr>
        <w:t>Election</w:t>
      </w:r>
      <w:r>
        <w:rPr>
          <w:color w:val="000000"/>
        </w:rPr>
        <w:t>”</w:t>
      </w:r>
      <w:r>
        <w:rPr>
          <w:rFonts w:ascii="Times New Roman;sans-serif" w:hAnsi="Times New Roman;sans-serif"/>
          <w:b w:val="false"/>
          <w:color w:val="000000"/>
          <w:sz w:val="24"/>
        </w:rPr>
        <w:t>) to receive an option (an “</w:t>
      </w:r>
      <w:r>
        <w:rPr>
          <w:rFonts w:ascii="Times New Roman;sans-serif" w:hAnsi="Times New Roman;sans-serif"/>
          <w:b/>
          <w:i/>
          <w:color w:val="000000"/>
          <w:sz w:val="24"/>
        </w:rPr>
        <w:t>Elective Option</w:t>
      </w:r>
      <w:r>
        <w:rPr>
          <w:color w:val="000000"/>
        </w:rPr>
        <w:t>”</w:t>
      </w:r>
      <w:r>
        <w:rPr>
          <w:rFonts w:ascii="Times New Roman;sans-serif" w:hAnsi="Times New Roman;sans-serif"/>
          <w:b w:val="false"/>
          <w:color w:val="000000"/>
          <w:sz w:val="24"/>
        </w:rPr>
        <w:t>) to purchase shares of the Company’s Class A common stock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in lieu of all of the amount of the Non-Employee Director’s Base Retainer to be earned for a given year. In addition, a Non-Employee Director serving as the Chair or Lead Independent Director of the Board may elect to receive an Elective Option in lieu of all of such Non-Employee Director’s COB or LID Retainer to be earned for a given year. An Election must be made in the form determined by the Company and submitted to the Company no later than 5:00 pm Eastern time on November 30 of the calendar year preceding the calendar year to which the Election relates (the “</w:t>
      </w:r>
      <w:r>
        <w:rPr>
          <w:rFonts w:ascii="Times New Roman;sans-serif" w:hAnsi="Times New Roman;sans-serif"/>
          <w:b/>
          <w:i/>
          <w:color w:val="000000"/>
          <w:sz w:val="24"/>
        </w:rPr>
        <w:t>Election Deadline</w:t>
      </w:r>
      <w:r>
        <w:rPr>
          <w:color w:val="000000"/>
        </w:rPr>
        <w:t>”</w:t>
      </w:r>
      <w:r>
        <w:rPr>
          <w:rFonts w:ascii="Times New Roman;sans-serif" w:hAnsi="Times New Roman;sans-serif"/>
          <w:b w:val="false"/>
          <w:color w:val="000000"/>
          <w:sz w:val="24"/>
        </w:rPr>
        <w:t>). An Election shall become effective only with respect to the Base Retainer and, if applicable, COB or LID Retainer, earned for the calendar year following the Election Deadline (the “</w:t>
      </w:r>
      <w:r>
        <w:rPr>
          <w:rFonts w:ascii="Times New Roman;sans-serif" w:hAnsi="Times New Roman;sans-serif"/>
          <w:b/>
          <w:i/>
          <w:color w:val="000000"/>
          <w:sz w:val="24"/>
        </w:rPr>
        <w:t>Service Year</w:t>
      </w:r>
      <w:r>
        <w:rPr>
          <w:color w:val="000000"/>
        </w:rPr>
        <w:t>”</w:t>
      </w:r>
      <w:r>
        <w:rPr>
          <w:rFonts w:ascii="Times New Roman;sans-serif" w:hAnsi="Times New Roman;sans-serif"/>
          <w:b w:val="false"/>
          <w:color w:val="000000"/>
          <w:sz w:val="24"/>
        </w:rPr>
        <w:t>). A Non-Employee Director who timely makes an Election will be granted an Elective Option for the Base Retainer (a “</w:t>
      </w:r>
      <w:r>
        <w:rPr>
          <w:rFonts w:ascii="Times New Roman;sans-serif" w:hAnsi="Times New Roman;sans-serif"/>
          <w:b/>
          <w:i/>
          <w:color w:val="000000"/>
          <w:sz w:val="24"/>
        </w:rPr>
        <w:t>Base Retainer Elective Option</w:t>
      </w:r>
      <w:r>
        <w:rPr>
          <w:color w:val="000000"/>
        </w:rPr>
        <w:t>”</w:t>
      </w:r>
      <w:r>
        <w:rPr>
          <w:rFonts w:ascii="Times New Roman;sans-serif" w:hAnsi="Times New Roman;sans-serif"/>
          <w:b w:val="false"/>
          <w:color w:val="000000"/>
          <w:sz w:val="24"/>
        </w:rPr>
        <w:t>) that such Non-Employee Director would, as of the Issue Date (as defined below), otherwise have been entitled to receive under this Program in cash for his or her service on the Board during the applicable Service Year, assuming such Non-Employee Director remained in service throughout the Service Year (the “</w:t>
      </w:r>
      <w:r>
        <w:rPr>
          <w:rFonts w:ascii="Times New Roman;sans-serif" w:hAnsi="Times New Roman;sans-serif"/>
          <w:b/>
          <w:i/>
          <w:color w:val="000000"/>
          <w:sz w:val="24"/>
        </w:rPr>
        <w:t>Service Year Base Retainer Amount</w:t>
      </w:r>
      <w:r>
        <w:rPr>
          <w:color w:val="000000"/>
        </w:rPr>
        <w:t>”</w:t>
      </w:r>
      <w:r>
        <w:rPr>
          <w:rFonts w:ascii="Times New Roman;sans-serif" w:hAnsi="Times New Roman;sans-serif"/>
          <w:b w:val="false"/>
          <w:color w:val="000000"/>
          <w:sz w:val="24"/>
        </w:rPr>
        <w:t>) and, if applicable, a separate Elective Option for the COB or LID Retainer (an “</w:t>
      </w:r>
      <w:r>
        <w:rPr>
          <w:rFonts w:ascii="Times New Roman;sans-serif" w:hAnsi="Times New Roman;sans-serif"/>
          <w:b/>
          <w:i/>
          <w:color w:val="000000"/>
          <w:sz w:val="24"/>
        </w:rPr>
        <w:t>Additional Retainer Elective Option</w:t>
      </w:r>
      <w:r>
        <w:rPr>
          <w:color w:val="000000"/>
        </w:rPr>
        <w:t>”</w:t>
      </w:r>
      <w:r>
        <w:rPr>
          <w:rFonts w:ascii="Times New Roman;sans-serif" w:hAnsi="Times New Roman;sans-serif"/>
          <w:b w:val="false"/>
          <w:color w:val="000000"/>
          <w:sz w:val="24"/>
        </w:rPr>
        <w:t>) that such Non-Employee Director would, as of the Issue Date, otherwise have been entitled to receive under this Program in cash for his or her service as the Chair or Lead Independent Director of the Board during the applicable Service Year, assuming such Non-Employee Director remained in service as Chair or Lead Independent Director of the Board throughout the Service Year (the “</w:t>
      </w:r>
      <w:r>
        <w:rPr>
          <w:rFonts w:ascii="Times New Roman;sans-serif" w:hAnsi="Times New Roman;sans-serif"/>
          <w:b/>
          <w:i/>
          <w:color w:val="000000"/>
          <w:sz w:val="24"/>
        </w:rPr>
        <w:t>Service Year COB or LID Retainer Amount</w:t>
      </w:r>
      <w:r>
        <w:rPr>
          <w:rFonts w:ascii="Times New Roman;sans-serif" w:hAnsi="Times New Roman;sans-serif"/>
          <w:b w:val="false"/>
          <w:color w:val="000000"/>
          <w:sz w:val="24"/>
        </w:rPr>
        <w:t>,” and together with the Service Year Base Retainer Amount, the “</w:t>
      </w:r>
      <w:r>
        <w:rPr>
          <w:rFonts w:ascii="Times New Roman;sans-serif" w:hAnsi="Times New Roman;sans-serif"/>
          <w:b/>
          <w:i/>
          <w:color w:val="000000"/>
          <w:sz w:val="24"/>
        </w:rPr>
        <w:t>Service Year Retainer Amounts</w:t>
      </w:r>
      <w:r>
        <w:rPr>
          <w:color w:val="000000"/>
        </w:rPr>
        <w:t>”</w:t>
      </w:r>
      <w:r>
        <w:rPr>
          <w:rFonts w:ascii="Times New Roman;sans-serif" w:hAnsi="Times New Roman;sans-serif"/>
          <w:b w:val="false"/>
          <w:color w:val="000000"/>
          <w:sz w:val="24"/>
        </w:rPr>
        <w:t>). If the Base Retainer or COB or LID Retainer is increased after the Issue Date of a corresponding Elective Option, the excess of such increased amount over the applicable Service Year Retainer Amount for the given Service Year will, to the extent earned, be paid in cash under and subject to the terms of Sections I(A), I(B)(1) and I(C), as applicable. If the Base Retainer or COB or LID Retainer is decreased after the Issue Date of a corresponding Elective Option, no reduction in such corresponding Elective Option will be made.</w:t>
      </w:r>
    </w:p>
    <w:p>
      <w:pPr>
        <w:pStyle w:val="TextBody"/>
        <w:bidi w:val="0"/>
        <w:spacing w:before="0" w:after="0"/>
        <w:jc w:val="left"/>
        <w:rPr/>
      </w:pPr>
      <w:r>
        <w:rPr/>
      </w:r>
    </w:p>
    <w:p>
      <w:pPr>
        <w:pStyle w:val="TextBody"/>
        <w:bidi w:val="0"/>
        <w:spacing w:lineRule="auto" w:line="268"/>
        <w:ind w:left="0" w:right="0" w:firstLine="2160"/>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Terms of Elective Option</w:t>
      </w:r>
      <w:r>
        <w:rPr>
          <w:rFonts w:ascii="Times New Roman;sans-serif" w:hAnsi="Times New Roman;sans-serif"/>
          <w:b w:val="false"/>
          <w:color w:val="000000"/>
          <w:sz w:val="24"/>
        </w:rPr>
        <w:t>. Each Elective Option will be granted automatically, without further action of the Board, on January 1 occurring after the Election Deadline (such date, the “</w:t>
      </w:r>
      <w:r>
        <w:rPr>
          <w:rFonts w:ascii="Times New Roman;sans-serif" w:hAnsi="Times New Roman;sans-serif"/>
          <w:b/>
          <w:i/>
          <w:color w:val="000000"/>
          <w:sz w:val="24"/>
        </w:rPr>
        <w:t>Issue Date</w:t>
      </w:r>
      <w:r>
        <w:rPr>
          <w:color w:val="000000"/>
        </w:rPr>
        <w:t>”</w:t>
      </w:r>
      <w:r>
        <w:rPr>
          <w:rFonts w:ascii="Times New Roman;sans-serif" w:hAnsi="Times New Roman;sans-serif"/>
          <w:b w:val="false"/>
          <w:color w:val="000000"/>
          <w:sz w:val="24"/>
        </w:rPr>
        <w:t xml:space="preserve">), under and subject to the terms of the Company’s 2021 Incentive Award Plan or any other applicable Company equity incentive plan then maintained by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ans-serif" w:hAnsi="Times New Roman;sans-serif"/>
          <w:b w:val="false"/>
          <w:color w:val="000000"/>
          <w:sz w:val="24"/>
        </w:rPr>
        <w:t>the Company (the “</w:t>
      </w:r>
      <w:r>
        <w:rPr>
          <w:rFonts w:ascii="Times New Roman;sans-serif" w:hAnsi="Times New Roman;sans-serif"/>
          <w:b/>
          <w:i/>
          <w:color w:val="000000"/>
          <w:sz w:val="24"/>
        </w:rPr>
        <w:t>Equity Plan</w:t>
      </w:r>
      <w:r>
        <w:rPr>
          <w:color w:val="000000"/>
        </w:rPr>
        <w:t>”</w:t>
      </w:r>
      <w:r>
        <w:rPr>
          <w:rFonts w:ascii="Times New Roman;sans-serif" w:hAnsi="Times New Roman;sans-serif"/>
          <w:b w:val="false"/>
          <w:color w:val="000000"/>
          <w:sz w:val="24"/>
        </w:rPr>
        <w:t xml:space="preserve">) and an award agreement, including attached exhibits, in substantially the form previously approved by the Board to evidence awards of options to Non-Employee Directors under the Company’s 2021 Incentive Award Plan. The number of Shares subject to an Elective Option granted to a Non-Employee Director on the Issue Date will be determined by dividing: (i) the Service Year Base Retainer Amount or the Service Year COB or LID Retainer Amount, as applicable, by (ii) the Elective Option’s Black-Scholes Value (as defined below) on the Issue Date, rounded down to the nearest whole Share. </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3. </w:t>
      </w:r>
      <w:r>
        <w:rPr>
          <w:rFonts w:ascii="Times New Roman;sans-serif" w:hAnsi="Times New Roman;sans-serif"/>
          <w:b w:val="false"/>
          <w:i/>
          <w:color w:val="000000"/>
          <w:sz w:val="24"/>
        </w:rPr>
        <w:t>Withdrawal and Service</w:t>
      </w:r>
      <w:r>
        <w:rPr>
          <w:rFonts w:ascii="Times New Roman;sans-serif" w:hAnsi="Times New Roman;sans-serif"/>
          <w:b w:val="false"/>
          <w:color w:val="000000"/>
          <w:sz w:val="24"/>
        </w:rPr>
        <w:t>. A Non-Employee Director may withdraw his or her Election at any time prior to the Election Deadline for a given Service Year, and thereafter, any Elections delivered to the Company and not previously withdrawn will become irrevocable with respect to the Service Year. Notwithstanding anything in this Section I(D) or any Election to the contrary, if (a) a Non-Employee Director is not serving as a Non-Employee Director on the Issue Date, (b) a Non-Employee Director is not serving in a position identified in Section I(B)(1) on the Issue Date, or (c) the grant of an Elective Option described in this Section I(D) is prohibited under applicable laws, exchange listing rules or the terms of the Equity Plan, the Non-Employee Director will not be issued an Elective Option, or in the case of a clause (b), an Additional Retainer Elective Option, on the Issue Date. Any Non-Employee Director whose service as a Non-Employee Director commences during a given Service Year shall not be eligible to make an Election under this Program until the first Election Deadline that occurs following the date such Non-Employee Director commences service as a Non-Employee Director.</w:t>
      </w:r>
    </w:p>
    <w:p>
      <w:pPr>
        <w:pStyle w:val="TextBody"/>
        <w:bidi w:val="0"/>
        <w:spacing w:before="0" w:after="0"/>
        <w:jc w:val="left"/>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4. </w:t>
      </w:r>
      <w:r>
        <w:rPr>
          <w:rFonts w:ascii="Times New Roman;sans-serif" w:hAnsi="Times New Roman;sans-serif"/>
          <w:b w:val="false"/>
          <w:i/>
          <w:color w:val="000000"/>
          <w:sz w:val="24"/>
        </w:rPr>
        <w:t>Black-Scholes Value.</w:t>
      </w:r>
      <w:r>
        <w:rPr>
          <w:color w:val="000000"/>
        </w:rPr>
        <w:t xml:space="preserve"> </w:t>
      </w:r>
      <w:r>
        <w:rPr>
          <w:rFonts w:ascii="Times New Roman;sans-serif" w:hAnsi="Times New Roman;sans-serif"/>
          <w:b w:val="false"/>
          <w:color w:val="000000"/>
          <w:sz w:val="24"/>
        </w:rPr>
        <w:t>For purposes of this Section I(D), “</w:t>
      </w:r>
      <w:r>
        <w:rPr>
          <w:rFonts w:ascii="Times New Roman;sans-serif" w:hAnsi="Times New Roman;sans-serif"/>
          <w:b/>
          <w:i/>
          <w:color w:val="000000"/>
          <w:sz w:val="24"/>
        </w:rPr>
        <w:t>Black-Scholes Value</w:t>
      </w:r>
      <w:r>
        <w:rPr>
          <w:color w:val="000000"/>
        </w:rPr>
        <w:t xml:space="preserve">” </w:t>
      </w:r>
      <w:r>
        <w:rPr>
          <w:rFonts w:ascii="Times New Roman;sans-serif" w:hAnsi="Times New Roman;sans-serif"/>
          <w:b w:val="false"/>
          <w:color w:val="000000"/>
          <w:sz w:val="24"/>
        </w:rPr>
        <w:t>means, with respect to an Elective Option, the per share fair value of the Elective Option determined as of the applicable Issue Date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(the “</w:t>
      </w:r>
      <w:r>
        <w:rPr>
          <w:rFonts w:ascii="Times New Roman;sans-serif" w:hAnsi="Times New Roman;sans-serif"/>
          <w:b/>
          <w:i/>
          <w:color w:val="000000"/>
          <w:sz w:val="24"/>
        </w:rPr>
        <w:t>Financial Statements</w:t>
      </w:r>
      <w:r>
        <w:rPr>
          <w:color w:val="000000"/>
        </w:rPr>
        <w:t>”</w:t>
      </w:r>
      <w:r>
        <w:rPr>
          <w:rFonts w:ascii="Times New Roman;sans-serif" w:hAnsi="Times New Roman;sans-serif"/>
          <w:b w:val="false"/>
          <w:color w:val="000000"/>
          <w:sz w:val="24"/>
        </w:rPr>
        <w:t>) and using as inputs to such model: (i) the Fair Market Value (as defined in the Equity Plan) of a Share on the applicable Issue Date (or, if the Issue Date is not a trading day, the last trading day preceding the Issue Date) and (ii) such other assumptions as were reported by the Company in the Financial Statements for the most recent period covered by the Financial Statements (and if any such assumptions were reported as a range of values, using the arithmetic mean of the reported range).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II. Equity Compensation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any Elective Options, Non-Employee Directors shall be granted the equity awards described below. The awards described below shall be granted under and shall be subject to the terms and provisions of the Equity Plan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Each Non-Employee Director who is initially elected or appointed to the Board after the Effective Date shall receive an option to purchase 35,000 Shares on the date of such initial election or appointment. The awards described in this Section II(A) shall be referred to as “</w:t>
      </w:r>
      <w:r>
        <w:rPr>
          <w:rFonts w:ascii="Times New Roman;sans-serif" w:hAnsi="Times New Roman;sans-serif"/>
          <w:b/>
          <w:i/>
          <w:color w:val="000000"/>
          <w:sz w:val="24"/>
        </w:rPr>
        <w:t>Initial Awards</w:t>
      </w:r>
      <w:r>
        <w:rPr>
          <w:rFonts w:ascii="Times New Roman;sans-serif" w:hAnsi="Times New Roman;sans-serif"/>
          <w:b w:val="false"/>
          <w:color w:val="000000"/>
          <w:sz w:val="24"/>
        </w:rPr>
        <w:t xml:space="preserve">.” No Non-Employee Director shall be granted more than one Initial Award.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u w:val="single"/>
        </w:rPr>
        <w:t>Subsequent Awards</w:t>
      </w:r>
      <w:r>
        <w:rPr>
          <w:rFonts w:ascii="Times New Roman;sans-serif" w:hAnsi="Times New Roman;sans-serif"/>
          <w:b w:val="false"/>
          <w:color w:val="000000"/>
          <w:sz w:val="24"/>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an option to purchase 17,500 Shares on the date of such annual meeting. Any Non-Employee Director who has been serving as a Non-Employee Director on the Board for less than six months as of the date of any such annual meeting and will continue to serve as a Non-Employee Director immediately following such meeting, shall also receive an option to purchase shares of the Company’s common stock on the date of such annual meeting, but the number of shares underlying such option shall be reduced on a pro-rata basis based on the number of months such Non-Employee Director has served as a Non-Employee Director on the Board during the twelve month period ending on the date of such meeting The awards described in this Section II(B) shall be referred to as “</w:t>
      </w:r>
      <w:r>
        <w:rPr>
          <w:rFonts w:ascii="Times New Roman;sans-serif" w:hAnsi="Times New Roman;sans-serif"/>
          <w:b/>
          <w:i/>
          <w:color w:val="000000"/>
          <w:sz w:val="24"/>
        </w:rPr>
        <w:t>Subsequent Awards</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u w:val="single"/>
        </w:rPr>
        <w:t>Termination of Employment of Employee Directors</w:t>
      </w:r>
      <w:r>
        <w:rPr>
          <w:rFonts w:ascii="Times New Roman;sans-serif" w:hAnsi="Times New Roman;sans-serif"/>
          <w:b w:val="false"/>
          <w:color w:val="000000"/>
          <w:sz w:val="24"/>
        </w:rPr>
        <w:t xml:space="preserve">.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 </w:t>
      </w:r>
    </w:p>
    <w:p>
      <w:pPr>
        <w:pStyle w:val="TextBody"/>
        <w:bidi w:val="0"/>
        <w:spacing w:before="0" w:after="0"/>
        <w:jc w:val="left"/>
        <w:rPr/>
      </w:pPr>
      <w:r>
        <w:rPr/>
      </w:r>
    </w:p>
    <w:p>
      <w:pPr>
        <w:pStyle w:val="TextBody"/>
        <w:bidi w:val="0"/>
        <w:spacing w:lineRule="auto" w:line="268" w:before="0" w:after="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u w:val="single"/>
        </w:rPr>
        <w:t>Terms of Awards Granted to Non-Employee Directors</w:t>
      </w:r>
    </w:p>
    <w:p>
      <w:pPr>
        <w:pStyle w:val="TextBody"/>
        <w:bidi w:val="0"/>
        <w:spacing w:before="0" w:after="0"/>
        <w:ind w:left="0" w:right="0" w:firstLine="144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Exercise Price</w:t>
      </w:r>
      <w:r>
        <w:rPr>
          <w:rFonts w:ascii="Times New Roman;sans-serif" w:hAnsi="Times New Roman;sans-serif"/>
          <w:b w:val="false"/>
          <w:color w:val="000000"/>
          <w:sz w:val="24"/>
        </w:rPr>
        <w:t xml:space="preserve">. The per share exercise price of each option granted to a Non-Employee Director shall equal the Fair Market Value of a Share on the date the option is granted (including on the Issue Date of any Elective Option). </w:t>
      </w:r>
    </w:p>
    <w:p>
      <w:pPr>
        <w:pStyle w:val="TextBody"/>
        <w:bidi w:val="0"/>
        <w:spacing w:before="0" w:after="0"/>
        <w:ind w:left="0" w:right="0" w:firstLine="720"/>
        <w:jc w:val="both"/>
        <w:rPr/>
      </w:pPr>
      <w:r>
        <w:rPr/>
      </w:r>
    </w:p>
    <w:p>
      <w:pPr>
        <w:pStyle w:val="TextBody"/>
        <w:bidi w:val="0"/>
        <w:spacing w:lineRule="auto" w:line="268"/>
        <w:ind w:left="0" w:right="0" w:firstLine="720"/>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Vesting</w:t>
      </w:r>
      <w:r>
        <w:rPr>
          <w:rFonts w:ascii="Times New Roman;sans-serif" w:hAnsi="Times New Roman;sans-serif"/>
          <w:b w:val="false"/>
          <w:color w:val="000000"/>
          <w:sz w:val="24"/>
        </w:rPr>
        <w:t>. Each Initial Award shall vest and become exercisable in thirty-six (36) substantially equal monthly installments following the date of grant, such that the Initial Award shall be fully vested on the third anniversary of the date of grant, subject to the Non-Employee Director continuing in service as a Non-Employee Director on each such vesting date. Each Subsequent Award shall vest and become exercisable in twelve substantially equal monthly installments following the date of grant, such that the Subsequent Award shall be fully vested on the first anniversary of the date of grant (provided that any portion of a Subsequent Award scheduled to vest after the first annual meeting of the Company’s stockholders following the date of grant of such Subsequent Award shall vest on the date of such annual meeting), subject to the Non-Employee Director continuing in service on the Board as a Non-Employee Director on each such vesting date. Each Elective Option shall vest and become exercisable as to 25% of the Shares subject to the Elective Option (each, an “</w:t>
      </w:r>
      <w:r>
        <w:rPr>
          <w:rFonts w:ascii="Times New Roman;sans-serif" w:hAnsi="Times New Roman;sans-serif"/>
          <w:b/>
          <w:i/>
          <w:color w:val="000000"/>
          <w:sz w:val="24"/>
        </w:rPr>
        <w:t>Elective Option</w:t>
      </w:r>
      <w:r>
        <w:rPr>
          <w:color w:val="000000"/>
        </w:rPr>
        <w:t xml:space="preserve"> </w:t>
      </w:r>
      <w:r>
        <w:rPr>
          <w:rFonts w:ascii="Times New Roman;sans-serif" w:hAnsi="Times New Roman;sans-serif"/>
          <w:b/>
          <w:i/>
          <w:color w:val="000000"/>
          <w:sz w:val="24"/>
        </w:rPr>
        <w:t>Tranche</w:t>
      </w:r>
      <w:r>
        <w:rPr>
          <w:color w:val="000000"/>
        </w:rPr>
        <w:t>”</w:t>
      </w:r>
      <w:r>
        <w:rPr>
          <w:rFonts w:ascii="Times New Roman;sans-serif" w:hAnsi="Times New Roman;sans-serif"/>
          <w:b w:val="false"/>
          <w:color w:val="000000"/>
          <w:sz w:val="24"/>
        </w:rPr>
        <w:t xml:space="preserve">) upon the Non-Employee Director completing three months of continuous service as a Non-Employee Director, or in the case of an Additional Retainer Elective Option, in the applicable position,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Issue Date, such that the fourth and final Elective Option Tranche will vest and become exercisable on the first anniversary of the Issue Date. By way of example, if, during a given Service Year for which a Non-Employee Director received a Base Retainer Elective Option and an Additional Retainer Elective Option, such Non-Employee Director ceases to serve as Chair of the Board but continues to serve as a Non-Employee Director, such Non-Employee Director’s Base Retainer Elective Option will continue to vest and become exercisable while such Non-Employee Director continues to serve as a Non-Employee Director and any portion of such Non-Employee Director’s Additional Retainer Elective Option that has not become vested and exercisable on or prior to the date such Non-Employee Director ceases to serve as the Chair of the Board shall, unless otherwise determined by the Board, be forfeited on the date such Non-Employee Director ceases to serve as Chair of the Board. Unless the Board otherwise determines, any portion of an Initial Award, Subsequent Award or Elective Option which is unvested or unexercisable at the time of a Non-Employee Director’s termination of service on the Board as a Non-Employee Director (or, if applicable, as Chair or Lead Independent Director) shall be immediately forfeited upon such termination of service and shall not thereafter become vested and exercisable. All of a Non-Employee Director’s outstanding Initial Awards, Subsequent Awards and Elective Options shall vest in full immediately prior to the occurrence of a Change in Control (as defined in the Equity Plan), to the extent outstanding at such time.</w:t>
      </w:r>
    </w:p>
    <w:p>
      <w:pPr>
        <w:pStyle w:val="TextBody"/>
        <w:bidi w:val="0"/>
        <w:spacing w:before="0" w:after="0"/>
        <w:ind w:left="0" w:right="0" w:firstLine="720"/>
        <w:jc w:val="both"/>
        <w:rPr/>
      </w:pPr>
      <w:r>
        <w:rPr/>
      </w:r>
    </w:p>
    <w:p>
      <w:pPr>
        <w:pStyle w:val="TextBody"/>
        <w:bidi w:val="0"/>
        <w:spacing w:lineRule="auto" w:line="268" w:before="0" w:after="0"/>
        <w:ind w:left="0" w:right="0" w:firstLine="2160"/>
        <w:jc w:val="both"/>
        <w:rPr/>
      </w:pPr>
      <w:r>
        <w:rPr>
          <w:rFonts w:ascii="Times New Roman;sans-serif" w:hAnsi="Times New Roman;sans-serif"/>
          <w:b w:val="false"/>
          <w:color w:val="000000"/>
          <w:sz w:val="24"/>
        </w:rPr>
        <w:t xml:space="preserve">3. </w:t>
      </w:r>
      <w:r>
        <w:rPr>
          <w:rFonts w:ascii="Times New Roman;sans-serif" w:hAnsi="Times New Roman;sans-serif"/>
          <w:b w:val="false"/>
          <w:i/>
          <w:color w:val="000000"/>
          <w:sz w:val="24"/>
        </w:rPr>
        <w:t>Term</w:t>
      </w:r>
      <w:r>
        <w:rPr>
          <w:rFonts w:ascii="Times New Roman;sans-serif" w:hAnsi="Times New Roman;sans-serif"/>
          <w:b w:val="false"/>
          <w:color w:val="000000"/>
          <w:sz w:val="24"/>
        </w:rPr>
        <w:t xml:space="preserve">. The maximum term of each stock option granted to a Non-Employee Director hereunder shall be ten (10) years from the date the option is granted. </w:t>
      </w:r>
    </w:p>
    <w:p>
      <w:pPr>
        <w:pStyle w:val="TextBody"/>
        <w:bidi w:val="0"/>
        <w:spacing w:before="0" w:after="0"/>
        <w:ind w:left="0" w:right="0" w:firstLine="2160"/>
        <w:jc w:val="both"/>
        <w:rPr/>
      </w:pPr>
      <w:r>
        <w:rPr/>
      </w:r>
    </w:p>
    <w:p>
      <w:pPr>
        <w:pStyle w:val="TextBody"/>
        <w:bidi w:val="0"/>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1" w:after="283"/>
        <w:ind w:left="0" w:right="0" w:hanging="720"/>
        <w:jc w:val="center"/>
        <w:rPr>
          <w:rFonts w:ascii="Times New Roman;sans-serif" w:hAnsi="Times New Roman;sans-serif"/>
          <w:b/>
          <w:color w:val="000000"/>
          <w:sz w:val="22"/>
        </w:rPr>
      </w:pPr>
      <w:r>
        <w:rPr>
          <w:rFonts w:ascii="Times New Roman;sans-serif" w:hAnsi="Times New Roman;sans-serif"/>
          <w:b/>
          <w:color w:val="000000"/>
          <w:sz w:val="22"/>
        </w:rPr>
        <w:t>Separation Agreement and Release</w:t>
      </w:r>
    </w:p>
    <w:p>
      <w:pPr>
        <w:pStyle w:val="TextBody"/>
        <w:bidi w:val="0"/>
        <w:spacing w:before="7" w:after="283"/>
        <w:jc w:val="both"/>
        <w:rPr/>
      </w:pPr>
      <w:r>
        <w:rPr/>
      </w:r>
    </w:p>
    <w:p>
      <w:pPr>
        <w:pStyle w:val="TextBody"/>
        <w:bidi w:val="0"/>
        <w:spacing w:lineRule="auto" w:line="276" w:before="0" w:after="0"/>
        <w:jc w:val="both"/>
        <w:rPr/>
      </w:pPr>
      <w:r>
        <w:rPr>
          <w:rFonts w:ascii="Times New Roman;sans-serif" w:hAnsi="Times New Roman;sans-serif"/>
          <w:b w:val="false"/>
          <w:color w:val="000000"/>
          <w:sz w:val="22"/>
        </w:rPr>
        <w:t>This Separation Agreement and Release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made by and between Scott Barrett,</w:t>
      </w:r>
    </w:p>
    <w:p>
      <w:pPr>
        <w:pStyle w:val="TextBody"/>
        <w:bidi w:val="0"/>
        <w:spacing w:lineRule="auto" w:line="240" w:before="0" w:after="0"/>
        <w:jc w:val="both"/>
        <w:rPr/>
      </w:pPr>
      <w:r>
        <w:rPr>
          <w:rFonts w:ascii="Times New Roman;sans-serif" w:hAnsi="Times New Roman;sans-serif"/>
          <w:b w:val="false"/>
          <w:color w:val="000000"/>
          <w:sz w:val="22"/>
        </w:rPr>
        <w:t>M.D. (“</w:t>
      </w:r>
      <w:r>
        <w:rPr>
          <w:rFonts w:ascii="Times New Roman;sans-serif" w:hAnsi="Times New Roman;sans-serif"/>
          <w:b w:val="false"/>
          <w:color w:val="000000"/>
          <w:sz w:val="22"/>
          <w:u w:val="single"/>
        </w:rPr>
        <w:t>Executive</w:t>
      </w:r>
      <w:r>
        <w:rPr>
          <w:color w:val="000000"/>
        </w:rPr>
        <w:t>”</w:t>
      </w:r>
      <w:r>
        <w:rPr>
          <w:rFonts w:ascii="Times New Roman;sans-serif" w:hAnsi="Times New Roman;sans-serif"/>
          <w:b w:val="false"/>
          <w:color w:val="000000"/>
          <w:sz w:val="22"/>
        </w:rPr>
        <w:t>) and Immuneering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(collectively referred to as the “</w:t>
      </w:r>
      <w:r>
        <w:rPr>
          <w:rFonts w:ascii="Times New Roman;sans-serif" w:hAnsi="Times New Roman;sans-serif"/>
          <w:b w:val="false"/>
          <w:color w:val="000000"/>
          <w:sz w:val="22"/>
          <w:u w:val="single"/>
        </w:rPr>
        <w:t>Parties</w:t>
      </w:r>
      <w:r>
        <w:rPr>
          <w:color w:val="000000"/>
        </w:rPr>
        <w:t xml:space="preserve">” </w:t>
      </w:r>
      <w:r>
        <w:rPr>
          <w:rFonts w:ascii="Times New Roman;sans-serif" w:hAnsi="Times New Roman;sans-serif"/>
          <w:b w:val="false"/>
          <w:color w:val="000000"/>
          <w:sz w:val="22"/>
        </w:rPr>
        <w:t>or individually referred to as a “</w:t>
      </w:r>
      <w:r>
        <w:rPr>
          <w:rFonts w:ascii="Times New Roman;sans-serif" w:hAnsi="Times New Roman;sans-serif"/>
          <w:b w:val="false"/>
          <w:color w:val="000000"/>
          <w:sz w:val="22"/>
          <w:u w:val="single"/>
        </w:rPr>
        <w:t>Party</w:t>
      </w:r>
      <w:r>
        <w:rPr>
          <w:color w:val="000000"/>
        </w:rPr>
        <w:t>”</w:t>
      </w:r>
      <w:r>
        <w:rPr>
          <w:rFonts w:ascii="Times New Roman;sans-serif" w:hAnsi="Times New Roman;sans-serif"/>
          <w:b w:val="false"/>
          <w:color w:val="000000"/>
          <w:sz w:val="22"/>
        </w:rPr>
        <w:t>). Capitalized terms used but not defined in this Agreement shall have the meanings set forth in the Employment Agreement (as defined below).</w:t>
      </w:r>
    </w:p>
    <w:p>
      <w:pPr>
        <w:pStyle w:val="TextBody"/>
        <w:bidi w:val="0"/>
        <w:spacing w:lineRule="auto" w:line="240" w:before="119" w:after="283"/>
        <w:ind w:left="0" w:right="0" w:firstLine="719"/>
        <w:jc w:val="both"/>
        <w:rPr/>
      </w:pPr>
      <w:r>
        <w:rPr>
          <w:rFonts w:ascii="Times New Roman;sans-serif" w:hAnsi="Times New Roman;sans-serif"/>
          <w:b w:val="false"/>
          <w:color w:val="000000"/>
          <w:sz w:val="22"/>
        </w:rPr>
        <w:t>WHEREAS, the Parties have previously entered into that certain Employment Agreement, dated as of July 23, 2021 (the “</w:t>
      </w:r>
      <w:r>
        <w:rPr>
          <w:rFonts w:ascii="Times New Roman;sans-serif" w:hAnsi="Times New Roman;sans-serif"/>
          <w:b w:val="false"/>
          <w:color w:val="000000"/>
          <w:sz w:val="22"/>
          <w:u w:val="single"/>
        </w:rPr>
        <w:t>Employment Agreement</w:t>
      </w:r>
      <w:r>
        <w:rPr>
          <w:color w:val="000000"/>
        </w:rPr>
        <w:t>”</w:t>
      </w:r>
      <w:r>
        <w:rPr>
          <w:rFonts w:ascii="Times New Roman;sans-serif" w:hAnsi="Times New Roman;sans-serif"/>
          <w:b w:val="false"/>
          <w:color w:val="000000"/>
          <w:sz w:val="22"/>
        </w:rPr>
        <w:t>) and that certain Invention and Non-Disclosure Agreement and Non-Competition and Non-Solicitation Agreement, each dated October 14, 2019 (collectively, the “</w:t>
      </w:r>
      <w:r>
        <w:rPr>
          <w:rFonts w:ascii="Times New Roman;sans-serif" w:hAnsi="Times New Roman;sans-serif"/>
          <w:b w:val="false"/>
          <w:color w:val="000000"/>
          <w:sz w:val="22"/>
          <w:u w:val="single"/>
        </w:rPr>
        <w:t>Restrictive Covenant Agreement</w:t>
      </w:r>
      <w:r>
        <w:rPr>
          <w:color w:val="000000"/>
        </w:rPr>
        <w:t>”</w:t>
      </w:r>
      <w:r>
        <w:rPr>
          <w:rFonts w:ascii="Times New Roman;sans-serif" w:hAnsi="Times New Roman;sans-serif"/>
          <w:b w:val="false"/>
          <w:color w:val="000000"/>
          <w:sz w:val="22"/>
        </w:rPr>
        <w:t>); and</w:t>
      </w:r>
    </w:p>
    <w:p>
      <w:pPr>
        <w:pStyle w:val="TextBody"/>
        <w:bidi w:val="0"/>
        <w:spacing w:lineRule="auto" w:line="240" w:before="121" w:after="283"/>
        <w:ind w:left="0" w:right="0" w:firstLine="719"/>
        <w:jc w:val="both"/>
        <w:rPr/>
      </w:pPr>
      <w:r>
        <w:rPr>
          <w:rFonts w:ascii="Times New Roman;sans-serif" w:hAnsi="Times New Roman;sans-serif"/>
          <w:b w:val="false"/>
          <w:color w:val="000000"/>
          <w:sz w:val="22"/>
        </w:rPr>
        <w:t>WHEREAS, in connection with Executive’s termination of employment with the Company or a subsidiary or affiliate of the Company effective on the Separation Date (as defined below),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indemnification by the Company or any of its affiliates (collectively, the “</w:t>
      </w:r>
      <w:r>
        <w:rPr>
          <w:rFonts w:ascii="Times New Roman;sans-serif" w:hAnsi="Times New Roman;sans-serif"/>
          <w:b w:val="false"/>
          <w:color w:val="000000"/>
          <w:sz w:val="22"/>
          <w:u w:val="single"/>
        </w:rPr>
        <w:t>Retained Claims</w:t>
      </w:r>
      <w:r>
        <w:rPr>
          <w:color w:val="000000"/>
        </w:rPr>
        <w:t>”</w:t>
      </w:r>
      <w:r>
        <w:rPr>
          <w:rFonts w:ascii="Times New Roman;sans-serif" w:hAnsi="Times New Roman;sans-serif"/>
          <w:b w:val="false"/>
          <w:color w:val="000000"/>
          <w:sz w:val="22"/>
        </w:rPr>
        <w:t>).</w:t>
      </w:r>
    </w:p>
    <w:p>
      <w:pPr>
        <w:pStyle w:val="TextBody"/>
        <w:bidi w:val="0"/>
        <w:spacing w:lineRule="auto" w:line="240" w:before="121"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severance payments and benefits described in this Agreement which are intended to supersede any such payments or benefits provided for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Transition Role</w:t>
      </w:r>
      <w:r>
        <w:rPr>
          <w:rFonts w:ascii="Times New Roman;sans-serif" w:hAnsi="Times New Roman;sans-serif"/>
          <w:b w:val="false"/>
          <w:color w:val="000000"/>
          <w:sz w:val="22"/>
        </w:rPr>
        <w:t>. Effective November 1, 2023 (the “Transition Start Date”) and continuing to the earlier of: (i) a date designated by the Company, or (ii) November 30, 2023, you will be in a transition role. The final date of employment shall be the last day of the Transitional Employment Period (as defined below) and deemed the “Separation Date”. The period from the Transition Start Date through the Separation Date will be deemed the “Transitional Employment Period”. During the Transitional Employment Period you will continue to report to Ben Zeskind, act in a positive and constructive manner, perform any assigned tasks and otherwise assist the Company in the transition of work in connection with any of the duties you have performed at the Company, or otherwise perform any specific project(s) assigned to you by the Company. Unless otherwise instructed, you shall continue to perform your duties in the same manner as presently performed, but if requested, you shall report to the Company’s corporate offices and/or travel to clinical sites. For the avoidance of doubt, your employment status during the Transitional Employment Period will continue to be at-will.</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Transitional Employment Period, you shall receive the following “Transition Pay and Benefits”: (i) continuation of your base monthly salary, subject to all ordinary payroll taxes and withholdings, in accordance with the Company’s payroll policies and procedures; (ii) continuation of your participation in the Company’s employee benefits programs and employee insurance benefits programs, but only to the extent that you currently participate in such programs and remain eligible under any applicable plan document(s). Through the Separation Date only, you also shall continue to vest in any equity awards previously provided to you pursuant to the terms of any such awards and the Company’s applicable equity plan(s).</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specifically acknowledge that the offer of continuation of your employment during the Transitional Employment Period is being provided as part of the separation of your employment and is in consideration of your covenants set forth herein, including without limitation the release of claims set forth in Section 4 and Section 5 of this Agreement.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Severance Pay and Other Economic Benefits</w:t>
      </w:r>
      <w:r>
        <w:rPr>
          <w:rFonts w:ascii="Times New Roman;sans-serif" w:hAnsi="Times New Roman;sans-serif"/>
          <w:b w:val="false"/>
          <w:color w:val="000000"/>
          <w:sz w:val="22"/>
        </w:rPr>
        <w:t xml:space="preserve">. If you comply with the terms of and do not revoke this Agreement, and sign the Affirmation attached hereto as </w:t>
      </w:r>
      <w:r>
        <w:rPr>
          <w:rFonts w:ascii="Times New Roman;sans-serif" w:hAnsi="Times New Roman;sans-serif"/>
          <w:b w:val="false"/>
          <w:color w:val="000000"/>
          <w:sz w:val="22"/>
          <w:u w:val="single"/>
        </w:rPr>
        <w:t>Exhibit A</w:t>
      </w:r>
      <w:r>
        <w:rPr>
          <w:rFonts w:ascii="Times New Roman;sans-serif" w:hAnsi="Times New Roman;sans-serif"/>
          <w:b w:val="false"/>
          <w:color w:val="000000"/>
          <w:sz w:val="22"/>
        </w:rPr>
        <w:t xml:space="preserve">, then the Company will provide you the following “Severance Pay” set forth in Subsection 2(a) below, and the “Other Economic Benefits” set forth in Subsections 2(b) and 2(c) below: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81050"/>
                <wp:effectExtent l="0" t="0" r="0" b="0"/>
                <wp:wrapNone/>
                <wp:docPr id="97" name="Frame9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Severance Pay in the form of continuation of your base monthly salary of Forty-Three Thousand, Six-Hundred and Eighty U.S. Dollars ($43,680.00) for five (5) pay periods (i.e. five (5) months), such payments to commence on the first payroll period following the Separation Date (such period of time, the “Severance Period”) in accordance with the Company’s payroll policies and procedures. </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     Upon completion of the appropriate COBRA forms and subject to all the requirements of COBRA, the Company will contribute the Company’s contribution to the medical and dental insurance plans (to the same extent that such insurance is</w:t>
      </w:r>
      <w:r>
        <w:rPr>
          <w:color w:val="000000"/>
        </w:rPr>
        <w:t xml:space="preserve"> </w:t>
      </w:r>
      <w:r>
        <w:rPr>
          <w:rFonts w:ascii="Times New Roman;sans-serif" w:hAnsi="Times New Roman;sans-serif"/>
          <w:b w:val="false"/>
          <w:color w:val="000000"/>
          <w:sz w:val="22"/>
        </w:rPr>
        <w:t>provided to persons</w:t>
      </w:r>
      <w:r>
        <w:rPr>
          <w:color w:val="000000"/>
        </w:rPr>
        <w:t xml:space="preserve"> </w:t>
      </w:r>
      <w:r>
        <w:rPr>
          <w:rFonts w:ascii="Times New Roman;sans-serif" w:hAnsi="Times New Roman;sans-serif"/>
          <w:b w:val="false"/>
          <w:color w:val="000000"/>
          <w:sz w:val="22"/>
        </w:rPr>
        <w:t>currently employed by the Company, including the employee contribution to premiums) during the Severance Period (or through April 30, 2024). It will be your sole responsibility to work with and through the COBRA administrator to pay the employee contribution to premiums. The Company shall only be required to make the payments described in this subsection to the extent that you continue to be enrolled in the same medical and/or dental insurance benefits that you were enrolled in as of the Separation Date and remain eligible for.</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payments and benefits provided for in Subsections 2(a) and 2(b) above shall be subject to all tax withholdings, any other authorized deductions, and the Company’s applicable payroll policies and procedures. </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In accordance with the terms of the Company’s equity incentive plans, any equity awards that are subject to vesting shall continue vesting through the Separation Date (the “Equity Plans”). Any portion of such equity awards that are unvested as of the Separation Date shall be immediately forfeited and cancelled on the Separation Date. Notwithstanding any provision in the Equity Plans relating to exercise of vested awards as of the Separation Date, you shall have until November 30, 2024, to exercise such vested awards. After November 30, 2024, any unexercised portion shall be forfeited and cancelled. The equity awards that you hold shall otherwise be subject to the terms and conditions of the Equity Plans and awards in all respects. After the Separation Date, you will no longer be subject to the Company mandated insider trading restrictions and pre-clearance procedures set forth in the Company’s trading policy. </w:t>
      </w:r>
    </w:p>
    <w:p>
      <w:pPr>
        <w:pStyle w:val="TextBody"/>
        <w:bidi w:val="0"/>
        <w:spacing w:before="0" w:after="0"/>
        <w:jc w:val="both"/>
        <w:rPr/>
      </w:pPr>
      <w:r>
        <w:rPr/>
      </w:r>
    </w:p>
    <w:p>
      <w:pPr>
        <w:pStyle w:val="TextBody"/>
        <w:bidi w:val="0"/>
        <w:spacing w:lineRule="auto" w:line="240" w:before="10" w:after="283"/>
        <w:ind w:left="0" w:right="0" w:firstLine="720"/>
        <w:jc w:val="both"/>
        <w:rPr/>
      </w:pPr>
      <w:r>
        <w:rPr>
          <w:color w:val="000000"/>
        </w:rPr>
        <w:t>    </w:t>
      </w: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2"/>
          <w:u w:val="single"/>
        </w:rPr>
        <w:t>Cooperation</w:t>
      </w:r>
      <w:r>
        <w:rPr>
          <w:rFonts w:ascii="Times New Roman;sans-serif" w:hAnsi="Times New Roman;sans-serif"/>
          <w:b w:val="false"/>
          <w:color w:val="000000"/>
          <w:sz w:val="22"/>
        </w:rPr>
        <w:t xml:space="preserve">. You agree that during and after the Severance Period, you will make yourself available to the Company (including its attorneys, agents and advisors), either by telephone or, if the Company believes necessary, in person to assist the Company in any matter relating to the services performed by you during your employment with the Company including, but not limited to, transitioning your duties to others at the Company, and ensuring that all documentation is recorded fully and completely. You further agree that during and following the Severance Period, you will cooperate fully with the Company in the defense or prosecution of any claims or actions now in existence or which may be brought or threatened in the future against or on behalf of the Company, including any claim or action against its directors, officers and employees. Your cooperation in connection with such claims or actions shall include: your being available, within reason given the constraints of future employment or job search activities, to meet with the Company to prepare for any proceeding, to provide truthful affidavits and/or testimony, to assist with any audit, inspection, proceeding or other inquiry, and to act as a witness in connection with any litigation or other legal proceeding affecting the Company. For any time Executive is required to spend cooperating with the Company pursuant to this Paragraph 3, including but not limited to any travel time, the Company shall compensate Executive at an hourly rate consistent with his last salary with the Company, or at some other rate agreed upon by Company and Executive. Company shall also reimburse all reasonable travel expenses incurred by Executive complying with this paragraph. You further agree that should an individual representing a party adverse to the business or legal interests of the Company (including, without limitation, anyone threatening any form of legal action against the Company) contact you (directly or indirectly), you will promptly (within 3 business days) inform the Company’s Chief Legal Officer (or his designee) of that fact. Nothing herein shall be construed to prohibit or prevent you from cooperating with any government investigation (including maintaining the confidentiality of such investigation if required by the government), nor shall any such cooperation be deemed to be a violation of your obligations of non-disparagement set forth in Section 6(b) below. </w:t>
      </w:r>
    </w:p>
    <w:p>
      <w:pPr>
        <w:pStyle w:val="TextBody"/>
        <w:bidi w:val="0"/>
        <w:spacing w:before="10" w:after="283"/>
        <w:jc w:val="both"/>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Release of Claims</w:t>
      </w:r>
      <w:r>
        <w:rPr>
          <w:rFonts w:ascii="Times New Roman;sans-serif" w:hAnsi="Times New Roman;sans-serif"/>
          <w:b w:val="false"/>
          <w:color w:val="000000"/>
          <w:sz w:val="22"/>
        </w:rPr>
        <w:t xml:space="preserve">.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equityholders, managers, employees, agents, investors, attorneys,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81050"/>
                <wp:effectExtent l="0" t="0" r="0" b="0"/>
                <wp:wrapNone/>
                <wp:docPr id="98" name="Frame9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2"/>
        </w:rPr>
        <w:t>shareholders, administrators, affiliates, benefit plans, plan administrators, insurers, trustees, divisions, and subsidiaries and predecessor and successor corporations and assigns (collectively, the “</w:t>
      </w:r>
      <w:r>
        <w:rPr>
          <w:rFonts w:ascii="Times New Roman;sans-serif" w:hAnsi="Times New Roman;sans-serif"/>
          <w:b w:val="false"/>
          <w:color w:val="000000"/>
          <w:sz w:val="22"/>
          <w:u w:val="single"/>
        </w:rPr>
        <w:t>Releasees</w:t>
      </w:r>
      <w:r>
        <w:rPr>
          <w:color w:val="000000"/>
        </w:rPr>
        <w:t>”</w:t>
      </w:r>
      <w:r>
        <w:rPr>
          <w:rFonts w:ascii="Times New Roman;sans-serif" w:hAnsi="Times New Roman;sans-serif"/>
          <w:b w:val="false"/>
          <w:color w:val="000000"/>
          <w:sz w:val="22"/>
        </w:rPr>
        <w:t>). Executive, on Executive’s own behalf and on behalf of any of Executive’s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Agreement, including, without limitation:</w:t>
      </w:r>
    </w:p>
    <w:p>
      <w:pPr>
        <w:pStyle w:val="TextBody"/>
        <w:bidi w:val="0"/>
        <w:spacing w:before="2" w:after="283"/>
        <w:jc w:val="both"/>
        <w:rPr/>
      </w:pPr>
      <w:r>
        <w:rPr/>
      </w:r>
    </w:p>
    <w:p>
      <w:pPr>
        <w:pStyle w:val="TextBody"/>
        <w:bidi w:val="0"/>
        <w:spacing w:lineRule="auto" w:line="240" w:before="91"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(a)    any and all claims relating to or arising from Executive’s employment or service relationship with the Company or any of its direct or indirect subsidiaries or affiliates and the termination of that relationship;</w:t>
      </w:r>
    </w:p>
    <w:p>
      <w:pPr>
        <w:pStyle w:val="TextBody"/>
        <w:bidi w:val="0"/>
        <w:spacing w:before="10"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(b)    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pStyle w:val="TextBody"/>
        <w:bidi w:val="0"/>
        <w:spacing w:before="11"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before="11"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pStyle w:val="TextBody"/>
        <w:bidi w:val="0"/>
        <w:spacing w:before="10" w:after="283"/>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(e)    any and all claims for violation of the federal or any state constitution;</w:t>
      </w:r>
    </w:p>
    <w:p>
      <w:pPr>
        <w:pStyle w:val="TextBody"/>
        <w:bidi w:val="0"/>
        <w:spacing w:before="9" w:after="283"/>
        <w:jc w:val="both"/>
        <w:rPr/>
      </w:pPr>
      <w:r>
        <w:rPr/>
      </w:r>
    </w:p>
    <w:p>
      <w:pPr>
        <w:pStyle w:val="TextBody"/>
        <w:bidi w:val="0"/>
        <w:spacing w:lineRule="auto" w:line="240" w:before="1"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(f)    any and all claims arising out of any other laws and regulations relating to employment or employment discrimination;</w:t>
      </w:r>
    </w:p>
    <w:p>
      <w:pPr>
        <w:pStyle w:val="TextBody"/>
        <w:bidi w:val="0"/>
        <w:spacing w:before="10"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(g)    any claim for any loss, cost, damage, or expense arising out of any dispute over the non-withholding or other tax treatment of any of the proceeds received by Executive as a result of this Agreement;</w:t>
      </w:r>
    </w:p>
    <w:p>
      <w:pPr>
        <w:pStyle w:val="TextBody"/>
        <w:bidi w:val="0"/>
        <w:spacing w:before="9" w:after="283"/>
        <w:jc w:val="both"/>
        <w:rPr/>
      </w:pPr>
      <w:r>
        <w:rPr/>
      </w:r>
    </w:p>
    <w:p>
      <w:pPr>
        <w:pStyle w:val="TextBody"/>
        <w:bidi w:val="0"/>
        <w:spacing w:lineRule="auto" w:line="240" w:before="1"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(h)    any and all claims arising out of the wage and hour and wage payments laws and regulations of the state or states in which Executive has provided service to the Company or any of its affiliates; and</w:t>
      </w:r>
    </w:p>
    <w:p>
      <w:pPr>
        <w:pStyle w:val="TextBody"/>
        <w:bidi w:val="0"/>
        <w:spacing w:before="9" w:after="283"/>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    any and all claims for attorneys’ fees and costs.</w:t>
      </w:r>
    </w:p>
    <w:p>
      <w:pPr>
        <w:pStyle w:val="TextBody"/>
        <w:bidi w:val="0"/>
        <w:spacing w:before="0" w:after="0"/>
        <w:jc w:val="both"/>
        <w:rPr/>
      </w:pPr>
      <w:r>
        <w:rPr/>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and any right to receive an award for information provided thereunder, Executive’s right to file a charge with or participate in a charge by the Equal Employment Opportunity Commission,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81050"/>
                <wp:effectExtent l="0" t="0" r="0" b="0"/>
                <wp:wrapNone/>
                <wp:docPr id="99" name="Frame9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Releasee for any alleged discriminatory treatment),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any Retained Claims and any claims under this Agreement.</w:t>
      </w:r>
    </w:p>
    <w:p>
      <w:pPr>
        <w:pStyle w:val="TextBody"/>
        <w:bidi w:val="0"/>
        <w:spacing w:before="0" w:after="0"/>
        <w:jc w:val="both"/>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Acknowledgment of Waiver of Claims under ADEA</w:t>
      </w:r>
      <w:r>
        <w:rPr>
          <w:rFonts w:ascii="Times New Roman;sans-serif" w:hAnsi="Times New Roman;sans-serif"/>
          <w:b w:val="false"/>
          <w:color w:val="000000"/>
          <w:sz w:val="22"/>
        </w:rPr>
        <w:t>. Executive understands and acknowledges that Executive is waiving and releasing any rights Executive may have under the Age Discrimination in Employment Act of 1967 (“</w:t>
      </w:r>
      <w:r>
        <w:rPr>
          <w:rFonts w:ascii="Times New Roman;sans-serif" w:hAnsi="Times New Roman;sans-serif"/>
          <w:b w:val="false"/>
          <w:color w:val="000000"/>
          <w:sz w:val="22"/>
          <w:u w:val="single"/>
        </w:rPr>
        <w:t>ADEA</w:t>
      </w:r>
      <w:r>
        <w:rPr>
          <w:color w:val="000000"/>
        </w:rPr>
        <w:t>”</w:t>
      </w:r>
      <w:r>
        <w:rPr>
          <w:rFonts w:ascii="Times New Roman;sans-serif" w:hAnsi="Times New Roman;sans-serif"/>
          <w:b w:val="false"/>
          <w:color w:val="000000"/>
          <w:sz w:val="22"/>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w:t>
      </w:r>
    </w:p>
    <w:p>
      <w:pPr>
        <w:pStyle w:val="TextBody"/>
        <w:bidi w:val="0"/>
        <w:spacing w:lineRule="auto" w:line="240" w:before="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acknowledges that Executive has been advised by this writing that: (a) Executive should consult with an attorney prior to executing this Agreement; (b) Executive has 21 days following October 30, 2023, within which to consider this Agreement, and the Parties agree that such time period to review this Agreement shall not be extended upon any material or immaterial changes to this Agreement; (c) Executive has seven days following Executive’s execution of this Agreement to revoke this Agreement pursuant to written notice to the Chief Legal Officer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pStyle w:val="TextBody"/>
        <w:bidi w:val="0"/>
        <w:spacing w:before="8" w:after="283"/>
        <w:jc w:val="both"/>
        <w:rPr/>
      </w:pPr>
      <w:r>
        <w:rPr/>
      </w:r>
    </w:p>
    <w:p>
      <w:pPr>
        <w:pStyle w:val="TextBody"/>
        <w:bidi w:val="0"/>
        <w:spacing w:lineRule="auto" w:line="240" w:before="0" w:after="0"/>
        <w:ind w:left="0" w:right="0" w:hanging="720"/>
        <w:jc w:val="both"/>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Restrictive Covenants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92"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(a)    Executive’s covenants under the Restrictive Covenant Agreement are hereby incorporated by reference into this Agreement. Except as modified herein, Executive acknowledges and agrees that Executive’s obligations under the Restrictive Covenant Agreement shall remain in full force and effect following the Separation Date in accordance with the terms thereof. Notwithstanding the forgoing, Executive’s non-competition obligations under Paragraphs 1(a) and 1(d) of the Restrictive Covenant Agreement shall be modified so as to be in force only until November 1, 2024 and apply only to entities that develop, manufacture, market, license or sell small-molecule therapies (i) to inhibit or otherwise regulate the MAPK-driven oncogenic pathway, or (ii) that utilize a deep cyclic inhibition approach.</w:t>
      </w:r>
    </w:p>
    <w:p>
      <w:pPr>
        <w:pStyle w:val="TextBody"/>
        <w:bidi w:val="0"/>
        <w:spacing w:before="8"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(b)    Executive agrees that Executive shall not publicly disparage, criticize or defame the Company or its directors, officers, products, services, technology or business. Nothing in this Section 6(b) will prohibit disclosure of information that is required to be disclosed to enforce the terms of this Agreement or to comply with applicable law or order of a court or other regulatory body of competent jurisdiction.</w:t>
      </w:r>
    </w:p>
    <w:p>
      <w:pPr>
        <w:pStyle w:val="TextBody"/>
        <w:bidi w:val="0"/>
        <w:spacing w:before="11" w:after="283"/>
        <w:jc w:val="both"/>
        <w:rPr/>
      </w:pPr>
      <w:r>
        <w:rPr/>
      </w:r>
    </w:p>
    <w:p>
      <w:pPr>
        <w:pStyle w:val="TextBody"/>
        <w:bidi w:val="0"/>
        <w:spacing w:lineRule="auto" w:line="240" w:before="0" w:after="0"/>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    The Company shall direct the members of the Executive Committee and the Chief Executive Officer that they may not at any time publicly disparage Executive or engage in any conduct that is injurious to Executive’s reputation and interests. In response to any reference inquiry for Executive, the Company shall only share dates of employment and title held. </w:t>
      </w:r>
    </w:p>
    <w:p>
      <w:pPr>
        <w:pStyle w:val="TextBody"/>
        <w:bidi w:val="0"/>
        <w:spacing w:before="2" w:after="283"/>
        <w:jc w:val="both"/>
        <w:rPr/>
      </w:pPr>
      <w:r>
        <w:rPr/>
      </w:r>
    </w:p>
    <w:p>
      <w:pPr>
        <w:pStyle w:val="TextBody"/>
        <w:bidi w:val="0"/>
        <w:spacing w:lineRule="auto" w:line="240" w:before="91" w:after="283"/>
        <w:ind w:left="0" w:right="0" w:firstLine="1439"/>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    Executive represents and warrants that, on or before the Separation Date, Executive will return to the Company all files, memoranda, records and other documents, computers, and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81050"/>
                <wp:effectExtent l="0" t="0" r="0" b="0"/>
                <wp:wrapNone/>
                <wp:docPr id="100" name="Frame10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91" w:after="283"/>
        <w:jc w:val="both"/>
        <w:rPr>
          <w:rFonts w:ascii="Times New Roman;sans-serif" w:hAnsi="Times New Roman;sans-serif"/>
          <w:b w:val="false"/>
          <w:color w:val="000000"/>
          <w:sz w:val="22"/>
        </w:rPr>
      </w:pPr>
      <w:r>
        <w:rPr>
          <w:rFonts w:ascii="Times New Roman;sans-serif" w:hAnsi="Times New Roman;sans-serif"/>
          <w:b w:val="false"/>
          <w:color w:val="000000"/>
          <w:sz w:val="22"/>
        </w:rPr>
        <w:t>Airbase or corporate credit cards which are the property of the Company and which Executive has in Executive’s possession, custody or control.</w:t>
      </w:r>
    </w:p>
    <w:p>
      <w:pPr>
        <w:pStyle w:val="TextBody"/>
        <w:bidi w:val="0"/>
        <w:spacing w:before="10" w:after="283"/>
        <w:jc w:val="both"/>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No Oral Modification</w:t>
      </w:r>
      <w:r>
        <w:rPr>
          <w:rFonts w:ascii="Times New Roman;sans-serif" w:hAnsi="Times New Roman;sans-serif"/>
          <w:b w:val="false"/>
          <w:color w:val="000000"/>
          <w:sz w:val="22"/>
        </w:rPr>
        <w:t>. This Agreement may only be amended in a writing signed by Executive and a duly authorized officer of the Company.</w:t>
      </w:r>
    </w:p>
    <w:p>
      <w:pPr>
        <w:pStyle w:val="TextBody"/>
        <w:bidi w:val="0"/>
        <w:spacing w:before="10" w:after="283"/>
        <w:jc w:val="both"/>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Governing Law; Dispute Resolution</w:t>
      </w:r>
      <w:r>
        <w:rPr>
          <w:rFonts w:ascii="Times New Roman;sans-serif" w:hAnsi="Times New Roman;sans-serif"/>
          <w:b w:val="false"/>
          <w:color w:val="000000"/>
          <w:sz w:val="22"/>
        </w:rPr>
        <w:t>. This Agreement shall be subject to the provisions of Sections 9(a), 9(c), and 9(h) of the Employment Agreement. Notwithstanding the foregoing, Section 9(h) of the Employment Agreement shall be amended as follows:</w:t>
      </w:r>
    </w:p>
    <w:p>
      <w:pPr>
        <w:pStyle w:val="TextBody"/>
        <w:bidi w:val="0"/>
        <w:spacing w:before="0" w:after="0"/>
        <w:ind w:left="0" w:right="0" w:firstLine="719"/>
        <w:jc w:val="both"/>
        <w:rPr/>
      </w:pPr>
      <w:r>
        <w:rPr/>
      </w:r>
    </w:p>
    <w:p>
      <w:pPr>
        <w:pStyle w:val="TextBody"/>
        <w:bidi w:val="0"/>
        <w:spacing w:lineRule="auto" w:line="240" w:before="0" w:after="0"/>
        <w:jc w:val="both"/>
        <w:rPr/>
      </w:pPr>
      <w:r>
        <w:rPr>
          <w:rFonts w:ascii="Times New Roman;sans-serif" w:hAnsi="Times New Roman;sans-serif"/>
          <w:b w:val="false"/>
          <w:color w:val="000000"/>
          <w:sz w:val="22"/>
          <w:u w:val="single"/>
        </w:rPr>
        <w:t>Arbitration</w:t>
      </w:r>
      <w:r>
        <w:rPr>
          <w:rFonts w:ascii="Times New Roman;sans-serif" w:hAnsi="Times New Roman;sans-serif"/>
          <w:b w:val="false"/>
          <w:color w:val="000000"/>
          <w:sz w:val="22"/>
        </w:rPr>
        <w:t>. Any controversy, claim or dispute arising out of or relating to this Agreement, shall be settled solely and exclusively by a binding arbitration process administered by JAMS/Endispute in New York, New York. Such arbitration shall be conducted in accordance with the then-existing JAMS/Endispute Rules of Practice and Procedure, with the following exceptions if in conflict: (i) one arbitrator who is a retired judge shall be chosen by JAMS/Endispute; (ii) the Company will be responsible for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The Company shall be responsible for all JAMS/Endispute costs.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Restrictive Covenant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Times New Roman;sans-serif" w:hAnsi="Times New Roman;sans-serif"/>
          <w:b w:val="false"/>
          <w:color w:val="000000"/>
          <w:sz w:val="22"/>
          <w:u w:val="single"/>
        </w:rPr>
        <w:t>AAA</w:t>
      </w:r>
      <w:r>
        <w:rPr>
          <w:color w:val="000000"/>
        </w:rPr>
        <w:t>”</w:t>
      </w:r>
      <w:r>
        <w:rPr>
          <w:rFonts w:ascii="Times New Roman;sans-serif" w:hAnsi="Times New Roman;sans-serif"/>
          <w:b w:val="false"/>
          <w:color w:val="000000"/>
          <w:sz w:val="22"/>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pStyle w:val="TextBody"/>
        <w:bidi w:val="0"/>
        <w:spacing w:before="11" w:after="283"/>
        <w:jc w:val="both"/>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Effective Date</w:t>
      </w:r>
      <w:r>
        <w:rPr>
          <w:rFonts w:ascii="Times New Roman;sans-serif" w:hAnsi="Times New Roman;sans-serif"/>
          <w:b w:val="false"/>
          <w:color w:val="000000"/>
          <w:sz w:val="22"/>
        </w:rPr>
        <w:t>. Executive has seven days after Executive signs this Agreement to revoke it and this Agreement will become effective on the day immediately following the seventh day after Executive signed this Agreement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w:t>
      </w:r>
    </w:p>
    <w:p>
      <w:pPr>
        <w:pStyle w:val="TextBody"/>
        <w:bidi w:val="0"/>
        <w:spacing w:before="10" w:after="283"/>
        <w:jc w:val="both"/>
        <w:rPr/>
      </w:pPr>
      <w:r>
        <w:rPr/>
      </w:r>
    </w:p>
    <w:p>
      <w:pPr>
        <w:pStyle w:val="TextBody"/>
        <w:bidi w:val="0"/>
        <w:spacing w:lineRule="auto" w:line="240" w:before="92" w:after="283"/>
        <w:ind w:left="0" w:right="0" w:firstLine="719"/>
        <w:jc w:val="both"/>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Voluntary Execution of Agreement</w:t>
      </w:r>
      <w:r>
        <w:rPr>
          <w:rFonts w:ascii="Times New Roman;sans-serif" w:hAnsi="Times New Roman;sans-serif"/>
          <w:b w:val="false"/>
          <w:color w:val="000000"/>
          <w:sz w:val="22"/>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pStyle w:val="TextBody"/>
        <w:bidi w:val="0"/>
        <w:spacing w:before="10" w:after="283"/>
        <w:jc w:val="both"/>
        <w:rPr/>
      </w:pPr>
      <w:r>
        <w:rPr/>
      </w:r>
    </w:p>
    <w:p>
      <w:pPr>
        <w:pStyle w:val="TextBody"/>
        <w:bidi w:val="0"/>
        <w:spacing w:lineRule="auto" w:line="240" w:before="0" w:after="0"/>
        <w:jc w:val="both"/>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81050"/>
                <wp:effectExtent l="0" t="0" r="0" b="0"/>
                <wp:wrapNone/>
                <wp:docPr id="101" name="Frame10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2" w:after="283"/>
        <w:jc w:val="both"/>
        <w:rPr/>
      </w:pPr>
      <w:r>
        <w:rPr/>
      </w:r>
    </w:p>
    <w:p>
      <w:pPr>
        <w:pStyle w:val="TextBody"/>
        <w:bidi w:val="0"/>
        <w:spacing w:lineRule="auto" w:line="240" w:before="91" w:after="283"/>
        <w:ind w:left="0" w:right="0" w:firstLine="719"/>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executed this Agreement on the respective dates set forth below.</w:t>
      </w:r>
    </w:p>
    <w:p>
      <w:pPr>
        <w:pStyle w:val="TextBody"/>
        <w:bidi w:val="0"/>
        <w:spacing w:before="1" w:after="283"/>
        <w:jc w:val="both"/>
        <w:rPr/>
      </w:pPr>
      <w:r>
        <w:rPr/>
      </w:r>
    </w:p>
    <w:tbl>
      <w:tblPr>
        <w:tblW w:w="5325" w:type="dxa"/>
        <w:jc w:val="left"/>
        <w:tblInd w:w="0" w:type="dxa"/>
        <w:tblLayout w:type="fixed"/>
        <w:tblCellMar>
          <w:top w:w="28" w:type="dxa"/>
          <w:left w:w="28" w:type="dxa"/>
          <w:bottom w:w="28" w:type="dxa"/>
          <w:right w:w="28" w:type="dxa"/>
        </w:tblCellMar>
      </w:tblPr>
      <w:tblGrid>
        <w:gridCol w:w="591"/>
        <w:gridCol w:w="520"/>
        <w:gridCol w:w="524"/>
        <w:gridCol w:w="1079"/>
        <w:gridCol w:w="1079"/>
        <w:gridCol w:w="15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EXECUTIVE</w:t>
            </w:r>
          </w:p>
        </w:tc>
      </w:tr>
      <w:tr>
        <w:trPr/>
        <w:tc>
          <w:tcPr>
            <w:tcW w:w="1635" w:type="dxa"/>
            <w:gridSpan w:val="3"/>
            <w:tcBorders/>
            <w:tcMar>
              <w:top w:w="0" w:type="dxa"/>
              <w:left w:w="0" w:type="dxa"/>
              <w:bottom w:w="0" w:type="dxa"/>
              <w:right w:w="0" w:type="dxa"/>
            </w:tcMar>
            <w:vAlign w:val="center"/>
          </w:tcPr>
          <w:p>
            <w:pPr>
              <w:pStyle w:val="TableContents"/>
              <w:bidi w:val="0"/>
              <w:spacing w:before="3" w:after="283"/>
              <w:jc w:val="both"/>
              <w:rPr/>
            </w:pPr>
            <w:r>
              <w:rPr/>
            </w:r>
          </w:p>
          <w:p>
            <w:pPr>
              <w:pStyle w:val="TableContents"/>
              <w:bidi w:val="0"/>
              <w:spacing w:lineRule="auto" w:line="24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Dated: 11/08/23</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Scott Barrett</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13" w:after="283"/>
              <w:jc w:val="both"/>
              <w:rPr>
                <w:rFonts w:ascii="Times New Roman;sans-serif" w:hAnsi="Times New Roman;sans-serif"/>
                <w:b w:val="false"/>
                <w:color w:val="000000"/>
                <w:sz w:val="22"/>
              </w:rPr>
            </w:pPr>
            <w:r>
              <w:rPr>
                <w:rFonts w:ascii="Times New Roman;sans-serif" w:hAnsi="Times New Roman;sans-serif"/>
                <w:b w:val="false"/>
                <w:color w:val="000000"/>
                <w:sz w:val="22"/>
              </w:rPr>
              <w:t>Scott Barrett, M.D.</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8" w:after="283"/>
              <w:jc w:val="both"/>
              <w:rPr/>
            </w:pPr>
            <w:r>
              <w:rPr/>
            </w:r>
          </w:p>
          <w:p>
            <w:pPr>
              <w:pStyle w:val="TableContents"/>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IMMUNEERING CORPORATION</w:t>
            </w:r>
          </w:p>
        </w:tc>
      </w:tr>
    </w:tbl>
    <w:p>
      <w:pPr>
        <w:pStyle w:val="TextBody"/>
        <w:bidi w:val="0"/>
        <w:spacing w:before="0" w:after="0"/>
        <w:jc w:val="both"/>
        <w:rPr/>
      </w:pPr>
      <w:r>
        <w:rPr/>
      </w:r>
    </w:p>
    <w:tbl>
      <w:tblPr>
        <w:tblW w:w="4065" w:type="dxa"/>
        <w:jc w:val="left"/>
        <w:tblInd w:w="0" w:type="dxa"/>
        <w:tblLayout w:type="fixed"/>
        <w:tblCellMar>
          <w:top w:w="28" w:type="dxa"/>
          <w:left w:w="28" w:type="dxa"/>
          <w:bottom w:w="28" w:type="dxa"/>
          <w:right w:w="28" w:type="dxa"/>
        </w:tblCellMar>
      </w:tblPr>
      <w:tblGrid>
        <w:gridCol w:w="591"/>
        <w:gridCol w:w="520"/>
        <w:gridCol w:w="524"/>
        <w:gridCol w:w="712"/>
        <w:gridCol w:w="712"/>
        <w:gridCol w:w="10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3" w:after="283"/>
              <w:jc w:val="both"/>
              <w:rPr/>
            </w:pPr>
            <w:r>
              <w:rPr/>
            </w:r>
          </w:p>
          <w:p>
            <w:pPr>
              <w:pStyle w:val="TableContents"/>
              <w:bidi w:val="0"/>
              <w:spacing w:lineRule="auto" w:line="24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Dated: 11/08/23</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Benjamin Zeskind</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Benjamin Zeskind, CEO</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81050"/>
                <wp:effectExtent l="0" t="0" r="0" b="0"/>
                <wp:wrapNone/>
                <wp:docPr id="102" name="Frame10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color w:val="000000"/>
          <w:sz w:val="22"/>
          <w:u w:val="single"/>
        </w:rPr>
        <w:t>EXHIBIT A</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Affirmation</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hereby reaffirm in its entirety the provisions of the Separation Agreement and Release with Immuneering Corporation, dated November 8, 2023, signed by me including, without limitation, the Release of Claims contained in Section 4 and Section 5 thereof.</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 Scott Barrett, M.D.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Dated: [November 30, 2023]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2"/>
        </w:rPr>
        <w:t>NOTE:</w:t>
      </w:r>
      <w:r>
        <w:rPr>
          <w:color w:val="000000"/>
        </w:rPr>
        <w:t xml:space="preserve"> </w:t>
      </w:r>
      <w:r>
        <w:rPr>
          <w:rFonts w:ascii="Times New Roman;sans-serif" w:hAnsi="Times New Roman;sans-serif"/>
          <w:b/>
          <w:color w:val="000000"/>
          <w:sz w:val="22"/>
        </w:rPr>
        <w:t>to be signed on (and not to be signed prior to) the Separation Date</w:t>
      </w:r>
      <w:r>
        <w:rPr>
          <w:rFonts w:ascii="Times New Roman;sans-serif" w:hAnsi="Times New Roman;sans-serif"/>
          <w:b w:val="false"/>
          <w:color w:val="000000"/>
          <w:sz w:val="22"/>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81050"/>
                <wp:effectExtent l="0" t="0" r="0" b="0"/>
                <wp:wrapNone/>
                <wp:docPr id="103" name="Frame10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10" w:after="283"/>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Benjamin J. Zeskind, certify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836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60"/>
        <w:gridCol w:w="2160"/>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Mallory Morales, certify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Immuneering Corporation;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43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78"/>
        <w:gridCol w:w="978"/>
        <w:gridCol w:w="1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4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Immuneering Corporation (the “Company”) for the quarterly period ended September 30, 2023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9, 2023 </w:t>
      </w:r>
    </w:p>
    <w:tbl>
      <w:tblPr>
        <w:tblW w:w="8365"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2159"/>
        <w:gridCol w:w="2159"/>
        <w:gridCol w:w="3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Benjamin J. Zeskind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Benjamin J. Zeskind,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President, Chief Executive Officer and Director (Principal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Immuneering Corporation (the “Company”) for the quarterly period ended September 30, 2023, as filed with the Securities and Exchange Commission on the date hereof (the “Report”), I, the undersigned, certify, pursuant to 18 U.S.C. Section 1350, as adopted pursuant to Section 906 of the Sarbanes-Oxley Act of 2002, to the best of my knowledge, that: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Section 15(d) of the Securities Exchange Act of 1934, as amended; and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bl>
      <w:tblPr>
        <w:tblW w:w="4316"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78"/>
        <w:gridCol w:w="978"/>
        <w:gridCol w:w="13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Mallory Morales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345"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and Treasurer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0340/000155837021012336/imrx-20210630xex3d1.htm" TargetMode="External"/><Relationship Id="rId3" Type="http://schemas.openxmlformats.org/officeDocument/2006/relationships/hyperlink" Target="https://www.sec.gov/Archives/edgar/data/1790340/000155837021012336/imrx-20210630xex3d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66871</Words>
  <Characters>376864</Characters>
  <CharactersWithSpaces>441813</CharactersWithSpaces>
  <Paragraphs>3019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