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11, 2026</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Immuneering Corporation</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w:t>
      </w:r>
    </w:p>
    <w:p>
      <w:pPr>
        <w:sectPr>
          <w:pgSz w:w="11900" w:h="16838" w:orient="portrait"/>
          <w:cols w:equalWidth="0" w:num="1">
            <w:col w:w="11240"/>
          </w:cols>
          <w:pgMar w:left="320" w:top="1344" w:right="339" w:bottom="1440" w:gutter="0" w:footer="0" w:header="0"/>
        </w:sectPr>
      </w:pPr>
    </w:p>
    <w:p>
      <w:pPr>
        <w:spacing w:after="0" w:line="153"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001-40675</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26-1976972</w:t>
      </w:r>
    </w:p>
    <w:p>
      <w:pPr>
        <w:spacing w:after="0" w:line="71" w:lineRule="exact"/>
        <w:rPr>
          <w:sz w:val="24"/>
          <w:szCs w:val="24"/>
          <w:color w:val="auto"/>
        </w:rPr>
      </w:pPr>
    </w:p>
    <w:p>
      <w:pPr>
        <w:sectPr>
          <w:pgSz w:w="11900" w:h="16838" w:orient="portrait"/>
          <w:cols w:equalWidth="0" w:num="3">
            <w:col w:w="4460" w:space="720"/>
            <w:col w:w="2980" w:space="720"/>
            <w:col w:w="2360"/>
          </w:cols>
          <w:pgMar w:left="320" w:top="1344" w:right="339" w:bottom="1440" w:gutter="0" w:footer="0" w:header="0"/>
          <w:type w:val="continuous"/>
        </w:sectPr>
      </w:pPr>
    </w:p>
    <w:p>
      <w:pPr>
        <w:ind w:left="34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980" w:space="720"/>
            <w:col w:w="2820" w:space="720"/>
            <w:col w:w="3000"/>
          </w:cols>
          <w:pgMar w:left="320" w:top="1344"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245 Main St.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Second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 02142</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500-8080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ectPr>
          <w:pgSz w:w="11900" w:h="16838" w:orient="portrait"/>
          <w:cols w:equalWidth="0" w:num="1">
            <w:col w:w="11240"/>
          </w:cols>
          <w:pgMar w:left="320" w:top="1344" w:right="339" w:bottom="1440" w:gutter="0" w:footer="0" w:header="0"/>
          <w:type w:val="continuous"/>
        </w:sectPr>
      </w:pP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5"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2"/>
        </w:trPr>
        <w:tc>
          <w:tcPr>
            <w:tcW w:w="4580" w:type="dxa"/>
            <w:vAlign w:val="bottom"/>
            <w:gridSpan w:val="2"/>
          </w:tcPr>
          <w:p>
            <w:pPr>
              <w:jc w:val="center"/>
              <w:ind w:right="80"/>
              <w:spacing w:after="0"/>
              <w:rPr>
                <w:sz w:val="20"/>
                <w:szCs w:val="20"/>
                <w:color w:val="auto"/>
              </w:rPr>
            </w:pPr>
            <w:r>
              <w:rPr>
                <w:rFonts w:ascii="Arial" w:cs="Arial" w:eastAsia="Arial" w:hAnsi="Arial"/>
                <w:sz w:val="14"/>
                <w:szCs w:val="14"/>
                <w:color w:val="auto"/>
              </w:rPr>
              <w:t>Class A common stock, par value $0.001 per share</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color w:val="auto"/>
              </w:rPr>
              <w:t>IMRX</w:t>
            </w:r>
          </w:p>
        </w:tc>
        <w:tc>
          <w:tcPr>
            <w:tcW w:w="4500" w:type="dxa"/>
            <w:vAlign w:val="bottom"/>
          </w:tcPr>
          <w:p>
            <w:pPr>
              <w:jc w:val="center"/>
              <w:spacing w:after="0"/>
              <w:rPr>
                <w:sz w:val="20"/>
                <w:szCs w:val="20"/>
                <w:color w:val="auto"/>
              </w:rPr>
            </w:pPr>
            <w:r>
              <w:rPr>
                <w:rFonts w:ascii="Arial" w:cs="Arial" w:eastAsia="Arial" w:hAnsi="Arial"/>
                <w:sz w:val="14"/>
                <w:szCs w:val="14"/>
                <w:color w:val="auto"/>
              </w:rPr>
              <w:t>The Nasdaq Global Market</w:t>
            </w:r>
          </w:p>
        </w:tc>
      </w:tr>
    </w:tbl>
    <w:p>
      <w:pPr>
        <w:spacing w:after="0" w:line="192" w:lineRule="exact"/>
        <w:rPr>
          <w:sz w:val="24"/>
          <w:szCs w:val="24"/>
          <w:color w:val="auto"/>
        </w:rPr>
      </w:pPr>
    </w:p>
    <w:p>
      <w:pPr>
        <w:ind w:right="66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5" w:lineRule="exact"/>
        <w:rPr>
          <w:sz w:val="24"/>
          <w:szCs w:val="24"/>
          <w:color w:val="auto"/>
        </w:rPr>
      </w:pPr>
    </w:p>
    <w:p>
      <w:pPr>
        <w:ind w:left="52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June 11, 2026, Immuneering Corporation (the “Company”) held its Annual Meeting of Stockholders. A total of 44,495,059 shares of the Company’s Class A common stock were present in person or represented by proxy at the meeting, representing approximately 68.8 percent of the Company’s outstanding Class A common stock as of the April 15, 2026 record date. The following are the voting results for the proposals considered and voted upon at the meeting, all of which were described in the Company’s Definitive Proxy Statement filed with the Securities and Exchange Commission on April 20, 2026.</w:t>
      </w:r>
    </w:p>
    <w:p>
      <w:pPr>
        <w:spacing w:after="0" w:line="206" w:lineRule="exact"/>
        <w:rPr>
          <w:sz w:val="20"/>
          <w:szCs w:val="20"/>
          <w:color w:val="auto"/>
        </w:rPr>
      </w:pPr>
    </w:p>
    <w:p>
      <w:pPr>
        <w:ind w:right="120" w:firstLine="356"/>
        <w:spacing w:after="0" w:line="271" w:lineRule="auto"/>
        <w:rPr>
          <w:sz w:val="20"/>
          <w:szCs w:val="20"/>
          <w:color w:val="auto"/>
        </w:rPr>
      </w:pPr>
      <w:r>
        <w:rPr>
          <w:rFonts w:ascii="Arial" w:cs="Arial" w:eastAsia="Arial" w:hAnsi="Arial"/>
          <w:sz w:val="18"/>
          <w:szCs w:val="18"/>
          <w:color w:val="auto"/>
        </w:rPr>
        <w:t>Item 1 — Election of two Class II directors to serve until the 2029 Annual Meeting of Stockholders, and until their respective successors have been duly elected and qualified.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40" w:type="dxa"/>
            <w:vAlign w:val="bottom"/>
          </w:tcPr>
          <w:p>
            <w:pPr>
              <w:ind w:left="20"/>
              <w:spacing w:after="0"/>
              <w:rPr>
                <w:sz w:val="20"/>
                <w:szCs w:val="20"/>
                <w:color w:val="auto"/>
              </w:rPr>
            </w:pPr>
            <w:r>
              <w:rPr>
                <w:rFonts w:ascii="Arial" w:cs="Arial" w:eastAsia="Arial" w:hAnsi="Arial"/>
                <w:sz w:val="18"/>
                <w:szCs w:val="18"/>
                <w:color w:val="auto"/>
              </w:rPr>
              <w:t>NOMINEE</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Votes FOR</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Votes AGAINST</w:t>
            </w:r>
          </w:p>
        </w:tc>
        <w:tc>
          <w:tcPr>
            <w:tcW w:w="2100" w:type="dxa"/>
            <w:vAlign w:val="bottom"/>
          </w:tcPr>
          <w:p>
            <w:pPr>
              <w:jc w:val="right"/>
              <w:ind w:right="230"/>
              <w:spacing w:after="0"/>
              <w:rPr>
                <w:sz w:val="20"/>
                <w:szCs w:val="20"/>
                <w:color w:val="auto"/>
              </w:rPr>
            </w:pPr>
            <w:r>
              <w:rPr>
                <w:rFonts w:ascii="Arial" w:cs="Arial" w:eastAsia="Arial" w:hAnsi="Arial"/>
                <w:sz w:val="18"/>
                <w:szCs w:val="18"/>
                <w:color w:val="auto"/>
              </w:rPr>
              <w:t>Votes WITHHELD</w:t>
            </w:r>
          </w:p>
        </w:tc>
        <w:tc>
          <w:tcPr>
            <w:tcW w:w="1780" w:type="dxa"/>
            <w:vAlign w:val="bottom"/>
          </w:tcPr>
          <w:p>
            <w:pPr>
              <w:jc w:val="right"/>
              <w:spacing w:after="0"/>
              <w:rPr>
                <w:sz w:val="20"/>
                <w:szCs w:val="20"/>
                <w:color w:val="auto"/>
              </w:rPr>
            </w:pPr>
            <w:r>
              <w:rPr>
                <w:rFonts w:ascii="Arial" w:cs="Arial" w:eastAsia="Arial" w:hAnsi="Arial"/>
                <w:sz w:val="18"/>
                <w:szCs w:val="18"/>
                <w:color w:val="auto"/>
              </w:rPr>
              <w:t>Broker Non-Votes</w:t>
            </w:r>
          </w:p>
        </w:tc>
      </w:tr>
      <w:tr>
        <w:trPr>
          <w:trHeight w:val="23"/>
        </w:trPr>
        <w:tc>
          <w:tcPr>
            <w:tcW w:w="27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Peter Feinberg</w:t>
            </w:r>
          </w:p>
        </w:tc>
        <w:tc>
          <w:tcPr>
            <w:tcW w:w="2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26,420,287</w:t>
            </w:r>
          </w:p>
        </w:tc>
        <w:tc>
          <w:tcPr>
            <w:tcW w:w="2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2,008,073</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16,066,699</w:t>
            </w:r>
          </w:p>
        </w:tc>
      </w:tr>
      <w:tr>
        <w:trPr>
          <w:trHeight w:val="239"/>
        </w:trPr>
        <w:tc>
          <w:tcPr>
            <w:tcW w:w="2740" w:type="dxa"/>
            <w:vAlign w:val="bottom"/>
          </w:tcPr>
          <w:p>
            <w:pPr>
              <w:ind w:left="20"/>
              <w:spacing w:after="0"/>
              <w:rPr>
                <w:sz w:val="20"/>
                <w:szCs w:val="20"/>
                <w:color w:val="auto"/>
              </w:rPr>
            </w:pPr>
            <w:r>
              <w:rPr>
                <w:rFonts w:ascii="Arial" w:cs="Arial" w:eastAsia="Arial" w:hAnsi="Arial"/>
                <w:sz w:val="18"/>
                <w:szCs w:val="18"/>
                <w:color w:val="auto"/>
              </w:rPr>
              <w:t>Laurie B. Keating</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27,121,501</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230"/>
              <w:spacing w:after="0"/>
              <w:rPr>
                <w:sz w:val="20"/>
                <w:szCs w:val="20"/>
                <w:color w:val="auto"/>
              </w:rPr>
            </w:pPr>
            <w:r>
              <w:rPr>
                <w:rFonts w:ascii="Arial" w:cs="Arial" w:eastAsia="Arial" w:hAnsi="Arial"/>
                <w:sz w:val="18"/>
                <w:szCs w:val="18"/>
                <w:color w:val="auto"/>
              </w:rPr>
              <w:t>1,306,859</w:t>
            </w:r>
          </w:p>
        </w:tc>
        <w:tc>
          <w:tcPr>
            <w:tcW w:w="1780" w:type="dxa"/>
            <w:vAlign w:val="bottom"/>
          </w:tcPr>
          <w:p>
            <w:pPr>
              <w:jc w:val="right"/>
              <w:spacing w:after="0"/>
              <w:rPr>
                <w:sz w:val="20"/>
                <w:szCs w:val="20"/>
                <w:color w:val="auto"/>
              </w:rPr>
            </w:pPr>
            <w:r>
              <w:rPr>
                <w:rFonts w:ascii="Arial" w:cs="Arial" w:eastAsia="Arial" w:hAnsi="Arial"/>
                <w:sz w:val="18"/>
                <w:szCs w:val="18"/>
                <w:color w:val="auto"/>
              </w:rPr>
              <w:t>16,066,699</w:t>
            </w:r>
          </w:p>
        </w:tc>
      </w:tr>
    </w:tbl>
    <w:p>
      <w:pPr>
        <w:spacing w:after="0" w:line="323" w:lineRule="exact"/>
        <w:rPr>
          <w:sz w:val="20"/>
          <w:szCs w:val="20"/>
          <w:color w:val="auto"/>
        </w:rPr>
      </w:pPr>
    </w:p>
    <w:p>
      <w:pPr>
        <w:ind w:right="220" w:firstLine="356"/>
        <w:spacing w:after="0" w:line="287" w:lineRule="auto"/>
        <w:rPr>
          <w:sz w:val="20"/>
          <w:szCs w:val="20"/>
          <w:color w:val="auto"/>
        </w:rPr>
      </w:pPr>
      <w:r>
        <w:rPr>
          <w:rFonts w:ascii="Arial" w:cs="Arial" w:eastAsia="Arial" w:hAnsi="Arial"/>
          <w:sz w:val="18"/>
          <w:szCs w:val="18"/>
          <w:color w:val="auto"/>
        </w:rPr>
        <w:t>Item 2 — Ratification of the appointment of RSM US LLP as the Company’s independent registered public accounting firm for the year ending December 31, 2026.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60" w:type="dxa"/>
            <w:vAlign w:val="bottom"/>
          </w:tcPr>
          <w:p>
            <w:pPr>
              <w:jc w:val="right"/>
              <w:ind w:right="290"/>
              <w:spacing w:after="0"/>
              <w:rPr>
                <w:sz w:val="20"/>
                <w:szCs w:val="20"/>
                <w:color w:val="auto"/>
              </w:rPr>
            </w:pPr>
            <w:r>
              <w:rPr>
                <w:rFonts w:ascii="Arial" w:cs="Arial" w:eastAsia="Arial" w:hAnsi="Arial"/>
                <w:sz w:val="18"/>
                <w:szCs w:val="18"/>
                <w:color w:val="auto"/>
              </w:rPr>
              <w:t>Votes FOR</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Votes AGAINST</w:t>
            </w:r>
          </w:p>
        </w:tc>
        <w:tc>
          <w:tcPr>
            <w:tcW w:w="2140" w:type="dxa"/>
            <w:vAlign w:val="bottom"/>
          </w:tcPr>
          <w:p>
            <w:pPr>
              <w:jc w:val="right"/>
              <w:ind w:right="250"/>
              <w:spacing w:after="0"/>
              <w:rPr>
                <w:sz w:val="20"/>
                <w:szCs w:val="20"/>
                <w:color w:val="auto"/>
              </w:rPr>
            </w:pPr>
            <w:r>
              <w:rPr>
                <w:rFonts w:ascii="Arial" w:cs="Arial" w:eastAsia="Arial" w:hAnsi="Arial"/>
                <w:sz w:val="18"/>
                <w:szCs w:val="18"/>
                <w:color w:val="auto"/>
              </w:rPr>
              <w:t>Votes ABSTAINED</w:t>
            </w:r>
          </w:p>
        </w:tc>
        <w:tc>
          <w:tcPr>
            <w:tcW w:w="1780" w:type="dxa"/>
            <w:vAlign w:val="bottom"/>
          </w:tcPr>
          <w:p>
            <w:pPr>
              <w:jc w:val="right"/>
              <w:spacing w:after="0"/>
              <w:rPr>
                <w:sz w:val="20"/>
                <w:szCs w:val="20"/>
                <w:color w:val="auto"/>
              </w:rPr>
            </w:pPr>
            <w:r>
              <w:rPr>
                <w:rFonts w:ascii="Arial" w:cs="Arial" w:eastAsia="Arial" w:hAnsi="Arial"/>
                <w:sz w:val="18"/>
                <w:szCs w:val="18"/>
                <w:color w:val="auto"/>
              </w:rPr>
              <w:t>Broker Non-Votes</w:t>
            </w:r>
          </w:p>
        </w:tc>
      </w:tr>
      <w:tr>
        <w:trPr>
          <w:trHeight w:val="23"/>
        </w:trPr>
        <w:tc>
          <w:tcPr>
            <w:tcW w:w="5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5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42,142,848</w:t>
            </w:r>
          </w:p>
        </w:tc>
        <w:tc>
          <w:tcPr>
            <w:tcW w:w="1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1,920,218</w:t>
            </w:r>
          </w:p>
        </w:tc>
        <w:tc>
          <w:tcPr>
            <w:tcW w:w="2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431,993</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votes, Peter Feinberg and Laurie B. Keating were elected as Class II directors and Item 2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IMMUNEERING CORPORATION</w:t>
      </w:r>
    </w:p>
    <w:p>
      <w:pPr>
        <w:spacing w:after="0" w:line="320" w:lineRule="exact"/>
        <w:rPr>
          <w:sz w:val="20"/>
          <w:szCs w:val="20"/>
          <w:color w:val="auto"/>
        </w:rPr>
      </w:pPr>
    </w:p>
    <w:p>
      <w:pPr>
        <w:ind w:left="20"/>
        <w:spacing w:after="0"/>
        <w:tabs>
          <w:tab w:leader="none" w:pos="5660" w:val="left"/>
          <w:tab w:leader="none" w:pos="6120" w:val="left"/>
        </w:tabs>
        <w:rPr>
          <w:sz w:val="20"/>
          <w:szCs w:val="20"/>
          <w:color w:val="auto"/>
        </w:rPr>
      </w:pPr>
      <w:r>
        <w:rPr>
          <w:rFonts w:ascii="Arial" w:cs="Arial" w:eastAsia="Arial" w:hAnsi="Arial"/>
          <w:sz w:val="18"/>
          <w:szCs w:val="18"/>
          <w:color w:val="auto"/>
        </w:rPr>
        <w:t>Date: June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D. Bookman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Michael D. Bookman</w:t>
      </w:r>
    </w:p>
    <w:p>
      <w:pPr>
        <w:spacing w:after="0" w:line="5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Chief Legal Officer and Secretary</w:t>
      </w:r>
    </w:p>
    <w:sectPr>
      <w:pgSz w:w="11900" w:h="16838" w:orient="portrait"/>
      <w:cols w:equalWidth="0" w:num="1">
        <w:col w:w="10980"/>
      </w:cols>
      <w:pgMar w:left="320" w:top="114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2026-06-11T16:21:35Z</dcterms:created>
  <dcterms:modified xsi:type="dcterms:W3CDTF">2026-06-11T16:21:35Z</dcterms:modified>
</cp:coreProperties>
</file>