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160" w:type="dxa"/>
            <w:vAlign w:val="bottom"/>
          </w:tcPr>
          <w:p>
            <w:pPr>
              <w:spacing w:after="0"/>
              <w:rPr>
                <w:sz w:val="24"/>
                <w:szCs w:val="24"/>
                <w:color w:val="auto"/>
              </w:rPr>
            </w:pPr>
          </w:p>
        </w:tc>
        <w:tc>
          <w:tcPr>
            <w:tcW w:w="8060" w:type="dxa"/>
            <w:vAlign w:val="bottom"/>
            <w:gridSpan w:val="3"/>
          </w:tcPr>
          <w:p>
            <w:pPr>
              <w:jc w:val="center"/>
              <w:ind w:left="781"/>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4"/>
                <w:szCs w:val="24"/>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60" w:type="dxa"/>
            <w:vAlign w:val="bottom"/>
            <w:gridSpan w:val="3"/>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rPr>
              <w:t>Washington, D.C. 20549</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395"/>
        </w:trPr>
        <w:tc>
          <w:tcPr>
            <w:tcW w:w="1160" w:type="dxa"/>
            <w:vAlign w:val="bottom"/>
          </w:tcPr>
          <w:p>
            <w:pPr>
              <w:spacing w:after="0"/>
              <w:rPr>
                <w:sz w:val="24"/>
                <w:szCs w:val="24"/>
                <w:color w:val="auto"/>
              </w:rPr>
            </w:pPr>
          </w:p>
        </w:tc>
        <w:tc>
          <w:tcPr>
            <w:tcW w:w="5220" w:type="dxa"/>
            <w:vAlign w:val="bottom"/>
            <w:gridSpan w:val="2"/>
          </w:tcPr>
          <w:p>
            <w:pPr>
              <w:jc w:val="center"/>
              <w:ind w:left="3621"/>
              <w:spacing w:after="0"/>
              <w:rPr>
                <w:sz w:val="20"/>
                <w:szCs w:val="20"/>
                <w:color w:val="auto"/>
              </w:rPr>
            </w:pPr>
            <w:r>
              <w:rPr>
                <w:rFonts w:ascii="Times New Roman" w:cs="Times New Roman" w:eastAsia="Times New Roman" w:hAnsi="Times New Roman"/>
                <w:sz w:val="25"/>
                <w:szCs w:val="25"/>
                <w:b w:val="1"/>
                <w:bCs w:val="1"/>
                <w:color w:val="auto"/>
              </w:rPr>
              <w:t>FORM 10-K</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 One)</w:t>
            </w: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123"/>
        </w:trPr>
        <w:tc>
          <w:tcPr>
            <w:tcW w:w="1160" w:type="dxa"/>
            <w:vAlign w:val="bottom"/>
            <w:vMerge w:val="continue"/>
          </w:tcPr>
          <w:p>
            <w:pPr>
              <w:spacing w:after="0"/>
              <w:rPr>
                <w:sz w:val="10"/>
                <w:szCs w:val="10"/>
                <w:color w:val="auto"/>
              </w:rPr>
            </w:pPr>
          </w:p>
        </w:tc>
        <w:tc>
          <w:tcPr>
            <w:tcW w:w="4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11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gridSpan w:val="3"/>
          </w:tcPr>
          <w:p>
            <w:pPr>
              <w:jc w:val="center"/>
              <w:ind w:left="1061"/>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1081"/>
              <w:spacing w:after="0"/>
              <w:rPr>
                <w:sz w:val="20"/>
                <w:szCs w:val="20"/>
                <w:color w:val="auto"/>
              </w:rPr>
            </w:pPr>
            <w:r>
              <w:rPr>
                <w:rFonts w:ascii="Times New Roman" w:cs="Times New Roman" w:eastAsia="Times New Roman" w:hAnsi="Times New Roman"/>
                <w:sz w:val="16"/>
                <w:szCs w:val="16"/>
                <w:b w:val="1"/>
                <w:bCs w:val="1"/>
                <w:color w:val="auto"/>
              </w:rPr>
              <w:t>EXCHANGE ACT OF 1934</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3"/>
                <w:szCs w:val="13"/>
                <w:b w:val="1"/>
                <w:bCs w:val="1"/>
                <w:color w:val="auto"/>
                <w:w w:val="96"/>
              </w:rPr>
              <w:t>For the fiscal year ended December 31, 2023</w:t>
            </w:r>
          </w:p>
        </w:tc>
        <w:tc>
          <w:tcPr>
            <w:tcW w:w="0" w:type="dxa"/>
            <w:vAlign w:val="bottom"/>
          </w:tcPr>
          <w:p>
            <w:pPr>
              <w:spacing w:after="0"/>
              <w:rPr>
                <w:sz w:val="1"/>
                <w:szCs w:val="1"/>
                <w:color w:val="auto"/>
              </w:rPr>
            </w:pPr>
          </w:p>
        </w:tc>
      </w:tr>
      <w:tr>
        <w:trPr>
          <w:trHeight w:val="203"/>
        </w:trPr>
        <w:tc>
          <w:tcPr>
            <w:tcW w:w="11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gridSpan w:val="2"/>
          </w:tcPr>
          <w:p>
            <w:pPr>
              <w:jc w:val="center"/>
              <w:ind w:left="3621"/>
              <w:spacing w:after="0"/>
              <w:rPr>
                <w:sz w:val="20"/>
                <w:szCs w:val="20"/>
                <w:color w:val="auto"/>
              </w:rPr>
            </w:pPr>
            <w:r>
              <w:rPr>
                <w:rFonts w:ascii="Times New Roman" w:cs="Times New Roman" w:eastAsia="Times New Roman" w:hAnsi="Times New Roman"/>
                <w:sz w:val="13"/>
                <w:szCs w:val="13"/>
                <w:b w:val="1"/>
                <w:bCs w:val="1"/>
                <w:color w:val="auto"/>
                <w:w w:val="97"/>
              </w:rPr>
              <w:t>or</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1160" w:type="dxa"/>
            <w:vAlign w:val="bottom"/>
            <w:vMerge w:val="continue"/>
          </w:tcPr>
          <w:p>
            <w:pPr>
              <w:spacing w:after="0"/>
              <w:rPr>
                <w:sz w:val="24"/>
                <w:szCs w:val="24"/>
                <w:color w:val="auto"/>
              </w:rPr>
            </w:pPr>
          </w:p>
        </w:tc>
        <w:tc>
          <w:tcPr>
            <w:tcW w:w="8060" w:type="dxa"/>
            <w:vAlign w:val="bottom"/>
            <w:gridSpan w:val="3"/>
            <w:vMerge w:val="restart"/>
          </w:tcPr>
          <w:p>
            <w:pPr>
              <w:jc w:val="center"/>
              <w:ind w:left="1081"/>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8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1081"/>
              <w:spacing w:after="0"/>
              <w:rPr>
                <w:sz w:val="20"/>
                <w:szCs w:val="20"/>
                <w:color w:val="auto"/>
              </w:rPr>
            </w:pPr>
            <w:r>
              <w:rPr>
                <w:rFonts w:ascii="Times New Roman" w:cs="Times New Roman" w:eastAsia="Times New Roman" w:hAnsi="Times New Roman"/>
                <w:sz w:val="16"/>
                <w:szCs w:val="16"/>
                <w:b w:val="1"/>
                <w:bCs w:val="1"/>
                <w:color w:val="auto"/>
              </w:rPr>
              <w:t>EXCHANGE ACT OF 1934</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66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560" w:type="dxa"/>
            <w:vAlign w:val="bottom"/>
            <w:tcBorders>
              <w:bottom w:val="single" w:sz="8" w:color="auto"/>
            </w:tcBorders>
          </w:tcPr>
          <w:p>
            <w:pPr>
              <w:spacing w:after="0"/>
              <w:rPr>
                <w:sz w:val="18"/>
                <w:szCs w:val="18"/>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8060" w:type="dxa"/>
            <w:vAlign w:val="bottom"/>
            <w:gridSpan w:val="3"/>
          </w:tcPr>
          <w:p>
            <w:pPr>
              <w:jc w:val="center"/>
              <w:ind w:left="781"/>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001-40675</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494"/>
        </w:trPr>
        <w:tc>
          <w:tcPr>
            <w:tcW w:w="1160" w:type="dxa"/>
            <w:vAlign w:val="bottom"/>
          </w:tcPr>
          <w:p>
            <w:pPr>
              <w:spacing w:after="0"/>
              <w:rPr>
                <w:sz w:val="24"/>
                <w:szCs w:val="24"/>
                <w:color w:val="auto"/>
              </w:rPr>
            </w:pPr>
          </w:p>
        </w:tc>
        <w:tc>
          <w:tcPr>
            <w:tcW w:w="8060" w:type="dxa"/>
            <w:vAlign w:val="bottom"/>
            <w:gridSpan w:val="3"/>
          </w:tcPr>
          <w:p>
            <w:pPr>
              <w:jc w:val="center"/>
              <w:ind w:left="781"/>
              <w:spacing w:after="0"/>
              <w:rPr>
                <w:sz w:val="20"/>
                <w:szCs w:val="20"/>
                <w:color w:val="auto"/>
              </w:rPr>
            </w:pPr>
            <w:r>
              <w:rPr>
                <w:rFonts w:ascii="Times New Roman" w:cs="Times New Roman" w:eastAsia="Times New Roman" w:hAnsi="Times New Roman"/>
                <w:sz w:val="36"/>
                <w:szCs w:val="36"/>
                <w:b w:val="1"/>
                <w:bCs w:val="1"/>
                <w:color w:val="auto"/>
              </w:rPr>
              <w:t>Immuneering Corporation</w:t>
            </w: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8060" w:type="dxa"/>
            <w:vAlign w:val="bottom"/>
            <w:gridSpan w:val="3"/>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8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26-1976972</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9"/>
                <w:szCs w:val="9"/>
                <w:b w:val="1"/>
                <w:bCs w:val="1"/>
                <w:color w:val="auto"/>
                <w:w w:val="99"/>
              </w:rPr>
              <w:t>(State or other jurisdiction of incorporation or organization)</w:t>
            </w:r>
          </w:p>
        </w:tc>
        <w:tc>
          <w:tcPr>
            <w:tcW w:w="2840" w:type="dxa"/>
            <w:vAlign w:val="bottom"/>
          </w:tcPr>
          <w:p>
            <w:pPr>
              <w:jc w:val="center"/>
              <w:ind w:left="1224"/>
              <w:spacing w:after="0"/>
              <w:rPr>
                <w:sz w:val="20"/>
                <w:szCs w:val="20"/>
                <w:color w:val="auto"/>
              </w:rPr>
            </w:pPr>
            <w:r>
              <w:rPr>
                <w:rFonts w:ascii="Times New Roman" w:cs="Times New Roman" w:eastAsia="Times New Roman" w:hAnsi="Times New Roman"/>
                <w:sz w:val="9"/>
                <w:szCs w:val="9"/>
                <w:b w:val="1"/>
                <w:bCs w:val="1"/>
                <w:color w:val="auto"/>
                <w:w w:val="99"/>
              </w:rPr>
              <w:t>(I.R.S. Employer Identification Number)</w:t>
            </w:r>
          </w:p>
        </w:tc>
        <w:tc>
          <w:tcPr>
            <w:tcW w:w="0" w:type="dxa"/>
            <w:vAlign w:val="bottom"/>
          </w:tcPr>
          <w:p>
            <w:pPr>
              <w:spacing w:after="0"/>
              <w:rPr>
                <w:sz w:val="1"/>
                <w:szCs w:val="1"/>
                <w:color w:val="auto"/>
              </w:rPr>
            </w:pPr>
          </w:p>
        </w:tc>
      </w:tr>
      <w:tr>
        <w:trPr>
          <w:trHeight w:val="349"/>
        </w:trPr>
        <w:tc>
          <w:tcPr>
            <w:tcW w:w="1160" w:type="dxa"/>
            <w:vAlign w:val="bottom"/>
          </w:tcPr>
          <w:p>
            <w:pPr>
              <w:spacing w:after="0"/>
              <w:rPr>
                <w:sz w:val="24"/>
                <w:szCs w:val="24"/>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5"/>
              </w:rPr>
              <w:t>245 Main St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8"/>
              </w:rPr>
              <w:t>Second Floor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6"/>
              </w:rPr>
              <w:t>Cambridge, MA</w:t>
            </w:r>
          </w:p>
        </w:tc>
        <w:tc>
          <w:tcPr>
            <w:tcW w:w="284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02142</w:t>
            </w: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5220" w:type="dxa"/>
            <w:vAlign w:val="bottom"/>
            <w:gridSpan w:val="2"/>
          </w:tcPr>
          <w:p>
            <w:pPr>
              <w:jc w:val="center"/>
              <w:ind w:right="1920"/>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2840" w:type="dxa"/>
            <w:vAlign w:val="bottom"/>
          </w:tcPr>
          <w:p>
            <w:pPr>
              <w:jc w:val="center"/>
              <w:ind w:left="1204"/>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260"/>
        </w:trPr>
        <w:tc>
          <w:tcPr>
            <w:tcW w:w="1160" w:type="dxa"/>
            <w:vAlign w:val="bottom"/>
          </w:tcPr>
          <w:p>
            <w:pPr>
              <w:spacing w:after="0"/>
              <w:rPr>
                <w:sz w:val="22"/>
                <w:szCs w:val="22"/>
                <w:color w:val="auto"/>
              </w:rPr>
            </w:pPr>
          </w:p>
        </w:tc>
        <w:tc>
          <w:tcPr>
            <w:tcW w:w="5220" w:type="dxa"/>
            <w:vAlign w:val="bottom"/>
            <w:gridSpan w:val="2"/>
          </w:tcPr>
          <w:p>
            <w:pPr>
              <w:jc w:val="center"/>
              <w:ind w:left="3641"/>
              <w:spacing w:after="0"/>
              <w:rPr>
                <w:sz w:val="20"/>
                <w:szCs w:val="20"/>
                <w:color w:val="auto"/>
              </w:rPr>
            </w:pPr>
            <w:r>
              <w:rPr>
                <w:rFonts w:ascii="Times New Roman" w:cs="Times New Roman" w:eastAsia="Times New Roman" w:hAnsi="Times New Roman"/>
                <w:sz w:val="13"/>
                <w:szCs w:val="13"/>
                <w:b w:val="1"/>
                <w:bCs w:val="1"/>
                <w:color w:val="auto"/>
                <w:w w:val="95"/>
              </w:rPr>
              <w:t>(617) 500-8080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220" w:type="dxa"/>
            <w:vAlign w:val="bottom"/>
            <w:gridSpan w:val="2"/>
          </w:tcPr>
          <w:p>
            <w:pPr>
              <w:jc w:val="center"/>
              <w:ind w:left="3621"/>
              <w:spacing w:after="0"/>
              <w:rPr>
                <w:sz w:val="20"/>
                <w:szCs w:val="20"/>
                <w:color w:val="auto"/>
              </w:rPr>
            </w:pPr>
            <w:r>
              <w:rPr>
                <w:rFonts w:ascii="Times New Roman" w:cs="Times New Roman" w:eastAsia="Times New Roman" w:hAnsi="Times New Roman"/>
                <w:sz w:val="9"/>
                <w:szCs w:val="9"/>
                <w:b w:val="1"/>
                <w:bCs w:val="1"/>
                <w:color w:val="auto"/>
                <w:w w:val="99"/>
              </w:rPr>
              <w:t>(Registrant’s telephone number)</w:t>
            </w: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(Former name, former address and former fiscal year, if changed since last report)</w:t>
      </w:r>
    </w:p>
    <w:p>
      <w:pPr>
        <w:spacing w:after="0" w:line="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166"/>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common Stock, par value $0.001 per share</w:t>
            </w: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IMRX</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bl>
    <w:p>
      <w:pPr>
        <w:spacing w:after="0" w:line="140" w:lineRule="exact"/>
        <w:rPr>
          <w:sz w:val="24"/>
          <w:szCs w:val="24"/>
          <w:color w:val="auto"/>
        </w:rPr>
      </w:pPr>
    </w:p>
    <w:p>
      <w:pPr>
        <w:ind w:right="4500"/>
        <w:spacing w:after="0" w:line="387"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ind w:right="18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52"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140"/>
        <w:spacing w:after="0" w:line="28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p>
      <w:pPr>
        <w:ind w:left="20"/>
        <w:spacing w:after="0"/>
        <w:tabs>
          <w:tab w:leader="none" w:pos="2040" w:val="left"/>
          <w:tab w:leader="none" w:pos="4640" w:val="left"/>
          <w:tab w:leader="none" w:pos="66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Wingdings" w:cs="Wingdings" w:eastAsia="Wingdings" w:hAnsi="Wingdings"/>
          <w:sz w:val="13"/>
          <w:szCs w:val="13"/>
          <w:b w:val="1"/>
          <w:bCs w:val="1"/>
          <w:color w:val="auto"/>
        </w:rPr>
        <w:t>o</w:t>
      </w:r>
    </w:p>
    <w:p>
      <w:pPr>
        <w:spacing w:after="0" w:line="129" w:lineRule="exact"/>
        <w:rPr>
          <w:sz w:val="24"/>
          <w:szCs w:val="24"/>
          <w:color w:val="auto"/>
        </w:rPr>
      </w:pPr>
    </w:p>
    <w:p>
      <w:pPr>
        <w:ind w:left="20"/>
        <w:spacing w:after="0"/>
        <w:tabs>
          <w:tab w:leader="none" w:pos="2040" w:val="left"/>
          <w:tab w:leader="none" w:pos="4640" w:val="left"/>
          <w:tab w:leader="none" w:pos="6680" w:val="left"/>
          <w:tab w:leader="none" w:pos="8380" w:val="left"/>
          <w:tab w:leader="none" w:pos="1078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Wingdings" w:cs="Wingdings" w:eastAsia="Wingdings" w:hAnsi="Wingdings"/>
          <w:sz w:val="13"/>
          <w:szCs w:val="13"/>
          <w:b w:val="1"/>
          <w:bCs w:val="1"/>
          <w:color w:val="auto"/>
        </w:rPr>
        <w:t>x</w:t>
      </w:r>
    </w:p>
    <w:p>
      <w:pPr>
        <w:spacing w:after="0" w:line="148" w:lineRule="exact"/>
        <w:rPr>
          <w:sz w:val="24"/>
          <w:szCs w:val="24"/>
          <w:color w:val="auto"/>
        </w:rPr>
      </w:pPr>
    </w:p>
    <w:p>
      <w:pPr>
        <w:ind w:right="320"/>
        <w:spacing w:after="0" w:line="283"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52"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52"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80"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13"/>
          <w:szCs w:val="13"/>
          <w:color w:val="auto"/>
        </w:rPr>
        <w:t>As of June 30, 2023, the aggregate market value of the registrant’s voting and non-voting common stock held by non-affiliates of the registrant was approximately $239.0 million (based upon the closing sale price of the Class A common stock on that date on the Nasdaq Global Market).</w:t>
      </w:r>
    </w:p>
    <w:p>
      <w:pPr>
        <w:spacing w:after="0" w:line="38" w:lineRule="exact"/>
        <w:rPr>
          <w:sz w:val="24"/>
          <w:szCs w:val="24"/>
          <w:color w:val="auto"/>
        </w:rPr>
      </w:pPr>
    </w:p>
    <w:p>
      <w:pPr>
        <w:ind w:right="220"/>
        <w:spacing w:after="0" w:line="283" w:lineRule="auto"/>
        <w:rPr>
          <w:sz w:val="20"/>
          <w:szCs w:val="20"/>
          <w:color w:val="auto"/>
        </w:rPr>
      </w:pPr>
      <w:r>
        <w:rPr>
          <w:rFonts w:ascii="Times New Roman" w:cs="Times New Roman" w:eastAsia="Times New Roman" w:hAnsi="Times New Roman"/>
          <w:sz w:val="13"/>
          <w:szCs w:val="13"/>
          <w:color w:val="auto"/>
        </w:rPr>
        <w:t>As of February 23, 2024, the registrant had 29,283,272 shares of Class A common stock, $0.001 par value per share, issued and outstanding and 0 shares of Class B common stock, $0.001 par value per share, issued and outstanding.</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229" w:right="339" w:bottom="1440" w:gutter="0" w:footer="0" w:header="0"/>
        </w:sectPr>
      </w:pPr>
    </w:p>
    <w:p>
      <w:pPr>
        <w:spacing w:after="0" w:line="7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registrant’s 2024 Annual Meeting of Stockholders to be filed with the Securities and Exchange Commission within 120 days of the end of the registrant’s fiscal year ended December 31, 2023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40" w:type="dxa"/>
            <w:vAlign w:val="bottom"/>
          </w:tcPr>
          <w:p>
            <w:pPr>
              <w:spacing w:after="0"/>
              <w:rPr>
                <w:sz w:val="20"/>
                <w:szCs w:val="20"/>
                <w:color w:val="auto"/>
              </w:rPr>
            </w:pPr>
          </w:p>
        </w:tc>
      </w:tr>
      <w:tr>
        <w:trPr>
          <w:trHeight w:val="39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6740" w:type="dxa"/>
            <w:vAlign w:val="bottom"/>
            <w:gridSpan w:val="12"/>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360" w:type="dxa"/>
            <w:vAlign w:val="bottom"/>
            <w:gridSpan w:val="2"/>
          </w:tcPr>
          <w:p>
            <w:pPr>
              <w:spacing w:after="0"/>
              <w:rPr>
                <w:sz w:val="24"/>
                <w:szCs w:val="24"/>
                <w:color w:val="auto"/>
              </w:rPr>
            </w:pP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3"/>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Borders>
              <w:top w:val="single" w:sz="8" w:color="0000FF"/>
            </w:tcBorders>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20"/>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3"/>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20" w:type="dxa"/>
            <w:vAlign w:val="bottom"/>
            <w:gridSpan w:val="18"/>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5"/>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420" w:type="dxa"/>
            <w:vAlign w:val="bottom"/>
            <w:gridSpan w:val="3"/>
          </w:tcPr>
          <w:p>
            <w:pPr>
              <w:spacing w:after="0"/>
              <w:rPr>
                <w:sz w:val="24"/>
                <w:szCs w:val="24"/>
                <w:color w:val="auto"/>
              </w:rPr>
            </w:pPr>
          </w:p>
        </w:tc>
        <w:tc>
          <w:tcPr>
            <w:tcW w:w="80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18"/>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420" w:type="dxa"/>
            <w:vAlign w:val="bottom"/>
            <w:gridSpan w:val="3"/>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420" w:type="dxa"/>
            <w:vAlign w:val="bottom"/>
            <w:gridSpan w:val="3"/>
          </w:tcPr>
          <w:p>
            <w:pPr>
              <w:spacing w:after="0"/>
              <w:rPr>
                <w:sz w:val="24"/>
                <w:szCs w:val="24"/>
                <w:color w:val="auto"/>
              </w:rPr>
            </w:pP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0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17"/>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40" w:type="dxa"/>
            <w:vAlign w:val="bottom"/>
            <w:tcBorders>
              <w:top w:val="single" w:sz="8" w:color="0000FF"/>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43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6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00" w:type="dxa"/>
            <w:vAlign w:val="bottom"/>
            <w:gridSpan w:val="5"/>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360" w:type="dxa"/>
            <w:vAlign w:val="bottom"/>
            <w:gridSpan w:val="2"/>
          </w:tcPr>
          <w:p>
            <w:pPr>
              <w:spacing w:after="0"/>
              <w:rPr>
                <w:sz w:val="24"/>
                <w:szCs w:val="24"/>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24"/>
                <w:szCs w:val="24"/>
                <w:color w:val="auto"/>
              </w:rPr>
            </w:pPr>
          </w:p>
        </w:tc>
        <w:tc>
          <w:tcPr>
            <w:tcW w:w="7100" w:type="dxa"/>
            <w:vAlign w:val="bottom"/>
            <w:gridSpan w:val="15"/>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18"/>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360" w:type="dxa"/>
            <w:vAlign w:val="bottom"/>
            <w:gridSpan w:val="2"/>
          </w:tcPr>
          <w:p>
            <w:pPr>
              <w:spacing w:after="0"/>
              <w:rPr>
                <w:sz w:val="24"/>
                <w:szCs w:val="24"/>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96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20" w:type="dxa"/>
            <w:vAlign w:val="bottom"/>
            <w:gridSpan w:val="3"/>
          </w:tcPr>
          <w:p>
            <w:pPr>
              <w:spacing w:after="0"/>
              <w:rPr>
                <w:sz w:val="24"/>
                <w:szCs w:val="24"/>
                <w:color w:val="auto"/>
              </w:rPr>
            </w:pPr>
          </w:p>
        </w:tc>
        <w:tc>
          <w:tcPr>
            <w:tcW w:w="41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76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top w:val="single" w:sz="8" w:color="0000FF"/>
            </w:tcBorders>
            <w:gridSpan w:val="8"/>
          </w:tcPr>
          <w:p>
            <w:pPr>
              <w:spacing w:after="0"/>
              <w:rPr>
                <w:sz w:val="24"/>
                <w:szCs w:val="24"/>
                <w:color w:val="auto"/>
              </w:rPr>
            </w:pPr>
          </w:p>
        </w:tc>
        <w:tc>
          <w:tcPr>
            <w:tcW w:w="336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Annual Report on Form 10-K, including without limitation statements regarding our plans to develop, manufacture and commercialize our product candidates (including whether as potential monotherapies or in combination with other therapeutic agents), the design, timing, disclosure of data, or outcome of our ongoing or planned preclinical studies or clinical trials involving IMM-1-104, IMM-6-415,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and the sufficiency of funds to operate the business of the Company, are forward-looking statements.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other important factors that could cause actual results to differ materially from those projected in the forward-looking statements, including, but not limited to, those described in the sections of this Annual Report on Form 10-K entitled “Risk Factors” and “Management’s Discussion and Analysis of Financial Condition and Results of Operations.” These risks and uncertainties include, but are not limited to:</w:t>
      </w:r>
    </w:p>
    <w:p>
      <w:pPr>
        <w:spacing w:after="0" w:line="147" w:lineRule="exact"/>
        <w:rPr>
          <w:sz w:val="20"/>
          <w:szCs w:val="20"/>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additional capital that will be required to finance our operations;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obtaining regulatory approval for any of our current or future product candidates;</w:t>
      </w:r>
    </w:p>
    <w:p>
      <w:pPr>
        <w:spacing w:after="0" w:line="198"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 Investigational New Drug application (“IND”), or IND amendments or comparable documents in foreign jurisdictions in order to commence clinical trials on the timelines we expect;</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in designing and conducting clinical trials;</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ongoing and planned preclinical studies and clinical trials and our research programs, including our Phase 1/2a clinical trials of IMM-1-104 and IMM-6-415;</w:t>
      </w:r>
    </w:p>
    <w:p>
      <w:pPr>
        <w:spacing w:after="0" w:line="13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 including our Phase 1/2a clinical trials of IMM-1-104 and IMM-6-415;</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delays in completing, if at all, the development and commercialization of our current or future product candidates;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events, toxicities or other undesirable side effects caused by our current or future product candidates;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delays or difficulties in the enrollment and/or maintenance of patients in clinical trials;</w:t>
      </w:r>
    </w:p>
    <w:p>
      <w:pPr>
        <w:spacing w:after="0" w:line="18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reliance on the successful development of our current and future product candidates, as well as our platform, including our proprietary technologies;</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our industry;</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manufacturing;</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reliance on third parties;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ongoing and future pandemics, or other widespread adverse health events; and</w:t>
      </w:r>
    </w:p>
    <w:p>
      <w:pPr>
        <w:spacing w:after="0" w:line="198"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important risk factors that could affect the outcome of the events set forth in these statements and that could affect our operating results and financial condition described in Part I, Item 1A. “Risk Factors” section of this Annual Report on Form 10-K.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risks and uncertainties, including those further described below in Part I Item 1A. “Risk Factors” in this Annual Report on Form 10-K,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43" w:lineRule="exact"/>
        <w:rPr>
          <w:sz w:val="20"/>
          <w:szCs w:val="20"/>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3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for the past several years and we expect to continue to incur significant net losses for the foreseeable future and may never obtain profitability.</w:t>
      </w:r>
    </w:p>
    <w:p>
      <w:pPr>
        <w:spacing w:after="0" w:line="134"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3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("FDA")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39"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completing, or ultimately be unable to complete, the development and commercialization of our product candidates.</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3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52"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12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use and expand our platform and capabilities to build a pipeline of product candidates with commercial value.</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52"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including contract manufacturing organizations ("CMOs")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39"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3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52"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joint ventures could disrupt our business, cause dilution to our stockholders and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We are a clinical-stage oncology company seeking to develop and commercialize universal-RAS/RAF medicines for broad populations of cancer patients. We aim to achieve such universal RAS/RAF activity through deep cyclic inhibition of the MAPK pathway, impacting cancer cells while sparing healthy cells. Our inclusive approach differentiates us from narrowly targeted precision therapies, which are limited to patients with tumors harboring select mutations.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A0A0A"/>
        </w:rPr>
        <w:t>We are currently evaluating our lead product candidates, IMM-1-104 and IMM-6-415, in Phase 1/2a clinical trials in patients with advanced solid tumors harboring RAS and RAS/RAF mutations, respectively. IMM-1-104 is being developed as a once-daily oral therapy that aims to achieve universal-RAS activity through deep cyclic inhibition of the MAPK pathway. By contrast, IMM-6-415 aims to achieve universal-RAS/RAF activity with an accelerated twice-daily oral dosing cadence, also through deep cyclic inhibition of the MAPK pathway. Deep cyclic inhibition is a novel mechanism that aims to deprive tumor cells of the sustained proliferative signaling required for rapid growth, while sparing healthy cells through 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pipeline also includes Trifecta MEK, RAS modulators and other small molecule drug discovery programs.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2022, the </w:t>
      </w:r>
      <w:r>
        <w:rPr>
          <w:rFonts w:ascii="Times New Roman" w:cs="Times New Roman" w:eastAsia="Times New Roman" w:hAnsi="Times New Roman"/>
          <w:sz w:val="18"/>
          <w:szCs w:val="18"/>
          <w:color w:val="0A0A0A"/>
        </w:rPr>
        <w:t>FDA</w:t>
      </w:r>
      <w:r>
        <w:rPr>
          <w:rFonts w:ascii="Times New Roman" w:cs="Times New Roman" w:eastAsia="Times New Roman" w:hAnsi="Times New Roman"/>
          <w:sz w:val="18"/>
          <w:szCs w:val="18"/>
          <w:color w:val="auto"/>
        </w:rPr>
        <w:t xml:space="preserve"> cleared our </w:t>
      </w:r>
      <w:r>
        <w:rPr>
          <w:rFonts w:ascii="Times New Roman" w:cs="Times New Roman" w:eastAsia="Times New Roman" w:hAnsi="Times New Roman"/>
          <w:sz w:val="18"/>
          <w:szCs w:val="18"/>
          <w:color w:val="0A0A0A"/>
        </w:rPr>
        <w:t>Investigational New Drug ("IND")</w:t>
      </w:r>
      <w:r>
        <w:rPr>
          <w:rFonts w:ascii="Times New Roman" w:cs="Times New Roman" w:eastAsia="Times New Roman" w:hAnsi="Times New Roman"/>
          <w:sz w:val="18"/>
          <w:szCs w:val="18"/>
          <w:color w:val="auto"/>
        </w:rPr>
        <w:t xml:space="preserve"> application for IMM-1-104 and, i</w:t>
      </w:r>
      <w:r>
        <w:rPr>
          <w:rFonts w:ascii="Times New Roman" w:cs="Times New Roman" w:eastAsia="Times New Roman" w:hAnsi="Times New Roman"/>
          <w:sz w:val="18"/>
          <w:szCs w:val="18"/>
          <w:color w:val="0A0A0A"/>
        </w:rPr>
        <w:t>n November 2022, we commenced dosing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our Phase 1/2a clinical trial of IMM-1-104 for the potential treatment of advanced RAS mutant solid tumors. The Phase 1/2a clinical trial is designed to assess the safety, tolerability, pharmacokinetics ("PK"), pharmacodynamics ("PD"), and preliminary anti-tumor activity of IMM-1-104. The Phase 1 portion of the clinical trial includes dose escalation and dose exploration utilizing a Bayesian modified toxicity probability interval ("mTPI-2") statistical design to establish an optimized recommended Phase 2 dose ("RP2D") in solid tumor patients with evidence of any RAS mutation. The Phase 2a portion includes evaluating IMM-1-104 in multiple dose expansion arms. In November 2023 we announced that we had expanded the IMM-1-104 Phase 1/2a clinical trial design by increasing the number of Phase 2a expansion arms to five, including two combination therapy arms and three monotherapy arms.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In December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A0A0A"/>
        </w:rPr>
        <w:t xml:space="preserve"> FDA </w:t>
      </w:r>
      <w:r>
        <w:rPr>
          <w:rFonts w:ascii="Times New Roman" w:cs="Times New Roman" w:eastAsia="Times New Roman" w:hAnsi="Times New Roman"/>
          <w:sz w:val="18"/>
          <w:szCs w:val="18"/>
          <w:color w:val="000000"/>
        </w:rPr>
        <w:t>cleared our IND application for</w:t>
      </w:r>
      <w:r>
        <w:rPr>
          <w:rFonts w:ascii="Times New Roman" w:cs="Times New Roman" w:eastAsia="Times New Roman" w:hAnsi="Times New Roman"/>
          <w:sz w:val="18"/>
          <w:szCs w:val="18"/>
          <w:color w:val="0A0A0A"/>
        </w:rPr>
        <w:t xml:space="preserve"> IMM-6-415 and we began the process of enrolling patients in a Phase 1/2a clinical trial of IMM-6-415 for the potential treatment of patients with advanced solid tumors harboring RAF or RAS mutations. The Phase 1/2a clinical trial is designed to assess the safety, tolerability, PK, PD, and preliminary anti-tumor activity of IMM-6-415. The Phase 1 portion of the clinical trial includes dose escalation and dose exploration for IMM-6-415, using a mTPI-2 statistical design to establish an optimized RP2D in solid tumor patients with evidence of any RAF or RAS mutation. The Phase 2a portion includes exploring IMM-6-415 in multiple dose expansion arms.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is enabled by two key elements:</w:t>
      </w:r>
    </w:p>
    <w:p>
      <w:pPr>
        <w:spacing w:after="0" w:line="181" w:lineRule="exact"/>
        <w:rPr>
          <w:sz w:val="20"/>
          <w:szCs w:val="20"/>
          <w:color w:val="auto"/>
        </w:rPr>
      </w:pPr>
    </w:p>
    <w:p>
      <w:pPr>
        <w:ind w:left="740" w:hanging="327"/>
        <w:spacing w:after="0" w:line="286"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Bioinformatics: </w:t>
      </w:r>
      <w:r>
        <w:rPr>
          <w:rFonts w:ascii="Times New Roman" w:cs="Times New Roman" w:eastAsia="Times New Roman" w:hAnsi="Times New Roman"/>
          <w:sz w:val="18"/>
          <w:szCs w:val="18"/>
          <w:color w:val="auto"/>
        </w:rPr>
        <w:t>our ability to efficiently analyze high-throughput molecular-level biochemical assays, including transcriptomics, genomics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proteomics, collectively referred to as Omics data; and</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3D Tumor Modeling: </w:t>
      </w:r>
      <w:r>
        <w:rPr>
          <w:rFonts w:ascii="Times New Roman" w:cs="Times New Roman" w:eastAsia="Times New Roman" w:hAnsi="Times New Roman"/>
          <w:sz w:val="18"/>
          <w:szCs w:val="18"/>
          <w:color w:val="auto"/>
        </w:rPr>
        <w:t>our ability to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in our own labs using proprietary humanized 3D tumor growth assays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believe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more accurately than traditional 2D cell culture models.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different types of biochemical and 3D tumor growth assays each provide us with unique information about the molecular mechanisms of disease biology and drug response and help to guide our translational planning and development. Since our inception, we have partnered with industry-leading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2018, we began applying our proprietary platform and approach to internally develop our wholly owned pipeline of orally administered small molecule drug programs. Our approach played a critical role in determining the most important characteristics for, and the creation of, IMM-1-104 and IMM-6-415. Specifically, our platform enables us to:</w:t>
      </w:r>
    </w:p>
    <w:p>
      <w:pPr>
        <w:spacing w:after="0" w:line="135" w:lineRule="exact"/>
        <w:rPr>
          <w:sz w:val="20"/>
          <w:szCs w:val="20"/>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leverage insights from human data to identify disease transcriptional profiles we aim to counteract;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line="282"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novel biology, specifically evaluating potential new ways to drug an existing target by utilizing our proprietary Disease Cancelling Technology ("DCT"), and analyze mechanisms of existing drugs;</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generate novel chemistry that is designed to overcome MAPK-feedback loops and other adaptive resistance mechanisms to achieve optimal signaling dynamics; and</w:t>
      </w:r>
    </w:p>
    <w:p>
      <w:pPr>
        <w:spacing w:after="0" w:line="12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7"/>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231F20"/>
        </w:rPr>
        <w:t xml:space="preserve">profile IMM-1-104, </w:t>
      </w:r>
      <w:r>
        <w:rPr>
          <w:rFonts w:ascii="Times New Roman" w:cs="Times New Roman" w:eastAsia="Times New Roman" w:hAnsi="Times New Roman"/>
          <w:sz w:val="18"/>
          <w:szCs w:val="18"/>
          <w:color w:val="0A0A0A"/>
        </w:rPr>
        <w:t>IMM-6-415</w:t>
      </w:r>
      <w:r>
        <w:rPr>
          <w:rFonts w:ascii="Times New Roman" w:cs="Times New Roman" w:eastAsia="Times New Roman" w:hAnsi="Times New Roman"/>
          <w:sz w:val="18"/>
          <w:szCs w:val="18"/>
          <w:color w:val="231F20"/>
        </w:rPr>
        <w:t xml:space="preserve"> and any other product candidates in a large number of proprietary humanized 3D tumor growth assays using our own translational planning to identify the types of cancer we believe most likely to be sensitive to the product candidates.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oncology programs are focused on tumors driven by mutations of the RAS/RAF/MEK/ERK ("MAPK") pathway, and other relevant signaling pathways. Existing drugs targeting the MAPK pathway are limited by toxicity, resistance and/or are narrowly focused on subpopulations with specific mutations. The MAPK pathway functions to drive cell proliferation, differentiation, survival and a variety of other cellular functions that are critical for the formation and progression of tumors.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Fundamental Cancer Signaling Cellular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132080</wp:posOffset>
            </wp:positionV>
            <wp:extent cx="2143125" cy="282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 Cyclic Inhibition of Cancer Signaling Pathways Challenges the Prevailing Chronic Ablation Approach</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programs in our oncology pipeline is designed to drive cyclical disruption of abnormal activation of the MAPK signaling pathway or other relevant signaling pathways, with the goal of maximizing antitumor therapeutic effects while limiting drug-related toxicity and adaptive resistance.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Traditional targeted oncology drug development generally seeks to chronically sustain pathway inhibition, by prioritizing drugs with long to moderate half-lives and dosing them at intervals that maintain a sufficient level of drug, even at trough, to maintain target occupancy. This prevailing chronic ablation approach can cause on-target drug-related toxicity and limit clinical durability as a result of drug holidays, treatment discontinuation, and/or adaptive resistance. By contrast, our differentiated approach, based on counterintuitive insights derived from our translational bioinformatics platform, is to design novel drugs with at least three key aims: (1) achieve a manyfold higher C</w:t>
      </w:r>
      <w:r>
        <w:rPr>
          <w:rFonts w:ascii="Times New Roman" w:cs="Times New Roman" w:eastAsia="Times New Roman" w:hAnsi="Times New Roman"/>
          <w:sz w:val="23"/>
          <w:szCs w:val="23"/>
          <w:color w:val="auto"/>
          <w:vertAlign w:val="subscript"/>
        </w:rPr>
        <w:t>Max</w:t>
      </w:r>
      <w:r>
        <w:rPr>
          <w:rFonts w:ascii="Times New Roman" w:cs="Times New Roman" w:eastAsia="Times New Roman" w:hAnsi="Times New Roman"/>
          <w:sz w:val="18"/>
          <w:szCs w:val="18"/>
          <w:color w:val="auto"/>
        </w:rPr>
        <w:t>, (2) display a short plasma drug half-life, and (3) endow drugs with the ability to block feedback loops that would otherwise be susceptible to pathway reactivation. This design aims to provide enhanced mechanistic control of the target of interest and break tumor addiction, to prevent tumors from indefinitely self-replicating, metastasizing and evading the host’s immune system, among other capabilities. By cyclically disrupting these core oncogenic signaling pathways in cancer cells (i.e., imposing normalized signaling dynamics), we believe we can create novel therapeutics that maximize therapeutic activity in broad patient populations while providing an improved tolerability profile and improved durability through reduced pressure stemming from adaptive resistance. We believe we are pioneers in this unique approach of therapeutically leveraging signaling dynamics against tumor addiction.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Pharmacokinetic Conceptual Visualization: Traditional Sustained Pathway Attenuation Versus Deep, Cyclic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139700</wp:posOffset>
            </wp:positionV>
            <wp:extent cx="5657850" cy="2125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 Owned Pipeline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oncology programs target clinically validated pathways while seeking to improve patient outcomes across a wide range of solid tumor types through our differentiated programs. Our current pipeline of product candidates and discovery programs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88265</wp:posOffset>
            </wp:positionV>
            <wp:extent cx="5657850" cy="2280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Universal-RAS Program (IMM-1-104)</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lead product candidate, IMM-1-104, is being developed as a once-daily oral therapy in RAS mutant tumors. IMM-1-104 is designed to achieve a unique PK profile: it aims for a manyfold higher C</w:t>
      </w:r>
      <w:r>
        <w:rPr>
          <w:rFonts w:ascii="Times New Roman" w:cs="Times New Roman" w:eastAsia="Times New Roman" w:hAnsi="Times New Roman"/>
          <w:sz w:val="11"/>
          <w:szCs w:val="11"/>
          <w:color w:val="auto"/>
        </w:rPr>
        <w:t>Max</w:t>
      </w:r>
      <w:r>
        <w:rPr>
          <w:rFonts w:ascii="Times New Roman" w:cs="Times New Roman" w:eastAsia="Times New Roman" w:hAnsi="Times New Roman"/>
          <w:sz w:val="18"/>
          <w:szCs w:val="18"/>
          <w:color w:val="auto"/>
        </w:rPr>
        <w:t xml:space="preserve"> to provide stronger inhibition of the MAPK pathway than has been observed with first and second generation MEK inhibitors, followed by a complete release of the MAPK pathway through a near-zero drug trough. We believe this deep cyclic inhibition may enable broad universal-RAS activity with improved tolerability and limit the development of adaptive resistance.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IMM-1-104 was observed to bind to mitogen-activated protein kinase kinase ("MEK") and acts as a highly selective inhibitor of mitogen-activated protein kinase kinase kinase ("ERK") activation (i.e., phosphorylation), with a “Dual MEK” function that is designed to block the CRAF-bypass feedback to prevent MAPK pathway reactivation. IMM-1-104 is designed with a short plasma half-life that reduces sustained pathway inhibition (as depicted above). IMM-1-104 is also designed to prevent RAF-mediated activation of MEK, such as CRAF-bypass, by engagement of the RAF activation loop on MEK, and at elevated levels further disrupt the kinase suppressor of RAS 1 and 2 ("KSR"). We believe this innovative method of pathway inhibition has the ability to normalize cancer cell signaling dynamics and limits unnecessary harm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normal healthy cells. Collectively, we believe these qualities differentiate IMM-1-104 from other treatment options for RAS mutant and other MAPK-addicted tumors, as well as from known MEK inhibitors, by potentially enabling IMM-1-104 to reduce drug resistance while improving tolerability.</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preclinical studies, we observed that IMM-1-104 inhibited MEK and ERK across a wide range of human and murine solid tumor models, including those with activating mutations in KRAS, NRAS, HRAS, and BRAF. In addition, in head-to-head preclinical studies, we evaluated IMM-1-104 in murine-based KRAS, NRAS, and BRAF mutant solid tumor models representing lung, colon, pancreas, and skin cancer, and observed tumor stasis or regression with insignificant body weight loss ("BWL") when compared to certain FDA-approved MEK inhibitors at reported human dose equivalent dose and schedules. Given the data observed in these preclinical studies, we believe that IMM-1-104 has the potential to deliver clinical benefit as monotherapy and in select drug combinations for patients with RAS mutant solid tumors who currently have limited treatment options.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2022, the FDA cleared our IND for IMM-1-104 and, in November 2022 we commenced dosing in a Phase 1/2a clinical trial for IMM-1-104 in patients with advanced solid tumors harboring RAS mutations. </w:t>
      </w:r>
      <w:r>
        <w:rPr>
          <w:rFonts w:ascii="Times New Roman" w:cs="Times New Roman" w:eastAsia="Times New Roman" w:hAnsi="Times New Roman"/>
          <w:sz w:val="18"/>
          <w:szCs w:val="18"/>
          <w:color w:val="0A0A0A"/>
        </w:rPr>
        <w:t>The Phase 1/2a clinical trial is designed to assess the safety, tolerability, PK, PD,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preliminary anti-tumor activity of IMM-1-104. The Phase 1 portion of the clinical trial includes dose escalation and dose exploration utilizing a mTPI-2 statistical design to establish an optimized RP2D in solid tumor patients with evidence of any RAS mutation.</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we announced initial PK, PD, and safety data from the Phase 1 portion of the Phase 1/2a clinical trial of IMM-1-104. As of April 10, 2023, we had PK, PD and safety data from four patients with pancreatic or colorectal cancer available for evaluation. Of these patients, we dosed one patient at 40 mg once daily oral dose, or the first dose level, one patient at 80 mg once daily oral dose, or the second dose level, and two patients at 160 mg once daily oral dose, or the third dose level. At the third dose level, we observed significant PK Cmax levels, which is the plasma concentration of therapy in a specific area of the body, with IMM-1-104 of over 2,000 ng/mL or approximately 1 uM drug free-fraction. In addition, we observed greater than 90% PD inhibition of phosphorylated extracellular signal-regulated kinase (pERK) with IMM-1-104 compared to pretreatment baseline for patients at the third dose level. A median plasma half-life of 1.94 hours was observed with IMM-1-104 across the first three dose levels evaluated in patients with pancreatic and colorectal cancer with different RAS mutations, including KRAS-G12D, the most common mutation present in pancreatic cancer. IMM-1-104 was well tolerated in these four patients, as well as one patient dosed at 320 mg once daily oral dose, or the fourth dose level, with no dose limiting toxicities or serious adverse events observed and no drug-related adverse events beyond Grade 1 observed.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we announced the completion of the dose-escalation portion of the Phase 1/2a clinical trial of IMM-1-104. The trial’s Safety Review Committee completed its evaluation and observed that doses up to and including 320 mg once daily were tolerable with no dose limiting toxicities observed. We subsequently commenced enrollment in the Phase 1 dose exploration portion of the trial, designed in part to evaluate two dosing cohorts at an oral dose of 240mg or 320 mg once daily.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additional preclinical data that further support the potential of IMM-1-104 both as a single agent and in combination regimens with other therapeutic agents across multiple MAPK-driven tumor types, including those with RAS or RAF mutations. We believe these findings support the potential therapeutic use of cytotoxic agents and RAF inhibitors in combination with our product candidates, and build on our previously disclosed data supporting combinations with KRAS-G12C inhibitors and immuno-oncology agents.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In November 2023, we announced an expanded clinical development plan for the Phase 1/2a clinical trial of IMM-1-104, including with respect to an additional: two Phase 1b/2a combination therapy arms (intended to enroll approximately 60 total patients with pancreatic ductal adenocarcinoma ("PDAC") in a first-line setting), and three Phase 2a monotherapy expansion arms (intended to enroll approximately 90 total patients with PDAC, RAS-mutant melanoma, or RAS-mutant non-small cell lung cancer).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we announced that the FDA granted Fast Track designation for IMM-1-104 for the treatment of patients with PDAC who have failed one line of treatment.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A0A0A"/>
        </w:rPr>
        <w:t>We expect to provide topline data from the Phase 1 portion of the IMM-1-104 Phase 1/2a clinical trial i</w:t>
      </w:r>
      <w:r>
        <w:rPr>
          <w:rFonts w:ascii="Times New Roman" w:cs="Times New Roman" w:eastAsia="Times New Roman" w:hAnsi="Times New Roman"/>
          <w:sz w:val="18"/>
          <w:szCs w:val="18"/>
          <w:color w:val="000000"/>
        </w:rPr>
        <w:t>n</w:t>
      </w:r>
      <w:r>
        <w:rPr>
          <w:rFonts w:ascii="Times New Roman" w:cs="Times New Roman" w:eastAsia="Times New Roman" w:hAnsi="Times New Roman"/>
          <w:sz w:val="18"/>
          <w:szCs w:val="18"/>
          <w:color w:val="0A0A0A"/>
        </w:rPr>
        <w:t xml:space="preserve"> March 2024. We also expect to dose the first patient in the Phase 2a portion of the trial in March 2024 and to announce initial data from multiple arms of the Phase 2a portion of the trial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Universal-RAS/RAF Program (IMM-6-415)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second program, which we refer to as our Universal-RAS/RAF program, is focused on developing innovative allosteric MEK inhibitors that drive deep cyclic inhibition of the MAPK pathway, designed with unique drug-like properties including a shorter plasma half-life for an accelerated pharmacokinetic cadence dosed twice-daily in humans. Our product candidate for this program is designated as IMM-6-415. IMM-6-415 is designed to target MEK in a way that disrupts the MAPK pathway at ERK through reduction of MEK activation. We designed IMM-6-415 to have a unique PK and PD profile that may be optimized for distinct solid tumors, potentially including a broad range of MAPK-driven tumors as a monotherapy, as well as for a variety of combination approaches.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in a scientific poster presented at the Society for Immunotherapy of Cancer Annual Meeting, we presented preclinical data demonstrating that IMM-6-415 inhibited the growth of RAF and RAS mutant tumors as a monotherapy across multiple human and murine solid tumor models and could be administered in combination with select immune modulators (e.g., checkpoint inhibitors) for the treatment of certain solid tumors, which are often poorly immunologically accessible.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presented preclinical data at the AACR-NCI-EORTC Conference in which IMM-6-415 in combination with encorafenib demonstrated better tumor growth inhibition and improved durability when compared head-to-head with binimetinib plus encorafenib in animal models of RAF mutant melanoma and colorectal cancer, and IMM-6-415 as a single agent demonstrated high sensitivity in a wide range of MAPK-driven tumor types, including models of RAS or RAF mutant disease.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In December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A0A0A"/>
        </w:rPr>
        <w:t xml:space="preserve"> FDA </w:t>
      </w:r>
      <w:r>
        <w:rPr>
          <w:rFonts w:ascii="Times New Roman" w:cs="Times New Roman" w:eastAsia="Times New Roman" w:hAnsi="Times New Roman"/>
          <w:sz w:val="18"/>
          <w:szCs w:val="18"/>
          <w:color w:val="000000"/>
        </w:rPr>
        <w:t>cleared our IND application for</w:t>
      </w:r>
      <w:r>
        <w:rPr>
          <w:rFonts w:ascii="Times New Roman" w:cs="Times New Roman" w:eastAsia="Times New Roman" w:hAnsi="Times New Roman"/>
          <w:sz w:val="18"/>
          <w:szCs w:val="18"/>
          <w:color w:val="0A0A0A"/>
        </w:rPr>
        <w:t xml:space="preserve"> IMM-6-415 and we began the process of enrolling patients in a Phase 1/2a clinical trial of IMM-6-415 for the treatment of patients with advanced solid tumors harboring RAF or RAS mutations. The Phase 1/2a clinical trial is designed to assess the safety, tolerability, PK, PD, and preliminary anti-tumor activity of IMM-6-415. The Phase 1 portion of the clinical trial includes dose escalation and dose exploration for IMM-6-415, using a mTPI-2 statistical design to establish an optimized RP2D in solid tumor patients with evidence of any RAF or RAS mutation. The Phase 2a portion includes exploring IMM-6-415 in multiple dose expansion arms at the candidate RP2D.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We expect to dose the first patient in the Phase 1 portion of the IMM-6-415 Phase 1/2a clinical trial in March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Oncology Discovery Research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leveraging our platform to continue expanding our oncology pipeline by targeting the MAPK pathway and other relevant signaling pathways representing critical tumor-addicted pathways in novel ways. We also continue to evaluate and prioritize our pipeline, including our earlier stage discovery pipeline. We currently have multiple additional programs at various stages of drug discovery focused on targeting these pathways through novel pharmacological approaches.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founded in 2008 by our Chief Executive Officer and President, Benjamin J. Zeskind, Ph.D., and Robert J. Carpenter, a current member of our Board of Directors (the "Board") and its former Chairperson, with the goal of leveraging translational bioinformatics to generate insights into the mechanisms that cause certain patients to respond to specific medicines across multiple therapeutic areas, and then seeking to make responses happen in a much broader population of patients. Our multi-disciplinary research and development ("R&amp;D") team is led by our Chief Scientific Officer, Dr. Brett Hall, who was the translational lead for Sylvant® (siltuximab) and Imbruvica® (ibrutinib) throughout clinical development. Our leadership team brings together expertise across translational bioinformatics, preclinical and clinical development, and pharmaceutical business operations in oncology and includes individuals with extensive experience at some of the leading pharmaceutical and biotechnology companies, including Johnson &amp; Johnson, Merck, Regeneron, AstraZeneca, and Immunomedics (acquired by Gilead Sciences).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and then sought to apply these insights to create medicines aimed at larger groups of patients. Our prior computational biology services business, which we have since ceased,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counterintuitive insights from and capabilities of our platform and approach to create a wholly owned pipeline of novel small molecule drug programs, initially focusing on oncology.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oncology company seeking to develop and commercialize universal-RAS/RAF medicines for broad populations of cancer patients. Our aim is to achieve such universal activity through deep cyclic inhibition of the MAPK pathway, impacting cancer cells while sparing healthy cells. Our approach is designed to include </w:t>
      </w:r>
      <w:r>
        <w:rPr>
          <w:rFonts w:ascii="Times New Roman" w:cs="Times New Roman" w:eastAsia="Times New Roman" w:hAnsi="Times New Roman"/>
          <w:sz w:val="18"/>
          <w:szCs w:val="18"/>
          <w:color w:val="0A0A0A"/>
        </w:rPr>
        <w:t>patients with solid tumors driven by any activation mutation in KRAS, NRAS, HRAS, or BRAF.</w:t>
      </w:r>
      <w:r>
        <w:rPr>
          <w:rFonts w:ascii="Times New Roman" w:cs="Times New Roman" w:eastAsia="Times New Roman" w:hAnsi="Times New Roman"/>
          <w:sz w:val="18"/>
          <w:szCs w:val="18"/>
          <w:color w:val="auto"/>
        </w:rPr>
        <w:t xml:space="preserve"> Our platform is designed to leverage human biological data to generate insights that are not constrained by the inherent limitations of conventional approaches or prevailing scientific views. We are developing novel product candidates that aim to optimize safety, efficacy, and durability of response for diseases with suboptimal treatment options. To achieve our mission, we are executing a near-term strategy with the following key elements:</w:t>
      </w:r>
    </w:p>
    <w:p>
      <w:pPr>
        <w:spacing w:after="0" w:line="156" w:lineRule="exact"/>
        <w:rPr>
          <w:sz w:val="20"/>
          <w:szCs w:val="20"/>
          <w:color w:val="auto"/>
        </w:rPr>
      </w:pPr>
    </w:p>
    <w:p>
      <w:pPr>
        <w:jc w:val="both"/>
        <w:ind w:left="740" w:hanging="327"/>
        <w:spacing w:after="0" w:line="255"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Advance our Universal-RAS Program, IMM-1-104, through Clinical Development</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We believe that IMM-1-104 has the potential to treat broad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populations of solid tumor patients, specifically those with inappropriate activation of the MAPK pathway. IMM-1-104 has been specifically designed to provide deep cyclic inhibition of the MAPK pathway with a once-daily oral dosing cadence. IMM-1-104 was designed to overcome MAPK-feedback loops and to have an intentionally short plasma half-life, which we believe could enable it to provide deep cyclic inhibition. Collectively, we believe IMM-1-104 has potential as both a monotherapy and in combination with other therapeutic agents to provide broader therapeutic activity and an improved tolerability profile relative to known MEK inhibitors, and that IMM-1-104 has the potential to target patients with </w:t>
      </w:r>
      <w:r>
        <w:rPr>
          <w:rFonts w:ascii="Times New Roman" w:cs="Times New Roman" w:eastAsia="Times New Roman" w:hAnsi="Times New Roman"/>
          <w:sz w:val="18"/>
          <w:szCs w:val="18"/>
          <w:color w:val="0A0A0A"/>
        </w:rPr>
        <w:t>solid tumors driven by any mutation in KRAS, NRAS, or HRAS</w:t>
      </w:r>
      <w:r>
        <w:rPr>
          <w:rFonts w:ascii="Times New Roman" w:cs="Times New Roman" w:eastAsia="Times New Roman" w:hAnsi="Times New Roman"/>
          <w:sz w:val="18"/>
          <w:szCs w:val="18"/>
          <w:color w:val="231F20"/>
        </w:rPr>
        <w:t>. IMM-1-104 is currently being evaluated in a Phase 1/2a clinical trial in patients with advanced solid tumors harboring RAS mutations.</w:t>
      </w:r>
    </w:p>
    <w:p>
      <w:pPr>
        <w:spacing w:after="0" w:line="144" w:lineRule="exact"/>
        <w:rPr>
          <w:rFonts w:ascii="Times New Roman" w:cs="Times New Roman" w:eastAsia="Times New Roman" w:hAnsi="Times New Roman"/>
          <w:sz w:val="18"/>
          <w:szCs w:val="18"/>
          <w:color w:val="auto"/>
        </w:rPr>
      </w:pPr>
    </w:p>
    <w:p>
      <w:pPr>
        <w:jc w:val="both"/>
        <w:ind w:left="740" w:hanging="327"/>
        <w:spacing w:after="0" w:line="259"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Advance our Universal-RAS/RAF Program, IMM-</w:t>
      </w:r>
      <w:r>
        <w:rPr>
          <w:rFonts w:ascii="Times New Roman" w:cs="Times New Roman" w:eastAsia="Times New Roman" w:hAnsi="Times New Roman"/>
          <w:sz w:val="18"/>
          <w:szCs w:val="18"/>
          <w:b w:val="1"/>
          <w:bCs w:val="1"/>
          <w:i w:val="1"/>
          <w:iCs w:val="1"/>
          <w:color w:val="000000"/>
        </w:rPr>
        <w:t>6-415, through Clinical Development.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IMM-6-415 has been specifically designed with</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 xml:space="preserve">unique drug-like properties, including a shorter half-life for an accelerated cadence to provide deep cyclic inhibition of the MAPK pathway. We predict that its characteristics will be optimal for twice-daily (BID) administration in humans in a variety of tumors, including those with RAF or RAS mutations, as well as enhanced activity in combination with other therapeutic agents. </w:t>
      </w:r>
      <w:r>
        <w:rPr>
          <w:rFonts w:ascii="Times New Roman" w:cs="Times New Roman" w:eastAsia="Times New Roman" w:hAnsi="Times New Roman"/>
          <w:sz w:val="18"/>
          <w:szCs w:val="18"/>
          <w:color w:val="0A0A0A"/>
        </w:rPr>
        <w:t>IMM-6-415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is currently being evaluated in a Phase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1/2a clinical trial </w:t>
      </w:r>
      <w:r>
        <w:rPr>
          <w:rFonts w:ascii="Times New Roman" w:cs="Times New Roman" w:eastAsia="Times New Roman" w:hAnsi="Times New Roman"/>
          <w:sz w:val="18"/>
          <w:szCs w:val="18"/>
          <w:color w:val="0A0A0A"/>
        </w:rPr>
        <w:t>in patients with advanced solid tumors harboring RAF or RAS mutations</w:t>
      </w:r>
      <w:r>
        <w:rPr>
          <w:rFonts w:ascii="Times New Roman" w:cs="Times New Roman" w:eastAsia="Times New Roman" w:hAnsi="Times New Roman"/>
          <w:sz w:val="18"/>
          <w:szCs w:val="18"/>
          <w:color w:val="000000"/>
        </w:rPr>
        <w:t>.</w:t>
      </w:r>
    </w:p>
    <w:p>
      <w:pPr>
        <w:spacing w:after="0" w:line="138" w:lineRule="exact"/>
        <w:rPr>
          <w:rFonts w:ascii="Times New Roman" w:cs="Times New Roman" w:eastAsia="Times New Roman" w:hAnsi="Times New Roman"/>
          <w:sz w:val="18"/>
          <w:szCs w:val="18"/>
          <w:color w:val="auto"/>
        </w:rPr>
      </w:pPr>
    </w:p>
    <w:p>
      <w:pPr>
        <w:jc w:val="both"/>
        <w:ind w:left="740" w:hanging="327"/>
        <w:spacing w:after="0" w:line="259"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Progress Our Pipeline of Additional MAPK and other Pathway Programs to IND-Enabling Studies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Other key programs in our pipeline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leverage our deep understanding of the MAPK and other relevant signaling pathways, and are grounded in translational bioinformatics and signaling dynamics. For example, we are advancing programs designed to directly modulate RAS activity through novel mechanisms with the aim of killing RAS-driven tumors while sparing healthy cells. We also actively apply our platform to other relevant pathways as new opportunities arise that may strengthen our pipeline.</w:t>
      </w:r>
    </w:p>
    <w:p>
      <w:pPr>
        <w:spacing w:after="0" w:line="152" w:lineRule="exact"/>
        <w:rPr>
          <w:rFonts w:ascii="Times New Roman" w:cs="Times New Roman" w:eastAsia="Times New Roman" w:hAnsi="Times New Roman"/>
          <w:sz w:val="18"/>
          <w:szCs w:val="18"/>
          <w:color w:val="auto"/>
        </w:rPr>
      </w:pPr>
    </w:p>
    <w:p>
      <w:pPr>
        <w:jc w:val="both"/>
        <w:ind w:left="740" w:hanging="327"/>
        <w:spacing w:after="0" w:line="25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Continue to Grow and Advance Our Platform</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We have built a clinical-stage oncology company that fully integrates bioinformatics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translational planning across all aspects of drug discovery and development. We currently utilize our bioinformatics platform for our drug discovery efforts in oncology. These efforts are translationally guided by our proprietary, human-aligned 3D tumor models, and as we advance our product candidates into and through the clinic, we plan to utilize data and insights from our bioinformatics platform and proprietary humanized 3D tumor models to not only guide future clinical development but to also provide key learnings back to our earlier stage programs. Lastly, we continue to iterate on our existing technology and processes, and develop new technologies for our platform, all aimed at creating the most efficient process for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231F20"/>
        </w:rPr>
        <w:t>development of product candidates that we believe have the potential to optimize both safety and efficacy in broad patient populations of cancer patients with high unmet medical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Bioinformatics Approach</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Leveraging our history in translational bioinformatics, we have built a clinical-stage oncology company that incorporates our expertise into every step of our process to discover and develop novel product candidates. Our goal is to meaningfully improve patient outcomes as compared to drugs developed through traditional drug discovery approaches. Our integrated approach has already yielded programs that have exhibited preclinical tumor growth inhibition against a broad range of clinically challenging solid tumors, which are in or advancing towards the clinic. Both of our lead product candidates, IMM-1-104 and IMM-6-415, are currently being evaluated in Phase 1/2a clinical trials, while the rest of our programs are in earlier stages of discovery. We have expanded our team of experts, including drug discovery and clinical development experts, to develop a pipeline of product candidates by leveraging our translational bioinformatics expertise.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Overview</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Cancer is the second most common cause of death worldwide with approximately 10 million deaths annually and an incidence of approximately 20 million new cases in 2022. Cancer is defined as a collection of diseases in which abnormal cells divide uncontrollably and can invade nearby and distant tissues. The uncontrollable division of abnormal cells typically results in a malignant tumor (i.e., cancerous) or benign tumor (i.e., non-cancerous). There are two main categories of cancer: hematologic (i.e., blood) cancers and solid tumor cancers. Hematologic cancers are cancers of the blood cells, and include leukemia, lymphoma and multiple myeloma. Solid tumor cancers are cancers of any of the body’s other organs or tissues, including the pancreas, skin, lung and colon. Core tumor capabilities seen in cancer patients include the ability to indefinitely self-replicate, develop new blood vessels (i.e., angiogenesis), evade cell death (i.e., apoptosis), sustain self-sufficient growth, invade other tissues (i.e., metastasis), alter signaling pathways, evade immune system responses and modify metabolism. Tumor survival is dependent on certain of these capabilities (i.e., tumor addiction).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MAPK Pathway and Beyond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all cells, signaling pathways govern how cells regulate themselves as well as direct activities in relation to other cells in the body. One of the most commonly altered signaling pathways in cancer is the MAPK pathway, which consists of the RAS-RAF-MEK-ERK signaling cascade. RAS is a family of related oncogenes found upstream in the MAPK pathway that codes for four highly related protein isoforms, HRAS, NRAS, KRAS4A and KRAS4B. In many solid tumors, the MAPK pathway is inappropriately activated, often through mutations in the key members of the pathway, including RAS. When RAS is switched “on” through the activation of the membrane-bound receptor tyrosine kinase ("RTK"), the MAPK pathway functions to drive cell proliferation, differentiation, survival and a variety of other cellular functions that are critical for the formation of tumors.</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Through widespread adaptation of molecular profiling, we now recognize that up to one in two cancer patients harbor tumors which are inappropriately activated through the MAPK pathway. Many of these patients display tumors with activation mutations in RAS or RAF, which lie upstream of MEK and ERK. Because inappropriate activation of the MAPK pathway supports many of the core tumor capabilities described above, efforts to create new therapeutics to target this pathway have been a high priority in cancer drug research. However, to date nearly all therapeutics that target the MAPK pathway have been limited to narrow patient subpopulations and have struggled to balance tolerability, durability of response, and efficacy. Nearly all targeted therapeutics against the MAPK pathway have been designed for sustained pathway suppression, which has resulted in on-target drug-related toxicities that limit clinical durability and potential drug-drug combinations. Furthermore, sustained irreversible covalent inhibition of these pathways may lead to treatment resistance, as highlighted in a study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(N Engl J Med 2021; 384:2382-2393). The study focused on patients treated with adagrasib, an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and reported that 45% of patients (17 patients out of 38) in the study receiving adagrasib monotherapy developed resistance. Of these patients, many resistance mechanisms were observed involving non-G12C variations in KRAS, variations in NRAS or BRAF, or other resistance mechanisms related to the MAPK pathway. A second study published in Nature (November 10, 2021) evaluated 43 patients treated with sotorasib, an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and reported 27 patients with multiple treatment-emergent resistance alterations. Of these, 70% (19 out of 27) patients reported resistance mechanisms involving RAS/RAF mutations (Nature 2021; 599:679-683). A third study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(N Engl J Med 2023; 389:710-721) also described acquired alterations that may confer resistance to divarasib (another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including many alterations in KRAS, BRAF, NRAS, and other elements of the MAPK pathway.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Developing novel therapeutics to effectively, broadly and safely target this pathway may provide clinical benefit in large patient populations with significant unmet needs. In addition, although this pathway represents one of the most active areas in cancer drug discovery and development, targeted therapeutics that more effectively and safely normalize, but not chronically ablate, ERK signaling may uncouple drug activity and tolerability, while optimizing both. Our pipeline is designed to disrupt molecular pathways in a pulsatile way that undermines tumor addiction while limiting drug-related toxicity of normal healthy cells that are less reliant on a sustained high level of signaling along these pathways.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Approach to Tackling Some of the Most Challenging Cancers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leveraging our platform to target tumors driven by the MAPK pathway and other relevant signaling pathways. Our differentiated approach is to design drugs that can achieve high C</w:t>
      </w:r>
      <w:r>
        <w:rPr>
          <w:rFonts w:ascii="Times New Roman" w:cs="Times New Roman" w:eastAsia="Times New Roman" w:hAnsi="Times New Roman"/>
          <w:sz w:val="23"/>
          <w:szCs w:val="23"/>
          <w:color w:val="auto"/>
          <w:vertAlign w:val="subscript"/>
        </w:rPr>
        <w:t>max</w:t>
      </w:r>
      <w:r>
        <w:rPr>
          <w:rFonts w:ascii="Times New Roman" w:cs="Times New Roman" w:eastAsia="Times New Roman" w:hAnsi="Times New Roman"/>
          <w:sz w:val="18"/>
          <w:szCs w:val="18"/>
          <w:color w:val="auto"/>
        </w:rPr>
        <w:t xml:space="preserve"> levels together with short half-lives and provide enhanced mechanistic control of the target of interest and break tumor addiction through deep, cyclic disruption of these pathways (i.e., regulate signaling dynamics and reduce adaptive resistance). We believe we are pioneers in therapeutically leveraging signaling dynamics against tumor addiction, and our insights derived from our translational bioinformatics platform supports our belief that this approach may result in novel therapies targeting this pathway and potentially other pathways. Traditional drug approaches have been designed to sustain pathway inhibition, which leads to on-target drug-related toxicity and becomes limiting for clinical durability as a result of drug holidays, treatment discontinuation, or the development of adaptive resistance. Mutational activation and/or overexpression of key signaling components that activate the MAPK pathway are well-known, and MEK has been previously validated as a therapeutic target. We believe our programs, as compared to existing FDA-approved treatments targeting the MAPK pathway, have the potential to be differentiated by their unique potential combination of target engagement, PK and PD profile. For example, our product candidate IMM-1-104 is designed to inhibit ERK and MEK, prevent MAPK pathway reactivation and have a short plasma half-life, which would reduce sustained pathway inhibition compared to other drugs targeting the same mechanistic pathway. By cyclically disrupting these core oncogenic signaling pathways in cancer cells, we believe we can create novel therapeutics in oncology that maximize therapeutic activity in broad patient populations while providing improved tolerability as compared to other FDA-approved treatments and treatments currently being developed for cancers caused by MAPK pathway activation.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current development programs in oncology are focused on providing treatments for patients with solid tumors caused by mutations of the MAPK pathway or other relevant signaling pathways. Our Universal-RAS product candidate, IMM-1-104, is currently being evaluated in a Phase 1/2a clinical trial </w:t>
      </w:r>
      <w:r>
        <w:rPr>
          <w:rFonts w:ascii="Times New Roman" w:cs="Times New Roman" w:eastAsia="Times New Roman" w:hAnsi="Times New Roman"/>
          <w:sz w:val="18"/>
          <w:szCs w:val="18"/>
          <w:color w:val="231F20"/>
        </w:rPr>
        <w:t>in patients with advanced solid tumors harboring RAS mutations</w:t>
      </w:r>
      <w:r>
        <w:rPr>
          <w:rFonts w:ascii="Times New Roman" w:cs="Times New Roman" w:eastAsia="Times New Roman" w:hAnsi="Times New Roman"/>
          <w:sz w:val="18"/>
          <w:szCs w:val="18"/>
          <w:color w:val="000000"/>
        </w:rPr>
        <w:t>, and our Universal-RAS/RAF product candidate, IMM-6-415, is currently being evaluated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a Phase 1/2a clinical trial in patients with advanced solid tumors harboring RAS or RAF mutations. We also have multiple earlier stage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programs that are designed to uniquely target the MAPK pathway or other relevant signaling pathways. The following table summarizes our 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97155</wp:posOffset>
            </wp:positionV>
            <wp:extent cx="5657850" cy="2280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Universal-RAS Program: IMM-1-104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of MEK Inhibitors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Activating mutations of RAS and/or RAF in the MAPK pathway are observed in approximately 30% of all cancer patients, and inappropriate activation of this pathway is observed in up to 50% of all tumors and represents one of the most highly utilized signaling pathways in oncology. In aggressive solid tumors of the pancreas, skin, lungs and colon, mutations in RAS and/or RAF are even more common. For example, approximately 40% of lung cancers and approximately 90% of pancreatic cancers are due to RAS and/or RAF mutations. To date, FDA-approved MEK inhibitors have been ineffective at treating RAS mutant tumors when compared to BRAF mutant tumors because of a well-known mechanism of resistance, CRAF-mediated MEK reactivation, also known as CRAF-bypass. In addition, a well-known limitation of current FDA approved MEK inhibitors are high rates of serious drug-related adverse events ("SAE’s"), most often observed in over 50% of treated patients, which leads to drug intolerability. The longer half-life of these drugs (e.g., up to 2 to 4 days) with once per day or less frequent dosing, or moderate half-life (e.g., 3 to 6 hours) with increased dosing frequency, contributes to high rates of adverse events because typically these drugs chronically and systemically circulate for an extended period of time harming healthy normal cells, which also rely on the pathway for survival. Our goal in developing IMM-1-104 is to address these shortcomings and potentially provide patients with better outcomes, improved tolerability, durability and expand drug-drug combination opportunities (as depicted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IMM-1-104: Designed for Universal-RAS Activity as a once-daily oral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131445</wp:posOffset>
            </wp:positionV>
            <wp:extent cx="4114800" cy="180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IMM-1-104</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leveraged our platform to develop our lead product candidate in our Universal-RAS program, IMM-1-104, which is designed to be a highly selective dual-MEK inhibitor, to inhibit ERK and MEK, and to promote additional scaffold-related disruption of KSR at elevated drug levels. We are developing IMM-1-104 to treat patients with cancer, including pancreatic, melanoma and non-small cell lung cancer ("NSCLC") caused by mutations of RAS. In order to overcome MAPK-feedback and CRAF-mediated MEK activation, a well-known limitation of current FDA-approved MEK inhibitors, we developed IMM-1-104 to allosterically inhibit MEK by targeting the site lying adjacent to the binding pocket of adenosine triphosphate ("ATP"), which would result in downstream inhibition of ERK. In addition, unlike FDA-approved MEK inhibitors, IMM-1-104 is designed to prevent MEK activation through a unique target engagement to prevent RAF or KSR-mediated activation of MEK. We believe that bypassing pathway reactivating drug resistance mechanisms would provide for better patient outcomes by enhancing therapeutic activity throughout the course of treatment. By reducing or eliminating steady state drug trough levels, we also designed IMM-1-104 to limit or reduce high rates of serious drug-related adverse events that have been observed in current FDA-approved MEK inhibitors (e.g., which can range from 45% to 69%), most often given in combination with a RAF inhibitor, which contributes to discontinuation rates of up to 10% to 15%.</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a goal of improving tolerability, we designed IMM-1-104 to have a short plasma half-life, to result in a near-zero steady state drug trough concentration to enable deep, cyclic inhibition of the MAPK pathway. We believe this method of drug cadence-driven pathway inhibition has the potential to normalize cancer cell signaling dynamics and prevent further damage to normal healthy cells. Collectively, we believe these dosing attributes may differentiate IMM-1-104 from known MEK inhibitors by potentially allowing IMM-1-104 to reduce drug resistance while improving tolerability due to its design to allosterically inhibit MEK, be uniquely resistant to MAPK pathway reactivation and to enable deep, cyclic inhibition stemming from a short plasma half-life.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Overview: IMM-1-104</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multiple preclinical studies, we observed that IMM-1-104 inhibited activation of MEK (i.e., pMEK) as well as activation of ERK (i.e., pERK) across a wide range of murine and humanized 3D solid tumor models, including those with MAPK pathway activating mutations in KRAS, NRAS, HRAS and BRAF. In addition, in head-to-head preclinical studies, we evaluated IMM-1-104 in murine-based KRAS, NRAS, and BRAF mutant solid tumor models representing lung (i.e., A549), colon (i.e., Colon-26), pancreas (i.e., MIA PaCa-2. CAPAN-2) and skin cancer (i.e., A375 and SK-MEL-2), and observed superior antitumor activity with insignificant BWL when compared to certain FDA-approved MEK inhibitors and superior to non-inferior antitumor activity when compared to certain FDA-approved KRAS-G12C and BRAF inhibitors at reported human dose equivalent dose and schedules. Given the data observed in our previously conducted preclinical studies, we believe that IMM-1-104 has the potential to deliver clinical benefit as monotherapy and in select drug combinations for patients with RAS mutant solid tumors who currently have limited treatment options.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early maximum tolerated dose ("MTD") studies, we observed that oral administration of IMM-1-104 twice a day of up to 150 mg/kg/dose was well-tolerated in mice. In other preclinical studies, we observed that the maximum therapeutic effect of IMM-1-104 was reached when administered orally twice a day between 100 and 150 mg/kg/dose. These dosing studies provided the basis of IMM-1-104’s dosing schedule in subsequent preclinical studies.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Studies: Pharmacogenomics Data</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 pharmacogenomics study utilizing a colorectal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tumor model in BALB/c mice, we evaluated downstream ERK inhibition of the MAPK pathway after IMM-1-104 treatment. We orally administered vehicle, selumetinib and IMM-1-104 twice a day at 100 mg/kg/dose, then harvested the tumors after 18 days of chronic treatment at 2 and 12 hours following the last drug dose to evaluate RNAseq changes. The tumors were collected across distinct BALB/c mice and RNAseq changes were evaluated using statistical analysis software. Consistent with IMM-1-104’s designed short plasma half-life, we observed deep, cyclic inhibition of most of the top genes in the ERK transcriptome, as noted by the differences of the dark and light blue bars in the figure below, which we believe suggests the potential for improved tolerability by allowing healthy normal cells to regenerate before the next dose is administered. For example, </w:t>
      </w:r>
      <w:r>
        <w:rPr>
          <w:rFonts w:ascii="Times New Roman" w:cs="Times New Roman" w:eastAsia="Times New Roman" w:hAnsi="Times New Roman"/>
          <w:sz w:val="18"/>
          <w:szCs w:val="18"/>
          <w:i w:val="1"/>
          <w:iCs w:val="1"/>
          <w:color w:val="auto"/>
        </w:rPr>
        <w:t>Erg1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Spry4</w:t>
      </w:r>
      <w:r>
        <w:rPr>
          <w:rFonts w:ascii="Times New Roman" w:cs="Times New Roman" w:eastAsia="Times New Roman" w:hAnsi="Times New Roman"/>
          <w:sz w:val="18"/>
          <w:szCs w:val="18"/>
          <w:color w:val="auto"/>
        </w:rPr>
        <w:t xml:space="preserve"> were both downregulated over 16-fold at 2 hours after receiving the first dose on day 18 of the study, and at 12 hours after the first dose, which was prior to the second dose, both genes were approaching their baseline state when compared to vehicle treated tumors (as depicted below). In contrast to IMM-1-104, we did not observe deep cyclic inhibition by selumetinib,</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but rather observed sustained MAPK pathway suppression versus vehicle groups between the two timepoints on day 18 (as depicted below). The top 20 genes were a subset of a 52-gene signature for ERK signaling.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Selumetinib Using a Colon-26 Syngeneic Tumor Model: Deep Cyclic Inhibition of the ERK Transcriptome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86995</wp:posOffset>
            </wp:positionV>
            <wp:extent cx="4286250" cy="2143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980" w:firstLine="1978"/>
        <w:spacing w:after="0" w:line="462" w:lineRule="auto"/>
        <w:rPr>
          <w:sz w:val="20"/>
          <w:szCs w:val="20"/>
          <w:color w:val="auto"/>
        </w:rPr>
      </w:pPr>
      <w:r>
        <w:rPr>
          <w:rFonts w:ascii="Times New Roman" w:cs="Times New Roman" w:eastAsia="Times New Roman" w:hAnsi="Times New Roman"/>
          <w:sz w:val="18"/>
          <w:szCs w:val="18"/>
          <w:i w:val="1"/>
          <w:iCs w:val="1"/>
          <w:color w:val="auto"/>
        </w:rPr>
        <w:t xml:space="preserve">* Adjusted p-value &lt; 0.05, for each treatment versus vehicle (n = 3-4 independent tumors per group) </w:t>
      </w:r>
      <w:r>
        <w:rPr>
          <w:rFonts w:ascii="Times New Roman" w:cs="Times New Roman" w:eastAsia="Times New Roman" w:hAnsi="Times New Roman"/>
          <w:sz w:val="18"/>
          <w:szCs w:val="18"/>
          <w:b w:val="1"/>
          <w:bCs w:val="1"/>
          <w:color w:val="auto"/>
        </w:rPr>
        <w:t>Preclinical Studies: Resistance to CRAF-bypass Observed</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IMM-1-104 head-to-head against four FDA-approved MEK inhibitors for CRAF-bypass resistance in a KRAS mutant NSCLC tumor model. We exposed the tumor cells with 100 nM of each drug for 2 hours and evaluated MEK and ERK activation levels. We observed that IMM-1-104 reduced overall activity of the MAPK pathway at ERK and pathway reactivation at MEK through a decrease in MEK and ERK activation, resulting in CRAF-bypass resistance. In contrast, we observed that all four FDA-approved MEK inhibitors displayed an increase in activated MEK, resulting in CRAF-bypass (as depicted below).</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Four FDA-Approved MEK Inhibitors Using a A549 Xenograft Tumor Model: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86995</wp:posOffset>
            </wp:positionV>
            <wp:extent cx="4114800" cy="214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Tumor Regression and Body Weight Loss Observed</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evaluated IMM-1-104 head-to-head against binimetinib and selumetinib in an aggressive murine colorectal tumor model (i.e., Colon-26), which expresses mutant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We observed that IMM-1-104 demonstrated greater tumor growth inhibition, where notably 5 of 8 mice experienced tumor regression during the first 10 days of dosing, as well as greater tolerability, evidenced by changes in BWL. In addition, we observed that IMM-1-104 had overall better durability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antitumor response as compared to the two FDA-approved MEK inhibitors, as demonstrated by significantly lower tumor volume, or TV, progression. This study demonstrated that IMM-1-104 as compared to binimetinib and selumetinib provided greater tumor inhibition, lower BWL and lower TV progression (as depicted below).</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and Selumetinib Using a Colon-26 Syngeneic Tumor Model: Body Weight Loss and Tumor Volume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86995</wp:posOffset>
            </wp:positionV>
            <wp:extent cx="5657850" cy="2537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After observing the results of the Colon-26 tumor study, we completed two follow-up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where we evaluated IMM-1-104 head-to-head against binimetinib or encorafenib, a BRAF inhibitor, as monotherapy plus the combination of binimetinib with encorafenib in BALB/c mice tumor models with RAS and RAF mutations. It should be noted that when encorafenib is used to treat KRAS mutant tumors that are wild type for BRAF, it can paradoxically activate the MAPK pathway and antagonize the effects of binimetinib. In addition, the drug doses and schedules used for binimetinib and encorafenib in these studies were consistent with or exceeded what was provided in their new drug applications ("NDAs") to the FDA for human-relevant exposures in rodent models.</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evaluated IMM-1-104 head-to-head against binimetinib monotherapy and in combination with encorafenib in the KRAS</w:t>
      </w:r>
      <w:r>
        <w:rPr>
          <w:rFonts w:ascii="Times New Roman" w:cs="Times New Roman" w:eastAsia="Times New Roman" w:hAnsi="Times New Roman"/>
          <w:sz w:val="23"/>
          <w:szCs w:val="23"/>
          <w:color w:val="auto"/>
          <w:vertAlign w:val="superscript"/>
        </w:rPr>
        <w:t>G12S</w:t>
      </w:r>
      <w:r>
        <w:rPr>
          <w:rFonts w:ascii="Times New Roman" w:cs="Times New Roman" w:eastAsia="Times New Roman" w:hAnsi="Times New Roman"/>
          <w:sz w:val="18"/>
          <w:szCs w:val="18"/>
          <w:color w:val="auto"/>
        </w:rPr>
        <w:t xml:space="preserve"> human NSCLC xenograft tumor model (i.e., A549). When comparing IMM-1-104 to binimetinib monotherapy, we observed that IMM-1-104 had greater tumor growth inhibition (as depicted below). The observations of IMM-1-104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head-to-head against binimetinib alone and in combination with encorafenib, which was not considered relevant for a KRAS mutant, RAF wild-type tumor model, has been included in the figure below for comparison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 Encorafenib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131445</wp:posOffset>
            </wp:positionV>
            <wp:extent cx="4800600" cy="2400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also evaluated IMM-1-104 head-to-head against binimetinib and encorafenib monotherapy and the combination of binimetinib with encorafenib in a BRAF</w:t>
      </w:r>
      <w:r>
        <w:rPr>
          <w:rFonts w:ascii="Times New Roman" w:cs="Times New Roman" w:eastAsia="Times New Roman" w:hAnsi="Times New Roman"/>
          <w:sz w:val="23"/>
          <w:szCs w:val="23"/>
          <w:color w:val="auto"/>
          <w:vertAlign w:val="superscript"/>
        </w:rPr>
        <w:t>V600E</w:t>
      </w:r>
      <w:r>
        <w:rPr>
          <w:rFonts w:ascii="Times New Roman" w:cs="Times New Roman" w:eastAsia="Times New Roman" w:hAnsi="Times New Roman"/>
          <w:sz w:val="18"/>
          <w:szCs w:val="18"/>
          <w:color w:val="auto"/>
        </w:rPr>
        <w:t xml:space="preserve"> human melanoma xenograft model. It should be noted that the administered combination of binimetinib and encorafenib for BRAF mutant melanoma,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is an FDA-approved combination. As expected, when comparing IMM-1-104 alone to binimetinib in combination with encorafenib, we observed that the combination therapy had greater tumor growth inhibition (as depicted below). However, when we compared IMM-1-104 to binimetinib monotherapy, we observed that IMM-1-104 had greater tumor growth inhibition (as depicted below). In addition to the monotherapy potential for RAS mutant disease, we believe the greater single agent MEK inhibitor activity observed with our deep cyclic inhibition approach demonstrates the potential of IMM-1-104 (and/or IMM-6-415, which has an accelerated cadence of deep cyclic inhibition) in drug-drug combinations with other MAPK pathway inhibitors, such as encorafenib, to treat RAF mutant cancers,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among other MAPK pathway mutations.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139700</wp:posOffset>
            </wp:positionV>
            <wp:extent cx="4800600" cy="2400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IMM-1-104 head-to-head against sotorasib (AMG-510) and gemcitabine alone, and IMM-1-104 in combination with sotorasib, for 21 days in the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xenograft model (i.e., MIA PaCa-2). In a previous study conducted by a third-party, sotorasib demonstrated sensitivity to this pancreatic tumor model. Comparing IMM-1-104 alone, against sotorasib and in combination with sotorasib, we observed tumor regressions with insignificant median BWL (i.e., within 3% of baseline), which we believe indicates activity, durability and tolerability of IMM-1-104 against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pancreatic cancer model (as depicted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IMM-1-104 +/- sotorasib (AMG-510) Using a MIA PaCa-2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657850" cy="2040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 xml:space="preserve">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IMM-1-104 monotherapy as compared to binimetinib for 21 days in the NRAS</w:t>
      </w:r>
      <w:r>
        <w:rPr>
          <w:rFonts w:ascii="Times New Roman" w:cs="Times New Roman" w:eastAsia="Times New Roman" w:hAnsi="Times New Roman"/>
          <w:sz w:val="23"/>
          <w:szCs w:val="23"/>
          <w:color w:val="auto"/>
          <w:vertAlign w:val="superscript"/>
        </w:rPr>
        <w:t>Q61R</w:t>
      </w:r>
      <w:r>
        <w:rPr>
          <w:rFonts w:ascii="Times New Roman" w:cs="Times New Roman" w:eastAsia="Times New Roman" w:hAnsi="Times New Roman"/>
          <w:sz w:val="18"/>
          <w:szCs w:val="18"/>
          <w:color w:val="auto"/>
        </w:rPr>
        <w:t xml:space="preserve"> mutant tumor model (i.e., SK-MEL-2). We observed mid-cycle tumor regressions in mice treated with IMM-1-104, which demonstrated activity and durability of IMM-1-104 against an NRAS</w:t>
      </w:r>
      <w:r>
        <w:rPr>
          <w:rFonts w:ascii="Times New Roman" w:cs="Times New Roman" w:eastAsia="Times New Roman" w:hAnsi="Times New Roman"/>
          <w:sz w:val="23"/>
          <w:szCs w:val="23"/>
          <w:color w:val="auto"/>
          <w:vertAlign w:val="superscript"/>
        </w:rPr>
        <w:t>Q61R</w:t>
      </w:r>
      <w:r>
        <w:rPr>
          <w:rFonts w:ascii="Times New Roman" w:cs="Times New Roman" w:eastAsia="Times New Roman" w:hAnsi="Times New Roman"/>
          <w:sz w:val="18"/>
          <w:szCs w:val="18"/>
          <w:color w:val="auto"/>
        </w:rPr>
        <w:t xml:space="preserve"> mutant melanoma cancer model (as depicted below).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131445</wp:posOffset>
            </wp:positionV>
            <wp:extent cx="3857625" cy="2143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576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study described in our June 2022 ASCO abstract, we utilized a Capan-2 PDAC xenograft animal model to evaluate single agent activity of IMM-1-104 (100, 150 mg/kg BID p.o.) vs. sotorasib and adagrasib (30 and 100 mg/kg QD p.o. each) for 21 days treatment after tumors had reached volumes of 150 to 200 mm3. A head-to-head comparison in vivo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demonstrated no Tumor Growth Inhibition (TGI) by sotorasib or adagrasib in KRAS-G12V mutant Capan-2 PDAC tumors as expected, while IMM-1-104 prompted TGIs up to 84% at 150 mg/kg BID po (as depicted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IMM-1-104 vs. Sotorasib and Adagrasib in a KRAS-G12V Pancreatic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657850" cy="2306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Studies: 3D Tumor Growth Models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3D tumor growth models mimic the tumor microenvironment ("TME") more closely than 2D culture models, and we believe humanized 3D models more accurately reflect human tumor biology and complexity when translating pharmacological data of MAPK pathway inhibition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have established and evaluated over 130 humanized 3D tumor models, a majority of which display activating mutations in the RAS isoforms, amongst other altered MAPK pathway targets, including BRAF, CRAF, NF1 and ERK, to evaluate their sensitivities to IMM-1-104. In general, we observed that tumor models with KRAS or NRAS mutations and certain molecular profiles were sensitive to IMM-1-104, including tumor models displaying BRAF mutations. For example, IMM-1-104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8"/>
          <w:szCs w:val="18"/>
          <w:color w:val="auto"/>
        </w:rPr>
        <w:t xml:space="preserve"> dose-response values in 3D assays as low as 23.7 nM were observed in tumor models that expressed NRAS mutants such as Q61L, Q61R, G12D, Q61K, among others. Similarly, KRAS mutant tumor models were sensitive to IMM-1-104 treatment, with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responses as low as 66.7 nM when displaying mutations including Q61H, G12C, G12V, G13D, G12D, G12R, among others. Certain tumor models with BRAF mutations were also found to be sensitive to IMM-1-104 with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responses in 3D assays as low as 54.2 nM for V600E (class 1) and G464E (class 2) mutations. A clear driver mutation in RAS or RAF was generally predictive of IMM-1-104 response, but a smaller number of RAS or RAF mutant models displaying certain oncogenic mutation profiles were found to be insensitive to IMM-1-104 and displayed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 values of over 10,000 nM.</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observed that IMM-1-104 broadly displays universal-RAS activity with additional responses in MAPK pathway addicted tumors. Also, our 3D tumor modeling data suggested that certain MAPK-dependent lesions in KRAS mutant pancreatic cancer and NRAS mutant melanoma may be particularly sensitive to single agent IMM-1-104, followed by KRAS mutant lung and colon cancers.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further examine the translational opportunity in KRAS mutant pancreatic cancer, NRAS mutant melanoma, KRAS mutant non-small cell lung cancer and KRAS mutant colorectal cancer, we evaluated several of these cancer mutations utilizing real-world data through a pan-cancer registry, the Genomics Evidence Neoplasia Information Exchange ("GENIE") (Cohort v13.0-public: The AACR Project GENIE Consortium. AACR Project GENIE: Powering Precision Medicine Through An International Consortium, Cancer Discov. 2017 Aug;7(8):818-831). For 122 of the 3D-TGA cell lines where in-house WES data were also available, the upper plateau-to-1 uM difference was used to delineate response from non-response, and thus train a logistic regression model with 10-fold cross validation. There were 28 features used, one comprised of a consolidated MAPK mutations status (mutations in K/H/NRAS, GNAQ/11, and BRAF class I/II), and 27 other genes representing key pathways. With an AUC of 0.84 on the training cohort and 0.72 on test cohort, the model was then applied to GENIE cohorts (Figures below) where all features were included on the testing panel. For each indication of interest, a kernel density plot of the probability of predicted response for the entire cohort (projected onto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negative y-axis), and the MAPK(+) subset (positive y-axis) shows enrichment for higher probability of response with restriction to MAPK alteration status.</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Much of the genomic data in GENIE comes from primary tumor samples of newly diagnosed patients, and so we believe the GENIE dataset may best approximate the first line setting. We found the overwhelming majority of pancreatic cancers associated with KRAS mutations (i.e., 93%) and melanoma associated with NRAS mutations (i.e., 78%) had primary tumors that harbor a biomarker profile that may be sensitive to IMM-1-104 (as depicted below) in this model of the first line setting. By the same analysis, KRAS mutant non-small cell lung cancer primary tumors (i.e., 66%) are favorable, but KRAS mutant colorectal cancer primary tumors (i.e., 22%) may benefit from further biomarker stratification.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plots below were presented in April 2023 at the AACR Annual Meeting in Orlando, FL (Nair, et al.)</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Translational Profiling for KRAS Mutant Pancreatic Cancer, NRAS Mutant Melanoma, KRAS Mutant Non-Small Cell Lung Cancer and KRAS Mutant Colorectal Cancer Utilizing a Pan-Cancer Registry, GENIE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95250</wp:posOffset>
            </wp:positionV>
            <wp:extent cx="5657850" cy="2537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374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3335655</wp:posOffset>
            </wp:positionV>
            <wp:extent cx="5657850" cy="257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717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4286250</wp:posOffset>
            </wp:positionV>
            <wp:extent cx="5657850" cy="2529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presented updated 3D-TGA data from 193 models,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128905</wp:posOffset>
            </wp:positionV>
            <wp:extent cx="5657850" cy="6197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619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Overview: IMM-1-104</w:t>
      </w:r>
    </w:p>
    <w:p>
      <w:pPr>
        <w:spacing w:after="0" w:line="18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 September 2022 the FDA cleared our IND for IMM-1-104, and in November 2022, we commenced dosing in a </w:t>
      </w:r>
      <w:r>
        <w:rPr>
          <w:rFonts w:ascii="Times New Roman" w:cs="Times New Roman" w:eastAsia="Times New Roman" w:hAnsi="Times New Roman"/>
          <w:sz w:val="18"/>
          <w:szCs w:val="18"/>
          <w:i w:val="1"/>
          <w:iCs w:val="1"/>
          <w:color w:val="auto"/>
        </w:rPr>
        <w:t>first-in-human</w:t>
      </w:r>
      <w:r>
        <w:rPr>
          <w:rFonts w:ascii="Times New Roman" w:cs="Times New Roman" w:eastAsia="Times New Roman" w:hAnsi="Times New Roman"/>
          <w:sz w:val="18"/>
          <w:szCs w:val="18"/>
          <w:color w:val="auto"/>
        </w:rPr>
        <w:t>, Phase 1/2a clinical trial of IMM-1-104.</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Phase 1/2a clinical trial is an open-label study designed to evaluate the safety, tolerability, clinical pharmacology, and preliminary efficacy of IMM-1-104 once daily, in participants with advanced RAS mutant solid tumors.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Phase 1 (</w:t>
      </w:r>
      <w:r>
        <w:rPr>
          <w:rFonts w:ascii="Times New Roman" w:cs="Times New Roman" w:eastAsia="Times New Roman" w:hAnsi="Times New Roman"/>
          <w:sz w:val="18"/>
          <w:szCs w:val="18"/>
          <w:i w:val="1"/>
          <w:iCs w:val="1"/>
          <w:color w:val="auto"/>
        </w:rPr>
        <w:t>dose exploration</w:t>
      </w:r>
      <w:r>
        <w:rPr>
          <w:rFonts w:ascii="Times New Roman" w:cs="Times New Roman" w:eastAsia="Times New Roman" w:hAnsi="Times New Roman"/>
          <w:sz w:val="18"/>
          <w:szCs w:val="18"/>
          <w:color w:val="auto"/>
        </w:rPr>
        <w:t>) trial consists of both dose escalation and dose exploration portions, and may enroll approximately 45 patients (excluding a food effect study) across clinical sites within the United States.</w:t>
      </w:r>
    </w:p>
    <w:p>
      <w:pPr>
        <w:spacing w:after="0" w:line="133" w:lineRule="exact"/>
        <w:rPr>
          <w:sz w:val="20"/>
          <w:szCs w:val="20"/>
          <w:color w:val="auto"/>
        </w:rPr>
      </w:pPr>
    </w:p>
    <w:p>
      <w:pPr>
        <w:ind w:left="74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 Escalation follows a Bayesian (mTPI-2) statistical design. This streamlined design is designed to allow for the most efficient approach to optimize dose escalation.</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 Exploration will further evaluate and refine selected dose-level candidates for recommended phase 2 dose, or RP2D, in accordance with guidance provided by FDA under its Project Optimus initiative.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we announced initial PK, PD, and safety data from the Phase 1 portion of the Phase 1/2a clinical trial of IMM-1-104. As of April 10, 2023, we had PK, PD and safety data from four patients with pancreatic or colorectal cancer available for evaluation. Of these patients, we dosed one patient at 40 mg once daily oral dose, or the first dose level, one patient at 80 mg once daily oral dose, or the second dose level, and two patients at 160 mg once daily oral dose, or the third dose level. At the third dose level, we observed significant PK Cmax levels, which is the plasma concentration of therapy in a specific area of the body, with IMM-1-104 of over 2,000 ng/mL or approximately 1 uM drug free-fraction. In addition, we observed greater than 90% PD inhibition of phosphorylated extracellular signal-regulated kinase (pERK) with IMM-1-104 compared to pretreatment baseline for patients at the third dose level. A median plasma half-life of 1.94 hours was observed with IMM-1-104 across the first three dose levels evaluated in patients with pancreatic and colorectal cancer with different RAS mutations, including KRAS-G12D, the most common mutation present in pancreatic cancer. IMM-1-104 was well tolerated in these four patients, as well as one patient dosed at 320 mg once daily oral dose, or the fourth dose level, with no dose limiting toxicities or serious adverse events observed and no drug-related adverse events beyond Grade 1 observed.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we announced the completion of the dose-escalation portion of the Phase 1/2a clinical trial of IMM-1-104. The trial’s Safety Review Committee (SRC) completed its evaluation and observed that doses up to and including 320 mg once daily were tolerable with no dose limiting toxicities observed. We subsequently commenced enrollment in the Phase 1 dose exploration portion of the trial, designed in part to evaluate two dosing cohorts at an oral dose of 240mg or 320 mg once daily.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additional preclinical data that further support the potential of IMM-1-104 both as a single agent and in combination regimens with other therapeutic agents across multiple MAPK-driven tumor types, including those with RAS or RAF mutations. We believe these findings support the potential therapeutic use of cytotoxic agents and RAF inhibitors in combination with our product candidates, and build on our previously disclosed data supporting combinations with KRAS-G12C inhibitors and immuno-oncology agents.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In November 2023, we announced an expanded clinical development plan for the Phase 1/2a clinical trial of IMM-1-104, including with respect to an additional: two Phase 1b/2a combination therapy arms (intended to enroll approximately 60 total patients with PDAC in a first-line setting), and three Phase 2a monotherapy expansion arms (intended to enroll approximately 90 total patients with PDAC, RAS-mutant melanoma, or RAS-mutant non-small cell lung cancer).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we announced that the FDA granted Fast Track designation for IMM-1-104 for the treatment of patients with PDAC who have failed one line of treatment.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provide topline data from the Phase 1 portion of the IMM-1-104 Phase 1/2a clinical trial in March 2024. We also expect to dose the first patient in the Phase 2a portion of the trial in March 2024 and to announce initial data from multiple arms of the Phase 2a portion of the trial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88265</wp:posOffset>
            </wp:positionV>
            <wp:extent cx="5657850" cy="290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Universal-RAS/RAF Program: IMM-6-415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second program, which we refer to as our Universal-RAS/RAF program, is focused on developing innovative allosteric MEK inhibitors that drive deep cyclic inhibition of the MAPK pathway, designed with unique drug-like properties including a shorter plasma half-life for an accelerated pharmacokinetic cadence dosed twice-daily in humans. Our product candidate for this program is designated as IMM-6-415. IMM-6-415 is designed to target MEK in a way that disrupts the MAPK pathway at ERK through reduction of MEK activation. We designed IMM-6-415 to have a unique PK and PD profile that may be optimized for distinct solid tumors, potentially including a broad range of MAPK-driven tumors as a monotherapy, as well as for a variety of combination therapy approaches.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in a scientific poster presented at the Society for Immunotherapy of Cancer Annual Meeting, we presented preclinical data demonstrating that IMM-6-415 inhibited the growth of RAF and RAS mutant tumors as a monotherapy across multiple human and murine solid tumor models and could be administered in combination with select immune modulators (e.g., checkpoint inhibitors) for the treatment of certain solid tumors, which are often poorly immunologically accessible.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presented preclinical data at the AACR-NCI-EORTC Conference in which IMM-6-415 in combination with encorafenib demonstrated better tumor growth inhibition and improved durability when compared head-to-head with binimetinib plus encorafenib in animal models of RAF mutant melanoma and colorectal cancer, and IMM-6-415 as a single agent demonstrated high sensitivity in a wide range of MAPK-driven tumor types, including models of RAS or RAF mutant disease.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A0A0A"/>
        </w:rPr>
        <w:t xml:space="preserve">In December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A0A0A"/>
        </w:rPr>
        <w:t xml:space="preserve"> FDA </w:t>
      </w:r>
      <w:r>
        <w:rPr>
          <w:rFonts w:ascii="Times New Roman" w:cs="Times New Roman" w:eastAsia="Times New Roman" w:hAnsi="Times New Roman"/>
          <w:sz w:val="18"/>
          <w:szCs w:val="18"/>
          <w:color w:val="000000"/>
        </w:rPr>
        <w:t>cleared our IND application for</w:t>
      </w:r>
      <w:r>
        <w:rPr>
          <w:rFonts w:ascii="Times New Roman" w:cs="Times New Roman" w:eastAsia="Times New Roman" w:hAnsi="Times New Roman"/>
          <w:sz w:val="18"/>
          <w:szCs w:val="18"/>
          <w:color w:val="0A0A0A"/>
        </w:rPr>
        <w:t xml:space="preserve"> IMM-6-415 and we began the process of enrolling patients in a Phase 1/2a clinical trial of IMM-6-415 for the treatment of patients with advanced solid tumors harboring RAF or RAS mutations.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We expect to dose the first patient in the Phase 1 portion of the IMM-6-415 Phase 1/2a clinical trial in March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Resistance to CRAF-bypass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IMM-6-415 head-to-head against two FDA-approved MEK inhibitors to assess their control of pMEK, pERK and CRAF-bypass in a NRAS, HRAS, NF1 and BRAF mutant melanoma tumor models. We exposed the tumor cells with 100 nM of each drug for 2 hours and evaluated MEK and ERK activation levels. We observed that IMM-6-415 reduced overall activity of the MAPK pathway at ERK and pathway reactivation at MEK through a decrease in MEK and ERK activation, resulting in CRAF-bypass resistance. In contrast, we observed that both FDA-approved MEK inhibitors displayed an increase in activated MEK, resulting in CRAF-bypass in RAS and NF1 mutant tumors (as depicted below).</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Head-to-Head Comparison of IMM-6-415 against Two FDA-Approved MEK Inhibitors Using a Panel of Nine Melanoma Tumor Models: Observed Activity in RAS and RAF Mutant Tumors and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96520</wp:posOffset>
            </wp:positionV>
            <wp:extent cx="5657850" cy="2160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14"/>
          <w:szCs w:val="14"/>
          <w:b w:val="1"/>
          <w:bCs w:val="1"/>
          <w:color w:val="auto"/>
        </w:rPr>
        <w:t>Key Mutations &amp; 3D-TGA Response</w:t>
      </w:r>
    </w:p>
    <w:p>
      <w:pPr>
        <w:spacing w:after="0" w:line="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B2B2B2"/>
        </w:rPr>
        <w:t>[Melanoma Tumor Models]</w:t>
      </w:r>
    </w:p>
    <w:p>
      <w:pPr>
        <w:spacing w:after="0" w:line="200" w:lineRule="exact"/>
        <w:rPr>
          <w:sz w:val="20"/>
          <w:szCs w:val="20"/>
          <w:color w:val="auto"/>
        </w:rPr>
      </w:pPr>
    </w:p>
    <w:p>
      <w:pPr>
        <w:spacing w:after="0" w:line="3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color w:val="auto"/>
        </w:rPr>
        <w:t>Tumor cell lines were acquired from ATCC, ECACC and DSMZ. 3D-Tumor Growth Assay (3D-TGA) sensitivity (green fill) defined as IC</w:t>
      </w:r>
      <w:r>
        <w:rPr>
          <w:rFonts w:ascii="Times New Roman" w:cs="Times New Roman" w:eastAsia="Times New Roman" w:hAnsi="Times New Roman"/>
          <w:sz w:val="21"/>
          <w:szCs w:val="21"/>
          <w:i w:val="1"/>
          <w:iCs w:val="1"/>
          <w:color w:val="auto"/>
          <w:vertAlign w:val="subscript"/>
        </w:rPr>
        <w:t>50</w:t>
      </w:r>
      <w:r>
        <w:rPr>
          <w:rFonts w:ascii="Times New Roman" w:cs="Times New Roman" w:eastAsia="Times New Roman" w:hAnsi="Times New Roman"/>
          <w:sz w:val="16"/>
          <w:szCs w:val="16"/>
          <w:i w:val="1"/>
          <w:iCs w:val="1"/>
          <w:color w:val="auto"/>
        </w:rPr>
        <w:t xml:space="preserve"> &lt; 10uM in 72-hour ECM-based assay with %EdU readout, and IC</w:t>
      </w:r>
      <w:r>
        <w:rPr>
          <w:rFonts w:ascii="Times New Roman" w:cs="Times New Roman" w:eastAsia="Times New Roman" w:hAnsi="Times New Roman"/>
          <w:sz w:val="10"/>
          <w:szCs w:val="10"/>
          <w:i w:val="1"/>
          <w:iCs w:val="1"/>
          <w:color w:val="auto"/>
        </w:rPr>
        <w:t>50</w:t>
      </w:r>
      <w:r>
        <w:rPr>
          <w:rFonts w:ascii="Times New Roman" w:cs="Times New Roman" w:eastAsia="Times New Roman" w:hAnsi="Times New Roman"/>
          <w:sz w:val="16"/>
          <w:szCs w:val="16"/>
          <w:i w:val="1"/>
          <w:iCs w:val="1"/>
          <w:color w:val="auto"/>
        </w:rPr>
        <w:t xml:space="preserve"> ≥10uM considered resistant. Cell-based 2D in vitro molecular assays were performed to assess cellular levels of phosphorylated and total ERK and MEK across 9 melanoma models (100 nM drug for 2-hours followed by quantitative Western blot analysis for pERK, total ERK, pMEK and total MEK); Binimetinib &amp; selumetinib were commercially purchased (MAPK pathway reactivation observed, pMEK); n.t. = not yet tested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early MTD studies, we observed that oral administration of IMM-6-415 twice a day of up to 175 to 180 mg/kg/dose was well-tolerated in mice (middle and right panels in figure above). In other preclinical studies, we observed that the maximum therapeutic effect of IMM-6-415 was reached when administered orally twice a day between 150 and 180 mg/kg/dose. These dosing studies provided the basis of IMM-6-415’s dosing schedule in subsequent preclinical studies (as depicted in figures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Tumor Regression and Body Weight Loss Data</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evaluated IMM-6-415 against vehicle and historic responses from IMM-1-104 in an aggressive murine colorectal tumor model (i.e., Colon-26), which expresses mutant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We observed that IMM-6-415 demonstrated robust tumor growth inhibition at top effective doses of 150 and 175 mg/kg BID p.o., with multiple mice experiencing tumor regression during the first 7 days of dosing (as depicted below), with good tolerability, and evidenced limited (-8.61% to +3.34% vs. vehicle group) changes in median BWL at doses in the range of 25 to 175 mg/kg BID p.o. While IMM-6-415 displayed a plasma half-life in mice of only a 0.3 to 0.4 hours (0.5 to 0.7 in non-human primates), IMM-6-415 led to comparable tumor growth inhibition of that observed with IMM-1-104, a molecule that has been observed to have a 1.3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hour half-life in mice (i.e., 3 to 4 times longer than IMM-6-415 in the same species), which was previously observed to be superior in a head-to-head comparison against binimetinib and selumetinib in the same model (as described previously).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IMM-6-415 as Compared to Vehicle Using a Colon 26 Syngeneic Rodent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131445</wp:posOffset>
            </wp:positionV>
            <wp:extent cx="4114800" cy="2143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48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b w:val="1"/>
          <w:bCs w:val="1"/>
          <w:i w:val="1"/>
          <w:iCs w:val="1"/>
          <w:color w:val="auto"/>
        </w:rPr>
        <w:t>Colon 26 (KRAS</w:t>
      </w:r>
      <w:r>
        <w:rPr>
          <w:rFonts w:ascii="Times New Roman" w:cs="Times New Roman" w:eastAsia="Times New Roman" w:hAnsi="Times New Roman"/>
          <w:sz w:val="21"/>
          <w:szCs w:val="21"/>
          <w:b w:val="1"/>
          <w:bCs w:val="1"/>
          <w:i w:val="1"/>
          <w:iCs w:val="1"/>
          <w:color w:val="auto"/>
          <w:vertAlign w:val="superscript"/>
        </w:rPr>
        <w:t>G12D</w:t>
      </w:r>
      <w:r>
        <w:rPr>
          <w:rFonts w:ascii="Times New Roman" w:cs="Times New Roman" w:eastAsia="Times New Roman" w:hAnsi="Times New Roman"/>
          <w:sz w:val="16"/>
          <w:szCs w:val="16"/>
          <w:b w:val="1"/>
          <w:bCs w:val="1"/>
          <w:i w:val="1"/>
          <w:iCs w:val="1"/>
          <w:color w:val="auto"/>
        </w:rPr>
        <w:t>) syngeneic colorectal tumor model in immune competent BALB/c mice. Tumor Growth Inhibition (TGI) % = [1 – (Ti – T0)/(Ci – C0)]x100%; Maximum Antitumor Effective Dose Range for IMM-6-415 in mice is 150 mg/kg to 175-180 mg/kg BID p.o.</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evaluated IMM-6-415 against vehicle treatment as well as historic IMM-1-104 responses in the KRAS</w:t>
      </w:r>
      <w:r>
        <w:rPr>
          <w:rFonts w:ascii="Times New Roman" w:cs="Times New Roman" w:eastAsia="Times New Roman" w:hAnsi="Times New Roman"/>
          <w:sz w:val="23"/>
          <w:szCs w:val="23"/>
          <w:color w:val="auto"/>
          <w:vertAlign w:val="superscript"/>
        </w:rPr>
        <w:t>G12S</w:t>
      </w:r>
      <w:r>
        <w:rPr>
          <w:rFonts w:ascii="Times New Roman" w:cs="Times New Roman" w:eastAsia="Times New Roman" w:hAnsi="Times New Roman"/>
          <w:sz w:val="18"/>
          <w:szCs w:val="18"/>
          <w:color w:val="auto"/>
        </w:rPr>
        <w:t xml:space="preserve"> human NSCLC xenograft tumor model (i.e., A549). When comparing IMM-6-415 to previous studies with IMM-1-104 (shown previously), we observed similar and sustained tumor growth inhibition with IMM-6-415 treatment at top effective doses of 150 to 175 mg/kg BID p.o. (as depicted below), and an IMM-6-415 dose range of 60 to 180 mg/kg BID p.o. was well-tolerated with each group gaining 4.77% to 10.75% body weight (similar to vehicle) over the 21 day study. Unlike IMM-1-104, which is initially being developed using a once-daily administration, we project a shorter human plasma half-life for IMM-6-415. We believe that this would enable twice per day (BID) dosing schedules while still achieving deep, cyclic inhibition for IMM-6-415.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IMM-6-415 as Compared to Vehicle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139700</wp:posOffset>
            </wp:positionV>
            <wp:extent cx="4114800" cy="214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A549 (KRAS</w:t>
      </w:r>
      <w:r>
        <w:rPr>
          <w:rFonts w:ascii="Times New Roman" w:cs="Times New Roman" w:eastAsia="Times New Roman" w:hAnsi="Times New Roman"/>
          <w:sz w:val="23"/>
          <w:szCs w:val="23"/>
          <w:i w:val="1"/>
          <w:iCs w:val="1"/>
          <w:color w:val="auto"/>
          <w:vertAlign w:val="superscript"/>
        </w:rPr>
        <w:t>G12S</w:t>
      </w:r>
      <w:r>
        <w:rPr>
          <w:rFonts w:ascii="Times New Roman" w:cs="Times New Roman" w:eastAsia="Times New Roman" w:hAnsi="Times New Roman"/>
          <w:sz w:val="18"/>
          <w:szCs w:val="18"/>
          <w:i w:val="1"/>
          <w:iCs w:val="1"/>
          <w:color w:val="auto"/>
        </w:rPr>
        <w:t>) human NSCLC xenograft tumor model in athymic nude BALB/c mice. Tumor Growth Inhibition (TGI) % = [1 – (Ti – T0)/(Ci –</w:t>
      </w:r>
    </w:p>
    <w:p>
      <w:pPr>
        <w:spacing w:after="0"/>
        <w:rPr>
          <w:sz w:val="20"/>
          <w:szCs w:val="20"/>
          <w:color w:val="auto"/>
        </w:rPr>
      </w:pPr>
      <w:r>
        <w:rPr>
          <w:rFonts w:ascii="Times New Roman" w:cs="Times New Roman" w:eastAsia="Times New Roman" w:hAnsi="Times New Roman"/>
          <w:sz w:val="18"/>
          <w:szCs w:val="18"/>
          <w:i w:val="1"/>
          <w:iCs w:val="1"/>
          <w:color w:val="auto"/>
        </w:rPr>
        <w:t>C0)]x100%; Maximum Antitumor Effective Dose Range for IMM-6-415 in mice is 150 mg/kg to 175-180 mg/kg BID p.o.</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the positive and negative impact of MAPK pathway activation in antitumor responses, we evaluated IMM-6-415 head-to-head against PD1 and CTLA4 checkpoint inhibitors alone, and IMM-6-415 in combination with each, for 28 days in the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mutant syngeneic tumor model (i.e., CT-26). Historically, this KRAS mutant colorectal tumor mouse model has demonstrated greater sensitivity to CTLA4 over PD1/PDL1 checkpoint inhibition. Comparing IMM-6-415 alone at moderated doses below the maximum cytoreductive levels described above, against anti-PD-1 or anti-CTLA4 treatments and in each combination with IMM-6-415 (e.g., QD, BID at multiple dose levels), we observed superior survival through 28 days with insignificant median BWL (i.e., median body weight gain observed in all groups), which we believe indicates the potential for activity, durability and tolerability of IMM-6-415 against a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mutant colorectal cancer model in immune competent rodents (as depicted below).</w:t>
      </w:r>
    </w:p>
    <w:p>
      <w:pPr>
        <w:spacing w:after="0" w:line="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IMM-6-415 +/- anti-PD-1 and anti-CTLA4 Using a CT-26 Syngeneic Tumor Model: Probability of Survival Based on Tumor Volume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86995</wp:posOffset>
            </wp:positionV>
            <wp:extent cx="4286250" cy="1714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i w:val="1"/>
          <w:iCs w:val="1"/>
          <w:color w:val="auto"/>
        </w:rPr>
        <w:t>CT-26 (KRAS</w:t>
      </w:r>
      <w:r>
        <w:rPr>
          <w:rFonts w:ascii="Times New Roman" w:cs="Times New Roman" w:eastAsia="Times New Roman" w:hAnsi="Times New Roman"/>
          <w:sz w:val="21"/>
          <w:szCs w:val="21"/>
          <w:i w:val="1"/>
          <w:iCs w:val="1"/>
          <w:color w:val="auto"/>
          <w:vertAlign w:val="superscript"/>
        </w:rPr>
        <w:t>G12D</w:t>
      </w:r>
      <w:r>
        <w:rPr>
          <w:rFonts w:ascii="Times New Roman" w:cs="Times New Roman" w:eastAsia="Times New Roman" w:hAnsi="Times New Roman"/>
          <w:sz w:val="16"/>
          <w:szCs w:val="16"/>
          <w:i w:val="1"/>
          <w:iCs w:val="1"/>
          <w:color w:val="auto"/>
        </w:rPr>
        <w:t>) syngeneic colorectal tumor model in immune competent BALB/</w:t>
      </w:r>
      <w:r>
        <w:rPr>
          <w:rFonts w:ascii="Times New Roman" w:cs="Times New Roman" w:eastAsia="Times New Roman" w:hAnsi="Times New Roman"/>
          <w:sz w:val="17"/>
          <w:szCs w:val="17"/>
          <w:i w:val="1"/>
          <w:iCs w:val="1"/>
          <w:color w:val="auto"/>
        </w:rPr>
        <w:t>c</w:t>
      </w:r>
      <w:r>
        <w:rPr>
          <w:rFonts w:ascii="Times New Roman" w:cs="Times New Roman" w:eastAsia="Times New Roman" w:hAnsi="Times New Roman"/>
          <w:sz w:val="16"/>
          <w:szCs w:val="16"/>
          <w:i w:val="1"/>
          <w:iCs w:val="1"/>
          <w:color w:val="auto"/>
        </w:rPr>
        <w:t xml:space="preserve"> mice (note: monotherapy and combinations were inactive in athymic nude CT-26 model – data not shown).</w:t>
      </w:r>
    </w:p>
    <w:p>
      <w:pPr>
        <w:spacing w:after="0" w:line="1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also evaluated IMM-6-415 alone and in combination with encorafenib head-to-head against binimetinib and encorafenib monotherapy and the combination of binimetinib with encorafenib in a BRAF</w:t>
      </w:r>
      <w:r>
        <w:rPr>
          <w:rFonts w:ascii="Times New Roman" w:cs="Times New Roman" w:eastAsia="Times New Roman" w:hAnsi="Times New Roman"/>
          <w:sz w:val="23"/>
          <w:szCs w:val="23"/>
          <w:color w:val="auto"/>
          <w:vertAlign w:val="superscript"/>
        </w:rPr>
        <w:t>V600E</w:t>
      </w:r>
      <w:r>
        <w:rPr>
          <w:rFonts w:ascii="Times New Roman" w:cs="Times New Roman" w:eastAsia="Times New Roman" w:hAnsi="Times New Roman"/>
          <w:sz w:val="18"/>
          <w:szCs w:val="18"/>
          <w:color w:val="auto"/>
        </w:rPr>
        <w:t xml:space="preserve"> human melanoma xenograft model. It should be noted that the administered combination of binimetinib and encorafenib for BRAF mutant melanoma,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is an FDA-approved combination. As expected, when comparing IMM-6-415 alone to binimetinib in combination with encorafenib, we observed that the combination therapy had greater tumor growth inhibition (as depicted below). However, when we compared IMM-6-415 to binimetinib monotherapy, we observed that IMM-6-415 had greater tumor growth inhibition (as depicted below). When we compared the MEKi plus BRAFi combinations of IMM-6-415 plus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encorafenib head-to-head versus binimetinib plus encorafenib, the deep cyclic inhibition approach of MEKi with IMM-6-415 combinations proved superior to the binimetinib-containing combinations (as depicted below).</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IMM-6-415 +/- Encorafenib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86995</wp:posOffset>
            </wp:positionV>
            <wp:extent cx="5657850" cy="2957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Translational Preclinical Studies: Humanized 3D Tumor Assays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IMM-6-415 has been evaluated for response/non-response profiles in over 60 humanized 3D tumor models that display a wide range of mutations in the MAPK and other pathways. These include and are enriched for activation mutations in KRAS, NRAS, HRAS and BRAF. Given the increased cadence of IMM-6-415 BID (versus QD for IMM-1-104) as projected for the clinic, we believe that IMM-6-415 has the potential to afford differentiated treatment options for certain cancer patients with RAS or RAF mutant disease as monotherapy and in potential future drug-drug combinations. Deep, cyclic MEK inhibition can potentially help optimize antitumor immune responses, prevent adaptive resistance to enhance durability and reshape signaling dynamics that focus drug activity against the tumor compartment.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Overview: IMM-6-415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In December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A0A0A"/>
        </w:rPr>
        <w:t xml:space="preserve"> FDA </w:t>
      </w:r>
      <w:r>
        <w:rPr>
          <w:rFonts w:ascii="Times New Roman" w:cs="Times New Roman" w:eastAsia="Times New Roman" w:hAnsi="Times New Roman"/>
          <w:sz w:val="18"/>
          <w:szCs w:val="18"/>
          <w:color w:val="000000"/>
        </w:rPr>
        <w:t>cleared our IND application for</w:t>
      </w:r>
      <w:r>
        <w:rPr>
          <w:rFonts w:ascii="Times New Roman" w:cs="Times New Roman" w:eastAsia="Times New Roman" w:hAnsi="Times New Roman"/>
          <w:sz w:val="18"/>
          <w:szCs w:val="18"/>
          <w:color w:val="0A0A0A"/>
        </w:rPr>
        <w:t xml:space="preserve"> IMM-6-415 and we began the process of enrolling patients in a Phase 1/2a clinical trial of IMM-6-415 for the treatment of patients with advanced solid tumors harboring RAF or RAS mutations. The Phase 1/2a clinical trial is designed to assess the safety, tolerability, PK, PD, and preliminary anti-tumor activity of IMM-6-415. The Phase 1 portion of the clinical trial includes dose escalation and dose exploration for IMM-6-415, using a mTPI-2 statistical design to establish an optimized RP2D in solid tumor patients with evidence of any RAF or RAS mutation. The Phase 2a portion includes exploring IMM-6-415 in multiple dose expansion arms at the candidate RP2D.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Trifecta-MEK Program</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developing novel product candidates that are designed to uniquely engage MEK and inhibit the upstream activation events of MEK and the downstream activation events of ERK in MEK itself, for the treatment of solid tumors. We believe the inhibition of upstream and downstream activation events of MEK and ERK bypass MAPK pathway reactivation events (i.e., contributing to drug resistance). Our investigational Trifecta-MEK program inhibitors are designed to be differentiated from IMM-1-104 and IMM-6-415 due to their potential mechanism of target engagement, novel potential to allosterically inhibit MEK, along with a unique PK design approach. The potential dosing intervals, potency and mechanisms of target engagement of our investigational Trifecta-MEK program inhibitors may broaden the application of these inhibitors to be administered as monotherapy to provide a treatment for cancer cachexia and other potential muscle wasting disorders.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evaluated one of our investigational Trifecta-MEK program inhibitors head-to-head against binimetinib and encorafenib in a cell-based potency study to observe comparisons in the reduction of activated MEK and ERK in KRAS</w:t>
      </w:r>
      <w:r>
        <w:rPr>
          <w:rFonts w:ascii="Times New Roman" w:cs="Times New Roman" w:eastAsia="Times New Roman" w:hAnsi="Times New Roman"/>
          <w:sz w:val="23"/>
          <w:szCs w:val="23"/>
          <w:color w:val="auto"/>
          <w:vertAlign w:val="superscript"/>
        </w:rPr>
        <w:t>G12S</w:t>
      </w:r>
      <w:r>
        <w:rPr>
          <w:rFonts w:ascii="Times New Roman" w:cs="Times New Roman" w:eastAsia="Times New Roman" w:hAnsi="Times New Roman"/>
          <w:sz w:val="18"/>
          <w:szCs w:val="18"/>
          <w:color w:val="auto"/>
        </w:rPr>
        <w:t xml:space="preserve"> and BRAF</w:t>
      </w:r>
      <w:r>
        <w:rPr>
          <w:rFonts w:ascii="Times New Roman" w:cs="Times New Roman" w:eastAsia="Times New Roman" w:hAnsi="Times New Roman"/>
          <w:sz w:val="23"/>
          <w:szCs w:val="23"/>
          <w:color w:val="auto"/>
          <w:vertAlign w:val="superscript"/>
        </w:rPr>
        <w:t>V600E</w:t>
      </w:r>
      <w:r>
        <w:rPr>
          <w:rFonts w:ascii="Times New Roman" w:cs="Times New Roman" w:eastAsia="Times New Roman" w:hAnsi="Times New Roman"/>
          <w:sz w:val="18"/>
          <w:szCs w:val="18"/>
          <w:color w:val="auto"/>
        </w:rPr>
        <w:t xml:space="preserve"> mutant tumor models. In the KRAS mutant tumor model, our investigational Trifecta-MEK program inhibitor provided greater inhibition of activated MEK and ERK as compared to binimetinib and encorafenib (as depicted below). In the BRAF mutant tumor model, our investigational Trifecta-MEK program inhibitor displayed greater inhibition of activated MEK and ERK as compared to binimetinib, and greater activated ERK inhibition as compared to encorafenib (as depicted below). Our Trifecta-MEK program is currently in the drug discovery stage of development.</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One of Our Investigational Trifecta-MEK Program Inhibitors Against Encorafenib and Binimetinib Using A549 and A375 Xenograft Tumor Models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75267"/>
        </w:rPr>
        <w:t>A549 Tumor Model</w:t>
      </w:r>
      <w:r>
        <w:rPr>
          <w:rFonts w:ascii="Times New Roman" w:cs="Times New Roman" w:eastAsia="Times New Roman" w:hAnsi="Times New Roman"/>
          <w:sz w:val="18"/>
          <w:szCs w:val="18"/>
          <w:color w:val="475267"/>
        </w:rPr>
        <w:t>: KRAS</w:t>
      </w:r>
      <w:r>
        <w:rPr>
          <w:rFonts w:ascii="Times New Roman" w:cs="Times New Roman" w:eastAsia="Times New Roman" w:hAnsi="Times New Roman"/>
          <w:sz w:val="23"/>
          <w:szCs w:val="23"/>
          <w:color w:val="475267"/>
          <w:vertAlign w:val="superscript"/>
        </w:rPr>
        <w:t>G12S</w:t>
      </w:r>
      <w:r>
        <w:rPr>
          <w:rFonts w:ascii="Times New Roman" w:cs="Times New Roman" w:eastAsia="Times New Roman" w:hAnsi="Times New Roman"/>
          <w:sz w:val="18"/>
          <w:szCs w:val="18"/>
          <w:b w:val="1"/>
          <w:bCs w:val="1"/>
          <w:color w:val="475267"/>
        </w:rPr>
        <w:t xml:space="preserve"> </w:t>
      </w:r>
      <w:r>
        <w:rPr>
          <w:rFonts w:ascii="Times New Roman" w:cs="Times New Roman" w:eastAsia="Times New Roman" w:hAnsi="Times New Roman"/>
          <w:sz w:val="18"/>
          <w:szCs w:val="18"/>
          <w:color w:val="475267"/>
        </w:rPr>
        <w:t>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111760</wp:posOffset>
            </wp:positionV>
            <wp:extent cx="4131945" cy="8312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31945" cy="831215"/>
                    </a:xfrm>
                    <a:prstGeom prst="rect">
                      <a:avLst/>
                    </a:prstGeom>
                    <a:noFill/>
                  </pic:spPr>
                </pic:pic>
              </a:graphicData>
            </a:graphic>
          </wp:anchor>
        </w:drawing>
      </w:r>
    </w:p>
    <w:p>
      <w:pPr>
        <w:spacing w:after="0" w:line="156" w:lineRule="exact"/>
        <w:rPr>
          <w:sz w:val="20"/>
          <w:szCs w:val="20"/>
          <w:color w:val="auto"/>
        </w:rPr>
      </w:pPr>
    </w:p>
    <w:tbl>
      <w:tblPr>
        <w:tblLayout w:type="fixed"/>
        <w:tblInd w:w="2380" w:type="dxa"/>
        <w:tblCellMar>
          <w:top w:w="0" w:type="dxa"/>
          <w:left w:w="0" w:type="dxa"/>
          <w:bottom w:w="0" w:type="dxa"/>
          <w:right w:w="0" w:type="dxa"/>
        </w:tblCellMar>
      </w:tblPr>
      <w:tr>
        <w:trPr>
          <w:trHeight w:val="162"/>
        </w:trPr>
        <w:tc>
          <w:tcPr>
            <w:tcW w:w="80" w:type="dxa"/>
            <w:vAlign w:val="bottom"/>
            <w:shd w:val="clear" w:color="auto" w:fill="45546B"/>
          </w:tcPr>
          <w:p>
            <w:pPr>
              <w:spacing w:after="0"/>
              <w:rPr>
                <w:sz w:val="14"/>
                <w:szCs w:val="14"/>
                <w:color w:val="auto"/>
              </w:rPr>
            </w:pPr>
          </w:p>
        </w:tc>
        <w:tc>
          <w:tcPr>
            <w:tcW w:w="1220" w:type="dxa"/>
            <w:vAlign w:val="bottom"/>
            <w:vMerge w:val="restart"/>
            <w:shd w:val="clear" w:color="auto" w:fill="45546B"/>
          </w:tcPr>
          <w:p>
            <w:pPr>
              <w:jc w:val="center"/>
              <w:ind w:left="28"/>
              <w:spacing w:after="0"/>
              <w:rPr>
                <w:sz w:val="20"/>
                <w:szCs w:val="20"/>
                <w:color w:val="auto"/>
              </w:rPr>
            </w:pPr>
            <w:r>
              <w:rPr>
                <w:rFonts w:ascii="Times New Roman" w:cs="Times New Roman" w:eastAsia="Times New Roman" w:hAnsi="Times New Roman"/>
                <w:sz w:val="14"/>
                <w:szCs w:val="14"/>
                <w:b w:val="1"/>
                <w:bCs w:val="1"/>
                <w:color w:val="FFFFFF"/>
              </w:rPr>
              <w:t>Compound</w:t>
            </w:r>
          </w:p>
        </w:tc>
        <w:tc>
          <w:tcPr>
            <w:tcW w:w="120" w:type="dxa"/>
            <w:vAlign w:val="bottom"/>
            <w:shd w:val="clear" w:color="auto" w:fill="45546B"/>
          </w:tcPr>
          <w:p>
            <w:pPr>
              <w:spacing w:after="0"/>
              <w:rPr>
                <w:sz w:val="14"/>
                <w:szCs w:val="14"/>
                <w:color w:val="auto"/>
              </w:rPr>
            </w:pPr>
          </w:p>
        </w:tc>
        <w:tc>
          <w:tcPr>
            <w:tcW w:w="1300" w:type="dxa"/>
            <w:vAlign w:val="bottom"/>
            <w:gridSpan w:val="2"/>
            <w:shd w:val="clear" w:color="auto" w:fill="45546B"/>
          </w:tcPr>
          <w:p>
            <w:pPr>
              <w:jc w:val="center"/>
              <w:spacing w:after="0"/>
              <w:rPr>
                <w:sz w:val="20"/>
                <w:szCs w:val="20"/>
                <w:color w:val="auto"/>
              </w:rPr>
            </w:pPr>
            <w:r>
              <w:rPr>
                <w:rFonts w:ascii="Times New Roman" w:cs="Times New Roman" w:eastAsia="Times New Roman" w:hAnsi="Times New Roman"/>
                <w:sz w:val="14"/>
                <w:szCs w:val="14"/>
                <w:b w:val="1"/>
                <w:bCs w:val="1"/>
                <w:color w:val="FFFFFF"/>
              </w:rPr>
              <w:t>pERK: tERK</w:t>
            </w:r>
          </w:p>
        </w:tc>
        <w:tc>
          <w:tcPr>
            <w:tcW w:w="1360" w:type="dxa"/>
            <w:vAlign w:val="bottom"/>
            <w:shd w:val="clear" w:color="auto" w:fill="45546B"/>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pMEK: tMEK</w:t>
            </w:r>
          </w:p>
        </w:tc>
        <w:tc>
          <w:tcPr>
            <w:tcW w:w="2420" w:type="dxa"/>
            <w:vAlign w:val="bottom"/>
            <w:gridSpan w:val="2"/>
            <w:vMerge w:val="restart"/>
            <w:shd w:val="clear" w:color="auto" w:fill="45546B"/>
          </w:tcPr>
          <w:p>
            <w:pPr>
              <w:jc w:val="center"/>
              <w:ind w:right="80"/>
              <w:spacing w:after="0"/>
              <w:rPr>
                <w:sz w:val="20"/>
                <w:szCs w:val="20"/>
                <w:color w:val="auto"/>
              </w:rPr>
            </w:pPr>
            <w:r>
              <w:rPr>
                <w:rFonts w:ascii="Times New Roman" w:cs="Times New Roman" w:eastAsia="Times New Roman" w:hAnsi="Times New Roman"/>
                <w:sz w:val="14"/>
                <w:szCs w:val="14"/>
                <w:b w:val="1"/>
                <w:bCs w:val="1"/>
                <w:color w:val="FFFFFF"/>
              </w:rPr>
              <w:t>Notes</w:t>
            </w:r>
          </w:p>
        </w:tc>
        <w:tc>
          <w:tcPr>
            <w:tcW w:w="0" w:type="dxa"/>
            <w:vAlign w:val="bottom"/>
          </w:tcPr>
          <w:p>
            <w:pPr>
              <w:spacing w:after="0"/>
              <w:rPr>
                <w:sz w:val="1"/>
                <w:szCs w:val="1"/>
                <w:color w:val="auto"/>
              </w:rPr>
            </w:pPr>
          </w:p>
        </w:tc>
      </w:tr>
      <w:tr>
        <w:trPr>
          <w:trHeight w:val="108"/>
        </w:trPr>
        <w:tc>
          <w:tcPr>
            <w:tcW w:w="80" w:type="dxa"/>
            <w:vAlign w:val="bottom"/>
            <w:shd w:val="clear" w:color="auto" w:fill="45546B"/>
          </w:tcPr>
          <w:p>
            <w:pPr>
              <w:spacing w:after="0"/>
              <w:rPr>
                <w:sz w:val="9"/>
                <w:szCs w:val="9"/>
                <w:color w:val="auto"/>
              </w:rPr>
            </w:pPr>
          </w:p>
        </w:tc>
        <w:tc>
          <w:tcPr>
            <w:tcW w:w="1220" w:type="dxa"/>
            <w:vAlign w:val="bottom"/>
            <w:vMerge w:val="continue"/>
            <w:shd w:val="clear" w:color="auto" w:fill="45546B"/>
          </w:tcPr>
          <w:p>
            <w:pPr>
              <w:spacing w:after="0"/>
              <w:rPr>
                <w:sz w:val="9"/>
                <w:szCs w:val="9"/>
                <w:color w:val="auto"/>
              </w:rPr>
            </w:pPr>
          </w:p>
        </w:tc>
        <w:tc>
          <w:tcPr>
            <w:tcW w:w="120" w:type="dxa"/>
            <w:vAlign w:val="bottom"/>
            <w:shd w:val="clear" w:color="auto" w:fill="45546B"/>
          </w:tcPr>
          <w:p>
            <w:pPr>
              <w:spacing w:after="0"/>
              <w:rPr>
                <w:sz w:val="9"/>
                <w:szCs w:val="9"/>
                <w:color w:val="auto"/>
              </w:rPr>
            </w:pPr>
          </w:p>
        </w:tc>
        <w:tc>
          <w:tcPr>
            <w:tcW w:w="1300" w:type="dxa"/>
            <w:vAlign w:val="bottom"/>
            <w:gridSpan w:val="2"/>
            <w:shd w:val="clear" w:color="auto" w:fill="45546B"/>
          </w:tcPr>
          <w:p>
            <w:pPr>
              <w:jc w:val="center"/>
              <w:spacing w:after="0" w:line="109" w:lineRule="exact"/>
              <w:rPr>
                <w:sz w:val="20"/>
                <w:szCs w:val="20"/>
                <w:color w:val="auto"/>
              </w:rPr>
            </w:pPr>
            <w:r>
              <w:rPr>
                <w:rFonts w:ascii="Times New Roman" w:cs="Times New Roman" w:eastAsia="Times New Roman" w:hAnsi="Times New Roman"/>
                <w:sz w:val="11"/>
                <w:szCs w:val="11"/>
                <w:color w:val="FFFFFF"/>
                <w:w w:val="97"/>
              </w:rPr>
              <w:t>100 nM A549</w:t>
            </w:r>
          </w:p>
        </w:tc>
        <w:tc>
          <w:tcPr>
            <w:tcW w:w="1360" w:type="dxa"/>
            <w:vAlign w:val="bottom"/>
            <w:shd w:val="clear" w:color="auto" w:fill="45546B"/>
          </w:tcPr>
          <w:p>
            <w:pPr>
              <w:jc w:val="center"/>
              <w:ind w:right="13"/>
              <w:spacing w:after="0" w:line="109" w:lineRule="exact"/>
              <w:rPr>
                <w:sz w:val="20"/>
                <w:szCs w:val="20"/>
                <w:color w:val="auto"/>
              </w:rPr>
            </w:pPr>
            <w:r>
              <w:rPr>
                <w:rFonts w:ascii="Times New Roman" w:cs="Times New Roman" w:eastAsia="Times New Roman" w:hAnsi="Times New Roman"/>
                <w:sz w:val="11"/>
                <w:szCs w:val="11"/>
                <w:color w:val="FFFFFF"/>
                <w:w w:val="97"/>
              </w:rPr>
              <w:t>100 nM A549</w:t>
            </w:r>
          </w:p>
        </w:tc>
        <w:tc>
          <w:tcPr>
            <w:tcW w:w="2420" w:type="dxa"/>
            <w:vAlign w:val="bottom"/>
            <w:gridSpan w:val="2"/>
            <w:vMerge w:val="continue"/>
            <w:shd w:val="clear" w:color="auto" w:fill="45546B"/>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45546B"/>
            </w:tcBorders>
            <w:shd w:val="clear" w:color="auto" w:fill="45546B"/>
          </w:tcPr>
          <w:p>
            <w:pPr>
              <w:spacing w:after="0"/>
              <w:rPr>
                <w:sz w:val="12"/>
                <w:szCs w:val="12"/>
                <w:color w:val="auto"/>
              </w:rPr>
            </w:pPr>
          </w:p>
        </w:tc>
        <w:tc>
          <w:tcPr>
            <w:tcW w:w="1220" w:type="dxa"/>
            <w:vAlign w:val="bottom"/>
            <w:tcBorders>
              <w:bottom w:val="single" w:sz="8" w:color="45546B"/>
            </w:tcBorders>
            <w:shd w:val="clear" w:color="auto" w:fill="45546B"/>
          </w:tcPr>
          <w:p>
            <w:pPr>
              <w:spacing w:after="0"/>
              <w:rPr>
                <w:sz w:val="12"/>
                <w:szCs w:val="12"/>
                <w:color w:val="auto"/>
              </w:rPr>
            </w:pPr>
          </w:p>
        </w:tc>
        <w:tc>
          <w:tcPr>
            <w:tcW w:w="120" w:type="dxa"/>
            <w:vAlign w:val="bottom"/>
            <w:tcBorders>
              <w:bottom w:val="single" w:sz="8" w:color="45546B"/>
            </w:tcBorders>
            <w:shd w:val="clear" w:color="auto" w:fill="45546B"/>
          </w:tcPr>
          <w:p>
            <w:pPr>
              <w:spacing w:after="0"/>
              <w:rPr>
                <w:sz w:val="12"/>
                <w:szCs w:val="12"/>
                <w:color w:val="auto"/>
              </w:rPr>
            </w:pPr>
          </w:p>
        </w:tc>
        <w:tc>
          <w:tcPr>
            <w:tcW w:w="1300" w:type="dxa"/>
            <w:vAlign w:val="bottom"/>
            <w:tcBorders>
              <w:bottom w:val="single" w:sz="8" w:color="45546B"/>
            </w:tcBorders>
            <w:gridSpan w:val="2"/>
            <w:shd w:val="clear" w:color="auto" w:fill="45546B"/>
          </w:tcPr>
          <w:p>
            <w:pPr>
              <w:jc w:val="center"/>
              <w:spacing w:after="0"/>
              <w:rPr>
                <w:sz w:val="20"/>
                <w:szCs w:val="20"/>
                <w:color w:val="auto"/>
              </w:rPr>
            </w:pPr>
            <w:r>
              <w:rPr>
                <w:rFonts w:ascii="Times New Roman" w:cs="Times New Roman" w:eastAsia="Times New Roman" w:hAnsi="Times New Roman"/>
                <w:sz w:val="11"/>
                <w:szCs w:val="11"/>
                <w:color w:val="FFFFFF"/>
                <w:w w:val="97"/>
              </w:rPr>
              <w:t>% of control, 4h</w:t>
            </w:r>
          </w:p>
        </w:tc>
        <w:tc>
          <w:tcPr>
            <w:tcW w:w="1360" w:type="dxa"/>
            <w:vAlign w:val="bottom"/>
            <w:tcBorders>
              <w:bottom w:val="single" w:sz="8" w:color="45546B"/>
            </w:tcBorders>
            <w:shd w:val="clear" w:color="auto" w:fill="45546B"/>
          </w:tcPr>
          <w:p>
            <w:pPr>
              <w:jc w:val="center"/>
              <w:ind w:right="33"/>
              <w:spacing w:after="0"/>
              <w:rPr>
                <w:sz w:val="20"/>
                <w:szCs w:val="20"/>
                <w:color w:val="auto"/>
              </w:rPr>
            </w:pPr>
            <w:r>
              <w:rPr>
                <w:rFonts w:ascii="Times New Roman" w:cs="Times New Roman" w:eastAsia="Times New Roman" w:hAnsi="Times New Roman"/>
                <w:sz w:val="11"/>
                <w:szCs w:val="11"/>
                <w:color w:val="FFFFFF"/>
                <w:w w:val="97"/>
              </w:rPr>
              <w:t>% of control, 4h</w:t>
            </w:r>
          </w:p>
        </w:tc>
        <w:tc>
          <w:tcPr>
            <w:tcW w:w="2340" w:type="dxa"/>
            <w:vAlign w:val="bottom"/>
            <w:tcBorders>
              <w:bottom w:val="single" w:sz="8" w:color="45546B"/>
            </w:tcBorders>
            <w:shd w:val="clear" w:color="auto" w:fill="45546B"/>
          </w:tcPr>
          <w:p>
            <w:pPr>
              <w:spacing w:after="0"/>
              <w:rPr>
                <w:sz w:val="12"/>
                <w:szCs w:val="12"/>
                <w:color w:val="auto"/>
              </w:rPr>
            </w:pPr>
          </w:p>
        </w:tc>
        <w:tc>
          <w:tcPr>
            <w:tcW w:w="80" w:type="dxa"/>
            <w:vAlign w:val="bottom"/>
            <w:tcBorders>
              <w:bottom w:val="single" w:sz="8" w:color="45546B"/>
            </w:tcBorders>
            <w:shd w:val="clear" w:color="auto" w:fill="45546B"/>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F3F3"/>
          </w:tcPr>
          <w:p>
            <w:pPr>
              <w:spacing w:after="0"/>
              <w:rPr>
                <w:sz w:val="16"/>
                <w:szCs w:val="16"/>
                <w:color w:val="auto"/>
              </w:rPr>
            </w:pPr>
          </w:p>
        </w:tc>
        <w:tc>
          <w:tcPr>
            <w:tcW w:w="1220" w:type="dxa"/>
            <w:vAlign w:val="bottom"/>
            <w:shd w:val="clear" w:color="auto" w:fill="F3F3F3"/>
          </w:tcPr>
          <w:p>
            <w:pPr>
              <w:jc w:val="center"/>
              <w:ind w:left="28"/>
              <w:spacing w:after="0"/>
              <w:rPr>
                <w:sz w:val="20"/>
                <w:szCs w:val="20"/>
                <w:color w:val="auto"/>
              </w:rPr>
            </w:pPr>
            <w:r>
              <w:rPr>
                <w:rFonts w:ascii="Times New Roman" w:cs="Times New Roman" w:eastAsia="Times New Roman" w:hAnsi="Times New Roman"/>
                <w:sz w:val="14"/>
                <w:szCs w:val="14"/>
                <w:color w:val="auto"/>
              </w:rPr>
              <w:t>0.1% DMSO</w:t>
            </w:r>
          </w:p>
        </w:tc>
        <w:tc>
          <w:tcPr>
            <w:tcW w:w="120" w:type="dxa"/>
            <w:vAlign w:val="bottom"/>
            <w:shd w:val="clear" w:color="auto" w:fill="F3F3F3"/>
          </w:tcPr>
          <w:p>
            <w:pPr>
              <w:spacing w:after="0"/>
              <w:rPr>
                <w:sz w:val="16"/>
                <w:szCs w:val="16"/>
                <w:color w:val="auto"/>
              </w:rPr>
            </w:pPr>
          </w:p>
        </w:tc>
        <w:tc>
          <w:tcPr>
            <w:tcW w:w="1240" w:type="dxa"/>
            <w:vAlign w:val="bottom"/>
            <w:shd w:val="clear" w:color="auto" w:fill="F3F3F3"/>
          </w:tcPr>
          <w:p>
            <w:pPr>
              <w:jc w:val="center"/>
              <w:ind w:left="54"/>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F3F3F3"/>
          </w:tcPr>
          <w:p>
            <w:pPr>
              <w:spacing w:after="0"/>
              <w:rPr>
                <w:sz w:val="16"/>
                <w:szCs w:val="16"/>
                <w:color w:val="auto"/>
              </w:rPr>
            </w:pPr>
          </w:p>
        </w:tc>
        <w:tc>
          <w:tcPr>
            <w:tcW w:w="1360" w:type="dxa"/>
            <w:vAlign w:val="bottom"/>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1.000</w:t>
            </w:r>
          </w:p>
        </w:tc>
        <w:tc>
          <w:tcPr>
            <w:tcW w:w="2420" w:type="dxa"/>
            <w:vAlign w:val="bottom"/>
            <w:gridSpan w:val="2"/>
            <w:shd w:val="clear" w:color="auto" w:fill="F3F3F3"/>
          </w:tcPr>
          <w:p>
            <w:pPr>
              <w:jc w:val="center"/>
              <w:ind w:right="80"/>
              <w:spacing w:after="0"/>
              <w:rPr>
                <w:sz w:val="20"/>
                <w:szCs w:val="20"/>
                <w:color w:val="auto"/>
              </w:rPr>
            </w:pPr>
            <w:r>
              <w:rPr>
                <w:rFonts w:ascii="Times New Roman" w:cs="Times New Roman" w:eastAsia="Times New Roman" w:hAnsi="Times New Roman"/>
                <w:sz w:val="14"/>
                <w:szCs w:val="14"/>
                <w:color w:val="auto"/>
              </w:rPr>
              <w:t>Vehicle Control</w:t>
            </w:r>
          </w:p>
        </w:tc>
        <w:tc>
          <w:tcPr>
            <w:tcW w:w="0" w:type="dxa"/>
            <w:vAlign w:val="bottom"/>
          </w:tcPr>
          <w:p>
            <w:pPr>
              <w:spacing w:after="0"/>
              <w:rPr>
                <w:sz w:val="1"/>
                <w:szCs w:val="1"/>
                <w:color w:val="auto"/>
              </w:rPr>
            </w:pPr>
          </w:p>
        </w:tc>
      </w:tr>
      <w:tr>
        <w:trPr>
          <w:trHeight w:val="216"/>
        </w:trPr>
        <w:tc>
          <w:tcPr>
            <w:tcW w:w="80" w:type="dxa"/>
            <w:vAlign w:val="bottom"/>
            <w:shd w:val="clear" w:color="auto" w:fill="F3F3F3"/>
          </w:tcPr>
          <w:p>
            <w:pPr>
              <w:spacing w:after="0"/>
              <w:rPr>
                <w:sz w:val="18"/>
                <w:szCs w:val="18"/>
                <w:color w:val="auto"/>
              </w:rPr>
            </w:pPr>
          </w:p>
        </w:tc>
        <w:tc>
          <w:tcPr>
            <w:tcW w:w="1220" w:type="dxa"/>
            <w:vAlign w:val="bottom"/>
            <w:shd w:val="clear" w:color="auto" w:fill="F3F3F3"/>
          </w:tcPr>
          <w:p>
            <w:pPr>
              <w:jc w:val="center"/>
              <w:ind w:left="28"/>
              <w:spacing w:after="0"/>
              <w:rPr>
                <w:sz w:val="20"/>
                <w:szCs w:val="20"/>
                <w:color w:val="auto"/>
              </w:rPr>
            </w:pPr>
            <w:r>
              <w:rPr>
                <w:rFonts w:ascii="Times New Roman" w:cs="Times New Roman" w:eastAsia="Times New Roman" w:hAnsi="Times New Roman"/>
                <w:sz w:val="14"/>
                <w:szCs w:val="14"/>
                <w:color w:val="auto"/>
              </w:rPr>
              <w:t>Encorafenib</w:t>
            </w:r>
          </w:p>
        </w:tc>
        <w:tc>
          <w:tcPr>
            <w:tcW w:w="120" w:type="dxa"/>
            <w:vAlign w:val="bottom"/>
            <w:shd w:val="clear" w:color="auto" w:fill="F3F3F3"/>
          </w:tcPr>
          <w:p>
            <w:pPr>
              <w:spacing w:after="0"/>
              <w:rPr>
                <w:sz w:val="18"/>
                <w:szCs w:val="18"/>
                <w:color w:val="auto"/>
              </w:rPr>
            </w:pPr>
          </w:p>
        </w:tc>
        <w:tc>
          <w:tcPr>
            <w:tcW w:w="1240" w:type="dxa"/>
            <w:vAlign w:val="bottom"/>
            <w:shd w:val="clear" w:color="auto" w:fill="F3F3F3"/>
          </w:tcPr>
          <w:p>
            <w:pPr>
              <w:jc w:val="center"/>
              <w:ind w:left="54"/>
              <w:spacing w:after="0"/>
              <w:rPr>
                <w:sz w:val="20"/>
                <w:szCs w:val="20"/>
                <w:color w:val="auto"/>
              </w:rPr>
            </w:pPr>
            <w:r>
              <w:rPr>
                <w:rFonts w:ascii="Times New Roman" w:cs="Times New Roman" w:eastAsia="Times New Roman" w:hAnsi="Times New Roman"/>
                <w:sz w:val="14"/>
                <w:szCs w:val="14"/>
                <w:color w:val="auto"/>
              </w:rPr>
              <w:t>2.693</w:t>
            </w:r>
          </w:p>
        </w:tc>
        <w:tc>
          <w:tcPr>
            <w:tcW w:w="60" w:type="dxa"/>
            <w:vAlign w:val="bottom"/>
            <w:shd w:val="clear" w:color="auto" w:fill="F3F3F3"/>
          </w:tcPr>
          <w:p>
            <w:pPr>
              <w:spacing w:after="0"/>
              <w:rPr>
                <w:sz w:val="18"/>
                <w:szCs w:val="18"/>
                <w:color w:val="auto"/>
              </w:rPr>
            </w:pPr>
          </w:p>
        </w:tc>
        <w:tc>
          <w:tcPr>
            <w:tcW w:w="1360" w:type="dxa"/>
            <w:vAlign w:val="bottom"/>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3.431</w:t>
            </w:r>
          </w:p>
        </w:tc>
        <w:tc>
          <w:tcPr>
            <w:tcW w:w="2420" w:type="dxa"/>
            <w:vAlign w:val="bottom"/>
            <w:gridSpan w:val="2"/>
            <w:shd w:val="clear" w:color="auto" w:fill="F3F3F3"/>
          </w:tcPr>
          <w:p>
            <w:pPr>
              <w:jc w:val="center"/>
              <w:ind w:right="80"/>
              <w:spacing w:after="0"/>
              <w:rPr>
                <w:sz w:val="20"/>
                <w:szCs w:val="20"/>
                <w:color w:val="auto"/>
              </w:rPr>
            </w:pPr>
            <w:r>
              <w:rPr>
                <w:rFonts w:ascii="Times New Roman" w:cs="Times New Roman" w:eastAsia="Times New Roman" w:hAnsi="Times New Roman"/>
                <w:sz w:val="14"/>
                <w:szCs w:val="14"/>
                <w:color w:val="auto"/>
              </w:rPr>
              <w:t>Paradoxical MAPK Activation</w:t>
            </w:r>
          </w:p>
        </w:tc>
        <w:tc>
          <w:tcPr>
            <w:tcW w:w="0" w:type="dxa"/>
            <w:vAlign w:val="bottom"/>
          </w:tcPr>
          <w:p>
            <w:pPr>
              <w:spacing w:after="0"/>
              <w:rPr>
                <w:sz w:val="1"/>
                <w:szCs w:val="1"/>
                <w:color w:val="auto"/>
              </w:rPr>
            </w:pPr>
          </w:p>
        </w:tc>
      </w:tr>
      <w:tr>
        <w:trPr>
          <w:trHeight w:val="219"/>
        </w:trPr>
        <w:tc>
          <w:tcPr>
            <w:tcW w:w="80" w:type="dxa"/>
            <w:vAlign w:val="bottom"/>
            <w:tcBorders>
              <w:bottom w:val="single" w:sz="8" w:color="F3F3F3"/>
            </w:tcBorders>
            <w:shd w:val="clear" w:color="auto" w:fill="F3F3F3"/>
          </w:tcPr>
          <w:p>
            <w:pPr>
              <w:spacing w:after="0"/>
              <w:rPr>
                <w:sz w:val="19"/>
                <w:szCs w:val="19"/>
                <w:color w:val="auto"/>
              </w:rPr>
            </w:pPr>
          </w:p>
        </w:tc>
        <w:tc>
          <w:tcPr>
            <w:tcW w:w="1220" w:type="dxa"/>
            <w:vAlign w:val="bottom"/>
            <w:tcBorders>
              <w:bottom w:val="single" w:sz="8" w:color="F3F3F3"/>
            </w:tcBorders>
            <w:shd w:val="clear" w:color="auto" w:fill="F3F3F3"/>
          </w:tcPr>
          <w:p>
            <w:pPr>
              <w:jc w:val="center"/>
              <w:ind w:left="28"/>
              <w:spacing w:after="0"/>
              <w:rPr>
                <w:sz w:val="20"/>
                <w:szCs w:val="20"/>
                <w:color w:val="auto"/>
              </w:rPr>
            </w:pPr>
            <w:r>
              <w:rPr>
                <w:rFonts w:ascii="Times New Roman" w:cs="Times New Roman" w:eastAsia="Times New Roman" w:hAnsi="Times New Roman"/>
                <w:sz w:val="14"/>
                <w:szCs w:val="14"/>
                <w:color w:val="auto"/>
              </w:rPr>
              <w:t>Binimetinib</w:t>
            </w:r>
          </w:p>
        </w:tc>
        <w:tc>
          <w:tcPr>
            <w:tcW w:w="120" w:type="dxa"/>
            <w:vAlign w:val="bottom"/>
            <w:tcBorders>
              <w:bottom w:val="single" w:sz="8" w:color="F3F3F3"/>
            </w:tcBorders>
            <w:shd w:val="clear" w:color="auto" w:fill="F3F3F3"/>
          </w:tcPr>
          <w:p>
            <w:pPr>
              <w:spacing w:after="0"/>
              <w:rPr>
                <w:sz w:val="19"/>
                <w:szCs w:val="19"/>
                <w:color w:val="auto"/>
              </w:rPr>
            </w:pPr>
          </w:p>
        </w:tc>
        <w:tc>
          <w:tcPr>
            <w:tcW w:w="1240" w:type="dxa"/>
            <w:vAlign w:val="bottom"/>
            <w:tcBorders>
              <w:bottom w:val="single" w:sz="8" w:color="F3F3F3"/>
            </w:tcBorders>
            <w:shd w:val="clear" w:color="auto" w:fill="F3F3F3"/>
          </w:tcPr>
          <w:p>
            <w:pPr>
              <w:jc w:val="center"/>
              <w:ind w:left="54"/>
              <w:spacing w:after="0"/>
              <w:rPr>
                <w:sz w:val="20"/>
                <w:szCs w:val="20"/>
                <w:color w:val="auto"/>
              </w:rPr>
            </w:pPr>
            <w:r>
              <w:rPr>
                <w:rFonts w:ascii="Times New Roman" w:cs="Times New Roman" w:eastAsia="Times New Roman" w:hAnsi="Times New Roman"/>
                <w:sz w:val="14"/>
                <w:szCs w:val="14"/>
                <w:color w:val="auto"/>
              </w:rPr>
              <w:t>0.173</w:t>
            </w:r>
          </w:p>
        </w:tc>
        <w:tc>
          <w:tcPr>
            <w:tcW w:w="60" w:type="dxa"/>
            <w:vAlign w:val="bottom"/>
            <w:tcBorders>
              <w:bottom w:val="single" w:sz="8" w:color="F3F3F3"/>
            </w:tcBorders>
            <w:shd w:val="clear" w:color="auto" w:fill="F3F3F3"/>
          </w:tcPr>
          <w:p>
            <w:pPr>
              <w:spacing w:after="0"/>
              <w:rPr>
                <w:sz w:val="19"/>
                <w:szCs w:val="19"/>
                <w:color w:val="auto"/>
              </w:rPr>
            </w:pPr>
          </w:p>
        </w:tc>
        <w:tc>
          <w:tcPr>
            <w:tcW w:w="1360" w:type="dxa"/>
            <w:vAlign w:val="bottom"/>
            <w:tcBorders>
              <w:bottom w:val="single" w:sz="8" w:color="F3F3F3"/>
            </w:tcBorders>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4.031</w:t>
            </w:r>
          </w:p>
        </w:tc>
        <w:tc>
          <w:tcPr>
            <w:tcW w:w="2420" w:type="dxa"/>
            <w:vAlign w:val="bottom"/>
            <w:tcBorders>
              <w:bottom w:val="single" w:sz="8" w:color="F3F3F3"/>
            </w:tcBorders>
            <w:gridSpan w:val="2"/>
            <w:shd w:val="clear" w:color="auto" w:fill="F3F3F3"/>
          </w:tcPr>
          <w:p>
            <w:pPr>
              <w:jc w:val="center"/>
              <w:ind w:right="80"/>
              <w:spacing w:after="0"/>
              <w:rPr>
                <w:sz w:val="20"/>
                <w:szCs w:val="20"/>
                <w:color w:val="auto"/>
              </w:rPr>
            </w:pPr>
            <w:r>
              <w:rPr>
                <w:rFonts w:ascii="Times New Roman" w:cs="Times New Roman" w:eastAsia="Times New Roman" w:hAnsi="Times New Roman"/>
                <w:sz w:val="14"/>
                <w:szCs w:val="14"/>
                <w:color w:val="auto"/>
              </w:rPr>
              <w:t>CRAF-bypass Evident</w:t>
            </w:r>
          </w:p>
        </w:tc>
        <w:tc>
          <w:tcPr>
            <w:tcW w:w="0" w:type="dxa"/>
            <w:vAlign w:val="bottom"/>
          </w:tcPr>
          <w:p>
            <w:pPr>
              <w:spacing w:after="0"/>
              <w:rPr>
                <w:sz w:val="1"/>
                <w:szCs w:val="1"/>
                <w:color w:val="auto"/>
              </w:rPr>
            </w:pPr>
          </w:p>
        </w:tc>
      </w:tr>
      <w:tr>
        <w:trPr>
          <w:trHeight w:val="196"/>
        </w:trPr>
        <w:tc>
          <w:tcPr>
            <w:tcW w:w="80" w:type="dxa"/>
            <w:vAlign w:val="bottom"/>
            <w:tcBorders>
              <w:bottom w:val="single" w:sz="8" w:color="D6DDE7"/>
            </w:tcBorders>
            <w:shd w:val="clear" w:color="auto" w:fill="D6DDE7"/>
          </w:tcPr>
          <w:p>
            <w:pPr>
              <w:spacing w:after="0"/>
              <w:rPr>
                <w:sz w:val="17"/>
                <w:szCs w:val="17"/>
                <w:color w:val="auto"/>
              </w:rPr>
            </w:pPr>
          </w:p>
        </w:tc>
        <w:tc>
          <w:tcPr>
            <w:tcW w:w="1220" w:type="dxa"/>
            <w:vAlign w:val="bottom"/>
            <w:tcBorders>
              <w:bottom w:val="single" w:sz="8" w:color="D6DDE7"/>
            </w:tcBorders>
            <w:shd w:val="clear" w:color="auto" w:fill="D6DDE7"/>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Trifecta-MEK*</w:t>
            </w:r>
          </w:p>
        </w:tc>
        <w:tc>
          <w:tcPr>
            <w:tcW w:w="1360" w:type="dxa"/>
            <w:vAlign w:val="bottom"/>
            <w:tcBorders>
              <w:bottom w:val="single" w:sz="8" w:color="D6DDE7"/>
            </w:tcBorders>
            <w:gridSpan w:val="2"/>
            <w:shd w:val="clear" w:color="auto" w:fill="D6DDE7"/>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0.011</w:t>
            </w:r>
          </w:p>
        </w:tc>
        <w:tc>
          <w:tcPr>
            <w:tcW w:w="60" w:type="dxa"/>
            <w:vAlign w:val="bottom"/>
            <w:tcBorders>
              <w:bottom w:val="single" w:sz="8" w:color="D6DDE7"/>
            </w:tcBorders>
            <w:shd w:val="clear" w:color="auto" w:fill="D6DDE7"/>
          </w:tcPr>
          <w:p>
            <w:pPr>
              <w:spacing w:after="0"/>
              <w:rPr>
                <w:sz w:val="17"/>
                <w:szCs w:val="17"/>
                <w:color w:val="auto"/>
              </w:rPr>
            </w:pPr>
          </w:p>
        </w:tc>
        <w:tc>
          <w:tcPr>
            <w:tcW w:w="1360" w:type="dxa"/>
            <w:vAlign w:val="bottom"/>
            <w:tcBorders>
              <w:bottom w:val="single" w:sz="8" w:color="D6DDE7"/>
            </w:tcBorders>
            <w:shd w:val="clear" w:color="auto" w:fill="D6DDE7"/>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0.345</w:t>
            </w:r>
          </w:p>
        </w:tc>
        <w:tc>
          <w:tcPr>
            <w:tcW w:w="2420" w:type="dxa"/>
            <w:vAlign w:val="bottom"/>
            <w:tcBorders>
              <w:bottom w:val="single" w:sz="8" w:color="D6DDE7"/>
            </w:tcBorders>
            <w:gridSpan w:val="2"/>
            <w:shd w:val="clear" w:color="auto" w:fill="D6DDE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pERK and pMEK control</w:t>
            </w:r>
          </w:p>
        </w:tc>
        <w:tc>
          <w:tcPr>
            <w:tcW w:w="0" w:type="dxa"/>
            <w:vAlign w:val="bottom"/>
          </w:tcPr>
          <w:p>
            <w:pPr>
              <w:spacing w:after="0"/>
              <w:rPr>
                <w:sz w:val="1"/>
                <w:szCs w:val="1"/>
                <w:color w:val="auto"/>
              </w:rPr>
            </w:pPr>
          </w:p>
        </w:tc>
      </w:tr>
      <w:tr>
        <w:trPr>
          <w:trHeight w:val="487"/>
        </w:trPr>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449AD4"/>
              </w:rPr>
              <w:t>A375 Tumor Model</w:t>
            </w:r>
            <w:r>
              <w:rPr>
                <w:rFonts w:ascii="Times New Roman" w:cs="Times New Roman" w:eastAsia="Times New Roman" w:hAnsi="Times New Roman"/>
                <w:sz w:val="18"/>
                <w:szCs w:val="18"/>
                <w:color w:val="449AD4"/>
              </w:rPr>
              <w:t>: BRAF</w:t>
            </w:r>
            <w:r>
              <w:rPr>
                <w:rFonts w:ascii="Times New Roman" w:cs="Times New Roman" w:eastAsia="Times New Roman" w:hAnsi="Times New Roman"/>
                <w:sz w:val="23"/>
                <w:szCs w:val="23"/>
                <w:color w:val="449AD4"/>
                <w:vertAlign w:val="superscript"/>
              </w:rPr>
              <w:t>V600E</w:t>
            </w:r>
            <w:r>
              <w:rPr>
                <w:rFonts w:ascii="Times New Roman" w:cs="Times New Roman" w:eastAsia="Times New Roman" w:hAnsi="Times New Roman"/>
                <w:sz w:val="18"/>
                <w:szCs w:val="18"/>
                <w:b w:val="1"/>
                <w:bCs w:val="1"/>
                <w:color w:val="449AD4"/>
              </w:rPr>
              <w:t xml:space="preserve"> </w:t>
            </w:r>
            <w:r>
              <w:rPr>
                <w:rFonts w:ascii="Times New Roman" w:cs="Times New Roman" w:eastAsia="Times New Roman" w:hAnsi="Times New Roman"/>
                <w:sz w:val="18"/>
                <w:szCs w:val="18"/>
                <w:color w:val="449AD4"/>
              </w:rPr>
              <w:t>mutant Melanoma</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20" w:type="dxa"/>
            <w:vAlign w:val="bottom"/>
            <w:vMerge w:val="restart"/>
            <w:shd w:val="clear" w:color="auto" w:fill="449AD4"/>
          </w:tcPr>
          <w:p>
            <w:pPr>
              <w:jc w:val="center"/>
              <w:ind w:left="48"/>
              <w:spacing w:after="0"/>
              <w:rPr>
                <w:sz w:val="20"/>
                <w:szCs w:val="20"/>
                <w:color w:val="auto"/>
              </w:rPr>
            </w:pPr>
            <w:r>
              <w:rPr>
                <w:rFonts w:ascii="Times New Roman" w:cs="Times New Roman" w:eastAsia="Times New Roman" w:hAnsi="Times New Roman"/>
                <w:sz w:val="14"/>
                <w:szCs w:val="14"/>
                <w:b w:val="1"/>
                <w:bCs w:val="1"/>
                <w:color w:val="FFFFFF"/>
              </w:rPr>
              <w:t>Compound</w:t>
            </w:r>
          </w:p>
        </w:tc>
        <w:tc>
          <w:tcPr>
            <w:tcW w:w="120" w:type="dxa"/>
            <w:vAlign w:val="bottom"/>
            <w:shd w:val="clear" w:color="auto" w:fill="449AD4"/>
          </w:tcPr>
          <w:p>
            <w:pPr>
              <w:spacing w:after="0"/>
              <w:rPr>
                <w:sz w:val="14"/>
                <w:szCs w:val="14"/>
                <w:color w:val="auto"/>
              </w:rPr>
            </w:pPr>
          </w:p>
        </w:tc>
        <w:tc>
          <w:tcPr>
            <w:tcW w:w="1300" w:type="dxa"/>
            <w:vAlign w:val="bottom"/>
            <w:gridSpan w:val="2"/>
            <w:shd w:val="clear" w:color="auto" w:fill="449AD4"/>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pERK: tERK</w:t>
            </w:r>
          </w:p>
        </w:tc>
        <w:tc>
          <w:tcPr>
            <w:tcW w:w="1360" w:type="dxa"/>
            <w:vAlign w:val="bottom"/>
            <w:shd w:val="clear" w:color="auto" w:fill="449AD4"/>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pMEK: tMEK</w:t>
            </w:r>
          </w:p>
        </w:tc>
        <w:tc>
          <w:tcPr>
            <w:tcW w:w="2340" w:type="dxa"/>
            <w:vAlign w:val="bottom"/>
            <w:vMerge w:val="restart"/>
            <w:shd w:val="clear" w:color="auto" w:fill="449AD4"/>
          </w:tcPr>
          <w:p>
            <w:pPr>
              <w:jc w:val="center"/>
              <w:spacing w:after="0"/>
              <w:rPr>
                <w:sz w:val="20"/>
                <w:szCs w:val="20"/>
                <w:color w:val="auto"/>
              </w:rPr>
            </w:pPr>
            <w:r>
              <w:rPr>
                <w:rFonts w:ascii="Times New Roman" w:cs="Times New Roman" w:eastAsia="Times New Roman" w:hAnsi="Times New Roman"/>
                <w:sz w:val="14"/>
                <w:szCs w:val="14"/>
                <w:b w:val="1"/>
                <w:bCs w:val="1"/>
                <w:color w:val="FFFFFF"/>
              </w:rPr>
              <w:t>Notes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vMerge w:val="continue"/>
            <w:shd w:val="clear" w:color="auto" w:fill="449AD4"/>
          </w:tcPr>
          <w:p>
            <w:pPr>
              <w:spacing w:after="0"/>
              <w:rPr>
                <w:sz w:val="9"/>
                <w:szCs w:val="9"/>
                <w:color w:val="auto"/>
              </w:rPr>
            </w:pPr>
          </w:p>
        </w:tc>
        <w:tc>
          <w:tcPr>
            <w:tcW w:w="120" w:type="dxa"/>
            <w:vAlign w:val="bottom"/>
            <w:shd w:val="clear" w:color="auto" w:fill="449AD4"/>
          </w:tcPr>
          <w:p>
            <w:pPr>
              <w:spacing w:after="0"/>
              <w:rPr>
                <w:sz w:val="9"/>
                <w:szCs w:val="9"/>
                <w:color w:val="auto"/>
              </w:rPr>
            </w:pPr>
          </w:p>
        </w:tc>
        <w:tc>
          <w:tcPr>
            <w:tcW w:w="1300" w:type="dxa"/>
            <w:vAlign w:val="bottom"/>
            <w:gridSpan w:val="2"/>
            <w:shd w:val="clear" w:color="auto" w:fill="449AD4"/>
          </w:tcPr>
          <w:p>
            <w:pPr>
              <w:jc w:val="center"/>
              <w:ind w:right="40"/>
              <w:spacing w:after="0" w:line="109" w:lineRule="exact"/>
              <w:rPr>
                <w:sz w:val="20"/>
                <w:szCs w:val="20"/>
                <w:color w:val="auto"/>
              </w:rPr>
            </w:pPr>
            <w:r>
              <w:rPr>
                <w:rFonts w:ascii="Times New Roman" w:cs="Times New Roman" w:eastAsia="Times New Roman" w:hAnsi="Times New Roman"/>
                <w:sz w:val="11"/>
                <w:szCs w:val="11"/>
                <w:color w:val="FFFFFF"/>
              </w:rPr>
              <w:t>100 nM A375</w:t>
            </w:r>
          </w:p>
        </w:tc>
        <w:tc>
          <w:tcPr>
            <w:tcW w:w="1360" w:type="dxa"/>
            <w:vAlign w:val="bottom"/>
            <w:shd w:val="clear" w:color="auto" w:fill="449AD4"/>
          </w:tcPr>
          <w:p>
            <w:pPr>
              <w:jc w:val="center"/>
              <w:ind w:right="33"/>
              <w:spacing w:after="0" w:line="109" w:lineRule="exact"/>
              <w:rPr>
                <w:sz w:val="20"/>
                <w:szCs w:val="20"/>
                <w:color w:val="auto"/>
              </w:rPr>
            </w:pPr>
            <w:r>
              <w:rPr>
                <w:rFonts w:ascii="Times New Roman" w:cs="Times New Roman" w:eastAsia="Times New Roman" w:hAnsi="Times New Roman"/>
                <w:sz w:val="11"/>
                <w:szCs w:val="11"/>
                <w:color w:val="FFFFFF"/>
              </w:rPr>
              <w:t>100 nM A375</w:t>
            </w:r>
          </w:p>
        </w:tc>
        <w:tc>
          <w:tcPr>
            <w:tcW w:w="2340" w:type="dxa"/>
            <w:vAlign w:val="bottom"/>
            <w:vMerge w:val="continue"/>
            <w:shd w:val="clear" w:color="auto" w:fill="449AD4"/>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449AD4"/>
            </w:tcBorders>
            <w:shd w:val="clear" w:color="auto" w:fill="449AD4"/>
          </w:tcPr>
          <w:p>
            <w:pPr>
              <w:spacing w:after="0"/>
              <w:rPr>
                <w:sz w:val="12"/>
                <w:szCs w:val="12"/>
                <w:color w:val="auto"/>
              </w:rPr>
            </w:pPr>
          </w:p>
        </w:tc>
        <w:tc>
          <w:tcPr>
            <w:tcW w:w="120" w:type="dxa"/>
            <w:vAlign w:val="bottom"/>
            <w:tcBorders>
              <w:bottom w:val="single" w:sz="8" w:color="449AD4"/>
            </w:tcBorders>
            <w:shd w:val="clear" w:color="auto" w:fill="449AD4"/>
          </w:tcPr>
          <w:p>
            <w:pPr>
              <w:spacing w:after="0"/>
              <w:rPr>
                <w:sz w:val="12"/>
                <w:szCs w:val="12"/>
                <w:color w:val="auto"/>
              </w:rPr>
            </w:pPr>
          </w:p>
        </w:tc>
        <w:tc>
          <w:tcPr>
            <w:tcW w:w="1300" w:type="dxa"/>
            <w:vAlign w:val="bottom"/>
            <w:tcBorders>
              <w:bottom w:val="single" w:sz="8" w:color="449AD4"/>
            </w:tcBorders>
            <w:gridSpan w:val="2"/>
            <w:shd w:val="clear" w:color="auto" w:fill="449AD4"/>
          </w:tcPr>
          <w:p>
            <w:pPr>
              <w:jc w:val="center"/>
              <w:ind w:right="40"/>
              <w:spacing w:after="0"/>
              <w:rPr>
                <w:sz w:val="20"/>
                <w:szCs w:val="20"/>
                <w:color w:val="auto"/>
              </w:rPr>
            </w:pPr>
            <w:r>
              <w:rPr>
                <w:rFonts w:ascii="Times New Roman" w:cs="Times New Roman" w:eastAsia="Times New Roman" w:hAnsi="Times New Roman"/>
                <w:sz w:val="11"/>
                <w:szCs w:val="11"/>
                <w:color w:val="FFFFFF"/>
                <w:w w:val="97"/>
              </w:rPr>
              <w:t>% of control, 4h</w:t>
            </w:r>
          </w:p>
        </w:tc>
        <w:tc>
          <w:tcPr>
            <w:tcW w:w="1360" w:type="dxa"/>
            <w:vAlign w:val="bottom"/>
            <w:tcBorders>
              <w:bottom w:val="single" w:sz="8" w:color="449AD4"/>
            </w:tcBorders>
            <w:shd w:val="clear" w:color="auto" w:fill="449AD4"/>
          </w:tcPr>
          <w:p>
            <w:pPr>
              <w:jc w:val="center"/>
              <w:ind w:right="33"/>
              <w:spacing w:after="0"/>
              <w:rPr>
                <w:sz w:val="20"/>
                <w:szCs w:val="20"/>
                <w:color w:val="auto"/>
              </w:rPr>
            </w:pPr>
            <w:r>
              <w:rPr>
                <w:rFonts w:ascii="Times New Roman" w:cs="Times New Roman" w:eastAsia="Times New Roman" w:hAnsi="Times New Roman"/>
                <w:sz w:val="11"/>
                <w:szCs w:val="11"/>
                <w:color w:val="FFFFFF"/>
                <w:w w:val="97"/>
              </w:rPr>
              <w:t>% of control, 4h</w:t>
            </w:r>
          </w:p>
        </w:tc>
        <w:tc>
          <w:tcPr>
            <w:tcW w:w="2340" w:type="dxa"/>
            <w:vAlign w:val="bottom"/>
            <w:tcBorders>
              <w:bottom w:val="single" w:sz="8" w:color="449AD4"/>
            </w:tcBorders>
            <w:shd w:val="clear" w:color="auto" w:fill="449AD4"/>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220" w:type="dxa"/>
            <w:vAlign w:val="bottom"/>
            <w:shd w:val="clear" w:color="auto" w:fill="F3F3F3"/>
          </w:tcPr>
          <w:p>
            <w:pPr>
              <w:jc w:val="center"/>
              <w:ind w:left="48"/>
              <w:spacing w:after="0"/>
              <w:rPr>
                <w:sz w:val="20"/>
                <w:szCs w:val="20"/>
                <w:color w:val="auto"/>
              </w:rPr>
            </w:pPr>
            <w:r>
              <w:rPr>
                <w:rFonts w:ascii="Times New Roman" w:cs="Times New Roman" w:eastAsia="Times New Roman" w:hAnsi="Times New Roman"/>
                <w:sz w:val="14"/>
                <w:szCs w:val="14"/>
                <w:color w:val="auto"/>
              </w:rPr>
              <w:t>0.1% DMSO</w:t>
            </w:r>
          </w:p>
        </w:tc>
        <w:tc>
          <w:tcPr>
            <w:tcW w:w="120" w:type="dxa"/>
            <w:vAlign w:val="bottom"/>
            <w:shd w:val="clear" w:color="auto" w:fill="F3F3F3"/>
          </w:tcPr>
          <w:p>
            <w:pPr>
              <w:spacing w:after="0"/>
              <w:rPr>
                <w:sz w:val="16"/>
                <w:szCs w:val="16"/>
                <w:color w:val="auto"/>
              </w:rPr>
            </w:pPr>
          </w:p>
        </w:tc>
        <w:tc>
          <w:tcPr>
            <w:tcW w:w="1240" w:type="dxa"/>
            <w:vAlign w:val="bottom"/>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F3F3F3"/>
          </w:tcPr>
          <w:p>
            <w:pPr>
              <w:spacing w:after="0"/>
              <w:rPr>
                <w:sz w:val="16"/>
                <w:szCs w:val="16"/>
                <w:color w:val="auto"/>
              </w:rPr>
            </w:pPr>
          </w:p>
        </w:tc>
        <w:tc>
          <w:tcPr>
            <w:tcW w:w="1360" w:type="dxa"/>
            <w:vAlign w:val="bottom"/>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1.000</w:t>
            </w:r>
          </w:p>
        </w:tc>
        <w:tc>
          <w:tcPr>
            <w:tcW w:w="2340" w:type="dxa"/>
            <w:vAlign w:val="bottom"/>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Vehicle Control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220" w:type="dxa"/>
            <w:vAlign w:val="bottom"/>
            <w:vMerge w:val="restart"/>
            <w:shd w:val="clear" w:color="auto" w:fill="F3F3F3"/>
          </w:tcPr>
          <w:p>
            <w:pPr>
              <w:jc w:val="center"/>
              <w:ind w:left="48"/>
              <w:spacing w:after="0"/>
              <w:rPr>
                <w:sz w:val="20"/>
                <w:szCs w:val="20"/>
                <w:color w:val="auto"/>
              </w:rPr>
            </w:pPr>
            <w:r>
              <w:rPr>
                <w:rFonts w:ascii="Times New Roman" w:cs="Times New Roman" w:eastAsia="Times New Roman" w:hAnsi="Times New Roman"/>
                <w:sz w:val="14"/>
                <w:szCs w:val="14"/>
                <w:color w:val="auto"/>
              </w:rPr>
              <w:t>Encorafenib</w:t>
            </w:r>
          </w:p>
        </w:tc>
        <w:tc>
          <w:tcPr>
            <w:tcW w:w="120" w:type="dxa"/>
            <w:vAlign w:val="bottom"/>
            <w:shd w:val="clear" w:color="auto" w:fill="F3F3F3"/>
          </w:tcPr>
          <w:p>
            <w:pPr>
              <w:spacing w:after="0"/>
              <w:rPr>
                <w:sz w:val="15"/>
                <w:szCs w:val="15"/>
                <w:color w:val="auto"/>
              </w:rPr>
            </w:pPr>
          </w:p>
        </w:tc>
        <w:tc>
          <w:tcPr>
            <w:tcW w:w="1240" w:type="dxa"/>
            <w:vAlign w:val="bottom"/>
            <w:vMerge w:val="restart"/>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0.023</w:t>
            </w:r>
          </w:p>
        </w:tc>
        <w:tc>
          <w:tcPr>
            <w:tcW w:w="60" w:type="dxa"/>
            <w:vAlign w:val="bottom"/>
            <w:shd w:val="clear" w:color="auto" w:fill="F3F3F3"/>
          </w:tcPr>
          <w:p>
            <w:pPr>
              <w:spacing w:after="0"/>
              <w:rPr>
                <w:sz w:val="15"/>
                <w:szCs w:val="15"/>
                <w:color w:val="auto"/>
              </w:rPr>
            </w:pPr>
          </w:p>
        </w:tc>
        <w:tc>
          <w:tcPr>
            <w:tcW w:w="1360" w:type="dxa"/>
            <w:vAlign w:val="bottom"/>
            <w:vMerge w:val="restart"/>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0.039</w:t>
            </w:r>
          </w:p>
        </w:tc>
        <w:tc>
          <w:tcPr>
            <w:tcW w:w="2340" w:type="dxa"/>
            <w:vAlign w:val="bottom"/>
            <w:shd w:val="clear" w:color="auto" w:fill="F3F3F3"/>
          </w:tcPr>
          <w:p>
            <w:pPr>
              <w:ind w:left="660"/>
              <w:spacing w:after="0"/>
              <w:rPr>
                <w:sz w:val="20"/>
                <w:szCs w:val="20"/>
                <w:color w:val="auto"/>
              </w:rPr>
            </w:pPr>
            <w:r>
              <w:rPr>
                <w:rFonts w:ascii="Times New Roman" w:cs="Times New Roman" w:eastAsia="Times New Roman" w:hAnsi="Times New Roman"/>
                <w:sz w:val="14"/>
                <w:szCs w:val="14"/>
                <w:color w:val="auto"/>
              </w:rPr>
              <w:t>Prevents pMEK</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vMerge w:val="continue"/>
            <w:shd w:val="clear" w:color="auto" w:fill="F3F3F3"/>
          </w:tcPr>
          <w:p>
            <w:pPr>
              <w:spacing w:after="0"/>
              <w:rPr>
                <w:sz w:val="9"/>
                <w:szCs w:val="9"/>
                <w:color w:val="auto"/>
              </w:rPr>
            </w:pPr>
          </w:p>
        </w:tc>
        <w:tc>
          <w:tcPr>
            <w:tcW w:w="120" w:type="dxa"/>
            <w:vAlign w:val="bottom"/>
            <w:shd w:val="clear" w:color="auto" w:fill="F3F3F3"/>
          </w:tcPr>
          <w:p>
            <w:pPr>
              <w:spacing w:after="0"/>
              <w:rPr>
                <w:sz w:val="9"/>
                <w:szCs w:val="9"/>
                <w:color w:val="auto"/>
              </w:rPr>
            </w:pPr>
          </w:p>
        </w:tc>
        <w:tc>
          <w:tcPr>
            <w:tcW w:w="1240" w:type="dxa"/>
            <w:vAlign w:val="bottom"/>
            <w:vMerge w:val="continue"/>
            <w:shd w:val="clear" w:color="auto" w:fill="F3F3F3"/>
          </w:tcPr>
          <w:p>
            <w:pPr>
              <w:spacing w:after="0"/>
              <w:rPr>
                <w:sz w:val="9"/>
                <w:szCs w:val="9"/>
                <w:color w:val="auto"/>
              </w:rPr>
            </w:pPr>
          </w:p>
        </w:tc>
        <w:tc>
          <w:tcPr>
            <w:tcW w:w="60" w:type="dxa"/>
            <w:vAlign w:val="bottom"/>
            <w:shd w:val="clear" w:color="auto" w:fill="F3F3F3"/>
          </w:tcPr>
          <w:p>
            <w:pPr>
              <w:spacing w:after="0"/>
              <w:rPr>
                <w:sz w:val="9"/>
                <w:szCs w:val="9"/>
                <w:color w:val="auto"/>
              </w:rPr>
            </w:pPr>
          </w:p>
        </w:tc>
        <w:tc>
          <w:tcPr>
            <w:tcW w:w="1360" w:type="dxa"/>
            <w:vAlign w:val="bottom"/>
            <w:vMerge w:val="continue"/>
            <w:shd w:val="clear" w:color="auto" w:fill="F3F3F3"/>
          </w:tcPr>
          <w:p>
            <w:pPr>
              <w:spacing w:after="0"/>
              <w:rPr>
                <w:sz w:val="9"/>
                <w:szCs w:val="9"/>
                <w:color w:val="auto"/>
              </w:rPr>
            </w:pPr>
          </w:p>
        </w:tc>
        <w:tc>
          <w:tcPr>
            <w:tcW w:w="2340" w:type="dxa"/>
            <w:vAlign w:val="bottom"/>
            <w:vMerge w:val="restart"/>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(BRAF inhibitor)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20" w:type="dxa"/>
            <w:vAlign w:val="bottom"/>
            <w:shd w:val="clear" w:color="auto" w:fill="F3F3F3"/>
          </w:tcPr>
          <w:p>
            <w:pPr>
              <w:spacing w:after="0"/>
              <w:rPr>
                <w:sz w:val="7"/>
                <w:szCs w:val="7"/>
                <w:color w:val="auto"/>
              </w:rPr>
            </w:pPr>
          </w:p>
        </w:tc>
        <w:tc>
          <w:tcPr>
            <w:tcW w:w="120" w:type="dxa"/>
            <w:vAlign w:val="bottom"/>
            <w:shd w:val="clear" w:color="auto" w:fill="F3F3F3"/>
          </w:tcPr>
          <w:p>
            <w:pPr>
              <w:spacing w:after="0"/>
              <w:rPr>
                <w:sz w:val="7"/>
                <w:szCs w:val="7"/>
                <w:color w:val="auto"/>
              </w:rPr>
            </w:pPr>
          </w:p>
        </w:tc>
        <w:tc>
          <w:tcPr>
            <w:tcW w:w="1240" w:type="dxa"/>
            <w:vAlign w:val="bottom"/>
            <w:shd w:val="clear" w:color="auto" w:fill="F3F3F3"/>
          </w:tcPr>
          <w:p>
            <w:pPr>
              <w:spacing w:after="0"/>
              <w:rPr>
                <w:sz w:val="7"/>
                <w:szCs w:val="7"/>
                <w:color w:val="auto"/>
              </w:rPr>
            </w:pPr>
          </w:p>
        </w:tc>
        <w:tc>
          <w:tcPr>
            <w:tcW w:w="60" w:type="dxa"/>
            <w:vAlign w:val="bottom"/>
            <w:shd w:val="clear" w:color="auto" w:fill="F3F3F3"/>
          </w:tcPr>
          <w:p>
            <w:pPr>
              <w:spacing w:after="0"/>
              <w:rPr>
                <w:sz w:val="7"/>
                <w:szCs w:val="7"/>
                <w:color w:val="auto"/>
              </w:rPr>
            </w:pPr>
          </w:p>
        </w:tc>
        <w:tc>
          <w:tcPr>
            <w:tcW w:w="1360" w:type="dxa"/>
            <w:vAlign w:val="bottom"/>
            <w:shd w:val="clear" w:color="auto" w:fill="F3F3F3"/>
          </w:tcPr>
          <w:p>
            <w:pPr>
              <w:spacing w:after="0"/>
              <w:rPr>
                <w:sz w:val="7"/>
                <w:szCs w:val="7"/>
                <w:color w:val="auto"/>
              </w:rPr>
            </w:pPr>
          </w:p>
        </w:tc>
        <w:tc>
          <w:tcPr>
            <w:tcW w:w="2340" w:type="dxa"/>
            <w:vAlign w:val="bottom"/>
            <w:vMerge w:val="continue"/>
            <w:shd w:val="clear" w:color="auto" w:fill="F3F3F3"/>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20" w:type="dxa"/>
            <w:vAlign w:val="bottom"/>
            <w:tcBorders>
              <w:bottom w:val="single" w:sz="8" w:color="F3F3F3"/>
            </w:tcBorders>
            <w:shd w:val="clear" w:color="auto" w:fill="F3F3F3"/>
          </w:tcPr>
          <w:p>
            <w:pPr>
              <w:jc w:val="center"/>
              <w:ind w:left="48"/>
              <w:spacing w:after="0"/>
              <w:rPr>
                <w:sz w:val="20"/>
                <w:szCs w:val="20"/>
                <w:color w:val="auto"/>
              </w:rPr>
            </w:pPr>
            <w:r>
              <w:rPr>
                <w:rFonts w:ascii="Times New Roman" w:cs="Times New Roman" w:eastAsia="Times New Roman" w:hAnsi="Times New Roman"/>
                <w:sz w:val="14"/>
                <w:szCs w:val="14"/>
                <w:color w:val="auto"/>
              </w:rPr>
              <w:t>Binimetinib</w:t>
            </w:r>
          </w:p>
        </w:tc>
        <w:tc>
          <w:tcPr>
            <w:tcW w:w="120" w:type="dxa"/>
            <w:vAlign w:val="bottom"/>
            <w:tcBorders>
              <w:bottom w:val="single" w:sz="8" w:color="F3F3F3"/>
            </w:tcBorders>
            <w:shd w:val="clear" w:color="auto" w:fill="F3F3F3"/>
          </w:tcPr>
          <w:p>
            <w:pPr>
              <w:spacing w:after="0"/>
              <w:rPr>
                <w:sz w:val="17"/>
                <w:szCs w:val="17"/>
                <w:color w:val="auto"/>
              </w:rPr>
            </w:pPr>
          </w:p>
        </w:tc>
        <w:tc>
          <w:tcPr>
            <w:tcW w:w="1240" w:type="dxa"/>
            <w:vAlign w:val="bottom"/>
            <w:tcBorders>
              <w:bottom w:val="single" w:sz="8" w:color="F3F3F3"/>
            </w:tcBorders>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0.057</w:t>
            </w:r>
          </w:p>
        </w:tc>
        <w:tc>
          <w:tcPr>
            <w:tcW w:w="60" w:type="dxa"/>
            <w:vAlign w:val="bottom"/>
            <w:tcBorders>
              <w:bottom w:val="single" w:sz="8" w:color="F3F3F3"/>
            </w:tcBorders>
            <w:shd w:val="clear" w:color="auto" w:fill="F3F3F3"/>
          </w:tcPr>
          <w:p>
            <w:pPr>
              <w:spacing w:after="0"/>
              <w:rPr>
                <w:sz w:val="17"/>
                <w:szCs w:val="17"/>
                <w:color w:val="auto"/>
              </w:rPr>
            </w:pPr>
          </w:p>
        </w:tc>
        <w:tc>
          <w:tcPr>
            <w:tcW w:w="1360" w:type="dxa"/>
            <w:vAlign w:val="bottom"/>
            <w:tcBorders>
              <w:bottom w:val="single" w:sz="8" w:color="F3F3F3"/>
            </w:tcBorders>
            <w:shd w:val="clear" w:color="auto" w:fill="F3F3F3"/>
          </w:tcPr>
          <w:p>
            <w:pPr>
              <w:jc w:val="center"/>
              <w:ind w:right="13"/>
              <w:spacing w:after="0"/>
              <w:rPr>
                <w:sz w:val="20"/>
                <w:szCs w:val="20"/>
                <w:color w:val="auto"/>
              </w:rPr>
            </w:pPr>
            <w:r>
              <w:rPr>
                <w:rFonts w:ascii="Times New Roman" w:cs="Times New Roman" w:eastAsia="Times New Roman" w:hAnsi="Times New Roman"/>
                <w:sz w:val="14"/>
                <w:szCs w:val="14"/>
                <w:color w:val="auto"/>
              </w:rPr>
              <w:t>1.094</w:t>
            </w:r>
          </w:p>
        </w:tc>
        <w:tc>
          <w:tcPr>
            <w:tcW w:w="2340" w:type="dxa"/>
            <w:vAlign w:val="bottom"/>
            <w:tcBorders>
              <w:bottom w:val="single" w:sz="8" w:color="F3F3F3"/>
            </w:tcBorders>
            <w:shd w:val="clear" w:color="auto" w:fill="F3F3F3"/>
          </w:tcPr>
          <w:p>
            <w:pPr>
              <w:jc w:val="center"/>
              <w:spacing w:after="0"/>
              <w:rPr>
                <w:sz w:val="20"/>
                <w:szCs w:val="20"/>
                <w:color w:val="auto"/>
              </w:rPr>
            </w:pPr>
            <w:r>
              <w:rPr>
                <w:rFonts w:ascii="Times New Roman" w:cs="Times New Roman" w:eastAsia="Times New Roman" w:hAnsi="Times New Roman"/>
                <w:sz w:val="14"/>
                <w:szCs w:val="14"/>
                <w:color w:val="auto"/>
              </w:rPr>
              <w:t>BRAF activity stable (pMEK)</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220" w:type="dxa"/>
            <w:vAlign w:val="bottom"/>
            <w:shd w:val="clear" w:color="auto" w:fill="D5EAF6"/>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Trifecta-MEK*</w:t>
            </w:r>
          </w:p>
        </w:tc>
        <w:tc>
          <w:tcPr>
            <w:tcW w:w="1360" w:type="dxa"/>
            <w:vAlign w:val="bottom"/>
            <w:gridSpan w:val="2"/>
            <w:shd w:val="clear" w:color="auto" w:fill="D5EAF6"/>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0.002</w:t>
            </w:r>
          </w:p>
        </w:tc>
        <w:tc>
          <w:tcPr>
            <w:tcW w:w="60" w:type="dxa"/>
            <w:vAlign w:val="bottom"/>
            <w:shd w:val="clear" w:color="auto" w:fill="D5EAF6"/>
          </w:tcPr>
          <w:p>
            <w:pPr>
              <w:spacing w:after="0"/>
              <w:rPr>
                <w:sz w:val="16"/>
                <w:szCs w:val="16"/>
                <w:color w:val="auto"/>
              </w:rPr>
            </w:pPr>
          </w:p>
        </w:tc>
        <w:tc>
          <w:tcPr>
            <w:tcW w:w="1360" w:type="dxa"/>
            <w:vAlign w:val="bottom"/>
            <w:shd w:val="clear" w:color="auto" w:fill="D5EAF6"/>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0.095</w:t>
            </w:r>
          </w:p>
        </w:tc>
        <w:tc>
          <w:tcPr>
            <w:tcW w:w="2340" w:type="dxa"/>
            <w:vAlign w:val="bottom"/>
            <w:shd w:val="clear" w:color="auto" w:fill="D5EAF6"/>
          </w:tcPr>
          <w:p>
            <w:pPr>
              <w:jc w:val="center"/>
              <w:spacing w:after="0"/>
              <w:rPr>
                <w:sz w:val="20"/>
                <w:szCs w:val="20"/>
                <w:color w:val="auto"/>
              </w:rPr>
            </w:pPr>
            <w:r>
              <w:rPr>
                <w:rFonts w:ascii="Times New Roman" w:cs="Times New Roman" w:eastAsia="Times New Roman" w:hAnsi="Times New Roman"/>
                <w:sz w:val="14"/>
                <w:szCs w:val="14"/>
                <w:b w:val="1"/>
                <w:bCs w:val="1"/>
                <w:color w:val="auto"/>
              </w:rPr>
              <w:t>pERK and pMEK control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220" w:type="dxa"/>
            <w:vAlign w:val="bottom"/>
            <w:shd w:val="clear" w:color="auto" w:fill="D5EAF6"/>
          </w:tcPr>
          <w:p>
            <w:pPr>
              <w:spacing w:after="0"/>
              <w:rPr>
                <w:sz w:val="2"/>
                <w:szCs w:val="2"/>
                <w:color w:val="auto"/>
              </w:rPr>
            </w:pPr>
          </w:p>
        </w:tc>
        <w:tc>
          <w:tcPr>
            <w:tcW w:w="120" w:type="dxa"/>
            <w:vAlign w:val="bottom"/>
            <w:shd w:val="clear" w:color="auto" w:fill="D5EAF6"/>
          </w:tcPr>
          <w:p>
            <w:pPr>
              <w:spacing w:after="0"/>
              <w:rPr>
                <w:sz w:val="2"/>
                <w:szCs w:val="2"/>
                <w:color w:val="auto"/>
              </w:rPr>
            </w:pPr>
          </w:p>
        </w:tc>
        <w:tc>
          <w:tcPr>
            <w:tcW w:w="1240" w:type="dxa"/>
            <w:vAlign w:val="bottom"/>
            <w:shd w:val="clear" w:color="auto" w:fill="D5EAF6"/>
          </w:tcPr>
          <w:p>
            <w:pPr>
              <w:spacing w:after="0"/>
              <w:rPr>
                <w:sz w:val="2"/>
                <w:szCs w:val="2"/>
                <w:color w:val="auto"/>
              </w:rPr>
            </w:pPr>
          </w:p>
        </w:tc>
        <w:tc>
          <w:tcPr>
            <w:tcW w:w="60" w:type="dxa"/>
            <w:vAlign w:val="bottom"/>
            <w:shd w:val="clear" w:color="auto" w:fill="D5EAF6"/>
          </w:tcPr>
          <w:p>
            <w:pPr>
              <w:spacing w:after="0"/>
              <w:rPr>
                <w:sz w:val="2"/>
                <w:szCs w:val="2"/>
                <w:color w:val="auto"/>
              </w:rPr>
            </w:pPr>
          </w:p>
        </w:tc>
        <w:tc>
          <w:tcPr>
            <w:tcW w:w="1360" w:type="dxa"/>
            <w:vAlign w:val="bottom"/>
            <w:shd w:val="clear" w:color="auto" w:fill="D5EAF6"/>
          </w:tcPr>
          <w:p>
            <w:pPr>
              <w:spacing w:after="0"/>
              <w:rPr>
                <w:sz w:val="2"/>
                <w:szCs w:val="2"/>
                <w:color w:val="auto"/>
              </w:rPr>
            </w:pPr>
          </w:p>
        </w:tc>
        <w:tc>
          <w:tcPr>
            <w:tcW w:w="2340" w:type="dxa"/>
            <w:vAlign w:val="bottom"/>
            <w:shd w:val="clear" w:color="auto" w:fill="D5EAF6"/>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-908050</wp:posOffset>
            </wp:positionV>
            <wp:extent cx="4037330" cy="916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37330" cy="916940"/>
                    </a:xfrm>
                    <a:prstGeom prst="rect">
                      <a:avLst/>
                    </a:prstGeom>
                    <a:noFill/>
                  </pic:spPr>
                </pic:pic>
              </a:graphicData>
            </a:graphic>
          </wp:anchor>
        </w:drawing>
      </w:r>
    </w:p>
    <w:p>
      <w:pPr>
        <w:spacing w:after="0" w:line="70" w:lineRule="exact"/>
        <w:rPr>
          <w:sz w:val="20"/>
          <w:szCs w:val="20"/>
          <w:color w:val="auto"/>
        </w:rPr>
      </w:pPr>
    </w:p>
    <w:p>
      <w:pPr>
        <w:jc w:val="both"/>
        <w:ind w:left="4020" w:right="4080" w:hanging="222"/>
        <w:spacing w:after="0" w:line="571" w:lineRule="auto"/>
        <w:tabs>
          <w:tab w:leader="none" w:pos="4121"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Binimetinib and encorafenib were commercially purchased. *One of our investigational Trifecta-MEK program inhibitors.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RAS Modulators Program</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developing investigational mutation agnostic RAS modulators that are designed to bind to a unique, undisclosed site on RAS for the treatment of solid tumors. We believe our investigational RAS modulators have the potential to disrupt RAS biology and therapeutically disrupt MAPK signaling in patients with various RAS mutant tumors, which represent approximately 20% of all cancer patients. Although drugs in this class have begun targeting RAS mutations, such as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and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we believe a majority of KRAS mutations, which we are designing our RAS modulators to target, will remain unaddressed.</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humanized 3D-TGA tumor model, we observed a half maximal tumor inhibitor concentration, or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of less than 0.1 μM for twelve of our investigational RAS modulators. A low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value means that a drug may be effective at low concentrations and may provide lower systemic toxicity when administered to the patient because of the low concentration required to generate therapeutic activity. Based on these tumor models, we believe our investigational RAS modulators may achieve RAS signaling disruption when administered at low concentrations, providing the potential for improved tolerability as compared to other FDA-approved MAPK pathway drugs. Our RAS program is currently in the drug discovery stage of development.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Early Discovery Drug Programs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discovery programs described above, we are also pursuing drug discovery efforts towards an undisclosed but validated oncology target. We continue to periodically evaluate our drug discovery efforts and are focused on developing and advancing our early pipeline by addressing validated oncology targets in new ways that may better address unmet clinical needs. Our proprietary and we believe, innovative, platforms are central to our discovery and translational efforts, and we continue to prioritize and de-prioritize early discovery drug programs that demonstrate (or fail to demonstrate) clear, targetable patterns of oncogenic addiction that are therapeutically responsive to deep, cyclic target inhibition. This approach ensures that we advance drug programs with potential for broad activity and improved overall tolerability.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our approach of weaving bioinformatics and computational biology into every stage of the drug development process, we have developed a proprietary disease-agnostic platform that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high unmet medical needs and suboptimal treatment options. Key elements of our platform include:</w:t>
      </w:r>
    </w:p>
    <w:p>
      <w:pPr>
        <w:spacing w:after="0" w:line="135" w:lineRule="exact"/>
        <w:rPr>
          <w:sz w:val="20"/>
          <w:szCs w:val="20"/>
          <w:color w:val="auto"/>
        </w:rPr>
      </w:pPr>
    </w:p>
    <w:p>
      <w:pPr>
        <w:ind w:left="740" w:right="20" w:hanging="327"/>
        <w:spacing w:after="0" w:line="28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from Human Data. </w:t>
      </w:r>
      <w:r>
        <w:rPr>
          <w:rFonts w:ascii="Times New Roman" w:cs="Times New Roman" w:eastAsia="Times New Roman" w:hAnsi="Times New Roman"/>
          <w:sz w:val="18"/>
          <w:szCs w:val="18"/>
          <w:color w:val="auto"/>
        </w:rPr>
        <w:t>Compare distinct groups of individuals who differ in a certain aspect of disease or response to a particular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identify new patient subsets.</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Biology. </w:t>
      </w:r>
      <w:r>
        <w:rPr>
          <w:rFonts w:ascii="Times New Roman" w:cs="Times New Roman" w:eastAsia="Times New Roman" w:hAnsi="Times New Roman"/>
          <w:sz w:val="18"/>
          <w:szCs w:val="18"/>
          <w:color w:val="auto"/>
        </w:rPr>
        <w:t>Identify potential novel targets and new ways to drug existing targets using DCT and/or our insights into mechanisms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w:t>
      </w:r>
    </w:p>
    <w:p>
      <w:pPr>
        <w:spacing w:after="0" w:line="127"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Chemistry. </w:t>
      </w:r>
      <w:r>
        <w:rPr>
          <w:rFonts w:ascii="Times New Roman" w:cs="Times New Roman" w:eastAsia="Times New Roman" w:hAnsi="Times New Roman"/>
          <w:sz w:val="18"/>
          <w:szCs w:val="18"/>
          <w:color w:val="auto"/>
        </w:rPr>
        <w:t>Identify small molecules that selectively bind to a target of interest using our proprietary Fluency technology, and/or engineer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PK to achieve optimal signaling dynamics.</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Translational Planning. </w:t>
      </w:r>
      <w:r>
        <w:rPr>
          <w:rFonts w:ascii="Times New Roman" w:cs="Times New Roman" w:eastAsia="Times New Roman" w:hAnsi="Times New Roman"/>
          <w:sz w:val="18"/>
          <w:szCs w:val="18"/>
          <w:color w:val="auto"/>
        </w:rPr>
        <w:t>Use proprietary, humanized 3D preclinical models and bioinformatics to prioritize indications and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subpopulations.</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Clinical Data Analysis. </w:t>
      </w:r>
      <w:r>
        <w:rPr>
          <w:rFonts w:ascii="Times New Roman" w:cs="Times New Roman" w:eastAsia="Times New Roman" w:hAnsi="Times New Roman"/>
          <w:sz w:val="18"/>
          <w:szCs w:val="18"/>
          <w:color w:val="auto"/>
        </w:rPr>
        <w:t>We have developed proprietary software and methods to view, analyze, and interpret clinical data to inform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decision-making, enhance translational studies, and inform future analyses.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Underlying each of these elements is our rigorous quality control and ability to analyze complex biological datasets. We are one of the few biopharmaceutical companies that has been involved in defining best practices for robustly analyzing bioinformatics data, as evidenced by co-authorship on journal articles together with regulators as well as writing invited reviews to educate the scientific community on this topic. This attention to rigorous quality control pervades all of our analyses, and we believe this enables us to extract meaningful information from a variety of databases of human data, including GENIE and The Cancer Genome Atlas Program ("TCGA").</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is not limited to a single aspect or pathology; rather, it is disease-agnostic, which we believe enables us to identify, develop and evaluate product candidates across multiple disease areas simultaneously, with our current focus in oncology. While we currently have an emphasis on transcriptomic data, our platform is not limited to a single data type and thus we believe it will be able to evolve as new datasets emerge. Our platform enabled the initiation, discovery and development of our lead product candidates, IMM-1-104 and IMM-6-415, and has led us to identify additional product candidates with novel compositions of matter by leveraging our platform and drug discovery process. Moreover, our platform has previously been applied extensively in successful partnerships with large pharmaceutical and biotechnology companies, and through our internal drug discovery and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Insights from Human Data</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analyses often begin by comparing existing transcriptomic data from two groups of patients (e.g., from those whose tumors have metastasized versus those whose tumors have not) to help elucidate the biological mechanisms underlying a particular aspect of disease which we seek to counteract. As another example, we may analyze existing data from patients with differences in response to an existing therapy, in order to better understand what is happening in responders versus non-responders. We may also analyze existing data from patients with a disease to identify novel subsets of patients. Our platform has enabled us to conduct multiple projects that involve stratifying patients into novel subsets. We associate transcriptomic profiles with each subset, which can then be directly inputted into DCT to identify novel targets specific to a given patient subset.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Cancelling Technology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DCT to identify targets that reverse a disease signal across multiple relevant genes with the potential to yield product candidates with differentiated mechanisms that are less likely to be discovered by traditional drug discovery methods. Additional biologic context is derived from quantifying the extent to which different time points, concentrations and perturbations (e.g., inhibition and overexpression) may cancel a disease signal more effectively than existing drug targets. DCT ranks target perturbations by the extent to which they generate signals that counteract disease-associated gene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expression changes observed in patient data. Thus, we believe DCT enables hypothesis-free, data-driven identification of novel targets and new ways to drug existing targets.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DCT leverages gene expression data derived from human patient samples to identify targets that may rescue abnormal gene expression and restore pathway homeostasis. In addition, DCT identifies biology relevant to attenuating a disease by quantifying the similarity of genome-wide signatures of specific aspects of the disease to signatures of target induced gene expression changes using a mathematical similarity metric. Uniquely, DCT quantifies the per-gene contribution to overall disease amplification or cancellation. An example of a typical analysis begins by running DCT to identify an unwanted, disease-specific gene expression pattern. The ideal input to DCT is focused on a specific aspect of a disease, such as tumors that have metastasized versus those that have not, rather than comparing diseased versus healthy states. DCT identifies target candidates by screening a disease differential expression signature and comparing it to thousands of target gene expression signatures.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DCT is able to rapidly compare disease state signatures against vast numbers of target signatures. DCT ranks signatures resulting from the modulation of specific targets by the extent to which they oppose disease signatures (as depicted below). Unlike some algorithms or artificial intelligence ("AI") approaches, the results originating from DCT are designed to be interpretable from a computational and biological perspective. This platform uses gene expression from patient datasets and does not rely on literature. Together with the target, DCT provides a specific list of testable genes associated with the target of interest, relevant drug concentrations and temporal dynamic information driving the result. Thus, we believe DCT can identify new targets and readily detect dynamic relevant biology relating to modulating a target in a better way.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workflow for DCT’s novel target identification can be described as follows:</w:t>
      </w:r>
    </w:p>
    <w:p>
      <w:pPr>
        <w:spacing w:after="0" w:line="198" w:lineRule="exact"/>
        <w:rPr>
          <w:sz w:val="20"/>
          <w:szCs w:val="20"/>
          <w:color w:val="auto"/>
        </w:rPr>
      </w:pPr>
    </w:p>
    <w:p>
      <w:pPr>
        <w:ind w:left="740" w:hanging="327"/>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Carefully curated and quality-controlled human transcriptomic data representing a specific aspect of disease, or Input 1, is input and vectorized for processing (as depicted below).</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carefully curated and quality-controlled library of gene expression signals associated with perturbing specific targets at specific time points and concentrations, or Input 2, is input and vectorized for processing (as depicted below). This library can potentially include clustered regularly interspaced short palindromic repeats ("CRISPR"), RNA interference, tool compounds, screening library compounds and existing drugs.</w:t>
      </w:r>
    </w:p>
    <w:p>
      <w:pPr>
        <w:spacing w:after="0" w:line="13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disease signal cancellation is measured between Input 1 and every target signature in Input 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Cancelling Technology Summary Workflow for Target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131445</wp:posOffset>
            </wp:positionV>
            <wp:extent cx="3000375" cy="2743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second filtration step selects target candidates for which multiple biological pathways are restored in the proper direction compared to the disease signal. DCT includes a method to compute a per pathway contribution to disease canceling in terms of percent contribution to overall disease reversal for cases when a specific pathway is particularly relevant. DCT 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designed to have many capabilities in addition to identifying novel targets or novel ways to drug existing targets. To enable rapid translation to experimental validation, DCT can suggest ideal concentrations, temporal dynamics and marker genes to monitor. DCT is also capable of predicting target combinations for a given disease or an ideal target for combination with an existing therapy. For expanded utility, DCT has a graphical user interface that enables our biologists to interact with, sort, modify, query and run results along with producing visualizations of results.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believe DCT has several advantages over other target identification technologies. The platform uses patient data as a starting point, rather than artificial 2D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We have presented data at American Association for Cancer Research and other conferences demonstrating how cell lines fail to capture the heterogeneity of patient tumors, and our discovery team’s experience in the 3D tumor modeling field has also highlighted the limitations of 2D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data. Moreover, working closely with several FDA-approved drugs, we have found that transcriptomic data was most frequently and dynamically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linked to drug activity. Thus, our core insights are derived from transcriptomic data (RNA), while some of our competitor’s platforms may focus on sequencing data (DNA), imaging data from phenotypic screens and/or literature. DCT is focused on identifying novel targets or novel ways to modulate existing targets, with the goal of generating novel therapeutics with improved clinical activity. We have not in-licensed external drugs and we do not focus on “drug repurposing” activities. Our pipeline is composed of programs with potentially novel pharmacological effects.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Biological Mechanisms of Response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identify novel biology by applying translational bioinformatics to analyze the biological mechanisms of response of existing therapies. This may include comparing the transcriptional profiles induced by a drug at different timepoints in order to highlight biological feedback loops that we then seek to counteract.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Chemistry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Fluency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developed Fluency, an easy-to-use AI-based tool, to allow for the rapid screening of large compound libraries for potential binders to a protein target of interest. Fluency can be run with any compound library, including libraries containing millions of compounds. It identifies the most attractive drug candidates within a library by making ranked predictions of binding affinity for all compounds. It also makes predictions about the target binding location for all compounds, which allows us to filter the library for drug candidates that are the most likely to affect a specific region of interest on the desired target. Fluency accelerates our drug development process by allowing us to go from millions of potential compounds down to what Fluency selects as the best hundred drug candidates within a single workday. This allows us to quickly advance only those select candidates to medicinal chemistry and experimental validation (as depicted below), increasing our capital efficiency. Knowledge of the 3D structure of the protein target of interest is not required, which expands the applicability of Fluency to include targets with poorly defined or non-existent 3D structures.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Fluency Accelerates Our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131445</wp:posOffset>
            </wp:positionV>
            <wp:extent cx="3857625" cy="1714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5762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illustrate both the ease of use, as well as the power of Fluency to identify promising drug candidates, we constructed a test screen of Tukysa® (tucatinib), a recently FDA-approved drug for the treatment of advanced breast cancer in combination with trastuzumab and capecitabine. Tukysa® is a tyrosine kinase inhibitor of human epidermal growth factor receptor 2 ("HER2" or "ERBB2"). We created a test compound library by placing Tukysa® in a diverse chemical library of 17.8 million drug-like molecules and evaluated whether or not Fluency could identify it as a promising drug candidate against ERBB2 (depicted in the first panel below). The binding models within Fluency were trained against millions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carefully quality controlled, publicly available binding affinity measurements for compounds against thousands of proteins. However, because Fluency did not see Tukysa® or other molecules highly similar to Tukysa® during training, it did not know whether or not it was a promising candidate before the test screen was run. In our test screens, we input the protein of interest into Fluency, then select a library to screen, and optionally enter the region of interest within the protein (depicted in the second panel below). In the test screen for Tukysa®, we screened the test library against all amino acids within ERBB2.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Fluency Test Screen Input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131445</wp:posOffset>
            </wp:positionV>
            <wp:extent cx="3686175" cy="1457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61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Fluency rapidly screened approximately 17.8 million compounds in less than 7 hours and identified Tukysa® as the best binder to ERBB2 along with a number of other potential candidates (as depicted below). Fluency’s location prediction for this compound points towards the kinase domain of ERBB2 which contains the binding site. Referring back to our drug discovery flow chart depicted above, Tukysa® would have been amongst the hundreds of compounds to go on to medicinal chemistry and experimental validation if we were searching for general ERBB2 binders or if we were searching for potential binders specific to the kinase domain.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Fluency Test Screen Output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139700</wp:posOffset>
            </wp:positionV>
            <wp:extent cx="3686175" cy="1371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8617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Fluency has been used to screen for potential drug candidates within our early-stage oncology programs. Our team includes AI specialists with expertise in Fluency who are embedded in our end-to-end preclinical drug development processes. We continue to seek new ways to apply our AI expertise to develop novel product candidates and potentially improve the lives of patients.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Signaling Dynamics (PK-Driven)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Transcriptomic data has proven critical to these analyses because it provides an understanding of the extent to which specific genes are expressed at any given time, capturing temporal changes in pathway activation. Signaling networks differ between cell types, and we leverage this to modulate targets in such a way that certain cell types will be more impacted than others. Our platform enables us to assess the signaling dynamics of product candidates, which we believe allows us to optimize the chemistry of our product candidate programs to achieve broad therapeutic activity against diseased cells while sparing healthy normal cells. Modulation of these signaling networks impacts cell fate decisions in many cell types, including cancerous cells. Our computational biology expertise enables us to analyze transcriptomic data that closely reflects spatiotemporal dynamics of biological signaling networks.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Translational Planning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Humanized 3D Tumor Models</w:t>
      </w:r>
      <w:r>
        <w:rPr>
          <w:rFonts w:ascii="Times New Roman" w:cs="Times New Roman" w:eastAsia="Times New Roman" w:hAnsi="Times New Roman"/>
          <w:sz w:val="18"/>
          <w:szCs w:val="18"/>
          <w:b w:val="1"/>
          <w:bCs w:val="1"/>
          <w:i w:val="1"/>
          <w:i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oncology, we are deeply experienced in advanced, humanized 3D-based tumor growth models, which based on peer reviewed research by members of our team and others, more accurately predict drug response in animal models, and we believe in patients, compared to standard models. Unlike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approaches, the 3D tumor growth models reflect the complexity of tumor biology given their alignment with the TME. Thus, we believe our deep expertise in 3D tumor models enables us to more accurately stratify patients likely to benefit from our potential product candidates.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3D-TGA Background and Utility</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two-dimensional ("2D") tissue culture has dominated cell-based preclinical oncology research for over 70 years, successful translation and regulatory approval of new oncology drugs are amongst the lowest of all therapeutic areas. Innovations in cell-based platform technologies, such as matrix-based humanized 3D Tumor Growth Assay ("3D-TGA") tumor models, offer the promise to enrich preclinical drug discovery and improve overall clinical translational success. Our company and leadership have a strong history in research and translation of drug response using patient-derived tumor models (e.g., patient-derived xenografts and 3D ex vivo models) and translational bioinformatics using public and internal patient data. Our team has built on previous ex vivo tumor modeling experience and patient-alignment model selection approaches to identify models that better reflect molecular profiles of target patient populations. We believe this effort will help improve translational success of our pipeline and help ensure that established 3D-TGA models perform well as a core platform for innovative oncology drug R&amp;D. By leveraging over two decades of humanized modeling expertise, our translational and discovery teams have built, characterized, and interrogated a large set of 3D-TGA tumor models from commonly used human tumor cell lines (i.e., currently at over 130 tumor models). The cohort of 3D-TGA tumor models span at least 12 major tumor types, including: breast, colorectal, lung, pancreas, melanoma, ovary, liver, stomach, prostate, neuroblastoma, rhabdomyosarcoma, and thyroid. Over time, additional 3D-TGA models may be developed to add new indications or expand existing indications to better test emerging discovery or translational hypotheses. A large, proprietary 3D-TGA collection ensures that new drug candidates, identified as active in one cohort, could be quickly tested for broader tumor activity in additional tumor types. The established collection of 3D-TGA tumor models can also be used to perform novel drug screens and develop novel chemical entities (NCE’s) that demonstrate drug activity.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Prioritize Indications and Identify Sensitive Subpopulations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able to leverage bioinformatics to analyze genomic data from large patient databases of primary tumor data to identify specific indications where first line patients are likely to have characteristics that align with our more reflective humanized models and identify biological mechanisms and biomarkers that enable us to identify subpopulations that are more likely to be sensitive based on their similarity to our translational approaches.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Analyze Clinical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developed proprietary software that we believe enables us to view, analyze, and interpret clinical data in new and more robust ways.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its Role in the IMM-1-104 Program</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platform played a key role in creating the most important characteristics of our lead product candidate, IMM-1-104. In the early stages of the program, insights from human data were used to identify transcriptional profiles we aimed to counteract. DCT and our analysis of mechanisms of existing drugs led us to identify what we believe to be novel biology, specifically new ways to drug an existing target, to highlight the goal of counteracting a biologic feedback loop. Novel chemistry was generated to counteract the feedback loop, and the PK was tuned to generate optimal signaling dynamics (deep but cyclic interruptions of the pathway) as confirmed for translational profiling. Our proprietary translational planning has involved profiling IMM-1-104 in a large number of 3D models to identify the types of cancer (and biomarkers of subsets when needed) that we believe will have the highest probability of success in the clinic. Together, these insights enabled us to demonstrate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that a drug with feedback loop resistance combined with a short half-life was able to move toward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improvements in key efficacy metrics and tolerability through modulation of tumor cell signaling dynamics.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Early in the program, we utilized human data to generate translational profiles specific to cancer patients experiencing cachexia, which causes extreme weight loss and muscle wasting. DCT was then utilized to identify targets and intervention time points, otherwise known as biological perturbations, that could counteract cachexia. Among the highest ranked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perturbations were multiple MEK, inhibitors, but only the gene expression profiles induced by these MEK inhibitors at early time points (i.e., at 3 and 6 hours) were ranked highly for cancelling the disease-associated signals according to our technology. In contrast, the gene expression signals induced by MEK inhibitors at a later time point (i.e., at 24 hours) amplified or mimicked the transcriptomic signatures associated with diseases. These findings pointed to the importance of a feedback loop in the MAPK pathway called the CRAF-bypass, which may lead to resistance of MEK inhibition, and highlighted the critical importance of designing IMM-1-104 to potentially counteract the CRAF-bypass.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next applied our platform’s ability to characterize mechanisms of response by generating transcriptomic (RNA sequencing) data evaluating the impact of a recently approved MEK inhibitor, selumetinib, relative to vehicle in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tumor-bearing BALB/c mice, which are inbred, albino and immunodeficient mice ordinarily used in research models for cancer therapy. The BALB/c mice were orally administered 100 mg/kg of selumetinib twice a day for 18 days. Notably, when we examined a set of genes known to be downstream of ERK and activated by the MAPK pathway, we saw reduced downregulation of the pathway following selumetinib treatment. There was very little difference between the degree of MAPK pathway downregulation at the 2 hour time point and the 12 hour time point, demonstrating that the inhibition achieved by a typical MEK inhibitor with a non-zero drug trough was both static and limiting in a chronic setting. This focused us on the need to develop IMM-1-104 with novel chemistry, specifically a short half-life to achieve deep cyclic inhibition. Through the medicinal chemistry process, we were able to conduct similar analyses to assess the impact of varying PK profiles on signaling dynamics, and when we conducted the same analysis with IMM-1-104 in the model referenced above, we observed much stronger downregulation at the 2 hour time point followed by a return to baseline at the 12 hour time point. These observed results confirm that we achieved the desired signaling dynamics of cycles of deep inhibition and release of the MAPK pathway.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utilizing our platform’s proprietary translational planning capabilities by evaluating IMM-1-104 in a large panel of 3D tumor models, and then applying our ability to robustly analyze challenging datasets to assess genomic data from publicly available cancer patient databases to prioritize indications for IMM-1-104 and identify biomarkers of response, when needed. We believe this analysis will enable us to identify substantial translational opportunities for additional indications.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Our Early-Stage Oncology Pipeline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Fluency, the novel chemistry element of our platform, to rapidly identify small molecule hits for a targeted region of a protein for many of the earlier stage programs in our oncology pipeline. For example, Fluency is being utilized to accelerate the advancement of our RAS modulator programs. In addition, these earlier stage programs also utilize our platform’s ability to generate novel biology by characterizing mechanisms of response to address these targets in new ways. In the case of our RAS modulators, this includes targeting the process of RAS dimerization. Finally, we are also leveraging novel chemistry in the form of PK changes with the goal of achieving optimal signaling dynamics and deep cyclic inhibition to maximize therapeutic activity in broad populations while improving tolerability. We plan to evaluate each of our programs in humanized 3D models and leverage bioinformatics to prioritize indications and identify sensitive patient subgroups.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commercialization rights to our product candidates in major markets and, if marketing approval is obtained, to commercialize our product candidates on our own, or potentially in select regions with a partner. We currently have no sales, marketing or commercial product distribution capabilities. We intend to build the necessary infrastructure and capabilities over time for the United States, and potentially other regions, in connection with the advancement of our product candidates. Clinical data, addressable patient population, commercial infrastructure and manufacturing needs, and the status of our pipeline, may, without limitation, all influence or alter our development and commercialization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 advancement of novel technologies, significant competition and a strong defense of intellectual property rights. While we believe that our proprietary platform and scientific expertise provides us with competitive advantages, we face competition from multiple sources, including larger and better-funded pharmaceutical and biotechnology companies, academic institutions, governmental agencies and public and private research institutions. Any product candidates that we successfully develop and, if approved, commercialize will compete with currently approved therapies and new therapies that may become available in the future. Key factors that would affect our ability to effectively compete with other therapeutics include, without limitation: safety, efficacy, ease of administration, pricing, brand recognition and availability of reimbursement and coverage by third party payors.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Programs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FDA-approved treatment options that target MAPK pathway cancers are either MEK inhibitors limited by their high rates of serious drug-related adverse events that result in drug intolerability and drug resistance through MAPK-feedback loops, or KRAS inhibitors limited to patients with specific KRAS mutations. We expect that our oncology programs targeting the MAPK pathway may compete with current FDA-approved therapies or clinical programs targeting RAS or RAF mutant tumors that are being advanced by certain pharmaceutical and biotechnology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obtain and maintain intellectual property protection for our products and technology is fundamental to the long-term success of our business. We rely on a combination of intellectual property protection strategies, including patents, trademarks, copyrights, trade secrets, license agreements, confidentiality policies and procedures, non-disclosure agreements, invention assignment agreements and technical measures designed to protect the intellectual property and confidential information and data used in our business.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15, 2024, we have: one issued U.S. patent; four pending U.S. patent applications; 21 pending patent applications outside the U.S.; twelve U.S. provisional applications; and two Patent Cooperation Treaty ("PCT") applications that have not entered national stage. These patents and patent applications relate to various subject matter, including: our Universal-RAS product candidate IMM-1-104, our Universal-RAS/RAF candidate IMM-6-415, our DCT, and Fluency. Excluding any possible patent term adjustments or extensions and assuming payment of all appropriate maintenance, renewal, annuity or other governmental fees, as applicable, our owned issued U.S. patent and any patents that may issue from our owned pending U.S. patent applications are expected to expire between February 2039 and November 2043; any patents that may issue from our owned pending foreign patent applications are expected to expire in January 2041.</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IMM-1-104, as of February 15, 2024, we have one pending U.S. patent application and 21 pending patent applications outside the U.S. This U.S. patent application, and these pending patent applications outside the U.S., include pending claims directed to compounds, pharmaceutical compositions, and methods of use. Any patent that may issue, based upon these pending applications related to IMM-1-104, is expected to expire in January 2041, excluding any possible patent term adjustments or extensions and assuming payment of all appropriate maintenance, renewal, annuity or other governmental fees, as applicable.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IMM-6-415, as of February 15, 2024, we have two pending PCT applications. Any patent that may issue based upon the pending PCT applications is expected to expire in January 2043 or November 2043, excluding any possible patent term adjustments or extensions and assuming payment of all appropriate maintenance, renewal, annuity or other governmental fees, as applicable.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DCT, as of February 15, 2024, we have one issued U.S. patent and one pending U.S. patent application. The issued claims of this U.S. patent and the pending claims of this U.S. patent application are directed to methods (processes) and systems. Our issued U.S. patent related to our DCT and any patent that may issue from our pending patent application related to our DCT are expected to expire in April 2039, excluding any possible patent term extensions and assuming payment of all appropriate maintenance, renewal, annuity or other governmental fees, as applicable.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Fluency, as of February 15, 2024, we have two pending U.S. patent applications. The pending claims of these U.S. patent applications are directed to methods (processes) and systems. Any patent that may issue from our pending patent application related to Fluency is expected to expire in February 2039, excluding any possible patent term adjustments or extensions and assuming payment of all appropriate maintenance, renewal, annuity or other governmental fees, as applicable.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 issued or might issue in the future will protect our current or future product candidates or (if approved) products, will provide us with any competitive advantage, and will not be challenged, invalidated, or circumvented.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claims an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certain other foreign jurisdictions to extend the term of a patent that covers an approved drug or biologic. In the future, if product candidates that we may develop receive FDA approval,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the FDA in the United States, will agree with our assessment of whether these extensions should be granted, and if granted, the length of these extensions.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 candidates, products (if approved) or technology from infringement or prevent others from commercializing infringing products or technology.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products (if approved), and technologies, we also seek to protect our brand through the procurement of trademark rights. As of February 15, 2024, we own certain trademark registrations and pending applications for trademark registration for the marks DEEP CYCLIC INHIBITION, FLUENCY, DISEASE CANCELLING and IMMUNEERING in the United States. Furthermore, we rely on trade secrets, know-how, unpatented technology and other proprietary information, to strengthen our competitive position. We have determined that certain technologies, including some of our software, are better protected as trade secrets. To mitigate the possibility of trade secret misappropriation, we typically enter into non-disclosure and confidentiality agreements with parties who have access to our trade secrets, such as our employees, consultants, advisors and other third parties. We also typically enter into invention assignment agreements with our employees and consultants that obligate them to assign to us any inventions they have developed while working for us. We generally control access to our proprietary and confidential information through the use of internal and external controls that are subject to periodic review.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Among others, the FDA, U.S. Department of Health and Human Services Office of Inspector General, the Centers for Medicare and Medicaid Services and comparable regulatory authorities in state and local jurisdictions and in other countries impose substantial and burdensome requirements upon companies involved in the preclinical and clinical development, manufacture, marketing and distribution of potential drugs such as those we are developing. These agencies and other federal, state and local entities regulate, among other things, the research and development, testing, manufacture, quality control, safety, effectiveness, labeling, packaging, storage, record keeping, approval, sales, commercialization, marketing, advertising and promotion, distribution, post-approval monitoring and reporting, sampling and export and import of our product candidates. Any product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("EU") are addressed in a centralized way, but country-specific regulation remains essential in many respects.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The process required by the FDA before a drug may be marketed in the United States generally involves the following:</w:t>
      </w:r>
    </w:p>
    <w:p>
      <w:pPr>
        <w:spacing w:after="0" w:line="121" w:lineRule="exact"/>
        <w:rPr>
          <w:sz w:val="20"/>
          <w:szCs w:val="20"/>
          <w:color w:val="auto"/>
        </w:rPr>
      </w:pPr>
    </w:p>
    <w:p>
      <w:pPr>
        <w:ind w:left="740" w:right="2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completion of preclinical laboratory tests, animal studies and formulation studies in accordance with FDA’s good laboratory practice requirements and other applicable regulations;</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an IND which must become effective before human clinical trials may begin;</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approval by an independent institutional review board ("IRB") or ethics committee at each clinical site before each trial may be initiated;</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performance of adequate and well-controlled human clinical trials in accordance with good clinical practice ("GCP") requirements to establish the safety and efficacy of the proposed drug for its intended use;</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 NDA after completion of all pivotal trials;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of user fees associated with an NDA;</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determination by the FDA within 60 days of its receipt of an NDA to file the NDA for review;</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w:t>
      </w:r>
    </w:p>
    <w:p>
      <w:pPr>
        <w:spacing w:after="0" w:line="13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FDA audit of the preclinical and/or clinical trial sites that generated the data in support of the NDA; and</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FDA review and approval of the NDA to permit commercial marketing of the product for particular indications for use in the United States.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Some preclinical testing may continue even after the IND is submitted.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Similarly, an IRB can suspend or terminate approval of a clinical trial at its institution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clinical trial is not being conducted in accordance with the IRB’s requirements or if the product candidate has been associated with unexpected serious harm to patients. Some studies also include oversight by an independent group of qualified experts organized by the clinical study sponsor, known as a data safety monitoring board, which (depending on its charter) may provide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under certain timelines, of ongoing clinical studies and clinical study results to public registries, specifically the clinicaltrials.gov website managed by the National Institutes of Health ("NIH").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5" w:lineRule="exact"/>
        <w:rPr>
          <w:sz w:val="20"/>
          <w:szCs w:val="20"/>
          <w:color w:val="auto"/>
        </w:rPr>
      </w:pPr>
    </w:p>
    <w:p>
      <w:pPr>
        <w:jc w:val="both"/>
        <w:ind w:left="740" w:hanging="327"/>
        <w:spacing w:after="0" w:line="258"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1: The product candidate is initially introduced into healthy human subjects or patients with the target disease or condition. These studies are designed to test the initial safety, dosage tolerance, absorption, metabolism and distribution of the investigational product candidate in humans, the side effects associated with increasing doses, and, if possible, to gain early evidence on effectiveness. In the case of some product candidates for severe or life-threatening diseases, such as cancer, especially when the product candidate may be too inherently toxic to ethically administer to healthy volunteers, the initial human testing is often conducted in patients.</w:t>
      </w:r>
    </w:p>
    <w:p>
      <w:pPr>
        <w:spacing w:after="0" w:line="142"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2: The product candidate is administered to a limited patient population with a specified disease or condition to evaluate the preliminary efficacy, optimal dosages, dose tolerance and dosing schedule and to identify possible adverse side effects and safety risks.</w:t>
      </w:r>
    </w:p>
    <w:p>
      <w:pPr>
        <w:spacing w:after="0" w:line="134"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candidate and to provide an adequate basis for regulatory approval.</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(if any). These trials are used to gain additional experience from the treatment of patients in the approved indication. In certain instances, such as with accelerated approval drugs, the FDA may mandate the performance of Phase 4 trials as a condition of approval of an NDA.</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IND requirements must be met unless waived. When the foreign clinical trial is not conducted under an IND, the sponsor must ensure that the study complies with certain FDA regulatory requirements in order to use the trial as support for an IND or application for marketing approval. Specifically, the FDA has promulgated regulations governing the acceptance of foreign clinical trials not conducted under an IND, establishing that such trials will be accepted as support for an IND or application for marketing approval if conducted in accordance with GCP, including review and approval by an independent ethics committee ("IEC") and use of proper procedures for obtaining informed consent from subjects, and the FDA is able to validate the data from the trial through an on-site inspection if the FDA deems such inspection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 If a marketing application is based solely on foreign clinical data, the FDA requires that the foreign data be applicable to the U.S. population and U.S. medical practice; the trials must have been performed by clinical investigators of recognized competence; and the FDA must be able to validate the data through an on-site inspection or other appropriate means, if the FDA deems such an inspection to be necessary.</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development of a new potential drug, sponsors are given opportunities to meet with the FDA at certain points. These points are generally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methods for testing the identity, strength, quality and purity of the final potential drug. In addition, appropriate packaging must be selected and tested, and stability studies must be conducted to demonstrate that the product candidate does not undergo unacceptable deterioration over its shelf life.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product candidate approval (if any),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candidate.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candidate to the satisfaction of the FDA. The submission of an NDA is subject to the payment of substantial user fees; a waiver of such fees may be obtained under certain limited circumstances. Additionally, no user fees are assessed on NDAs for product candidates designated as orphan drugs, unless the product application also includes a non-orphan indication.</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candidate is safe and effective for its intended use and whether its manufacturing is cGMP-compliant to assure and preserve the product candidate’s identity, strength, quality and purity. Under the Prescription Drug User Fee Act (the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regulatory approval of a product candidate is granted, such approval will be granted for particular indications and may contain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Pediatric Research Equity Act (the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(i.e., greater safety, greater efficacy, or a major contribution to patient care)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If an orphan designated product receives marketing approval for an indication broader than what is designated, it may not be entitled to orphan exclusivity.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and/or review of product candidates that meet certain criteria. Sponsors may request that the FDA allow the use of one or more of these programs. For example,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and accelerated approval. An NDA for a product candidate is eligible for priority review if it has the potential to provide significant improvement in treatment, diagnosis or prevention of a serious disease or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Drug product candidates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The FDA may withdraw accelerated approval if, among other things, the confirmatory study fails to verify clinical benefit; the applicant fails to perform required confirmatory studies with due diligence; postmarketing use demonstrates that postmarketing restrictions are inadequate to assure safe use; the applicant fails to adhere to agreed-upon postmarketing restrictions; promotional materials are false or misleading; or other evidence demonstrates that the product is not shown to be safe or effective under its conditions of use. In addition, the FDA currently requires pre-approval of promotional materials as a condition for accelerated approval, which could adversely impact the timing of the commercial launch of the product candidate.</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56"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healthcare providers, such as the federal Physician Payment Sunshine Act.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such as Medicare and Medicaid, and imprisonment.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Average Manufacturer Price reported to the Department of Veteran Affairs, and with respect to Medicaid, pay statutory rebates on utilization of manufacturers’ products by Medicaid beneficiaries. Compliance with such laws and regulations will require significant resources and may have a material adverse effect on our revenues.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153" w:lineRule="exact"/>
        <w:rPr>
          <w:sz w:val="20"/>
          <w:szCs w:val="20"/>
          <w:color w:val="auto"/>
        </w:rPr>
      </w:pPr>
    </w:p>
    <w:p>
      <w:pPr>
        <w:ind w:left="740" w:hanging="327"/>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13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Pricing Program;</w:t>
      </w:r>
    </w:p>
    <w:p>
      <w:pPr>
        <w:spacing w:after="0" w:line="184"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and biologic agents apportioned among these entities according to their market share in certain federal government programs;</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the Centers for Medicare and Medicaid Services (“CMS”) to test innovative payment and service delivery models to lower Medicare and Medicaid spending, potentially including prescription drug spending;</w:t>
      </w:r>
    </w:p>
    <w:p>
      <w:pPr>
        <w:spacing w:after="0" w:line="12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the Patient-Centered Outcomes Research Institute to oversee, identify priorities in, and conduct comparative clinical effectiveness research, along with funding for such research; and</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annual reporting of certain information regarding drug samples that manufacturers and distributors provide to licensed practitioners.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a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In addition, the American Rescue Plan, effective January 1, 2024, eliminates the statutory cap on rebate amounts owed by drug manufacturers under the Medicaid Drug Rebate Program (the "MDRP"), which is currently capped at 100% of the AMP for a covered outpatient drug.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68 full-time employees, 52 of whom are dedicated to research and development. 21 of our employees hold doctorate degrees (i.e., Ph.D. or M.D.). None of our employees are represented by labor unions or covered by collective bargaining agreements. We consider our relationship with our employees to be good.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Our Corporate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333333"/>
        </w:rPr>
        <w:t>We were incorporated under the laws of the state of Delaware in February 2008. Our principal executive offices are located at 245 Main Street, Second Floor, Cambridge, MA 02142 and our telephone number is (617) 500-8080.</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333333"/>
        </w:rPr>
        <w:t xml:space="preserve">Our corporate website address is </w:t>
      </w:r>
      <w:r>
        <w:rPr>
          <w:rFonts w:ascii="Times New Roman" w:cs="Times New Roman" w:eastAsia="Times New Roman" w:hAnsi="Times New Roman"/>
          <w:sz w:val="18"/>
          <w:szCs w:val="18"/>
          <w:i w:val="1"/>
          <w:iCs w:val="1"/>
          <w:color w:val="333333"/>
        </w:rPr>
        <w:t>www.immuneering.com</w:t>
      </w:r>
      <w:r>
        <w:rPr>
          <w:rFonts w:ascii="Times New Roman" w:cs="Times New Roman" w:eastAsia="Times New Roman" w:hAnsi="Times New Roman"/>
          <w:sz w:val="18"/>
          <w:szCs w:val="18"/>
          <w:color w:val="333333"/>
        </w:rPr>
        <w:t>. The information contained in, or accessible through, our website is not incorporated by reference into this Annual Report and you should not consider information on our website to be a part of this Annual Report. We have included our website address in this Annual Report solely as an inactive textual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Where you can find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 xml:space="preserve">We are subject to the information requirements of the Securities Exchange Act of 1934, as amended. The United States Securities and Exchange Commission (the "SEC") maintains an internet site that contains reports, proxy and information statements, and other information regarding issuers that file electronically, such as ourselves, with the SEC at </w:t>
      </w:r>
      <w:r>
        <w:rPr>
          <w:rFonts w:ascii="Times New Roman" w:cs="Times New Roman" w:eastAsia="Times New Roman" w:hAnsi="Times New Roman"/>
          <w:sz w:val="18"/>
          <w:szCs w:val="18"/>
          <w:u w:val="single" w:color="auto"/>
          <w:color w:val="000000"/>
        </w:rPr>
        <w:t>http://www.sec.gov</w:t>
      </w:r>
      <w:r>
        <w:rPr>
          <w:rFonts w:ascii="Times New Roman" w:cs="Times New Roman" w:eastAsia="Times New Roman" w:hAnsi="Times New Roman"/>
          <w:sz w:val="18"/>
          <w:szCs w:val="18"/>
          <w:color w:val="333333"/>
          <w:highlight w:val="white"/>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are a clinical-stage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Phase 1/2a clinical trials of IMM-1-104 and IMM-6-415 for the treatment of advanced solid tumors in patients harboring RAS or RAS/RAF mutant tumors, respectively. We have not yet demonstrated our ability to successfully complete any clinical trials, obtain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and Class A common stock. We have incurred net losses of approximately $53.5 million and $50.5 million for the years ended December 31, 2023 and 2022, respectively. As of December 31, 2023, we had an accumulated deficit of approximately $163.3 million. Our losses have resulted principally from expenses incurred in research and development of our product candidates, from management and administrative costs and from other expenses that we have incurred while building our business infrastructure. We are currently conducting ongoing Phase 1/2a clinical trials for each of our product candidates, IMM-1-104 and IMM-6-415, for the treatment of advanced solid tumors in patients harboring RAS or RAS/RAF mutant tumors, respectively.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85" w:lineRule="exact"/>
        <w:rPr>
          <w:sz w:val="20"/>
          <w:szCs w:val="20"/>
          <w:color w:val="auto"/>
        </w:rPr>
      </w:pPr>
    </w:p>
    <w:p>
      <w:pPr>
        <w:ind w:left="140" w:hanging="132"/>
        <w:spacing w:after="0" w:line="282" w:lineRule="auto"/>
        <w:tabs>
          <w:tab w:leader="none" w:pos="1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current and future product candidates, including IMM-1-104 and IMM-6-415, through preclinical and clinical development, and, if approved by the FDA or other comparable foreign regulatory authorities, commercialization;</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if any;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manufacturing, marketing and selling any products for which we may obtain regulatory approval, achieving market acceptance of any such approved products and receiving reimbursements in amounts above our costs. We are only in the preliminary stages of most of these activities. We may never succeed in these activities and, even if we do, we may never generate revenue that is significant enough to achieve profitability. Because of the numerous risks and uncertainties associated with pharmaceutical product candidate development, we are unable to accurately predict the timing or amount of increased expenses or when, or if, we will be able to achieve profitability. If we are required by the FDA or other regulatory authorities to perform preclinical studies or clinical trials in addition to those currently expected, or if there are any delays in completing our ongoing preclinical studies or clinical trials or the development of any of our product candidates, our expenses could increase and revenue could be further delayed. 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preclinical studies and clinical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continue to incur the costs associated with operating as a public company. Accordingly, we will need to obtain substantial additional funding in order to maintain our continuing operations in the future.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approximately $85.7 million in cash, cash equivalents and marketable securities. Based on our current business plans, we believe that our existing cash, cash equivalents and marketable securities will be sufficient to fund our development activities and other operations into the second half of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85"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trials for our product candidates;</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and/or preclinical studies related to pipeline development and other research programs we initiate in the future;</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preclinical and clinical development, and possible commercialization;</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of widespread adverse economic or health events (including due to military conflict or pandemics) on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 if any;</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cash equivalents and marketable securities will not be sufficient to fund all of the activities that are necessary to complete the development of our product candidates.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2022,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offerings made pursuant to the Sales Agreement or otherwise, debt financings or other sources, including up-front payments and milestone payments from strategic collaborations. To the extent that we raise additional capital through the sale of equity or convertible debt or equity securities, for example, as we did in April 2023, your ownership interest may be diluted, and the terms may include liquidation or other preferences that adversely affect your rights as a stockholder. In addition to dilution, such financings may result in the imposition of debt covenants, increased fixed payment obligations or other restrictions (including operating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other tax attributes may be limited.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$75.7 million of federal and $42.1 million of state net operating loss carryforwards ("NOLs"), available to offset future taxable income. Under Sections 382 and 383 of the U.S. Internal Revenue Code of 1986, as amended (the “Code”), a corporation that undergoes an “ownership change,” generally defined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or be delayed in receiving, regulatory approval for many reasons, including the following:</w:t>
      </w:r>
    </w:p>
    <w:p>
      <w:pPr>
        <w:spacing w:after="0" w:line="185" w:lineRule="exact"/>
        <w:rPr>
          <w:sz w:val="20"/>
          <w:szCs w:val="20"/>
          <w:color w:val="auto"/>
        </w:rPr>
      </w:pPr>
    </w:p>
    <w:p>
      <w:pPr>
        <w:jc w:val="both"/>
        <w:ind w:left="140" w:hanging="132"/>
        <w:spacing w:after="0" w:line="266"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 including without limitation with respect to the appropriate or proper escalation of dosing in patients or the use of our product candidates as potential combination therapies;</w:t>
      </w:r>
    </w:p>
    <w:p>
      <w:pPr>
        <w:spacing w:after="0" w:line="135"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and/or not effective, only moderately effective or have undesirable or unintended side effects, toxicities or other characteristics that preclude our obtaining marketing approval or prevent or limit commercial use;</w:t>
      </w:r>
    </w:p>
    <w:p>
      <w:pPr>
        <w:spacing w:after="0" w:line="14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NDA or other submission or to obtain regulatory approval in the United States or elsewhere;</w:t>
      </w:r>
    </w:p>
    <w:p>
      <w:pPr>
        <w:spacing w:after="0" w:line="13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a product candidate’s risk-benefit ratio for its proposed indication is acceptable;</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39"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clinical-stage oncology company, and 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submit additional INDs, IND amendments or comparable documents for IMM-1-104 or IMM-6-415, for which INDs were previously submitted, or for our other potential product candidates on the timelines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oncology company, and our company has limited experience in designing clinical trials and may experience delays or unexpected difficulties in obtaining regulatory approval for our current and future product candidates.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oncology company, and we have limited experience in designing clinical trials and may be unable to design and execute a clinical trial to support marketing approval. We cannot be certain that our ongoing or planned clinical trials or any future clinical trials will be successful.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completing, or ultimately be unable to complete, the development and commercialization of our product candidates.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21" w:lineRule="exact"/>
        <w:rPr>
          <w:sz w:val="20"/>
          <w:szCs w:val="20"/>
          <w:color w:val="auto"/>
        </w:rPr>
      </w:pPr>
    </w:p>
    <w:p>
      <w:pPr>
        <w:jc w:val="both"/>
        <w:ind w:left="140" w:hanging="132"/>
        <w:spacing w:after="0" w:line="312" w:lineRule="auto"/>
        <w:tabs>
          <w:tab w:leader="none" w:pos="12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disagreeing as to the design, implementation or results of our clinical trials, including without limitation with respect to the appropriate or proper escalation of dosing in patients or the use of our product candidates as potential combination therapies;</w:t>
      </w:r>
    </w:p>
    <w:p>
      <w:pPr>
        <w:spacing w:after="0" w:line="112" w:lineRule="exact"/>
        <w:rPr>
          <w:rFonts w:ascii="Times New Roman" w:cs="Times New Roman" w:eastAsia="Times New Roman" w:hAnsi="Times New Roman"/>
          <w:sz w:val="17"/>
          <w:szCs w:val="17"/>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w:t>
      </w:r>
    </w:p>
    <w:p>
      <w:pPr>
        <w:spacing w:after="0" w:line="198"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enrollment due to travel or quarantine policies, or other factors related to current or future pandemics or other events outside our control;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candidates or obtaining sufficient quantities of combination therapies for use in clinical trials;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with the tumor types, and/or at the stage(s) of disease that we expect, or failing to return for post-treatment follow-up;</w:t>
      </w:r>
    </w:p>
    <w:p>
      <w:pPr>
        <w:spacing w:after="0" w:line="13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 for which we are developing our product candidates, or participating in competing clinical trials;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84"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 or other regulatory or contractual requirements;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84"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occurrence of any public health crisis or similar global events, such as a future pandemic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35"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preclinical studies or clinical trials to support approval or be subject to additional post-marketing testing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REMS;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The FDA has substantial discretion in the review and approval process and may disagree that our data support the claims we propose.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For example, we disclosed initial interim PK, PD and safety data from our Phase 1/2a clinical trial of IMM-1-104 in April 2023.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62"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be forced to or decide to remove the product form the marketplace;</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 in one or more countries;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be sued and held liable for harm caused to subjects or patients;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in the case of IMM-1-104, evaluating patients harboring RAS mutant tumors, and in the case of IMM-6-415, evaluating patients harboring RAS or RAF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49" w:lineRule="exact"/>
        <w:rPr>
          <w:sz w:val="20"/>
          <w:szCs w:val="20"/>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other developmental or approved drugs for the disease under investigation;</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ongoing and future pandemics, or other widespread adverse health events.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35"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as well as pricing, by third-party payors, including government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approvals and, as a result, may be unable to commercialize our product candidates.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begun testing IMM-1-104 in humans and have only generated interim data from the ongoing Phase 1 portion of our Phase 1/2a study of IMM-1-104, and otherwise our data for this product candidate is limited to animal models and preclinical cell lines, the results of which may not translate into humans. As a result, it is possible that safety or other adverse events or concerns could negatively affect the development of IMM-1-104 or our other current or future product candidates, including adversely affecting patient enrollment among the patient populations that we intend to treat.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certain of our current product candidates in combination with other therapies, and may develop our future product candidates in combination with other therapies, which exposes us to additional risks.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develop IMM-1-104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or any other future product candidates in combination with one or more therapies that have not yet been approved for marketing by the FDA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with product candidates or products targeting the MAPK pathway may produce negative preclinical or clinical data which may adversely affect public perception of our product candidates, and may negatively impact regulatory approval of, or demand for, our potential products.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Certain of our product candidates, including IMM-1-104 and IMM-6-415, are based on the DCI </w:t>
      </w:r>
      <w:r>
        <w:rPr>
          <w:rFonts w:ascii="Times New Roman" w:cs="Times New Roman" w:eastAsia="Times New Roman" w:hAnsi="Times New Roman"/>
          <w:sz w:val="18"/>
          <w:szCs w:val="18"/>
          <w:color w:val="0A0A0A"/>
        </w:rPr>
        <w:t>of the MAPK pathway as a</w:t>
      </w:r>
      <w:r>
        <w:rPr>
          <w:rFonts w:ascii="Times New Roman" w:cs="Times New Roman" w:eastAsia="Times New Roman" w:hAnsi="Times New Roman"/>
          <w:sz w:val="18"/>
          <w:szCs w:val="18"/>
          <w:color w:val="auto"/>
        </w:rPr>
        <w:t xml:space="preserve"> model of therapeutic intervention. Our DCI approach may not be viewed as distinct from other existing therapies targeting the MAPK pathway, and negative third party data from preclinical studies and/or clinical trials using other MAPK-targeted therapies could negatively impact the perception of the therapeutic use of such product candidates or products on the whole. This could, among other things, negatively impact our ability to enroll patients in clinical trials. The clinical and commercial success of our product candidates will depend in part on the public’s and clinical community’s acceptance of the use of DCI therapies. Moreover, our success depends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 Adverse events in our clinical trials, or those of our competitors or of academic researchers utilizing MAPK-targeted therapies, even if not ultimately similar or attributable to our DCI product candidates, and the resulting publicity, could result in increased governmental regulation, unfavorable public perception, increased volatility in our stock price, potential regulatory delays in the testing or approval of our potential product candidates, stricter labeling requirements for our product candidates that are approved, if any, and a decrease in demand for any such products, if approved.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early in our development efforts and we have not yet completed our Phase 1/2a clinical trials for our lead product candidates IMM-1-104 and IMM-6-415. Further, we have only disclosed initial interim PK, PD and safety data (in April 2023) for IMM-1-104. Our other product candidates are in earlier stages of drug development. We have invested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efforts and financial resources in the identification of targets, preclinical and clinical development of small molecules targeting the MAPK and other pathways in cancer therapy.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without limitation the following:</w:t>
      </w:r>
    </w:p>
    <w:p>
      <w:pPr>
        <w:spacing w:after="0" w:line="185"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additional preclinical studies;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patient enrollment and completion on a timely basis of our ongoing and any future clinical trials that we may initiate, despite any delays including those arising out of ongoing or future pandemics, or other widespread adverse health events;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or any comparable foreign regulatory authority for marketing approval;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21"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IMM-6-415, or any other product candidate we develop, we may not be able to continue our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clinical trial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without limitation the following:</w:t>
      </w:r>
    </w:p>
    <w:p>
      <w:pPr>
        <w:spacing w:after="0" w:line="185"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ongoing or future pandemics, or other widespread adverse health events.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some or all of these activities to a third party to commercialize our products. If we decide to license our product candidates to others, we may need to rely on the marketing assistance and guidance of those collaborators.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at all. If we are unable to build our own distribution and marketing capabilities or to find suitable partners for the commercialization of our product candidates, we may not generate revenues from them or be able to reach or sustain profitability.</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technologies or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even if performed and completed, may not be considered sufficient by the FDA to approve our NDAs.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and regional economic, political and health conditions could adversely affect our business, financial condition or results of operations.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global or regional economic, political and / or health conditions. For example, various macroeconomic factors could adversely affect our business, financial condition and results of operations, including changes in inflation, interest rates and overall economic conditions and uncertainties, including those resulting from political instability (such as workforce uncertainty), trade disputes between nations, and the current and future conditions in the global financial markets. For example,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(for example, COVID-19 and its variants), and other unexpected events, such as supply chain constraints or disruptions, could cause extreme volatility in the capital and credit markets and disrupt our business. Business disruptions could include, among others, disruptions to our research or clinical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clinical trials A severe or prolonged economic downturn, political disruption and / or adverse health conditions could result in a variety of risks to our business, including our ability to raise capital when needed on acceptable terms, if at all. Any of the foregoing could harm our business and we cannot anticipate all of the ways in which political, economic, health and / or financial market conditions could adversely impact our business.</w:t>
      </w:r>
    </w:p>
    <w:p>
      <w:pPr>
        <w:spacing w:after="0" w:line="1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and potential future pandemics could adversely impact our business, including our current and future clinical trials, supply chain and business development activities.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effects of government actions, our own policies or those of third parties to address ongoing pandemics (such as COVID-19 and its variants) and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ongoing or future pandemics, which may require us to change the ways in which our clinical trials are conducted and result in unexpected costs, or to discontinue such clinical trials altogether.</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ongoing or future pandemics is difficult to assess or predict, there has in the past been (for example, because of COVID-19 and its variants) and could further be a significant disruption of global financial markets due to pandemic, that may reduce our ability to access capital and negatively affect our liquidity and financial position. In addition, the trading prices for our Company and other biopharmaceutical companies have been and likely will continue to be volatile, in part as a result of the pandemic related to COVID-19.</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due to ongoing or future pandemics or any other widespread public health crisis, could negatively impact our business,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investigational drug substance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may take to limit the spread of disease from ongoing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CROs generally have the right to terminate their agreements with us in the event of an uncured material breach. In addition, some of our CROs may also have an ability to terminate their respective agreements with us for other reasons,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including without limitation if it can be reasonably demonstrated that the safety of the subjects participating in our clinical trials warrants such termination, if we make a general assignment for the benefit of our creditors or if we are liquidated.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a timely basis, on commercially reasonable terms, or at all, we may have to alter our development and commercialization plans.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among other things,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biopharmaceutical companies that have resulted in a reduced number of potential future collaborators. Even if we are successful in entering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into a collaboration, the terms and conditions of that collaboration may restrict us from entering into future agreements on certain terms with potential collaborators.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60" w:lineRule="exact"/>
        <w:rPr>
          <w:sz w:val="20"/>
          <w:szCs w:val="20"/>
          <w:color w:val="auto"/>
        </w:rPr>
      </w:pPr>
    </w:p>
    <w:p>
      <w:pPr>
        <w:ind w:left="14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39"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4"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for example, the collaborators believe that such competitive products are more likely to be successfully developed or can be commercialized under terms that are more economically attractive than ours;</w:t>
      </w:r>
    </w:p>
    <w:p>
      <w:pPr>
        <w:spacing w:after="0" w:line="135"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4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applicable) as a result of these challenges, or otherwise, our development and commercialization efforts would be impaired, which would have an adverse effect on our business, financial condition, results of operations and growth prospects.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may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49" w:lineRule="exact"/>
        <w:rPr>
          <w:sz w:val="20"/>
          <w:szCs w:val="20"/>
          <w:color w:val="auto"/>
        </w:rPr>
      </w:pPr>
    </w:p>
    <w:p>
      <w:pPr>
        <w:jc w:val="both"/>
        <w:ind w:left="140" w:hanging="132"/>
        <w:spacing w:after="0" w:line="266" w:lineRule="auto"/>
        <w:tabs>
          <w:tab w:leader="none" w:pos="1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ongoing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new manufacturer and equivalent product could negatively affect our ability to develop product candidates in a timely manner or within budget.</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requirements, to do so on commercially reasonable terms and timelines, or to comply with cGMP requirements could adversely affect our business in a number of ways, including without limitation:</w:t>
      </w:r>
    </w:p>
    <w:p>
      <w:pPr>
        <w:spacing w:after="0" w:line="121"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clinical trials of our product candidates under development;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 if at all;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any product candidates that receive marketing approval on a timely basis;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if any, to additional inspections by regulatory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56" w:lineRule="exact"/>
        <w:rPr>
          <w:sz w:val="20"/>
          <w:szCs w:val="20"/>
          <w:color w:val="auto"/>
        </w:rPr>
      </w:pPr>
    </w:p>
    <w:p>
      <w:pPr>
        <w:jc w:val="both"/>
        <w:ind w:left="140" w:hanging="132"/>
        <w:spacing w:after="0" w:line="258" w:lineRule="auto"/>
        <w:tabs>
          <w:tab w:leader="none" w:pos="1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56"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60"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39" w:lineRule="exact"/>
        <w:rPr>
          <w:rFonts w:ascii="Times New Roman" w:cs="Times New Roman" w:eastAsia="Times New Roman" w:hAnsi="Times New Roman"/>
          <w:sz w:val="18"/>
          <w:szCs w:val="18"/>
          <w:color w:val="auto"/>
        </w:rPr>
      </w:pPr>
    </w:p>
    <w:p>
      <w:pPr>
        <w:jc w:val="both"/>
        <w:ind w:left="140" w:hanging="132"/>
        <w:spacing w:after="0" w:line="258"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42"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48" w:lineRule="exact"/>
        <w:rPr>
          <w:rFonts w:ascii="Times New Roman" w:cs="Times New Roman" w:eastAsia="Times New Roman" w:hAnsi="Times New Roman"/>
          <w:sz w:val="18"/>
          <w:szCs w:val="18"/>
          <w:color w:val="auto"/>
        </w:rPr>
      </w:pPr>
    </w:p>
    <w:p>
      <w:pPr>
        <w:jc w:val="both"/>
        <w:ind w:left="140" w:hanging="132"/>
        <w:spacing w:after="0" w:line="256"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146" w:lineRule="exact"/>
        <w:rPr>
          <w:rFonts w:ascii="Times New Roman" w:cs="Times New Roman" w:eastAsia="Times New Roman" w:hAnsi="Times New Roman"/>
          <w:sz w:val="18"/>
          <w:szCs w:val="18"/>
          <w:color w:val="auto"/>
        </w:rPr>
      </w:pPr>
    </w:p>
    <w:p>
      <w:pPr>
        <w:jc w:val="both"/>
        <w:ind w:left="140" w:hanging="132"/>
        <w:spacing w:after="0" w:line="258"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42"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had, have or may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the European Union General Data Protection Regulation (the "GDPR"), governs certain collection and other processing activities involving personal data about individuals in the European Economic Area (the "EEA"). The GDPR imposes substantial fines for breaches and violations.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the enforcement landscape further develops, and supervisory authorities issue further guidance on international data transfers, we could suffer additional costs, complaints and/or regulatory investigations or fines; we may have to stop using certain tools and vendors and make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operational changes; and/or it could otherwise affect the manner in which we provide our services, and could also adversely affect our business, operations and financial condition.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third-party CMOs, CROs or other contractors, consultants or agents fail to comply with applicable federal, state, local or foreign regulatory requirements, we could be subject to a range of regulatory actions that could affect our or any such third party’s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also give rise to liability, breaches of data security or reputational damage.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other comparable foreign regulatory authorities may not accept data from trials conducted in locations outside of their jurisdiction.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 without limitation:</w:t>
      </w:r>
    </w:p>
    <w:p>
      <w:pPr>
        <w:spacing w:after="0" w:line="155" w:lineRule="exact"/>
        <w:rPr>
          <w:sz w:val="20"/>
          <w:szCs w:val="20"/>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and policy changes.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pandemics or other widespread adverse health events may lead to further inspectional delays. Regulatory authorities outside the United States have in the past and may in the future adopt similar restrictions or other policy measures in response to such events.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 or to the emergence of new pandemics or other widespread adverse health events.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UK Bribery Act 2010 (the "Bribery Act"), the U.S. Foreign Corrupt Practices Act of 1977, as amended (the "FCPA"), and other anti-corruption laws, as well as export control laws, import and customs laws, trade and economic sanctions laws and other laws governing our operations.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including our research and development, clinical trial, and (if any of our product candidates receives approval) commercial activities, whether conducted in the United States or, in the future, internationally, may be subject to anti-corruption laws, including the Bribery Act, the FCPA, the U.S. domestic bribery statute contained in 18 U.S.C. §201, the U.S. Travel Act and other anti-corruption laws that apply in countries where we currently or may in the future do business. The Bribery Act, the FCPA and these other (or similar)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may also be subject to other laws and regulations from time to time governing our international operations, including regulations administered by the governments of the United States, the United Kingdom or elsewhere and authorities in the European Union or elsewhere,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laws relating to foreign investment and the export of certain technologies, and our failure to comply with these laws or adequately monitor the compliance of our suppliers and others with which we do business with could subject us to substantial fines, penalties and injunctions, the imposition of which on us could have a material adverse effect on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 to impose new export control restrictions on “emerging and foundational technologies” yet to be fully identified. Application of these laws, including as they are implemented through regulations being developed, may negatively impact our business in various ways, including without limitation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 of monetary fines and other penalties for non-compliance.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February 15, 2024, we have one issued patent and four pending patent applications in the United States, as well as additional pending patent applications related to our platform and product candidates inside and outside of the United States. We currently do not have any issued patents related to our product candidates. Further, patent prosecution with respect to our pending patent applications related to our product candidates is in many cases in the early stages and, as such, no patent examiner has yet fully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States or by the patent offices and courts in foreign countries, nor can we be certain that the claims in future in-licensed issued patents will not be found invalid or unenforceable if challenged.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35" w:lineRule="exact"/>
        <w:rPr>
          <w:sz w:val="20"/>
          <w:szCs w:val="20"/>
          <w:color w:val="auto"/>
        </w:rPr>
      </w:pPr>
    </w:p>
    <w:p>
      <w:pPr>
        <w:jc w:val="both"/>
        <w:ind w:left="140" w:hanging="132"/>
        <w:spacing w:after="0" w:line="266" w:lineRule="auto"/>
        <w:tabs>
          <w:tab w:leader="none" w:pos="1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35"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also possible that we may not identify, or that we may not timely file on identified,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("PGR"), and/or inter partes review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we may not be able to do on reasonable terms, or at all, which may impact our ability to continue to develop and commercialize our product candidates incorporating the relevant intellectual property.</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disputes may arise between us and any future licensors regarding intellectual property subject to a license agreement, including:</w:t>
      </w:r>
    </w:p>
    <w:p>
      <w:pPr>
        <w:spacing w:after="0" w:line="185" w:lineRule="exact"/>
        <w:rPr>
          <w:sz w:val="20"/>
          <w:szCs w:val="20"/>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if any, we owe to a potential licensor in respect of sublicense fees or income or in respect of backup product;</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our future licensors and third parties.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third parties may obtain patents in the future and claim that use of our technologies infringes upon these patents. Any claims of patent infringement asserted by third parties would be time-consuming and could:</w:t>
      </w:r>
    </w:p>
    <w:p>
      <w:pPr>
        <w:spacing w:after="0" w:line="121" w:lineRule="exact"/>
        <w:rPr>
          <w:sz w:val="20"/>
          <w:szCs w:val="20"/>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unenforceable or not infringed in a court of law;</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Annual Report on Form 10-K,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initiation and continuation of any litigation could have a material adverse effect on our ability to raise additional funds or otherwise have a material adverse effect on our business, results of operations, financial condition and prospects.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candidates might expire before or shortly after such candidates are commercialized. As a result, our patent portfolio may not provide us with sufficient rights to exclude others from commercializing products similar or identical to ours.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a widespread adverse health event,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each case which could materially harm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a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third-party open source software, which could negatively affect our ability to offer our solutions and subject us to litigation or other actions.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cost,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such policies will be effective and that we have not incorporated open source software in our platform and solutions in a manner that is inconsistent with such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 and without limitation:</w:t>
      </w:r>
    </w:p>
    <w:p>
      <w:pPr>
        <w:spacing w:after="0" w:line="135" w:lineRule="exact"/>
        <w:rPr>
          <w:sz w:val="20"/>
          <w:szCs w:val="20"/>
          <w:color w:val="auto"/>
        </w:rPr>
      </w:pPr>
    </w:p>
    <w:p>
      <w:pPr>
        <w:ind w:left="14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may own or license;</w:t>
      </w:r>
    </w:p>
    <w:p>
      <w:pPr>
        <w:spacing w:after="0" w:line="121"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make the inventions covered by the issued patents or patent application that we may own or license;</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or our potential future licensors might not have been the first to file patent applications covering certain of our inventions;</w:t>
      </w:r>
    </w:p>
    <w:p>
      <w:pPr>
        <w:spacing w:after="0" w:line="198" w:lineRule="exact"/>
        <w:rPr>
          <w:rFonts w:ascii="Times New Roman" w:cs="Times New Roman" w:eastAsia="Times New Roman" w:hAnsi="Times New Roman"/>
          <w:sz w:val="14"/>
          <w:szCs w:val="14"/>
          <w:color w:val="auto"/>
        </w:rPr>
      </w:pPr>
    </w:p>
    <w:p>
      <w:pPr>
        <w:ind w:left="140" w:right="2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future licensors’, pending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issued patents that we own or license may be held invalid or unenforceable, as a result of legal challenges by our competitors;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may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may receive regulatory approval or any such commercialization may experience delays or limitations. Moreover, even if we do successfully enter such arrangements with third parties, any of those third parties may fail to perform in a satisfactory or timely manner, if at all.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(if approved) our product candidates will be limited and the potential for successfully growing our business will be harmed.</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68 full-time employees, including 52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 without limitation:</w:t>
      </w:r>
    </w:p>
    <w:p>
      <w:pPr>
        <w:spacing w:after="0" w:line="139"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66"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of IMM-1-104, IMM-6-415, and any other product candidates that we develop, while complying with any contractual obligations to contractors and other third parties we may have; and</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IMM-1-104, IMM-6-415 and any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future business strategy incorporates potential international expansion, for example upon the possible addition of international clinical trial sites, potential engagement with a collaborator based internationally, or if any of our product candidates receives regulatory approval. Doing business internationally involves a number of risks, including but not limited to:</w:t>
      </w:r>
    </w:p>
    <w:p>
      <w:pPr>
        <w:spacing w:after="0" w:line="135" w:lineRule="exact"/>
        <w:rPr>
          <w:sz w:val="20"/>
          <w:szCs w:val="20"/>
          <w:color w:val="auto"/>
        </w:rPr>
      </w:pPr>
    </w:p>
    <w:p>
      <w:pPr>
        <w:ind w:left="340" w:hanging="8"/>
        <w:spacing w:after="0" w:line="282" w:lineRule="auto"/>
        <w:tabs>
          <w:tab w:leader="none" w:pos="4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3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 rights;</w:t>
      </w:r>
    </w:p>
    <w:p>
      <w:pPr>
        <w:spacing w:after="0" w:line="198"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98" w:lineRule="exact"/>
        <w:rPr>
          <w:rFonts w:ascii="Times New Roman" w:cs="Times New Roman" w:eastAsia="Times New Roman" w:hAnsi="Times New Roman"/>
          <w:sz w:val="18"/>
          <w:szCs w:val="18"/>
          <w:color w:val="auto"/>
        </w:rPr>
      </w:pPr>
    </w:p>
    <w:p>
      <w:pPr>
        <w:ind w:left="340" w:hanging="8"/>
        <w:spacing w:after="0" w:line="282" w:lineRule="auto"/>
        <w:tabs>
          <w:tab w:leader="none" w:pos="4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12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(for example, the ongoing conflict between Russia and Ukraine, as well as in the Middle East), outbreak of disease (for example, COVID-19 and other pandemics), boycotts, curtailment of trade and other business restrictions;</w:t>
      </w:r>
    </w:p>
    <w:p>
      <w:pPr>
        <w:spacing w:after="0" w:line="135"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20" w:hanging="8"/>
        <w:spacing w:after="0" w:line="282" w:lineRule="auto"/>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(if any) and activities that may fall within the purview of the FCPA, its books and records provisions, its anti-bribery provisions or other anti-bribery and anti-corruption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factors, among others, could significantly limit or harm our future international expansion and operations and, consequently,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 the past and may in the future acquire other businesses, products or technologies as well as pursue strategic alliances, joint ventures, technology licenses or investments in complementary businesses. We have limited or in some cases no experience in completing such transactions. Any of these transactions could be material to our financial condition and operating results and expose us to many risks, including without limitation:</w:t>
      </w:r>
    </w:p>
    <w:p>
      <w:pPr>
        <w:spacing w:after="0" w:line="150" w:lineRule="exact"/>
        <w:rPr>
          <w:sz w:val="20"/>
          <w:szCs w:val="20"/>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98"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98"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84"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foreign transactions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the anticipated benefit of any such transaction may not materialize. For example, future acquisitions or dispositions could result in potentially dilutive issuances of our equity securities, the incurrence of additional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them in ways that do not improve our results of operations or enhance value, for example by prioritizing the development of certain product candidates and / or medical indications over others that could have been more successful. The failure by our management to apply these funds effectively could result in financial losses that could have a material adverse effect on our business and/or delay the development of our product candidates. Additionally, pending their use, we may invest our cash reserves in a manner that does not produce income or that loses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has been and may in the future be volatile, and you could lose all or part of your investment.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Class A common stock, regardless of our actual operating performance. In addition to the factors discussed in this “Risk Factors” section, elsewhere in this filing, and in our other SEC filings, these factors include:</w:t>
      </w:r>
    </w:p>
    <w:p>
      <w:pPr>
        <w:spacing w:after="0" w:line="121"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or those of our competitors;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and</w:t>
      </w:r>
    </w:p>
    <w:p>
      <w:pPr>
        <w:spacing w:after="0" w:line="198"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effects of recession or slow economic growth in the U.S. and abroad, interest rates, inflation, fuel prices, international currency fluctuations, corruption, political instability, acts of war, acts of terrorism, ongoing or future military conflicts, and ongoing or future pandemics or other public health crises.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and/or Class B common stock in the public market could cause our stock price to fall.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were or will be sold under the registration statement filed with the SEC on August 10, 2022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if ever. Any return to stockholders will therefore be limited to any appreciation in the value of our Class A common stock, which is not certain.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35" w:lineRule="exact"/>
        <w:rPr>
          <w:sz w:val="20"/>
          <w:szCs w:val="20"/>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so that not all members of our Board are elected at one time;</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to establish the number of directors and fill vacancies on the Board;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unilaterally amend the bylaws (as, for example, the Board did in February 2024);</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our bylaws or Delaware or other applicable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a federal district court of the United States of America is the exclusive forum for the resolution of any complaint asserting a cause or causes of action against any defendant arising under the Securities Act. Such provision is intended to benefit and may be enforced by us, our officers, directors, employees and agents, including the underwriters and any other professional or entity who has prepared or certified any part of this filing or our other SEC filings. Nothing in our amended and restated certificate of incorporation or amended and restated bylaws preclude stockholders that assert claims under the Exchange Act from bringing such claims in state or federal court, subject to applicable law.</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agents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jurisdictions. If a court were to find the choice of forum provision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and those of our current and any future CROs, CMOs and other contractors, consultants, collaborators, agents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and cause us to incur significant costs, including legal expenses and remediation costs. For example, the loss of clinical trial data from past, present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potential commercialization of our product candidates could be delayed or halted, and we could be subject to significant fines or penalties for any noncompliance with certain state, federal, local and/or international privacy and security laws.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terms, or at all. Further, our insurance may not cover all claims made against us and could have high deductibles in any event, and defending a suit, regardless of its merit or ultimate disposition, could be costly and divert management attention.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that our cybersecurity risk management program and processes, including our policies, controls or procedures, will be fully implemented, complied with or effective in protecting our systems and information. See Part I. Item 1C. "Cybersecurity" contained in this Annual Report on Form 10-K for additional information.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military conflict, future pandemics and other events beyond our control, which could harm our business.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military conflict,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35" w:lineRule="exact"/>
        <w:rPr>
          <w:sz w:val="20"/>
          <w:szCs w:val="20"/>
          <w:color w:val="auto"/>
        </w:rPr>
      </w:pPr>
    </w:p>
    <w:p>
      <w:pPr>
        <w:jc w:val="both"/>
        <w:ind w:left="140" w:hanging="132"/>
        <w:spacing w:after="0" w:line="266" w:lineRule="auto"/>
        <w:tabs>
          <w:tab w:leader="none" w:pos="1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and other periodic reports;</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(the "Sarbanes-Oxley Act");</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"Dodd-Frank Act"), the listing requirements of Nasdaq and other applicable securities laws, rules and regulations. Complying with these laws,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will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rules, regulations and standards relating to corporate governance and public disclosure are creating uncertainty for public companies, increasing legal and financial compliance costs and making some activities more time consuming. These laws, rules,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regulations and standards, and this investment may result in increased general and administrative expenses and a diversion of management’s time and attention from revenue-generating activities to compliance activities. If our efforts to comply with new laws, rules, regulations and standards differ from the activities intended by regulatory or governing bodies due to ambiguities related to their application and practice, regulatory or other governmental authorities may initiate legal proceedings against us and our business may be adversely affected.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disclosing information in this filing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(as defined under applicable SEC rules),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over financial reporting could lead to restatements of our financial statements and require us to incur the expense of remediation.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The likelihood of these or other further changes being enacted or implemented is unclear. We are currently unable to predict whether such changes will occur. If such changes are enacted or implemented as well as the scope of any such changes, we are currently unable to predict the ultimate impact on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 There can be no assurance that our cybersecurity risk management program and processes, including our policies, controls or procedures, will be fully implemented, complied with or effective in protecting our systems and information.</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design and assess our cybersecurity risk management program based in part on the National Institute of Standards and Technology Cybersecurity Framework ("NIST CSF"). This does not, nor is it in any way intended to, imply that we currently or may in the future meet any particular technical standards, specifications, or requirements, only that we use the NIST CSF as a guide to help us identify, assess, and manage cybersecurity risks relevant to our business.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and/or financial risk areas.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85" w:lineRule="exact"/>
        <w:rPr>
          <w:sz w:val="20"/>
          <w:szCs w:val="20"/>
          <w:color w:val="auto"/>
        </w:rPr>
      </w:pPr>
    </w:p>
    <w:p>
      <w:pPr>
        <w:ind w:left="14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potential products, services, and our broader enterprise IT environment;</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team principally responsible for managing (1) our cybersecurity risk assessment processes, (2) our security controls, and (3) our response to cybersecurity incidents;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as we believe appropriate, to assess, test or otherwise assist with aspects of our security controls;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processes with respect to third party service providers, suppliers, and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is tasked with updating the Audit Committee, if and as necessary, regarding any material cybersecurity incidents, as well as other incidents with lesser impact potential.</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periodically reports to the full Board of Directors regarding its activities, which may include those related to cybersecurity. The full Board of Directors may also from time to time receive briefings from management related to our cyber risk management program. Directors may receive presentations on cybersecurity topics from our management, internal cyber security / information technology staff, or external experts as part of continuing education on topics that impact public companies.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team, including our Executive Director of IT with supervision by our Chief Legal Officer, is responsible for assessing and managing our material risks from cybersecurity threats. The management team has primary responsibility for our overall cybersecurity risk management program and supervises both our internal cybersecurity personnel and external cybersecurity consultants. Our Executive Director of IT has previous experience managing information technology infrastructure and cybersecurity, as well as responding to cybersecurity incidents, at other biopharmaceutical companies.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245 Main Street, Second Floor Cambridge, Massachusetts 02142, where we lease approximately 183 square feet of office space under a service agreement that can be terminated by either party upon 30 days written notice.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lease the following properties in San Diego, California: (i) approximately 38,613 square feet of office and laboratory space under a lease that terminates on April 30, 2032; and (ii) 4,760 square feet of office and laboratory space (“Site 2”) under a lease that terminates on March 31, 2024. In February 2023, we subleased the Site 2 space to a third-party through the remainder of the term of the lease.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lease approximately 190 square feet of office space in New York, New York under a service agreement that currently runs through August 31, 2024.</w:t>
      </w:r>
    </w:p>
    <w:p>
      <w:pPr>
        <w:spacing w:after="0" w:line="121" w:lineRule="exact"/>
        <w:rPr>
          <w:sz w:val="20"/>
          <w:szCs w:val="20"/>
          <w:color w:val="auto"/>
        </w:rPr>
      </w:pPr>
    </w:p>
    <w:p>
      <w:pPr>
        <w:ind w:right="1100"/>
        <w:spacing w:after="0" w:line="461" w:lineRule="auto"/>
        <w:rPr>
          <w:sz w:val="20"/>
          <w:szCs w:val="20"/>
          <w:color w:val="auto"/>
        </w:rPr>
      </w:pPr>
      <w:r>
        <w:rPr>
          <w:rFonts w:ascii="Times New Roman" w:cs="Times New Roman" w:eastAsia="Times New Roman" w:hAnsi="Times New Roman"/>
          <w:sz w:val="18"/>
          <w:szCs w:val="18"/>
          <w:color w:val="auto"/>
        </w:rPr>
        <w:t xml:space="preserve">We believe that our facilities are sufficient to meet our current needs and that suitable additional space will be available as and when needed. </w:t>
      </w:r>
      <w:r>
        <w:rPr>
          <w:rFonts w:ascii="Times New Roman" w:cs="Times New Roman" w:eastAsia="Times New Roman" w:hAnsi="Times New Roman"/>
          <w:sz w:val="18"/>
          <w:szCs w:val="18"/>
          <w:b w:val="1"/>
          <w:bCs w:val="1"/>
          <w:color w:val="auto"/>
        </w:rPr>
        <w:t>Item 3. Legal Proceedings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under the symbol “IMRX” on the Nasdaq Global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23, 2024, there were approximately 60 registered holders of record of our common stock. The actual number of holders of our common stock is greater than this number of record holders and includes stockholders who are beneficial owners, but whose shares are held in “street name” by brokers or held by other “nominees”. The number of holders of record also does not include stockholders whose shares may be held in trust by other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if ever.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Part III of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we did not issue any securities which were unregistered under the Securities Act and required to be disclosed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quarterly period ended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IA. ‘‘Risk Factors’’ of this Annual Report on Form 10-K, our actual results could differ materially from the results described in, or implied by, the forward-looking statements contained in the following discussion and analysis.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We are a clinical-stage oncology company seeking to develop universal-RAS/RAF medicines for broad populations of cancer patients. We aim to achieve universal RAS/RAF activity through deep cyclic inhibition of the MAPK pathway, impacting cancer cells while sparing healthy cells, Our inclusive approach differentiates us from narrowly targeted precision therapies, which are limited to patients with tumors harboring select mutations.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We are currently evaluating our lead product candidates, IMM-1-104 and IMM-6-415, in Phase 1/2a clinical trials in patients with advanced solid tumors harboring RAS and RAS/RAF mutations, respectively. IMM-1-104 is being developed as a once-daily oral therapy that aims to achieve universal-RAS activity through deep cyclic inhibition of the MAPK pathway. By contrast, IMM-6-415 aims to achieve universal-RAS/RAF activity with an accelerated twice-daily oral dosing cadence, also through deep cyclic inhibition of the MAPK pathway. Deep cyclic inhibition is a novel mechanism that aims to deprive tumor cells of the sustained proliferative signaling required for rapid growth, while sparing healthy cells through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pipeline also includes Trifecta MEK, RAS modulators and other small molecule drug discovery programs.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2022, the </w:t>
      </w:r>
      <w:r>
        <w:rPr>
          <w:rFonts w:ascii="Times New Roman" w:cs="Times New Roman" w:eastAsia="Times New Roman" w:hAnsi="Times New Roman"/>
          <w:sz w:val="18"/>
          <w:szCs w:val="18"/>
          <w:color w:val="0A0A0A"/>
        </w:rPr>
        <w:t>FDA</w:t>
      </w:r>
      <w:r>
        <w:rPr>
          <w:rFonts w:ascii="Times New Roman" w:cs="Times New Roman" w:eastAsia="Times New Roman" w:hAnsi="Times New Roman"/>
          <w:sz w:val="18"/>
          <w:szCs w:val="18"/>
          <w:color w:val="auto"/>
        </w:rPr>
        <w:t xml:space="preserve"> cleared our </w:t>
      </w:r>
      <w:r>
        <w:rPr>
          <w:rFonts w:ascii="Times New Roman" w:cs="Times New Roman" w:eastAsia="Times New Roman" w:hAnsi="Times New Roman"/>
          <w:sz w:val="18"/>
          <w:szCs w:val="18"/>
          <w:color w:val="0A0A0A"/>
        </w:rPr>
        <w:t>IND</w:t>
      </w:r>
      <w:r>
        <w:rPr>
          <w:rFonts w:ascii="Times New Roman" w:cs="Times New Roman" w:eastAsia="Times New Roman" w:hAnsi="Times New Roman"/>
          <w:sz w:val="18"/>
          <w:szCs w:val="18"/>
          <w:color w:val="auto"/>
        </w:rPr>
        <w:t xml:space="preserve"> application for IMM-1-104 and, i</w:t>
      </w:r>
      <w:r>
        <w:rPr>
          <w:rFonts w:ascii="Times New Roman" w:cs="Times New Roman" w:eastAsia="Times New Roman" w:hAnsi="Times New Roman"/>
          <w:sz w:val="18"/>
          <w:szCs w:val="18"/>
          <w:color w:val="0A0A0A"/>
        </w:rPr>
        <w:t>n November 2022, we commenced dosing in our Phase 1/2a clinical trial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IMM-1-104 for the treatment of advanced RAS mutant solid tumors. The Phase 1/2a clinical trial is designed to assess the safety, tolerability, PK, PD, and preliminary anti-tumor activity of IMM-1-104. The Phase 1 portion of the clinical trial includes dose escalation and dose exploration utilizing a Bayesian mTPI-2 statistical design to establish an optimized RP2D in solid tumor patients with evidence of any RAS mutation. The Phase 2a portion includes evaluating IMM-1-104 in multiple dose expansion arms at the candidate RP2D. In November 2023 we announced that we had expanded the IMM-1-104 Phase 1/2a clinical trial design by increasing the number of Phase 2a expansion arms to five, including two combination therapy arms and three monotherapy arms.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In December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A0A0A"/>
        </w:rPr>
        <w:t xml:space="preserve"> FDA </w:t>
      </w:r>
      <w:r>
        <w:rPr>
          <w:rFonts w:ascii="Times New Roman" w:cs="Times New Roman" w:eastAsia="Times New Roman" w:hAnsi="Times New Roman"/>
          <w:sz w:val="18"/>
          <w:szCs w:val="18"/>
          <w:color w:val="000000"/>
        </w:rPr>
        <w:t>cleared our IND application for</w:t>
      </w:r>
      <w:r>
        <w:rPr>
          <w:rFonts w:ascii="Times New Roman" w:cs="Times New Roman" w:eastAsia="Times New Roman" w:hAnsi="Times New Roman"/>
          <w:sz w:val="18"/>
          <w:szCs w:val="18"/>
          <w:color w:val="0A0A0A"/>
        </w:rPr>
        <w:t xml:space="preserve"> IMM-6-415 and we began the process of enrolling patients in a Phase 1/2a clinical trial of IMM-6-415 for the treatment of patients with advanced solid tumors harboring RAF or RAS mutations. The Phase 1/2a clinical trial is designed to assess the safety, tolerability, PK, PD, and preliminary anti-tumor activity of IMM-6-415. The Phase 1 portion of the clinical trial includes dose escalation and dose exploration for IMM-6-415, using a mTPI-2 statistical design to establish an optimized RP2D in solid tumor patients with evidence of any RAF or RAS mutation. The Phase 2a portion includes exploring IMM-6-415 in multiple dose expansion arms at the candidate RP2D.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and common stock.</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2021, we completed the acquisition of all outstanding shares of capital stock of BioArkive, Inc., a California corporation (“BioArkive”) for a market value of $8.75 million.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BioArkive is a San Diego based contract research organization that has previously provided preclinical research services and biosample storage to us and other biotechnology companies. BioArkive was fully integrated into our operations following the acquisition and exclusively supports our internal preclinical research activities for our oncology pipeline. In connection with the acquisition, we assumed the obligations under BioArkive’s three lease agreements.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2023, we completed an underwritten offering, pursuant to which we issued and sold 2,727,273 shares of our Class A common stock at an offering price of $11.00 per share. The aggregate net proceeds received from the offering were $28.2 million, after deducting underwriting discounts and commissions, but before deducting offering costs payable by us, which were $0.2 million.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had significant annual operating losses. Our net loss was approximately $53.5 million and $50.5 million for the years ended December 31, 2023 and 2022, respectively. As of December 31, 2023, we had an accumulated deficit of approximately $163.3 million and approximately $85.7 million in cash, cash equivalents and marketable securities.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candidate. Our net losses may fluctuate significantly from quarter-to-quarter and year-to-year, depending on the timing of our clinical trials and our expenditures on other research and development activities.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had any internally developed products approved for sale. We do not expect to generate any product sales unless and until we successfully complete development of, obtain regulatory approval for, and successfully bring to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cash equivalents and marketable securities will enable us to fund our development activities and other operations into the second half of 2025.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was historically generated by providing computational biology professional services to pharmaceutical and biotechnology companies. We charged an agreed upon rate per hour based on the aggregate level of personnel assigned to work on the project or a fixed fee for a defined scope of work. Our contracts specified the period of time over which these professional services would be provided. We recognized revenue over time by measuring the progress toward complete satisfaction of the performance obligation using a single method of measuring progress, which depicts the performance in transferring control of the associated services to the customer. We used input methods to measure the progress toward the complete satisfaction of performance obligations and evaluate the measure of progress each reporting period and, if necessary, adjusted the measure of performance and related revenue recognition. Any such adjustments were recorded on a cumulative catch-up basis, which would affect revenue and net loss in the period of adjustment.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ceased accepting new services contracts in order to focus on developing our wholly-owned internal pipeline. In September 2022, we completed our last remaining services contract associated with the computational biology professional services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discontinued our biosample storage business, which was acquired through the BioArkive transaction, to external parties. In December 2022, we completed our last remaining storage contract. The revenue earned associated with the biosample storage business for the year ended December 31, 2022 is immaterial to the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do not anticipate entering into any new service or storage contracts or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cost of revenue has primarily consisted of expenses related to providing professional services to our customers. These costs include salaries, bonuses, benefits, stock-based compensation expense, depreciation, facilities, and other outside services. As a result of the discontinued service contracts and bio-sample storage business, the cost of revenue incurred for the year ended December 31, 2022 is immaterial to the financial statements and not applicable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 costs include:</w:t>
      </w:r>
    </w:p>
    <w:p>
      <w:pPr>
        <w:spacing w:after="0" w:line="198" w:lineRule="exact"/>
        <w:rPr>
          <w:sz w:val="20"/>
          <w:szCs w:val="20"/>
          <w:color w:val="auto"/>
        </w:rPr>
      </w:pPr>
    </w:p>
    <w:p>
      <w:pPr>
        <w:ind w:left="1060" w:right="20" w:hanging="323"/>
        <w:spacing w:after="0" w:line="282" w:lineRule="auto"/>
        <w:tabs>
          <w:tab w:leader="none" w:pos="10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CROs and other vendors that conduct our preclinical and clinical activities on our behalf, including clinical trial sites that conduct research and development activities on our behalf;</w:t>
      </w:r>
    </w:p>
    <w:p>
      <w:pPr>
        <w:spacing w:after="0" w:line="5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expenses related to the execution of discovery programs, preclinical studies and clinical trials; and</w:t>
      </w:r>
    </w:p>
    <w:p>
      <w:pPr>
        <w:spacing w:after="0" w:line="11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and preclinical materials, including fees paid to contract manufacturers.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indirect costs include:</w:t>
      </w:r>
    </w:p>
    <w:p>
      <w:pPr>
        <w:spacing w:after="0" w:line="185" w:lineRule="exact"/>
        <w:rPr>
          <w:sz w:val="20"/>
          <w:szCs w:val="20"/>
          <w:color w:val="auto"/>
        </w:rPr>
      </w:pPr>
    </w:p>
    <w:p>
      <w:pPr>
        <w:ind w:left="1060" w:right="20" w:hanging="323"/>
        <w:spacing w:after="0" w:line="282" w:lineRule="auto"/>
        <w:tabs>
          <w:tab w:leader="none" w:pos="10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consisting of employee salaries, bonuses, benefits and stock-based compensation expense, and recruiting costs for personnel engaged in research and development activities;</w:t>
      </w:r>
    </w:p>
    <w:p>
      <w:pPr>
        <w:spacing w:after="0" w:line="5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and consulting fees related to the preparation and ongoing support of clinical trials; and</w:t>
      </w:r>
    </w:p>
    <w:p>
      <w:pPr>
        <w:spacing w:after="0" w:line="117"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equipment related expenses, consisting of indirect and allocated expenses for rent, depreciation, maintenance of facilities, insurance, and other supplies.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once they are in Phase 1 and consist of external costs and fees paid to consultants, contractors,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 and other indirect costs, to specific product development programs because these costs are deployed across multiple programs and our platform technology and, as such, are not separately classified.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and development of our product candidates will depend on a variety of factors, such as, without limitation:</w:t>
      </w:r>
    </w:p>
    <w:p>
      <w:pPr>
        <w:spacing w:after="0" w:line="121" w:lineRule="exact"/>
        <w:rPr>
          <w:sz w:val="20"/>
          <w:szCs w:val="20"/>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future product candidates;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for our current product candidates;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applicable regulatory agencies of IND applications and amendments, clinical trial applications and/or other regulatory filings for our product candidates;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arrangements with contract manufacturing organizations for, or establishment of, commercial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60" w:hanging="323"/>
        <w:spacing w:after="0" w:line="282" w:lineRule="auto"/>
        <w:tabs>
          <w:tab w:leader="none" w:pos="10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 candidates, if and when approved, whether alone or in collaboration with others;</w:t>
      </w:r>
    </w:p>
    <w:p>
      <w:pPr>
        <w:spacing w:after="0" w:line="13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13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 if any.</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Annual Report on Form 10-K, we cannot reasonably determine or accurately project total program-specific expenses through commercialization, if such were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 relates to the technology acquired in the BioArkive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 balances. The primary objective of our investment policy is capital preservation.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accretion of discounts related to our marketable securities.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1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293"/>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6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70"/>
        </w:trPr>
        <w:tc>
          <w:tcPr>
            <w:tcW w:w="4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255.7 %</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recognized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5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4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tcPr>
          <w:p>
            <w:pPr>
              <w:spacing w:after="0"/>
              <w:rPr>
                <w:sz w:val="16"/>
                <w:szCs w:val="16"/>
                <w:color w:val="auto"/>
              </w:rPr>
            </w:pPr>
          </w:p>
        </w:tc>
      </w:tr>
      <w:tr>
        <w:trPr>
          <w:trHeight w:val="282"/>
        </w:trPr>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by approximately $0.3 million, or 100.0%, to $0 for the year ended December 31, 2023 compared to approximately $0.3 million for the year ended December 31, 2022. The decrease in revenue was due to the wind down of our computational biology professional services and completion of existing customer services contracts during the year 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decreased by approximately $0.2 million, or 100.0%, to $0 for the year ended December 31, 2023 compared to approximately $0.2 million for the year ended December 31, 2022. The decrease was primarily due to decreased employee-related costs related to services contracts that were discontinued as of September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Pr>
          <w:p>
            <w:pPr>
              <w:spacing w:after="0"/>
              <w:rPr>
                <w:sz w:val="16"/>
                <w:szCs w:val="16"/>
                <w:color w:val="auto"/>
              </w:rPr>
            </w:pPr>
          </w:p>
        </w:tc>
      </w:tr>
      <w:tr>
        <w:trPr>
          <w:trHeight w:val="284"/>
        </w:trPr>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IMM-1-104</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576.1 %</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IMM-6-415</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programs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217.9 %</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70"/>
        </w:trPr>
        <w:tc>
          <w:tcPr>
            <w:tcW w:w="502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41,624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$5.4 million, or 14.8%, to approximately $41.6 million for the year ended December 31, 2023 as compared to approximately $36.3 million for the year-ended December 31, 2022. The increase of approximately $5.4 million was primarily due to an increase of approximately $4.1 million related to direct research and development expenses, consisting of a $7.9 million increase related to the IMM-1-104 program and a $5.2 million increase related to IMM-6-415 program, offset by a $9.0 million decrease for expenses for earlier stage and neuroscience programs as compared to the same prior year period. The remaining increase was driven by unallocated research and development costs of approximately $1.3 million, consisting of a $1.0 million increase related to depreciation, facilities, and other allocated expenses in aggregate and a $0.7 million increase related to stock-based compensation expense, offset by a $0.4 million decrease in employee-related costs.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general and administrative expenses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7"/>
          </w:tcPr>
          <w:p>
            <w:pPr>
              <w:ind w:left="60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Pr>
          <w:p>
            <w:pPr>
              <w:spacing w:after="0"/>
              <w:rPr>
                <w:sz w:val="16"/>
                <w:szCs w:val="16"/>
                <w:color w:val="auto"/>
              </w:rPr>
            </w:pPr>
          </w:p>
        </w:tc>
      </w:tr>
      <w:tr>
        <w:trPr>
          <w:trHeight w:val="284"/>
        </w:trPr>
        <w:tc>
          <w:tcPr>
            <w:tcW w:w="4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8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r>
      <w:tr>
        <w:trPr>
          <w:trHeight w:val="270"/>
        </w:trPr>
        <w:tc>
          <w:tcPr>
            <w:tcW w:w="498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16,760</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15,607</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$1.2 million, or 7.4%, to approximately $16.8 million for the year ended December 31, 2023 compared to approximately $15.6 million for the year ended December 31, 2022. The increase of approximately $1.2 million was primarily due to increased stock-based compensation of approximately $1.0 million, increased employee-related costs of $0.7 million, an increase of $0.5 million in other expenses, and increased professional fees incurred for accounting, auditing, legal, public relations and tax services of approximately $0.2 million, offset by decreased facilities and outside consulting expenses of approximately $1.2 million in the aggregate.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of $29 thousand in the year ended December 31, 2023 and $30 thousand in the year ended December 31, 2022 is related to the technology acquired for the BioArkive acquisition completed in December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by approximately $2.6 million due to the interest earned on our cash, cash equivalents and marketable securities balances, due to the increase in interest rates during 2023 as compared to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was approximately $1.3 million in the year ended December 31, 2023, primarily driven by the accretion of discounts related to our marketable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finance our operations through the issuance of convertible notes payable, convertible preferred stock, common stock, and the exercise of stock options. As of December 31, 2023, we had an accumulated deficit of $163.3 million and $85.7 million in cash,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(which have ceased) and proceeds from sales of our debt and equity securities.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an Equity Distribution Agreement (the "Sales Agreement") with Piper Sandler &amp; Co, to sell shares of our common stock with aggregate gross proceeds of up to $50 million, from time to time, through an “at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equity offering program ("ATM Program"). During the years ended December 31, 2023 and 2022, we did not sell any shares of common stock pursuant to the Sales Agreement under the ATM Program.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2023, we completed an underwritten follow-on equity offering, pursuant to which we issued and sold 2,727,273 shares of our Class A common stock at an offering price of $11.00 per share. The aggregate net proceeds received from the offering were $28.2 million, after deducting underwriting discounts and commissions, but before deducting offering costs payable by us, which were $0.2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have contractual obligations related to various leases of $0.7 million for 2024, $0.7 million for 2025, $0.8 million for 2026, $0.8 million for 2027, $0.8 million for 2028 and $2.9 million for the periods thereafter.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approximately $49.0 million of cash, primarily resulting from our net loss of approximately $53.5 million, changes in our operating assets and liabilities of $1.0 million, and net amortization of premium (accretion of discount) on marketable securities of $1.0 million, partially offset by stock-based compensation expense of approximately $5.7 million and $0.7 million for the reduction in carrying amount of right-of-use assets and depreciation.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approximately $44.1 million of cash, primarily resulting from our net loss of approximately $50.5 million and net amortization of premium (accretion of discount) on marketable securities of $0.2 million, partially offset by stock-based compensation expense of approximately $4.1 million, cash provided by changes in our operating assets and liabilities of approximately $1.7 million, and $0.8 million for right of use amortization and depreciation.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provided from investing activities was approximately $7.3 million, primarily related to maturities of marketable securities of $52.3 million, offset by purchases of marketable securities of $44.7 million and $0.3 million for purchases of property and equipment.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 December 31, 2022, cash provided from investing was approximately $41.8 million, primarily related to maturities of marketable securities of $92.7 million, offset by purchases of marketable securities of $50.1 million and $0.7 million for purchases of property and equipment.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approximately $28.4 million, primarily driven by net proceeds, after deducting commissions and underwriting fees, of approximately $28.2 million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underwritten follow-on equity offering in April 2023, in addition to $0.4 million from the exercise of stock options, offset by $0.2 million in payments of costs related to the follow-on equity offering.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approximately $19 thousand, consisting primarily of approximately $0.3 million in net proceeds from the exercise of stock options, offset by approximately $0.3 million from the payment of deferred offering costs.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35" w:lineRule="exact"/>
        <w:rPr>
          <w:sz w:val="20"/>
          <w:szCs w:val="20"/>
          <w:color w:val="auto"/>
        </w:rPr>
      </w:pPr>
    </w:p>
    <w:p>
      <w:pPr>
        <w:ind w:left="1060" w:right="2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our ongoing clinical trials for IMM-1-104 and IMM-6-415 and potential future clinical trials for our other product candidates;</w:t>
      </w:r>
    </w:p>
    <w:p>
      <w:pPr>
        <w:spacing w:after="0" w:line="121"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other product candidates;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("API"), and manufacture of our product candidates and the terms of such arrangements;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spacing w:after="0" w:line="13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 related claims;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private and public capital markets or to obtain financing at commercially reasonable rate;</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any ongoing or potential future pandemics, or other widespread adverse health events.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for at least the next twelve months and into the second half of 2025. We have based this estimate on assumptions that may prove to be wrong, and we could utilize our available capital resources sooner than we expect.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on Form 10-K, we believe that the following accounting policies are those most critical to the judgments and estimates used in the preparation of our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incur substantial expenses associated with manufacturing and clinical trials. Accounting for clinical trials relating to activities performed by CROs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CROs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Because payments of research and development activities do not always line up with the provision of such services, the balance sheet may reflect either an accrued or prepaid position. In estimating the duration of a clinical trial, we evaluate the start-up, treatment and wrap up periods, compensation arrangements and services rendered attributable to each clinical trial and fluctuations are regularly tested against payment plans and trial completion assumptions.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are used to conduct and manage clinical trials on our behalf. We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on the date of grant for restricted stock awards. Compensation expense for those awards is recognized over the requisite service period, which is generally the vesting period of the award for employees and directors and the period during which services are performed for non-employees. We use the straight-line method to record the expense of awards with service-based vesting conditions.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uses as inputs: the fair value of our common stock, the assumptions we make for the volatility of our common stock, the expected term of our stock options, the risk-free interest rate for a period that approximates the expected term of our stock options, and our expected dividend yield.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appearing at the end of this Annual Report on Form 10-K.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("EGC") under the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remain classified as an EGC until December 31, 2026, which is the end of the fiscal year following the fifth anniversary of our IPO, although if the market value of our common stock that is held by non-affiliates exceeds $700 million as of June 30 of any year before that time, or if we have annual gross revenues of $1.235 billion or more in any fiscal year, we will cease to be an EGC as of December 31 of the applicable year. We also will cease to be an EGC if we issue more than $1.0 billion of non-convertible debt over a three-year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we are not required to provide this information.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23"/>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40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49)</w:t>
            </w: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119</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1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4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121</w:t>
            </w:r>
          </w:p>
        </w:tc>
      </w:tr>
      <w:tr>
        <w:trPr>
          <w:trHeight w:val="189"/>
        </w:trPr>
        <w:tc>
          <w:tcPr>
            <w:tcW w:w="20" w:type="dxa"/>
            <w:vAlign w:val="bottom"/>
            <w:tcBorders>
              <w:top w:val="single" w:sz="8" w:color="CCEEFF"/>
            </w:tcBorders>
          </w:tcPr>
          <w:p>
            <w:pPr>
              <w:spacing w:after="0"/>
              <w:rPr>
                <w:sz w:val="16"/>
                <w:szCs w:val="16"/>
                <w:color w:val="auto"/>
              </w:rPr>
            </w:pPr>
          </w:p>
        </w:tc>
        <w:tc>
          <w:tcPr>
            <w:tcW w:w="468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7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20" w:type="dxa"/>
            <w:vAlign w:val="bottom"/>
            <w:tcBorders>
              <w:bottom w:val="single" w:sz="8" w:color="CCEEFF"/>
            </w:tcBorders>
            <w:gridSpan w:val="5"/>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r>
      <w:tr>
        <w:trPr>
          <w:trHeight w:val="189"/>
        </w:trPr>
        <w:tc>
          <w:tcPr>
            <w:tcW w:w="20" w:type="dxa"/>
            <w:vAlign w:val="bottom"/>
          </w:tcPr>
          <w:p>
            <w:pPr>
              <w:spacing w:after="0"/>
              <w:rPr>
                <w:sz w:val="16"/>
                <w:szCs w:val="16"/>
                <w:color w:val="auto"/>
              </w:rPr>
            </w:pPr>
          </w:p>
        </w:tc>
        <w:tc>
          <w:tcPr>
            <w:tcW w:w="31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40" w:type="dxa"/>
            <w:vAlign w:val="bottom"/>
            <w:gridSpan w:val="4"/>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r>
      <w:tr>
        <w:trPr>
          <w:trHeight w:val="925"/>
        </w:trPr>
        <w:tc>
          <w:tcPr>
            <w:tcW w:w="10420" w:type="dxa"/>
            <w:vAlign w:val="bottom"/>
            <w:gridSpan w:val="8"/>
          </w:tcPr>
          <w:p>
            <w:pPr>
              <w:jc w:val="right"/>
              <w:ind w:right="4660"/>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Immuneering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Immuneering Corporation and its subsidiaries (the Company) as of December 31, 2023 and 2022, the related consolidated statements of operations and comprehensive loss, stockholders’ equity and cash flows for the years then ended, and the</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w:t>
      </w:r>
    </w:p>
    <w:p>
      <w:pPr>
        <w:spacing w:after="0" w:line="1"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(PCAOB) and are required to be independent with respect to the Company in accordance with U.S. federal securities laws and the applicable rules and regulations of the Securities and Exchange Commission and the PCAOB.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reporting. Accordingly, we express no such opinion.</w:t>
      </w:r>
    </w:p>
    <w:p>
      <w:pPr>
        <w:spacing w:after="0" w:line="192"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59,405,817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72,636,886</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26,259,868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32,887,970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3,417,984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3,209,536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89,083,669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108,746,809</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1,400,582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1,369,608</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408,947</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3,995,730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4,407,785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743,703</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102,584,538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122,367,283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2,111,666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3,154,557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4,500,993</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378,723</w:t>
            </w:r>
          </w:p>
        </w:tc>
        <w:tc>
          <w:tcPr>
            <w:tcW w:w="0" w:type="dxa"/>
            <w:vAlign w:val="bottom"/>
          </w:tcPr>
          <w:p>
            <w:pPr>
              <w:spacing w:after="0"/>
              <w:rPr>
                <w:sz w:val="1"/>
                <w:szCs w:val="1"/>
                <w:color w:val="auto"/>
              </w:rPr>
            </w:pP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7,845,503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8,054,069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4,162,852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4,462,959</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12,008,355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12,517,028</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at December 31, 2023 and December 31, 2022; 0 shares issued or</w:t>
            </w: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 and December 31, 2022</w:t>
            </w:r>
          </w:p>
        </w:tc>
        <w:tc>
          <w:tcPr>
            <w:tcW w:w="1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$0.001 par value, 200,000,000 shares authorized at December 31, 2023 and December 31, 2022; 29,271,629 and</w:t>
            </w:r>
          </w:p>
        </w:tc>
        <w:tc>
          <w:tcPr>
            <w:tcW w:w="1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26,418,732 shares issued and outstanding at December 31, 2023 and December 31, 2022, respectively</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 $0.001 par value, 20,000,000 shares authorized at December 31, 2023 and December 31, 2022; 0 shares issued and</w:t>
            </w: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 and December 31, 2022</w:t>
            </w:r>
          </w:p>
        </w:tc>
        <w:tc>
          <w:tcPr>
            <w:tcW w:w="1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253,806,267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219,640,912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(163,258,578)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(109,786,956)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90,576,183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109,850,255</w:t>
            </w:r>
          </w:p>
        </w:tc>
        <w:tc>
          <w:tcPr>
            <w:tcW w:w="0" w:type="dxa"/>
            <w:vAlign w:val="bottom"/>
          </w:tcPr>
          <w:p>
            <w:pPr>
              <w:spacing w:after="0"/>
              <w:rPr>
                <w:sz w:val="1"/>
                <w:szCs w:val="1"/>
                <w:color w:val="auto"/>
              </w:rPr>
            </w:pPr>
          </w:p>
        </w:tc>
      </w:tr>
      <w:tr>
        <w:trPr>
          <w:trHeight w:val="20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102,584,538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122,367,283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158,122</w:t>
            </w:r>
          </w:p>
        </w:tc>
      </w:tr>
      <w:tr>
        <w:trPr>
          <w:trHeight w:val="250"/>
        </w:trPr>
        <w:tc>
          <w:tcPr>
            <w:tcW w:w="81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158,830</w:t>
            </w:r>
          </w:p>
        </w:tc>
      </w:tr>
      <w:tr>
        <w:trPr>
          <w:trHeight w:val="250"/>
        </w:trPr>
        <w:tc>
          <w:tcPr>
            <w:tcW w:w="81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36,267,116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15,606,529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58,412,887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51,903,698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(58,412,887)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(51,744,868)</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1,014,456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216,844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(53,471,622)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(50,513,568)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26,386,864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(53,442,280)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(50,494,679)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 AND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3900" w:type="dxa"/>
            <w:vAlign w:val="bottom"/>
          </w:tcPr>
          <w:p>
            <w:pPr>
              <w:spacing w:after="0"/>
              <w:rPr>
                <w:sz w:val="9"/>
                <w:szCs w:val="9"/>
                <w:color w:val="auto"/>
              </w:rPr>
            </w:pPr>
          </w:p>
        </w:tc>
        <w:tc>
          <w:tcPr>
            <w:tcW w:w="96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Stock</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ind w:left="560"/>
              <w:spacing w:after="0" w:line="115" w:lineRule="exact"/>
              <w:rPr>
                <w:sz w:val="20"/>
                <w:szCs w:val="20"/>
                <w:color w:val="auto"/>
              </w:rPr>
            </w:pPr>
            <w:r>
              <w:rPr>
                <w:rFonts w:ascii="Times New Roman" w:cs="Times New Roman" w:eastAsia="Times New Roman" w:hAnsi="Times New Roman"/>
                <w:sz w:val="13"/>
                <w:szCs w:val="13"/>
                <w:b w:val="1"/>
                <w:bCs w:val="1"/>
                <w:color w:val="auto"/>
              </w:rPr>
              <w:t>Stock</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restart"/>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7"/>
                <w:szCs w:val="7"/>
                <w:color w:val="auto"/>
              </w:rPr>
            </w:pPr>
          </w:p>
        </w:tc>
        <w:tc>
          <w:tcPr>
            <w:tcW w:w="114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9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26,320,199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$ 215,276,186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(59,273,388)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155,980,109</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300,280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300,379</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4,064,446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4,064,446</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(50,513,568)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(50,513,568)</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0" w:type="dxa"/>
            <w:vAlign w:val="bottom"/>
          </w:tcPr>
          <w:p>
            <w:pPr>
              <w:spacing w:after="0"/>
              <w:rPr>
                <w:sz w:val="1"/>
                <w:szCs w:val="1"/>
                <w:color w:val="auto"/>
              </w:rPr>
            </w:pPr>
          </w:p>
        </w:tc>
      </w:tr>
      <w:tr>
        <w:trPr>
          <w:trHeight w:val="162"/>
        </w:trPr>
        <w:tc>
          <w:tcPr>
            <w:tcW w:w="39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26,418,732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$ 219,640,912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(109,786,956)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109,850,255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444,712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444,838</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public offering, net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commissions, underwriting discounts and $203,768 in issuance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2,727,273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27,993,508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27,996,235</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5,727,135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5,727,135</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(53,471,622)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(53,471,622)</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29,342</w:t>
            </w:r>
          </w:p>
        </w:tc>
        <w:tc>
          <w:tcPr>
            <w:tcW w:w="0" w:type="dxa"/>
            <w:vAlign w:val="bottom"/>
          </w:tcPr>
          <w:p>
            <w:pPr>
              <w:spacing w:after="0"/>
              <w:rPr>
                <w:sz w:val="1"/>
                <w:szCs w:val="1"/>
                <w:color w:val="auto"/>
              </w:rPr>
            </w:pPr>
          </w:p>
        </w:tc>
      </w:tr>
      <w:tr>
        <w:trPr>
          <w:trHeight w:val="162"/>
        </w:trPr>
        <w:tc>
          <w:tcPr>
            <w:tcW w:w="39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29,271,629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29,272</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$ 253,806,267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(163,258,578)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90,576,183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(53,471,622)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(50,513,568)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reconcile to net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247,199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519,541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4,064,446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accretion of discount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233,623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(284,346)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(1,106,896)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1,760,217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474,568</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(48,968,634)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(44,101,265)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(742,483)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(44,660,762)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(50,104,515)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52,300,000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92,678,000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7,296,492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41,831,002</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public offering of common stock, net of commissions and underwriting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28,200,003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public offering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300,379</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28,441,073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(13,231,069)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(2,251,259)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72,636,886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74,888,145</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59,405,817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72,636,886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of right-of-use asset and lease liability in connection with lease modification</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396,901</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in accounts payable/accrued expenses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72,272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Nature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Immuneering Corporation, a Delaware corporation (“Immuneering” or the “Company”), was incorporated in 2008. Immuneering is a clinical-stage oncology company developing medicines for broad populations of cancer patients, with an initial aim to therapeutically address patients harboring RAS or RAF mutations. The Company aims to achieve universal RAS/RAF activity through deep cyclic inhibition of the MAPK pathway, impacting cancer cells while sparing healthy cells. Immuneering’s lead product candidates, IMM-1-104 and IMM-6-415, are in Phase 1/2a clinical trials in patients with advanced solid tumors harboring RAS and RAS/RAF mutations, respectively. The Company is developing </w:t>
      </w:r>
      <w:r>
        <w:rPr>
          <w:rFonts w:ascii="Times New Roman" w:cs="Times New Roman" w:eastAsia="Times New Roman" w:hAnsi="Times New Roman"/>
          <w:sz w:val="18"/>
          <w:szCs w:val="18"/>
          <w:color w:val="0A0A0A"/>
        </w:rPr>
        <w:t>IMM-1-104 as a once-daily oral therapy that aims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achieve universal-RAS activity and IMM-6-415 with an accelerated twice-daily oral dosing cadence that aims to achieve universal-RAS/RAF activity, in each case through deep cyclic inhibition of the MAPK pathway. </w:t>
      </w:r>
      <w:r>
        <w:rPr>
          <w:rFonts w:ascii="Times New Roman" w:cs="Times New Roman" w:eastAsia="Times New Roman" w:hAnsi="Times New Roman"/>
          <w:sz w:val="18"/>
          <w:szCs w:val="18"/>
          <w:color w:val="000000"/>
        </w:rPr>
        <w:t>The Company’s development pipeline also includes several early-stage programs.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2021, the Company acquired all outstanding shares of capital stock of BioArkive, Inc. (“BioArkive”), a California corporation, which as a result became a wholly owned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Immuneering, ISC and BioArkive are collectively referred to as the “Company” throughout these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2023, the Company completed an underwritten follow-on equity offering, pursuant to which it issued and sold 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Company has funded its operations through service revenues (which have since ceased), and with proceeds from the sale of its capital stock and convertible notes. The Company has incurred recurring losses over the past several years and as of December 31, 2023, the Company had an accumulated deficit of $163,258,578.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subsidiaries. All intercompany balances and transactions have been eliminated in consolidation.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consolidated financial statements include but are not limited to: the accrued research and development expenses, the determination of fair value of stock-based awards, and the impairment of goodwill and intangible assets. Actual results may differ materially and adversely from these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chief executive officer is the CODM, and he uses consolidated financial information in determining how to allocate resources and assess performance. The Company has determined that it operates in one segment.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deposits at major financial banking institutions and highly liquid investments with an original maturity of three months or less at the date of purchase.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gains/(losses) are included as a component of accumulated other comprehensive loss in the consolidated balance sheets and statements of stockholders’ equity and a component of total comprehensive loss in the consolidated statements of comprehensive loss, until realized.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marketable securities for impairment whenever the fair value of a marketable security is less than the amortized cost and evidence indicates that a marketable security’s carrying amount is not recoverable. Unrealized losses are evaluated for impairment under ASC 326, Financial Instruments - Credit Losses, to determine if the impairment is credit-related or noncredit-related. Credit-related impairment is recognized as an allowance on the balance sheet with a corresponding adjustment to earnings, and noncredit-related impairment is recognized in other comprehensive (loss) income, net of taxes. Evidence considered in this assessment includes reasons for the impairment, compliance with our investment policy, the severity of the impairment, collectability of the security, and any adverse conditions specifically related to the security, an industry, or geographic area.</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impairments of the Company’s available-for-sale marketable securities measured and carried at fair value during the year ended December 31, 2023. Realized gains and losses are included in other income, net on a specific-identification basis. There were no realized gains or losses on marketable securities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 inputs which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 pricing the asset or liability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little, if any, market activity for the asset or liability at the measurement date.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assets, which include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including both income and market based approaches, and observable market inputs to determine value. After completing our validation procedures, we did not adjust or override any fair value measurements provided by the pricing services as of December 31, 2023. Fair value information for these assets, including their classification in the fair value hierarchy is included in Note 4 Fair Value Measurements</w:t>
      </w:r>
      <w:r>
        <w:rPr>
          <w:rFonts w:ascii="Times New Roman" w:cs="Times New Roman" w:eastAsia="Times New Roman" w:hAnsi="Times New Roman"/>
          <w:sz w:val="18"/>
          <w:szCs w:val="18"/>
          <w:b w:val="1"/>
          <w:bCs w:val="1"/>
          <w:color w:val="auto"/>
        </w:rPr>
        <w: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year ended December 31, 2023. We evaluate transfers between levels at the end of each reporting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accounts receivable, accounts payable and accrued expenses approximate their respective fair values because of the short-term maturity of those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outstanding balances. We monitor the financial performance and creditworthiness of our customers so that we can properly assess and respond to changes in their credit profile. We reserve against these receivables for estimated losses that may arise from a customer’s inability to pay. Amounts determined to be uncollectible are charged or written-off against the reserve. At December 31, 2023 and 2022 there was no allowance for credit losses.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Financial instruments which potentially subject us to credit risk consist primarily of cash, cash equivalents, and marketable securities. We hold these investments in highly rated financial institutions, and, by policy, limit the amount of credit exposure at any one financial institution. These investments at times exceed federally insured limits. We have not experienced any credit losses in such accounts and do not believe we are exposed to any significant credit risk on the funds. We have no off-balance sheet concentrations of credit risk, such as foreign currency exchange contracts, option contracts, or other hedging arrangements.</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manage accounts receivable credit risk, the Company continuously evaluates the creditworthiness of its customers and the need for an allowance for potential credit losses. The Company has not experienced any losses in such accounts.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revenue in fiscal year 2023 due to the wind down of our computational biology professional services and completion of existing customer services contracts during the year ended December 31, 2022. As of December 31, 2023, there were no remaining accounts receivable or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 comprised 10% or more of the Company’s total accounts receivable or revenues as of or for the period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60" w:type="dxa"/>
            <w:vAlign w:val="bottom"/>
          </w:tcPr>
          <w:p>
            <w:pPr>
              <w:spacing w:after="0"/>
              <w:rPr>
                <w:sz w:val="16"/>
                <w:szCs w:val="16"/>
                <w:color w:val="auto"/>
              </w:rPr>
            </w:pPr>
          </w:p>
        </w:tc>
        <w:tc>
          <w:tcPr>
            <w:tcW w:w="268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540" w:type="dxa"/>
            <w:vAlign w:val="bottom"/>
            <w:gridSpan w:val="3"/>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15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6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Expenditures for major replacements and improvements are capitalized, while expenditures for general repairs and maintenance are expensed as incurred. Upon retirements or disposition of property and equipment, the related cost and accumulated depreciation are removed from the consolidated balance sheet and any resulting gain or loss is recorded in the consolidated statement of operations. Depreciation is calculated using the straight-line method once assets are placed in service.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6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9640" w:type="dxa"/>
            <w:vAlign w:val="bottom"/>
            <w:gridSpan w:val="2"/>
            <w:vMerge w:val="continue"/>
          </w:tcPr>
          <w:p>
            <w:pPr>
              <w:spacing w:after="0"/>
              <w:rPr>
                <w:sz w:val="16"/>
                <w:szCs w:val="16"/>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28"/>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years</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Periodically, 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(Topic 842) (“ASC 842”), a standard issued to increase transparency and comparability among organizations related to their leasing activities. This standard established a right-of-use model that requires the recognition of right-of-use assets and lease liabilities for most leases as well as provides disclosure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the leasing standard using the modified retrospective transition approach as of January 1, 2020, with no restatement of prior periods or cumulative adjustment to retained earnings.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to not recognize leases with an initial term of 12 months or less within its consolidated balance sheets, and to recognize those lease payments on a straight-line basis in its consolidated statements of operations over the lease term. The adoption of the leasing standard did not have an impact on the consolidated statement of operations.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 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as a single lease component. The Company’s leases are reflected in right-of-use assets and lease liabilities (current and non-current) in the consolidated balance sheets.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revenue is recognized when a customer obtains control of promised goods and services. The core principle of the standard is to recognize revenue to depict the transfer of promised goods or services to customers in an amount that reflects the consideration to which the Company expects to be entitled in exchange for those goods or services. To achieve that core principle, the Company applies the following five-step model:</w:t>
      </w:r>
    </w:p>
    <w:p>
      <w:pPr>
        <w:spacing w:after="0" w:line="139" w:lineRule="exact"/>
        <w:rPr>
          <w:sz w:val="20"/>
          <w:szCs w:val="20"/>
          <w:color w:val="auto"/>
        </w:rPr>
      </w:pPr>
    </w:p>
    <w:p>
      <w:pPr>
        <w:ind w:left="740" w:hanging="327"/>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the Company's historical services business (which has ceased), the Company’s contracts generally consist of the promise to provide computational biology professional services to pharmaceutical and biotechnology companies, which the Company concluded constitutes one performance obligation that is delivered over time. The transaction price is the amount of consideration to which the Company expects to be entitled in exchange for transferring the services to the customer. The Company’s services contracts provide for either agreed upon rates per hour based on the level of the professional working on the project or a fixed fee for a defined scope of work. The Company recognizes revenue over time by measuring the progress toward complete satisfaction of the performance obligation using a single method of measuring progress, which depicts the performance in transferring control of the associated services to the customer. The Company uses input methods to measure the progress toward the complete satisfaction of performance obligations and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services contract terms do not allow for a right of return or refund and do not contain significant financing components. Receivables associated with the contract will generally be collected within thirty to sixty days, in accordance with the underlying payment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2023, the Company did not enter or perform any services contracts.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income taxes in accordance with ASC Topic 740, Income Taxes. Deferred tax assets and liabilities are determined based on the difference between the financial reporting and tax bases of assets and liabilities using enacted tax rates and laws in effect in the years in which the differences are expected to reverse. A valuation allowance is provided if, based upon the weighted available evidence, it is more likely than not that some or all of the deferred tax assets will not be realized.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(i.e., unrecognized tax benefits) that are considered appropriate as well as the related net interest. </w:t>
      </w:r>
      <w:r>
        <w:rPr>
          <w:rFonts w:ascii="Times New Roman" w:cs="Times New Roman" w:eastAsia="Times New Roman" w:hAnsi="Times New Roman"/>
          <w:sz w:val="18"/>
          <w:szCs w:val="18"/>
          <w:color w:val="222222"/>
        </w:rPr>
        <w:t>As of December 31, 2023 and 2022, the Company had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uncertain tax positions of $699,527 and $541,067, respectively. The Company has classified the unrecognized tax benefits as reductions of its tax credit carryforwards.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expenses incurred in performing research and development activities, including salaries and benefits, materials and supplies, preclinical expenses, stock-based compensation expense, depreciation of equipment, contract services, and other outside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Manufacturing Contract Costs and Accruals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inside and outside of the United States. These agreements are generally cancelable, and related costs are recorded as 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Patent </w:t>
      </w:r>
      <w:r>
        <w:rPr>
          <w:rFonts w:ascii="Times New Roman" w:cs="Times New Roman" w:eastAsia="Times New Roman" w:hAnsi="Times New Roman"/>
          <w:sz w:val="18"/>
          <w:szCs w:val="18"/>
          <w:b w:val="1"/>
          <w:bCs w:val="1"/>
          <w:color w:val="000000"/>
        </w:rPr>
        <w:t>Costs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w:t>
      </w:r>
      <w:r>
        <w:rPr>
          <w:rFonts w:ascii="Times New Roman" w:cs="Times New Roman" w:eastAsia="Times New Roman" w:hAnsi="Times New Roman"/>
          <w:sz w:val="18"/>
          <w:szCs w:val="18"/>
          <w:b w:val="1"/>
          <w:bCs w:val="1"/>
          <w:color w:val="000000"/>
        </w:rPr>
        <w:t>prehensive Income (Loss)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loss as well as other changes in stockholders’ equity (deficit) that result from transactions and economic events other than those with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 in capital on a pro-rata basis when the Company completes offerings under the Sales Agreement. Any remaining deferred costs will be expensed to the statement of operations should the planned offering be abandoned. The Company had approximately $0.3 million and $0.3 million of deferred offering costs as of December 31,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Income (Loss)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only has one class of shares outstanding and 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stock awards. For periods in which the Company reports a net loss, diluted net loss per common share is the same as basic net loss per common share, since dilutive common shares are not assumed to have been issued if their effect is anti-dilutive. The Company reported a net loss attributable to common stockholders for each of the years ended December 31, 2023 and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issues stock-based awards to employees and nonemployees in 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options is estimated on the grant date using the Black-Scholes option-pricing model (“Black-Scholes”). Black-Scholes requires the Company to make assumptions and judgments about the variables used in the calculation including the expected term of its stock option, the volatility of the Company’s common stock, and an assumed risk-free interest rate. The Company uses the simplified calculation of expected life and volatility, which is based on an average of the historical volatility of a group of publicly traded companies in a similar industry that the Company believes would be considered a peer group had it been a publicly held company for the duration of the expected life of the award.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judgement.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there had been no public market for the Company’s common stock prior to the IPO, the estimated fair value of its common stock prior to the IPO was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Each valuation methodology included estimates and assumptions that required the Company’s judgment. These estimates and assumptions included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fair value of the acquiree over the recognized bases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 capitalization has declined, which may be an indicator of impairment. The Company will continue to assess the impact of its market capitalization and any other indicators of potential impairment. It is possible that if the Company’s market capitalization decline is more than temporary, or if other indicators of impairment are identified, an interim impairment analysis may be necessary, which could result in an impairment of goodwill, intangible assets and other long-lived assets in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test is performed at least annually, or more frequently if events or changes in circumstances indicate that the asset might be impaired.</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test during the fourth quarter of each fiscal year. There were no impairments during the years ended December 31, 2023 or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recognized at fair value, as an asset apart from goodwill if the asset (i) arises from contractual or other legal rights, or (ii) is separable.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principally representing technology acquired, are capitalized and amortized on the straight-line method over their expected useful lives.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(including amortizable intangible assets), other than goodwill, when events or changes in circumstances occur that indicate that the carrying value of the asset may not be recoverable.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Measurement of Credit Losses on Financial Statements ("ASU 2016-13").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became effective for the Company on January 1, 2023. The Company adopted this effective January 1, 2023 and there was no material impact to the consolidated financial statements.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2017, the FASB issued ASU No. 2017-04, Intangibles - Goodwill and Other (Topic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adopted this effective January 1, 2023 and there was no impact to the consolidated financial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(“ASU 2023-07”). The guidance in ASU 2023-07 expands prior reportable segment disclosure requirements by requiring entities to disclose significant segment expenses that are regularly provided to the Chief Operating Decision Maker (“CODM”) and details of how the CODM uses financial reporting to assess their segment’s performance. The guidance is effective for fiscal years, and interim periods within those fiscal years, beginning after December 15, 2023, with early adoption permitted. The Company is currently evaluating the impact that the adoption of ASU 2023-07 may have on its consolidated financial statements.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guidance in ASU 2023-09 improves the transparency of income tax disclosures by greater disaggregation of information in the rate reconciliation and income taxes paid disaggregated by jurisdiction. The standard is effective for public companies for fiscal years beginning after December 15, 2024, with early adoption permitted. The Company is currently evaluating the impact that the adoption of ASU 2023-09 may have on its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 consisted of the following as of December 31, 2023 and 2022, respectively: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2,989,890</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15,342,582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15,340,568</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7,928,122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7,929,410</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26,260,164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26,259,868</w:t>
            </w:r>
          </w:p>
        </w:tc>
      </w:tr>
      <w:tr>
        <w:trPr>
          <w:trHeight w:val="21"/>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20"/>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12,986,424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12,960,775</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8,084,107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8,073,185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11,847,902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11,854,010</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32,918,433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32,887,970</w:t>
            </w:r>
          </w:p>
        </w:tc>
      </w:tr>
    </w:tbl>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 (losses) are included as a component of accumulated other comprehensive loss in the consolidated balance sheets and statements of stockholders’ equity and a component of total comprehensive loss in the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years ended December 31, 2023 and 2022. Realized gains and losses are included in other income (expense).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marketable securities portfolio contains investments in U.S. Treasury, other U.S. government-backed securities, and commercial paper. We review our portfolio based on the underlying risk profile of the securities and we don't expect there to be a loss on these investments. We also regularly review the securities in an unrealized loss position and evaluate the current expected credit loss by considering factors such as historical experience, market data, issuer-specific factors, and current economic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we recognized no year-to-date credit loss related to our short-term investments, and had no allowance for credit loss recorded as of December 31, 2023 and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December 31, 2023 and 2022,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3,488,205</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50,122,883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50,122,883</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2,494,670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2,494,670</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2,981,550</w:t>
            </w:r>
          </w:p>
        </w:tc>
      </w:tr>
      <w:tr>
        <w:trPr>
          <w:trHeight w:val="223"/>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53,611,088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5,476,220</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59,087,308</w:t>
            </w: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2,989,890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2,989,890</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15,340,568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15,340,568</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7,929,410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7,929,410</w:t>
            </w:r>
          </w:p>
        </w:tc>
      </w:tr>
      <w:tr>
        <w:trPr>
          <w:trHeight w:val="223"/>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23,269,978</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26,259,868</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56,600,978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28,746,198</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85,347,176</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19,118,892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19,118,892</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2,742,025</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1,249,575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1,249,575</w:t>
            </w:r>
          </w:p>
        </w:tc>
      </w:tr>
      <w:tr>
        <w:trPr>
          <w:trHeight w:val="22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19,118,892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3,991,600</w:t>
            </w:r>
          </w:p>
        </w:tc>
        <w:tc>
          <w:tcPr>
            <w:tcW w:w="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23,110,492</w:t>
            </w:r>
          </w:p>
        </w:tc>
      </w:tr>
      <w:tr>
        <w:trPr>
          <w:trHeight w:val="250"/>
        </w:trPr>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12,960,775</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8,073,185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8,073,185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11,854,010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11,854,010</w:t>
            </w:r>
          </w:p>
        </w:tc>
      </w:tr>
      <w:tr>
        <w:trPr>
          <w:trHeight w:val="22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19,927,195</w:t>
            </w:r>
          </w:p>
        </w:tc>
        <w:tc>
          <w:tcPr>
            <w:tcW w:w="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32,887,970</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32,079,667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23,918,795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55,998,462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and we had no financial assets or liabilities that were classified as Level 3 at any point during the years ended December 31, 2023 and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5"/>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437,346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970,374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(418,337)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$322,816 and $247,199 for the years ended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5"/>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3,631,082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200,000,000 authorized shares of Class A common stock, $0.001 par value per share as of December 31, 2023 and December 31, 2022 of which 29,271,629 and 26,418,732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20,000,000 authorized shares of Class B common stock, $0.001 par value per share as of December 31, 2023 and December 31, 2022,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2022, the Company also entered into the Sales Agreement with the Sales Agent to sell shares of the Company’s Class A common stock, par value $0.001 per share, with aggregate gross sales proceeds of up to $50 million, from time to time, through an “at the market” equity offering program (the “ATM Program”) under the 2022 Shelf Registration Statement. Subject to the terms and conditions of the Sales Agreement, the Sales Agent may sell the shares by methods deemed to be an “at the market offering” as defined in Rule 415 promulgated under the Securities Act, including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made through the Nasdaq Global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Issuance costs incurred related to the Sales Agreement are classified as long-term assets on the balance sheet at December 31, 2023. The Company had approximately $0.3 million of deferred offering costs as of both December 31, 2023 and December 31, 2022. No shares were sold pursuant to the ATM Program during the years ended December 31, 2023 or December 31, 2022,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2023, the Company completed an underwritten follow-on equity offering, pursuant to which it issued and sold 2,727,273 shares of its Class A common stock, $0.001 par value per share, at an offering price of $11.00 per share under the 2022 Shelf Registration Statement. The aggregate net proceeds received by the Company from the offering were $28,200,003, after deducting underwriting discounts and commissions, but before deducting offering costs payable by the Company of $203,768.</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 Attributable to Common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at December 31, 2023 and December 31, 2022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(53,471,622)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(50,513,568)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 basic and diluted: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28,416,558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26,386,864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potentially dilutive securities that have been excluded from the calculation of diluted net loss per share because to include them would be anti-dilutive (in common stock equivalent shares) at December 31, 2023 and December 31,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5,496,397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3,559,041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equivalents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5,496,397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3,559,041</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December 31, 2023, the maximum number of shares available for issuance under the Incentive Plan was 2,825,173 shares. Upon the effectiveness of the Company’s 2021 Incentive Award Plan (the “2021 Plan”), the Company ceased granting awards under the Incentive Plan. However, the Incentive Plan continues to govern awards outstanding thereunder.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December 31, 2023, there were 1,546,979 shares available for future issuance under the 2021 Plan.</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December 31, 2023, there were 777,389 shares of common stock reserved for future issuance under the 2021 ESPP and no shares had been granted or purchased under the 2021 ESPP.</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December 31, 2022, the Company recognized stock-based compensation expense of $5,727,135 and $4,064,446, respectively. As of December 31, 2023, compensation expense remaining to be recognized for outstanding stock options was $11,188,798 and to be recognized over a weighted-average period of 2.53 years.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options granted is calculated on the grant date using the Black-Scholes option valuation model. Prior to the Company's IPO on August 3, 2021, the Company was 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 For the year ended December 31, 2023, the Company granted 2,411,610 shares of stock options at a weighted-average grant date fair value of $5.41. For the year ended December 31, 2022, the Company granted 1,227,810 shares at a weighted-average grant date fair value of $9.83.</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its application of the Black-Scholes option pricing model for grants during the year ended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7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180" w:type="dxa"/>
            <w:vAlign w:val="bottom"/>
          </w:tcPr>
          <w:p>
            <w:pPr>
              <w:spacing w:after="0"/>
              <w:rPr>
                <w:sz w:val="2"/>
                <w:szCs w:val="2"/>
                <w:color w:val="auto"/>
              </w:rPr>
            </w:pPr>
          </w:p>
        </w:tc>
        <w:tc>
          <w:tcPr>
            <w:tcW w:w="5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90"/>
        </w:trPr>
        <w:tc>
          <w:tcPr>
            <w:tcW w:w="41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41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5140" w:type="dxa"/>
            <w:vAlign w:val="bottom"/>
            <w:gridSpan w:val="2"/>
            <w:shd w:val="clear" w:color="auto" w:fill="CCEEFF"/>
          </w:tcPr>
          <w:p>
            <w:pPr>
              <w:jc w:val="center"/>
              <w:ind w:left="3250"/>
              <w:spacing w:after="0"/>
              <w:rPr>
                <w:sz w:val="20"/>
                <w:szCs w:val="20"/>
                <w:color w:val="auto"/>
              </w:rPr>
            </w:pPr>
            <w:r>
              <w:rPr>
                <w:rFonts w:ascii="Times New Roman" w:cs="Times New Roman" w:eastAsia="Times New Roman" w:hAnsi="Times New Roman"/>
                <w:sz w:val="18"/>
                <w:szCs w:val="18"/>
                <w:color w:val="auto"/>
                <w:w w:val="99"/>
              </w:rPr>
              <w:t>3.46% - 4.80%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 - 4.15%</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140" w:type="dxa"/>
            <w:vAlign w:val="bottom"/>
            <w:gridSpan w:val="2"/>
          </w:tcPr>
          <w:p>
            <w:pPr>
              <w:jc w:val="center"/>
              <w:ind w:left="3230"/>
              <w:spacing w:after="0"/>
              <w:rPr>
                <w:sz w:val="20"/>
                <w:szCs w:val="20"/>
                <w:color w:val="auto"/>
              </w:rPr>
            </w:pPr>
            <w:r>
              <w:rPr>
                <w:rFonts w:ascii="Times New Roman" w:cs="Times New Roman" w:eastAsia="Times New Roman" w:hAnsi="Times New Roman"/>
                <w:sz w:val="18"/>
                <w:szCs w:val="18"/>
                <w:color w:val="auto"/>
                <w:w w:val="98"/>
              </w:rPr>
              <w:t>5.00 - 10.00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5.00 - 10.00</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140" w:type="dxa"/>
            <w:vAlign w:val="bottom"/>
            <w:gridSpan w:val="2"/>
            <w:shd w:val="clear" w:color="auto" w:fill="CCEEFF"/>
          </w:tcPr>
          <w:p>
            <w:pPr>
              <w:jc w:val="center"/>
              <w:ind w:left="325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40" w:type="dxa"/>
            <w:vAlign w:val="bottom"/>
            <w:gridSpan w:val="2"/>
          </w:tcPr>
          <w:p>
            <w:pPr>
              <w:jc w:val="center"/>
              <w:ind w:left="3230"/>
              <w:spacing w:after="0"/>
              <w:rPr>
                <w:sz w:val="20"/>
                <w:szCs w:val="20"/>
                <w:color w:val="auto"/>
              </w:rPr>
            </w:pPr>
            <w:r>
              <w:rPr>
                <w:rFonts w:ascii="Times New Roman" w:cs="Times New Roman" w:eastAsia="Times New Roman" w:hAnsi="Times New Roman"/>
                <w:sz w:val="18"/>
                <w:szCs w:val="18"/>
                <w:color w:val="auto"/>
                <w:w w:val="99"/>
              </w:rPr>
              <w:t>64.86% - 70.50%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64.67% - 78.12%</w:t>
            </w:r>
          </w:p>
        </w:tc>
      </w:tr>
      <w:tr>
        <w:trPr>
          <w:trHeight w:val="900"/>
        </w:trPr>
        <w:tc>
          <w:tcPr>
            <w:tcW w:w="4180" w:type="dxa"/>
            <w:vAlign w:val="bottom"/>
          </w:tcPr>
          <w:p>
            <w:pPr>
              <w:spacing w:after="0"/>
              <w:rPr>
                <w:sz w:val="24"/>
                <w:szCs w:val="24"/>
                <w:color w:val="auto"/>
              </w:rPr>
            </w:pPr>
          </w:p>
        </w:tc>
        <w:tc>
          <w:tcPr>
            <w:tcW w:w="332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136</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8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0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3,559,041</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2,411,610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5.41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(125,624)</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(348,630)</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8.10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5,496,397</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11,556,739</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2,874,152</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7,377,923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share-based compensation expense on the accompanying consolidated statements of operations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1,978,169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2,076,574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5,727,135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4,064,446</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effect of applying the federal statutory rate to the net loss and the effective income tax rate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research and development credits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9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components and tax effects of each type of item that gave rise to the net deferred tax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1,059,866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6,758,291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4,146,850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19,095,948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20,842,910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43,664,555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32,818,336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(43,274,909)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(32,039,948)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778,388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deducted for tax</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depreciation in excess of book</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(778,388)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net operating losses (“NOL”) generated in tax years ended after December 31, 2017 are limited to 80% of taxable income, only carried forward and carried forward indefinitely under the Internal Revenue Code of 1986, as amended (the “IRC”). The Company recorded a deferred tax liability of $304,485 on the acquisition of BioArkive. It had pre-existing deferred tax assets for which there was a full valuation allowance. As a result of the taxable temporary differences recognized in the business combination, the Company released $304,485 of its valuation allowance and recognized the income tax benefit in the income statement at the acquisition date in accordance with ASC Topic 740, Income Taxes ("ASC 740"). There was no income tax expense or benefit in 2023. The Company has provided a valuation allowance for the full amount of the net deferred tax assets as, based on all available evidence, it is considered more likely than not that all the recorded deferred tax assets will not be realized in a future period. At December 31, 2023, the Company has federal and state NOLs of $75,737,889 and $42,123,069, respectively, all generated after the tax year ended December 31, 2017. At December 31, 2023, the Company has federal and state research and development credit carryforwards of $5,845,815 and $1,149,466, respectively, that start to expire beginning in 2026.</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has not yet achieved profitable operations, management believes the tax benefits as of December 31, 2023 did not satisfy the realization criteria set forth in ASC 740 and, therefore, has recorded a full valuation allowance for the entire deferred tax asset. The valuation allowance increased in 2023 by $11,234,961 due to the increase in the deferred tax assets by the same amount, primarily due to NOL and research and development expenses.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Utilization of the U.S. net operating loss carryforwards and research and development tax credit carryforwards may be subject to a substantial annual limitation under Section 382 of the IRC,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uncertain tax positions of $699,527 and $541,067, respectively. The Company has classified the unrecognized tax benefits as reductions of its tax carryforwards. The Company has elected to recognize interest and penalties related to income tax matters as a component of income tax expense, of which no interest or penalties were recorded for the years ended December 31, 2023 and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unrecognized tax benefits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380,902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tax position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160,165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United States including California, New York, Pennsylvania, Massachusetts and Texas. All tax years from 2017 to 2023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to its knowledge currently under examination by the IRS or in any other jurisdictions for any tax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Company subsequently entered into a sublease of the Via Frontera Lease, the term of which commenced in March 2022. The lease and sublease terminated on October 1, 2023. The lease termination was accounted for as a lease modification which reduces the term of the existing lease and the Company adjusted the value of its right-of-use asset and operating lease liability by $347,739 using an incremental borrowing rate of approximately 6%. The sublease income was accounted for as a reduction of rent expense in the statement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modification is reflected as a non-cash operating activity in the statement of cash flows for the year ended December 31, 2023.</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BioArkive acquisition, the Company assumed the obligations of three leases in San Diego, California. One is for 38,613 square feet of office and laboratory space, under a lease that terminates on April 30, 2032, the second was for a 6,100 square feet of office and laboratory space under a lease that terminated on December 31, 2022 (and that was not renewed), and the third is for a lease for 4,760 square feet of office and laboratory space under a lease that terminates on March 31, 2024. As a result, the Company recorded right-to-use assets and lease liabilities of $4,824,700 on the acquisition date of December 22, 2021.</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also leases office space in Cambridge, Massachusetts and New York, New York, pursuant to short-term arrangements. The Cambridge lease is on a month-to-month basis, requiring one month’s notice before termination. The New York lease was renewed on January 16, 2024 to extend the lease term until August 31, 2024. The Company also previously leased office space in San Francisco, California, pursuant to a short-term rental arrangement with a lease term that ended on July 31, 2023 and the Company chose not to renew. These lease agreements include or included payments for lease and non-lease components. The Company has elected to not separate such components and these payments were recognized as rent expense.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total future minimum lease payments for its short-term leases in Cambridge, Massachusetts and New York, New York were $54,340 due in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December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732,546</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739,689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784,737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2,874,231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6,701,358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2,238,399</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4,462,959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lease liabilities</w:t>
            </w: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300,107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4,162,852</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4,462,959</w:t>
            </w:r>
          </w:p>
        </w:tc>
        <w:tc>
          <w:tcPr>
            <w:tcW w:w="0" w:type="dxa"/>
            <w:vAlign w:val="bottom"/>
          </w:tcPr>
          <w:p>
            <w:pPr>
              <w:spacing w:after="0"/>
              <w:rPr>
                <w:sz w:val="1"/>
                <w:szCs w:val="1"/>
                <w:color w:val="auto"/>
              </w:rPr>
            </w:pPr>
          </w:p>
        </w:tc>
      </w:tr>
      <w:tr>
        <w:trPr>
          <w:trHeight w:val="20"/>
        </w:trPr>
        <w:tc>
          <w:tcPr>
            <w:tcW w:w="9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Quantitative information regarding the Company’s leases for the year ended December 31, 2023 and 2022 is as follows:</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96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876,795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1,002,989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282,775</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(147,930)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(178,620)</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939,767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1,107,144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843,463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609,790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210,902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282,775</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1,054,365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892,565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8.32 years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9.16 years</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Research Contracts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contracts in the normal course of business with contract research organizations for clinical trials, with contract manufacturing organizations for clinical supplies, and with other vendors for preclinical studies, supplies and other services for the Company's operating purposes. These contracts generally provide for termination with a 30-day notice.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is our principal executive officer) and our Chief Accounting Officer and Treasurer (who is our principal financial officer), evaluated the effectiveness of our disclosure controls and procedures (as defined in Rules 13a-15(e) and 15d-15(e) under the Exchange Act) as of December 31, 2023. Based on this evaluation, our Chief Executive Officer and Chief Accounting Officer and Treasurer concluded that, as of December 31, 2023,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fourth quarter of 2023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Exchange Act) of the Company adopted or terminated a “Rule 10b5-1 trading arrangement” or “non-Rule 10b5-1 trading arrangement”, as each term is defined in Item 408(a)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including information regarding securities authorized for issuance under equity compensation plans pursuant to Item5(a), Part II of Form 10-K, will be included in our Definitive Proxy Statement to be filed with the SEC with respect to our 2024 Annual Meeting of Stockholders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Consolidated Financial Statements in this Annual Report on Form 10-K, incorporated into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in Item 15(b)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EXHIBIT INDEX</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20" w:type="dxa"/>
            <w:vAlign w:val="bottom"/>
            <w:tcBorders>
              <w:bottom w:val="single" w:sz="8" w:color="auto"/>
            </w:tcBorders>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3"/>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3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vMerge w:val="continue"/>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4"/>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0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Share Purchase Agreement by and among Immuneering Corporation,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2.1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12/22/2021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BioArkive, Inc. and BioArkive’s shareholders, dated as of December</w:t>
              </w:r>
            </w:hyperlink>
          </w:p>
        </w:tc>
        <w:tc>
          <w:tcPr>
            <w:tcW w:w="600" w:type="dxa"/>
            <w:vAlign w:val="bottom"/>
            <w:tcBorders>
              <w:bottom w:val="single" w:sz="8" w:color="0000FF"/>
            </w:tcBorders>
            <w:gridSpan w:val="15"/>
          </w:tcPr>
          <w:p>
            <w:pPr>
              <w:jc w:val="right"/>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22, 2021</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Amended and Restated Certificate of Incorporation of Immuneering</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09/09/2021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4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Corporation</w:t>
              </w:r>
            </w:hyperlink>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39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Amended and Restated Bylaws of Immuneering Corporation</w:t>
              </w:r>
            </w:hyperlink>
          </w:p>
        </w:tc>
        <w:tc>
          <w:tcPr>
            <w:tcW w:w="1300" w:type="dxa"/>
            <w:vAlign w:val="bottom"/>
            <w:gridSpan w:val="23"/>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02/02/2024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34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Form of Specimen Stock Certificate</w:t>
              </w:r>
            </w:hyperlink>
          </w:p>
        </w:tc>
        <w:tc>
          <w:tcPr>
            <w:tcW w:w="2900" w:type="dxa"/>
            <w:vAlign w:val="bottom"/>
            <w:gridSpan w:val="31"/>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Amended and Restated Investors’ Rights Agreement, dated December 21, 2020,</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by and among the Registrant and the other parties thereto.</w:t>
              </w:r>
            </w:hyperlink>
          </w:p>
        </w:tc>
        <w:tc>
          <w:tcPr>
            <w:tcW w:w="1440" w:type="dxa"/>
            <w:vAlign w:val="bottom"/>
            <w:tcBorders>
              <w:top w:val="single" w:sz="8" w:color="0000FF"/>
            </w:tcBorders>
            <w:gridSpan w:val="23"/>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Description of Securities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4.3</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3/10/2022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Employment Agreement, dated July 23, 2021, by and between Brett Hall, Ph.D.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10.6</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180" w:type="dxa"/>
            <w:vAlign w:val="bottom"/>
            <w:tcBorders>
              <w:top w:val="single" w:sz="8" w:color="0000FF"/>
            </w:tcBorders>
            <w:gridSpan w:val="40"/>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and Immuneering Corporation</w:t>
              </w:r>
            </w:hyperlink>
          </w:p>
        </w:tc>
        <w:tc>
          <w:tcPr>
            <w:tcW w:w="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Employment Agreement, dated July 23, 2021, by and between Scott Barrett,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10.7</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M.D. and Immuneering Corporation</w:t>
              </w:r>
            </w:hyperlink>
          </w:p>
        </w:tc>
        <w:tc>
          <w:tcPr>
            <w:tcW w:w="2580" w:type="dxa"/>
            <w:vAlign w:val="bottom"/>
            <w:tcBorders>
              <w:top w:val="single" w:sz="8" w:color="0000FF"/>
            </w:tcBorders>
            <w:gridSpan w:val="2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Employment Agreement, dated July 23, 2021, by and between Benjamin J.</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10.8</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86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Zeskind, Ph.D. and Immuneering Corporation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240" w:type="dxa"/>
            <w:vAlign w:val="bottom"/>
            <w:gridSpan w:val="42"/>
          </w:tcPr>
          <w:p>
            <w:pPr>
              <w:spacing w:after="0"/>
              <w:rPr>
                <w:sz w:val="20"/>
                <w:szCs w:val="20"/>
                <w:color w:val="auto"/>
              </w:rPr>
            </w:pPr>
            <w:r>
              <w:rPr>
                <w:rFonts w:ascii="Times New Roman" w:cs="Times New Roman" w:eastAsia="Times New Roman" w:hAnsi="Times New Roman"/>
                <w:sz w:val="16"/>
                <w:szCs w:val="16"/>
                <w:color w:val="0000FF"/>
              </w:rPr>
              <w:t>Employment Agreement, dated July 23, 2021, by and between Mallory Morales</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180" w:type="dxa"/>
            <w:vAlign w:val="bottom"/>
            <w:tcBorders>
              <w:top w:val="single" w:sz="8" w:color="0000FF"/>
            </w:tcBorders>
            <w:gridSpan w:val="40"/>
          </w:tcPr>
          <w:p>
            <w:pPr>
              <w:spacing w:after="0" w:line="142" w:lineRule="exact"/>
              <w:rPr>
                <w:sz w:val="20"/>
                <w:szCs w:val="20"/>
                <w:color w:val="auto"/>
              </w:rPr>
            </w:pPr>
            <w:r>
              <w:rPr>
                <w:rFonts w:ascii="Times New Roman" w:cs="Times New Roman" w:eastAsia="Times New Roman" w:hAnsi="Times New Roman"/>
                <w:sz w:val="16"/>
                <w:szCs w:val="16"/>
                <w:color w:val="0000FF"/>
              </w:rPr>
              <w:t>and Immuneering Corporation</w:t>
            </w:r>
          </w:p>
        </w:tc>
        <w:tc>
          <w:tcPr>
            <w:tcW w:w="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Letter Agreement, by and between Immuneering Corporation and Mallory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07/25/2022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Morales, dated as of July 25, 2022</w:t>
              </w:r>
            </w:hyperlink>
          </w:p>
        </w:tc>
        <w:tc>
          <w:tcPr>
            <w:tcW w:w="260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5240" w:type="dxa"/>
            <w:vAlign w:val="bottom"/>
            <w:gridSpan w:val="42"/>
          </w:tcPr>
          <w:p>
            <w:pPr>
              <w:spacing w:after="0"/>
              <w:rPr>
                <w:sz w:val="20"/>
                <w:szCs w:val="20"/>
                <w:color w:val="auto"/>
              </w:rPr>
            </w:pPr>
            <w:r>
              <w:rPr>
                <w:rFonts w:ascii="Times New Roman" w:cs="Times New Roman" w:eastAsia="Times New Roman" w:hAnsi="Times New Roman"/>
                <w:sz w:val="16"/>
                <w:szCs w:val="16"/>
                <w:color w:val="0000FF"/>
              </w:rPr>
              <w:t>Letter Agreement, dated June 14, 2023, by and between Mallory Morales and</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Immuneering Corporation</w:t>
            </w:r>
          </w:p>
        </w:tc>
        <w:tc>
          <w:tcPr>
            <w:tcW w:w="3340" w:type="dxa"/>
            <w:vAlign w:val="bottom"/>
            <w:tcBorders>
              <w:top w:val="single" w:sz="8" w:color="0000FF"/>
            </w:tcBorders>
            <w:gridSpan w:val="30"/>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Separation Agreement and Release, by and between Scott Barrett and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11/09/2023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Immuneering Corporation, dated November 8, 2023</w:t>
              </w:r>
            </w:hyperlink>
          </w:p>
        </w:tc>
        <w:tc>
          <w:tcPr>
            <w:tcW w:w="1120" w:type="dxa"/>
            <w:vAlign w:val="bottom"/>
            <w:tcBorders>
              <w:top w:val="single" w:sz="8" w:color="0000FF"/>
            </w:tcBorders>
            <w:gridSpan w:val="7"/>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5240" w:type="dxa"/>
            <w:vAlign w:val="bottom"/>
            <w:gridSpan w:val="42"/>
          </w:tcPr>
          <w:p>
            <w:pPr>
              <w:spacing w:after="0"/>
              <w:rPr>
                <w:sz w:val="20"/>
                <w:szCs w:val="20"/>
                <w:color w:val="auto"/>
              </w:rPr>
            </w:pPr>
            <w:r>
              <w:rPr>
                <w:rFonts w:ascii="Times New Roman" w:cs="Times New Roman" w:eastAsia="Times New Roman" w:hAnsi="Times New Roman"/>
                <w:sz w:val="16"/>
                <w:szCs w:val="16"/>
                <w:color w:val="0000FF"/>
              </w:rPr>
              <w:t>Employment Agreement, dated March 24, 2023, by and between Harold E.</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76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Brakewood and Immuneering Corporation</w:t>
            </w:r>
          </w:p>
        </w:tc>
        <w:tc>
          <w:tcPr>
            <w:tcW w:w="212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Immuneering Corporation 2008 Stock Incentive Plan and form of option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98">
              <w:r>
                <w:rPr>
                  <w:rFonts w:ascii="Times New Roman" w:cs="Times New Roman" w:eastAsia="Times New Roman" w:hAnsi="Times New Roman"/>
                  <w:sz w:val="16"/>
                  <w:szCs w:val="16"/>
                  <w:color w:val="0000FF"/>
                  <w:w w:val="99"/>
                </w:rPr>
                <w:t>agreement thereunder.</w:t>
              </w:r>
            </w:hyperlink>
          </w:p>
        </w:tc>
        <w:tc>
          <w:tcPr>
            <w:tcW w:w="3260" w:type="dxa"/>
            <w:vAlign w:val="bottom"/>
            <w:tcBorders>
              <w:top w:val="single" w:sz="8" w:color="0000FF"/>
            </w:tcBorders>
            <w:gridSpan w:val="2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Immuneering Corporation Long Term Incentive Plan and form of option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10.5</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agreement thereunder.</w:t>
              </w:r>
            </w:hyperlink>
          </w:p>
        </w:tc>
        <w:tc>
          <w:tcPr>
            <w:tcW w:w="3240" w:type="dxa"/>
            <w:vAlign w:val="bottom"/>
            <w:tcBorders>
              <w:top w:val="single" w:sz="8" w:color="0000FF"/>
            </w:tcBorders>
            <w:gridSpan w:val="2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Immuneering Corporation 2021 Incentive Award Plan and forms of award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10.10</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80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agreements thereunder.</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Immuneering Corporation 2021 Employee Stock Purchase Plan.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Equity Distribution Agreement, dated as of August 10, 2022, by and between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333-266738</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8/10/2022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2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Immuneering Corporation and Piper Sandler &amp; Co.</w:t>
              </w:r>
            </w:hyperlink>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Form of Indemnification Agreement by and among the Registrant and its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03">
              <w:r>
                <w:rPr>
                  <w:rFonts w:ascii="Times New Roman" w:cs="Times New Roman" w:eastAsia="Times New Roman" w:hAnsi="Times New Roman"/>
                  <w:sz w:val="16"/>
                  <w:szCs w:val="16"/>
                  <w:color w:val="0000FF"/>
                  <w:w w:val="99"/>
                </w:rPr>
                <w:t>directors and officers.</w:t>
              </w:r>
            </w:hyperlink>
          </w:p>
        </w:tc>
        <w:tc>
          <w:tcPr>
            <w:tcW w:w="3320" w:type="dxa"/>
            <w:vAlign w:val="bottom"/>
            <w:tcBorders>
              <w:top w:val="single" w:sz="8" w:color="0000FF"/>
            </w:tcBorders>
            <w:gridSpan w:val="25"/>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5240" w:type="dxa"/>
            <w:vAlign w:val="bottom"/>
            <w:gridSpan w:val="42"/>
          </w:tcPr>
          <w:p>
            <w:pPr>
              <w:spacing w:after="0"/>
              <w:rPr>
                <w:sz w:val="20"/>
                <w:szCs w:val="20"/>
                <w:color w:val="auto"/>
              </w:rPr>
            </w:pPr>
            <w:r>
              <w:rPr>
                <w:rFonts w:ascii="Times New Roman" w:cs="Times New Roman" w:eastAsia="Times New Roman" w:hAnsi="Times New Roman"/>
                <w:sz w:val="16"/>
                <w:szCs w:val="16"/>
                <w:color w:val="0000FF"/>
              </w:rPr>
              <w:t>Immuneering Corporation Non-Employee Director Compensation Program, as</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amended, effective January 1, 2024</w:t>
            </w:r>
          </w:p>
        </w:tc>
        <w:tc>
          <w:tcPr>
            <w:tcW w:w="2800" w:type="dxa"/>
            <w:vAlign w:val="bottom"/>
            <w:tcBorders>
              <w:top w:val="single" w:sz="8" w:color="0000FF"/>
            </w:tcBorders>
            <w:gridSpan w:val="29"/>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Lease Agreement, by and between BioArkive, Inc. and Thornmint 13, LLC,</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12/22/2021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204">
              <w:r>
                <w:rPr>
                  <w:rFonts w:ascii="Times New Roman" w:cs="Times New Roman" w:eastAsia="Times New Roman" w:hAnsi="Times New Roman"/>
                  <w:sz w:val="16"/>
                  <w:szCs w:val="16"/>
                  <w:color w:val="0000FF"/>
                  <w:w w:val="99"/>
                </w:rPr>
                <w:t>dated as of July 22, 2021</w:t>
              </w:r>
            </w:hyperlink>
          </w:p>
        </w:tc>
        <w:tc>
          <w:tcPr>
            <w:tcW w:w="3300" w:type="dxa"/>
            <w:vAlign w:val="bottom"/>
            <w:tcBorders>
              <w:top w:val="single" w:sz="8" w:color="0000FF"/>
            </w:tcBorders>
            <w:gridSpan w:val="28"/>
          </w:tcPr>
          <w:p>
            <w:pPr>
              <w:spacing w:after="0"/>
              <w:rPr>
                <w:sz w:val="12"/>
                <w:szCs w:val="12"/>
                <w:color w:val="auto"/>
              </w:rPr>
            </w:pPr>
          </w:p>
        </w:tc>
        <w:tc>
          <w:tcPr>
            <w:tcW w:w="180" w:type="dxa"/>
            <w:vAlign w:val="bottom"/>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Underwriting Agreement, dated as of April 18, 2023, by and among</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04/19/2023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5240" w:type="dxa"/>
            <w:vAlign w:val="bottom"/>
            <w:gridSpan w:val="42"/>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Immuneering Corporation, Jefferies LLC, Cowen and Company, LLC and</w:t>
              </w:r>
            </w:hyperlink>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82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Guggenheim Securities, LLC</w:t>
              </w:r>
            </w:hyperlink>
          </w:p>
        </w:tc>
        <w:tc>
          <w:tcPr>
            <w:tcW w:w="80" w:type="dxa"/>
            <w:vAlign w:val="bottom"/>
            <w:gridSpan w:val="4"/>
          </w:tcPr>
          <w:p>
            <w:pPr>
              <w:spacing w:after="0"/>
              <w:rPr>
                <w:sz w:val="12"/>
                <w:szCs w:val="12"/>
                <w:color w:val="auto"/>
              </w:rPr>
            </w:pPr>
          </w:p>
        </w:tc>
        <w:tc>
          <w:tcPr>
            <w:tcW w:w="200" w:type="dxa"/>
            <w:vAlign w:val="bottom"/>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0" w:type="dxa"/>
            <w:vAlign w:val="bottom"/>
            <w:gridSpan w:val="2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5240" w:type="dxa"/>
            <w:vAlign w:val="bottom"/>
            <w:gridSpan w:val="42"/>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Subsidiaries of Immuneering Corporation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21.1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03/10/2022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700" w:type="dxa"/>
            <w:vAlign w:val="bottom"/>
            <w:gridSpan w:val="13"/>
            <w:shd w:val="clear" w:color="auto" w:fill="0000FF"/>
          </w:tcPr>
          <w:p>
            <w:pPr>
              <w:spacing w:after="0" w:line="20" w:lineRule="exact"/>
              <w:rPr>
                <w:sz w:val="1"/>
                <w:szCs w:val="1"/>
                <w:color w:val="auto"/>
              </w:rPr>
            </w:pPr>
          </w:p>
        </w:tc>
        <w:tc>
          <w:tcPr>
            <w:tcW w:w="2200" w:type="dxa"/>
            <w:vAlign w:val="bottom"/>
            <w:gridSpan w:val="2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490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Consent of RSM US LLP, Independent Registered Public Accounting Firm</w:t>
            </w:r>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510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1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40" w:type="dxa"/>
            <w:vAlign w:val="bottom"/>
            <w:tcBorders>
              <w:bottom w:val="single" w:sz="8" w:color="auto"/>
            </w:tcBorders>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3"/>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430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0" w:type="dxa"/>
            <w:vAlign w:val="bottom"/>
            <w:vMerge w:val="continue"/>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5"/>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0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5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4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40" w:type="dxa"/>
            <w:vAlign w:val="bottom"/>
            <w:tcBorders>
              <w:top w:val="single" w:sz="8" w:color="0000FF"/>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Immuneering Corporation Policy for Recovery of Erroneously Awarded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9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Compensation</w:t>
            </w:r>
          </w:p>
        </w:tc>
        <w:tc>
          <w:tcPr>
            <w:tcW w:w="3720" w:type="dxa"/>
            <w:vAlign w:val="bottom"/>
            <w:tcBorders>
              <w:top w:val="single" w:sz="8" w:color="0000FF"/>
            </w:tcBorders>
          </w:tcPr>
          <w:p>
            <w:pPr>
              <w:spacing w:after="0"/>
              <w:rPr>
                <w:sz w:val="12"/>
                <w:szCs w:val="12"/>
                <w:color w:val="auto"/>
              </w:rPr>
            </w:pPr>
          </w:p>
        </w:tc>
        <w:tc>
          <w:tcPr>
            <w:tcW w:w="5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24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5240" w:type="dxa"/>
            <w:vAlign w:val="bottom"/>
            <w:gridSpan w:val="6"/>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524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Exhibit 101)</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IMMUNEERING CORPORATION</w:t>
            </w:r>
          </w:p>
        </w:tc>
      </w:tr>
      <w:tr>
        <w:trPr>
          <w:trHeight w:val="49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2024</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3340" w:type="dxa"/>
            <w:vAlign w:val="bottom"/>
          </w:tcPr>
          <w:p>
            <w:pPr>
              <w:spacing w:after="0"/>
              <w:rPr>
                <w:sz w:val="18"/>
                <w:szCs w:val="18"/>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3340" w:type="dxa"/>
            <w:vAlign w:val="bottom"/>
          </w:tcPr>
          <w:p>
            <w:pPr>
              <w:spacing w:after="0"/>
              <w:rPr>
                <w:sz w:val="15"/>
                <w:szCs w:val="15"/>
                <w:color w:val="auto"/>
              </w:rPr>
            </w:pPr>
          </w:p>
        </w:tc>
        <w:tc>
          <w:tcPr>
            <w:tcW w:w="2640" w:type="dxa"/>
            <w:vAlign w:val="bottom"/>
          </w:tcPr>
          <w:p>
            <w:pPr>
              <w:ind w:left="186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Benjamin J. Zeskind, and Mallory Morales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540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78"/>
        </w:trPr>
        <w:tc>
          <w:tcPr>
            <w:tcW w:w="3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3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8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3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c>
          <w:tcPr>
            <w:tcW w:w="8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J. Zeskind, Ph.D.</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45"/>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Treasurer (Principal Financial and</w:t>
            </w:r>
          </w:p>
        </w:tc>
        <w:tc>
          <w:tcPr>
            <w:tcW w:w="1940" w:type="dxa"/>
            <w:vAlign w:val="bottom"/>
          </w:tcPr>
          <w:p>
            <w:pPr>
              <w:spacing w:after="0"/>
              <w:rPr>
                <w:sz w:val="24"/>
                <w:szCs w:val="24"/>
                <w:color w:val="auto"/>
              </w:rPr>
            </w:pPr>
          </w:p>
        </w:tc>
      </w:tr>
      <w:tr>
        <w:trPr>
          <w:trHeight w:val="23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c>
          <w:tcPr>
            <w:tcW w:w="8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Mallory Morales</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 E. Berman</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 E. Berman</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Carpenter</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Robert J. Carpenter</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Feinberg</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Feinberg</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F. Hausman, MD</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Diana F. Hausman, MD</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Laurie B. Keating</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Laurie B. Keating</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21" w:right="339" w:bottom="1440" w:gutter="0" w:footer="0" w:header="0"/>
          <w:type w:val="continuous"/>
        </w:sectPr>
      </w:pPr>
    </w:p>
    <w:bookmarkStart w:id="145" w:name="page146"/>
    <w:bookmarkEnd w:id="145"/>
    <w:p>
      <w:pPr>
        <w:jc w:val="center"/>
        <w:ind w:right="-7"/>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179" w:lineRule="exact"/>
        <w:rPr>
          <w:sz w:val="20"/>
          <w:szCs w:val="20"/>
          <w:color w:val="auto"/>
        </w:rPr>
      </w:pPr>
    </w:p>
    <w:p>
      <w:pPr>
        <w:jc w:val="both"/>
        <w:ind w:left="8" w:right="380" w:firstLine="647"/>
        <w:spacing w:after="0" w:line="214"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23, 2021, is made by and between Immuneering Corporation, a Delaware corporation (together with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Mallory Morales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w:t>
      </w:r>
    </w:p>
    <w:p>
      <w:pPr>
        <w:spacing w:after="0" w:line="1" w:lineRule="exact"/>
        <w:rPr>
          <w:sz w:val="20"/>
          <w:szCs w:val="20"/>
          <w:color w:val="auto"/>
        </w:rPr>
      </w:pPr>
    </w:p>
    <w:p>
      <w:pPr>
        <w:jc w:val="both"/>
        <w:ind w:left="8"/>
        <w:spacing w:after="0" w:line="223" w:lineRule="auto"/>
        <w:rPr>
          <w:sz w:val="20"/>
          <w:szCs w:val="20"/>
          <w:color w:val="auto"/>
        </w:rPr>
      </w:pPr>
      <w:r>
        <w:rPr>
          <w:rFonts w:ascii="Times New Roman" w:cs="Times New Roman" w:eastAsia="Times New Roman" w:hAnsi="Times New Roman"/>
          <w:sz w:val="20"/>
          <w:szCs w:val="20"/>
          <w:color w:val="auto"/>
        </w:rPr>
        <w:t>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will become effective, if at all, upon the date of the Company’s initial public offering of common stock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pursuant to an effective registration statement filed under the Securities Act of 1933, as amended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ind w:left="648" w:right="420" w:hanging="648"/>
        <w:spacing w:after="0"/>
        <w:tabs>
          <w:tab w:leader="none" w:pos="6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as of the Effective Date and thereafter by entering into this Agreement.</w:t>
      </w:r>
    </w:p>
    <w:p>
      <w:pPr>
        <w:spacing w:after="0" w:line="147" w:lineRule="exact"/>
        <w:rPr>
          <w:rFonts w:ascii="Times New Roman" w:cs="Times New Roman" w:eastAsia="Times New Roman" w:hAnsi="Times New Roman"/>
          <w:sz w:val="20"/>
          <w:szCs w:val="20"/>
          <w:color w:val="auto"/>
        </w:rPr>
      </w:pPr>
    </w:p>
    <w:p>
      <w:pPr>
        <w:ind w:left="648" w:hanging="648"/>
        <w:spacing w:after="0"/>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7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w:t>
      </w:r>
    </w:p>
    <w:p>
      <w:pPr>
        <w:ind w:left="8"/>
        <w:spacing w:after="0"/>
        <w:rPr>
          <w:sz w:val="20"/>
          <w:szCs w:val="20"/>
          <w:color w:val="auto"/>
        </w:rPr>
      </w:pPr>
      <w:r>
        <w:rPr>
          <w:rFonts w:ascii="Times New Roman" w:cs="Times New Roman" w:eastAsia="Times New Roman" w:hAnsi="Times New Roman"/>
          <w:sz w:val="20"/>
          <w:szCs w:val="20"/>
          <w:color w:val="auto"/>
        </w:rPr>
        <w:t>Parties hereto agree as follows:</w:t>
      </w:r>
    </w:p>
    <w:p>
      <w:pPr>
        <w:spacing w:after="0" w:line="176" w:lineRule="exact"/>
        <w:rPr>
          <w:sz w:val="20"/>
          <w:szCs w:val="20"/>
          <w:color w:val="auto"/>
        </w:rPr>
      </w:pPr>
    </w:p>
    <w:p>
      <w:pPr>
        <w:ind w:left="648" w:hanging="648"/>
        <w:spacing w:after="0"/>
        <w:tabs>
          <w:tab w:leader="none" w:pos="6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left="8" w:right="280" w:firstLine="639"/>
        <w:spacing w:after="0" w:line="218" w:lineRule="auto"/>
        <w:tabs>
          <w:tab w:leader="none" w:pos="115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Effective on the Effective Date, the Company shall employ Executive, and Executive shall be employed by the Company, for the period and in the positions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and subject to the other terms and conditions herein provided; provided, however, that this Agreement is expressly conditioned upon the IPO closing before December 31, 2021 and will be null and void if this condition is not satisfied.</w:t>
      </w:r>
    </w:p>
    <w:p>
      <w:pPr>
        <w:spacing w:after="0" w:line="163" w:lineRule="exact"/>
        <w:rPr>
          <w:rFonts w:ascii="Times New Roman" w:cs="Times New Roman" w:eastAsia="Times New Roman" w:hAnsi="Times New Roman"/>
          <w:sz w:val="20"/>
          <w:szCs w:val="20"/>
          <w:color w:val="auto"/>
        </w:rPr>
      </w:pPr>
    </w:p>
    <w:p>
      <w:pPr>
        <w:ind w:left="8" w:right="340" w:firstLine="639"/>
        <w:spacing w:after="0" w:line="215" w:lineRule="auto"/>
        <w:tabs>
          <w:tab w:leader="none" w:pos="115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Effective Date and end on the date this Agreement is terminated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8" w:right="300" w:firstLine="639"/>
        <w:spacing w:after="0" w:line="214" w:lineRule="auto"/>
        <w:tabs>
          <w:tab w:leader="none" w:pos="115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Vice President, Finance of the Company, with such responsibilities, duties and authority normally associated with such position and as may from time to time be assigned to Executive by the Executive’s direct supervisor. Executive</w:t>
      </w:r>
    </w:p>
    <w:p>
      <w:pPr>
        <w:ind w:left="8" w:right="2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 exempt charitable organizations, in each case, subject to compliance with this Agreement and provided</w:t>
      </w:r>
    </w:p>
    <w:p>
      <w:pPr>
        <w:sectPr>
          <w:pgSz w:w="11900" w:h="16838" w:orient="portrait"/>
          <w:cols w:equalWidth="0" w:num="1">
            <w:col w:w="10928"/>
          </w:cols>
          <w:pgMar w:left="472" w:top="1382" w:right="499" w:bottom="1440" w:gutter="0" w:footer="0" w:header="0"/>
        </w:sectPr>
      </w:pPr>
    </w:p>
    <w:bookmarkStart w:id="146" w:name="page147"/>
    <w:bookmarkEnd w:id="146"/>
    <w:p>
      <w:pPr>
        <w:ind w:left="8" w:right="380"/>
        <w:spacing w:after="0" w:line="227" w:lineRule="auto"/>
        <w:rPr>
          <w:sz w:val="20"/>
          <w:szCs w:val="20"/>
          <w:color w:val="auto"/>
        </w:rPr>
      </w:pPr>
      <w:r>
        <w:rPr>
          <w:rFonts w:ascii="Times New Roman" w:cs="Times New Roman" w:eastAsia="Times New Roman" w:hAnsi="Times New Roman"/>
          <w:sz w:val="19"/>
          <w:szCs w:val="19"/>
          <w:color w:val="auto"/>
        </w:rPr>
        <w:t>that such activities do not materially interfere with Executive’s performance of Executive’s duties and responsibilities hereunder. Executive agrees to observe and comply with the rules and policies of the Company as adopted by the Company from time to time, in</w:t>
      </w:r>
    </w:p>
    <w:p>
      <w:pPr>
        <w:ind w:left="8"/>
        <w:spacing w:after="0"/>
        <w:rPr>
          <w:sz w:val="20"/>
          <w:szCs w:val="20"/>
          <w:color w:val="auto"/>
        </w:rPr>
      </w:pPr>
      <w:r>
        <w:rPr>
          <w:rFonts w:ascii="Times New Roman" w:cs="Times New Roman" w:eastAsia="Times New Roman" w:hAnsi="Times New Roman"/>
          <w:sz w:val="20"/>
          <w:szCs w:val="20"/>
          <w:color w:val="auto"/>
        </w:rPr>
        <w:t>each case, as amended from time to time,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48" w:hanging="648"/>
        <w:spacing w:after="0"/>
        <w:tabs>
          <w:tab w:leader="none" w:pos="64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left="8" w:firstLine="639"/>
        <w:spacing w:after="0" w:line="217" w:lineRule="auto"/>
        <w:tabs>
          <w:tab w:leader="none" w:pos="115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$280,000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thereof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(such annual base salary, as it may be adjusted from time to time, the “</w:t>
      </w:r>
      <w:r>
        <w:rPr>
          <w:rFonts w:ascii="Times New Roman" w:cs="Times New Roman" w:eastAsia="Times New Roman" w:hAnsi="Times New Roman"/>
          <w:sz w:val="20"/>
          <w:szCs w:val="20"/>
          <w:u w:val="single" w:color="auto"/>
          <w:color w:val="auto"/>
        </w:rPr>
        <w:t>Annual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ind w:left="1148" w:hanging="501"/>
        <w:spacing w:after="0"/>
        <w:tabs>
          <w:tab w:leader="none" w:pos="114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w:t>
      </w:r>
    </w:p>
    <w:p>
      <w:pPr>
        <w:ind w:left="8" w:right="880"/>
        <w:spacing w:after="0" w:line="215" w:lineRule="auto"/>
        <w:rPr>
          <w:sz w:val="20"/>
          <w:szCs w:val="20"/>
          <w:color w:val="auto"/>
        </w:rPr>
      </w:pPr>
      <w:r>
        <w:rPr>
          <w:rFonts w:ascii="Times New Roman" w:cs="Times New Roman" w:eastAsia="Times New Roman" w:hAnsi="Times New Roman"/>
          <w:sz w:val="19"/>
          <w:szCs w:val="19"/>
          <w:color w:val="auto"/>
        </w:rPr>
        <w:t>program established by the Board. Executive’s annual incentive compensation under such incentive program (the “</w:t>
      </w:r>
      <w:r>
        <w:rPr>
          <w:rFonts w:ascii="Times New Roman" w:cs="Times New Roman" w:eastAsia="Times New Roman" w:hAnsi="Times New Roman"/>
          <w:sz w:val="19"/>
          <w:szCs w:val="19"/>
          <w:u w:val="single" w:color="auto"/>
          <w:color w:val="auto"/>
        </w:rPr>
        <w:t>Annual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Bonus</w:t>
      </w:r>
      <w:r>
        <w:rPr>
          <w:rFonts w:ascii="Times New Roman" w:cs="Times New Roman" w:eastAsia="Times New Roman" w:hAnsi="Times New Roman"/>
          <w:sz w:val="19"/>
          <w:szCs w:val="19"/>
          <w:color w:val="auto"/>
        </w:rPr>
        <w:t>”) shall be targeted at 30% of Executive’s Annual Base Salary (such target, as may be adjusted by the Board from time to</w:t>
      </w:r>
    </w:p>
    <w:p>
      <w:pPr>
        <w:ind w:left="8"/>
        <w:spacing w:after="0" w:line="211" w:lineRule="auto"/>
        <w:rPr>
          <w:sz w:val="20"/>
          <w:szCs w:val="20"/>
          <w:color w:val="auto"/>
        </w:rPr>
      </w:pPr>
      <w:r>
        <w:rPr>
          <w:rFonts w:ascii="Times New Roman" w:cs="Times New Roman" w:eastAsia="Times New Roman" w:hAnsi="Times New Roman"/>
          <w:sz w:val="20"/>
          <w:szCs w:val="20"/>
          <w:color w:val="auto"/>
        </w:rPr>
        <w:t>time, the “</w:t>
      </w:r>
      <w:r>
        <w:rPr>
          <w:rFonts w:ascii="Times New Roman" w:cs="Times New Roman" w:eastAsia="Times New Roman" w:hAnsi="Times New Roman"/>
          <w:sz w:val="20"/>
          <w:szCs w:val="20"/>
          <w:u w:val="single" w:color="auto"/>
          <w:color w:val="auto"/>
        </w:rPr>
        <w:t>Target Annual Bonus</w:t>
      </w:r>
      <w:r>
        <w:rPr>
          <w:rFonts w:ascii="Times New Roman" w:cs="Times New Roman" w:eastAsia="Times New Roman" w:hAnsi="Times New Roman"/>
          <w:sz w:val="20"/>
          <w:szCs w:val="20"/>
          <w:color w:val="auto"/>
        </w:rPr>
        <w:t>”). The Annual Bonus payable under the incentive program shall be based on the achievement of</w:t>
      </w:r>
    </w:p>
    <w:p>
      <w:pPr>
        <w:ind w:left="8" w:right="780"/>
        <w:spacing w:after="0" w:line="215" w:lineRule="auto"/>
        <w:rPr>
          <w:sz w:val="20"/>
          <w:szCs w:val="20"/>
          <w:color w:val="auto"/>
        </w:rPr>
      </w:pPr>
      <w:r>
        <w:rPr>
          <w:rFonts w:ascii="Times New Roman" w:cs="Times New Roman" w:eastAsia="Times New Roman" w:hAnsi="Times New Roman"/>
          <w:sz w:val="19"/>
          <w:szCs w:val="19"/>
          <w:color w:val="auto"/>
        </w:rPr>
        <w:t>performance goals to be determined by the Board and may in the Board’s discretion be calculated in a manner intended to reflect any mid-year changes in Annual Base Salary or Target Annual Bonus. The payment of any Annual Bonus pursuant to the</w:t>
      </w:r>
    </w:p>
    <w:p>
      <w:pPr>
        <w:ind w:left="8" w:right="800"/>
        <w:spacing w:after="0" w:line="221" w:lineRule="auto"/>
        <w:rPr>
          <w:sz w:val="20"/>
          <w:szCs w:val="20"/>
          <w:color w:val="auto"/>
        </w:rPr>
      </w:pPr>
      <w:r>
        <w:rPr>
          <w:rFonts w:ascii="Times New Roman" w:cs="Times New Roman" w:eastAsia="Times New Roman" w:hAnsi="Times New Roman"/>
          <w:sz w:val="20"/>
          <w:szCs w:val="20"/>
          <w:color w:val="auto"/>
        </w:rPr>
        <w:t xml:space="preserve">incentive program shall be subject to Executive’s continued employment with the Company through the date of payment, except as otherwise provided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8" w:right="80" w:firstLine="639"/>
        <w:spacing w:after="0" w:line="222" w:lineRule="auto"/>
        <w:tabs>
          <w:tab w:leader="none" w:pos="115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w:t>
      </w:r>
    </w:p>
    <w:p>
      <w:pPr>
        <w:spacing w:after="0" w:line="161" w:lineRule="exact"/>
        <w:rPr>
          <w:rFonts w:ascii="Times New Roman" w:cs="Times New Roman" w:eastAsia="Times New Roman" w:hAnsi="Times New Roman"/>
          <w:sz w:val="20"/>
          <w:szCs w:val="20"/>
          <w:color w:val="auto"/>
        </w:rPr>
      </w:pPr>
    </w:p>
    <w:p>
      <w:pPr>
        <w:ind w:left="1288" w:right="100" w:hanging="640"/>
        <w:spacing w:after="0" w:line="233" w:lineRule="auto"/>
        <w:tabs>
          <w:tab w:leader="none" w:pos="127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paid personal leave in accordance with the Company’s Policies. Any vacation shall be taken at the reasonable and mutual convenience of the Company and Executive.</w:t>
      </w:r>
    </w:p>
    <w:p>
      <w:pPr>
        <w:spacing w:after="0" w:line="155" w:lineRule="exact"/>
        <w:rPr>
          <w:rFonts w:ascii="Times New Roman" w:cs="Times New Roman" w:eastAsia="Times New Roman" w:hAnsi="Times New Roman"/>
          <w:sz w:val="20"/>
          <w:szCs w:val="20"/>
          <w:color w:val="auto"/>
        </w:rPr>
      </w:pPr>
    </w:p>
    <w:p>
      <w:pPr>
        <w:ind w:left="1148" w:hanging="501"/>
        <w:spacing w:after="0"/>
        <w:tabs>
          <w:tab w:leader="none" w:pos="11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w:t>
      </w:r>
    </w:p>
    <w:p>
      <w:pPr>
        <w:ind w:left="8" w:right="380"/>
        <w:spacing w:after="0" w:line="221" w:lineRule="auto"/>
        <w:rPr>
          <w:sz w:val="20"/>
          <w:szCs w:val="20"/>
          <w:color w:val="auto"/>
        </w:rPr>
      </w:pPr>
      <w:r>
        <w:rPr>
          <w:rFonts w:ascii="Times New Roman" w:cs="Times New Roman" w:eastAsia="Times New Roman" w:hAnsi="Times New Roman"/>
          <w:sz w:val="20"/>
          <w:szCs w:val="20"/>
          <w:color w:val="auto"/>
        </w:rPr>
        <w:t>business expenses incurred by Executive in the performance of Executive’s duties to the Company in accordance with the Company’s expense reimbursement Policy.</w:t>
      </w:r>
    </w:p>
    <w:p>
      <w:pPr>
        <w:spacing w:after="0" w:line="162" w:lineRule="exact"/>
        <w:rPr>
          <w:sz w:val="20"/>
          <w:szCs w:val="20"/>
          <w:color w:val="auto"/>
        </w:rPr>
      </w:pPr>
    </w:p>
    <w:p>
      <w:pPr>
        <w:ind w:left="8" w:right="400" w:firstLine="639"/>
        <w:spacing w:after="0" w:line="215" w:lineRule="auto"/>
        <w:tabs>
          <w:tab w:leader="none" w:pos="11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Key Person Insurance</w:t>
      </w:r>
      <w:r>
        <w:rPr>
          <w:rFonts w:ascii="Times New Roman" w:cs="Times New Roman" w:eastAsia="Times New Roman" w:hAnsi="Times New Roman"/>
          <w:sz w:val="20"/>
          <w:szCs w:val="20"/>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ectPr>
          <w:pgSz w:w="11900" w:h="16838" w:orient="portrait"/>
          <w:cols w:equalWidth="0" w:num="1">
            <w:col w:w="10968"/>
          </w:cols>
          <w:pgMar w:left="472" w:top="1386" w:right="459" w:bottom="1440" w:gutter="0" w:footer="0" w:header="0"/>
        </w:sectPr>
      </w:pPr>
    </w:p>
    <w:bookmarkStart w:id="147" w:name="page148"/>
    <w:bookmarkEnd w:id="147"/>
    <w:p>
      <w:pPr>
        <w:spacing w:after="0" w:line="347" w:lineRule="exact"/>
        <w:rPr>
          <w:sz w:val="20"/>
          <w:szCs w:val="20"/>
          <w:color w:val="auto"/>
        </w:rPr>
      </w:pPr>
    </w:p>
    <w:p>
      <w:pPr>
        <w:ind w:left="648" w:hanging="648"/>
        <w:spacing w:after="0"/>
        <w:tabs>
          <w:tab w:leader="none" w:pos="64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156" w:lineRule="exact"/>
        <w:rPr>
          <w:sz w:val="20"/>
          <w:szCs w:val="20"/>
          <w:color w:val="auto"/>
        </w:rPr>
      </w:pPr>
    </w:p>
    <w:p>
      <w:pPr>
        <w:ind w:left="8" w:right="300" w:firstLine="647"/>
        <w:spacing w:after="0"/>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48" w:lineRule="exact"/>
        <w:rPr>
          <w:sz w:val="20"/>
          <w:szCs w:val="20"/>
          <w:color w:val="auto"/>
        </w:rPr>
      </w:pPr>
    </w:p>
    <w:p>
      <w:pPr>
        <w:ind w:left="1288" w:hanging="640"/>
        <w:spacing w:after="0"/>
        <w:tabs>
          <w:tab w:leader="none" w:pos="12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948" w:hanging="652"/>
        <w:spacing w:after="0"/>
        <w:tabs>
          <w:tab w:leader="none" w:pos="194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188" w:lineRule="exact"/>
        <w:rPr>
          <w:rFonts w:ascii="Times New Roman" w:cs="Times New Roman" w:eastAsia="Times New Roman" w:hAnsi="Times New Roman"/>
          <w:sz w:val="20"/>
          <w:szCs w:val="20"/>
          <w:color w:val="auto"/>
        </w:rPr>
      </w:pPr>
    </w:p>
    <w:p>
      <w:pPr>
        <w:ind w:left="648" w:right="1560" w:firstLine="648"/>
        <w:spacing w:after="0" w:line="235" w:lineRule="auto"/>
        <w:tabs>
          <w:tab w:leader="none" w:pos="179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Executive’s employment.</w:t>
      </w:r>
    </w:p>
    <w:p>
      <w:pPr>
        <w:spacing w:after="0" w:line="157" w:lineRule="exact"/>
        <w:rPr>
          <w:rFonts w:ascii="Times New Roman" w:cs="Times New Roman" w:eastAsia="Times New Roman" w:hAnsi="Times New Roman"/>
          <w:sz w:val="20"/>
          <w:szCs w:val="20"/>
          <w:color w:val="auto"/>
        </w:rPr>
      </w:pPr>
    </w:p>
    <w:p>
      <w:pPr>
        <w:ind w:left="1788" w:hanging="492"/>
        <w:spacing w:after="0"/>
        <w:tabs>
          <w:tab w:leader="none" w:pos="178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188" w:lineRule="exact"/>
        <w:rPr>
          <w:rFonts w:ascii="Times New Roman" w:cs="Times New Roman" w:eastAsia="Times New Roman" w:hAnsi="Times New Roman"/>
          <w:sz w:val="20"/>
          <w:szCs w:val="20"/>
          <w:color w:val="auto"/>
        </w:rPr>
      </w:pPr>
    </w:p>
    <w:p>
      <w:pPr>
        <w:ind w:left="1788" w:hanging="492"/>
        <w:spacing w:after="0"/>
        <w:tabs>
          <w:tab w:leader="none" w:pos="178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175" w:lineRule="exact"/>
        <w:rPr>
          <w:rFonts w:ascii="Times New Roman" w:cs="Times New Roman" w:eastAsia="Times New Roman" w:hAnsi="Times New Roman"/>
          <w:sz w:val="20"/>
          <w:szCs w:val="20"/>
          <w:color w:val="auto"/>
        </w:rPr>
      </w:pPr>
    </w:p>
    <w:p>
      <w:pPr>
        <w:ind w:left="648" w:right="660" w:firstLine="648"/>
        <w:spacing w:after="0" w:line="245" w:lineRule="auto"/>
        <w:tabs>
          <w:tab w:leader="none" w:pos="179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648" w:right="360" w:firstLine="648"/>
        <w:spacing w:after="0" w:line="235" w:lineRule="auto"/>
        <w:tabs>
          <w:tab w:leader="none" w:pos="179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61" w:lineRule="exact"/>
        <w:rPr>
          <w:rFonts w:ascii="Times New Roman" w:cs="Times New Roman" w:eastAsia="Times New Roman" w:hAnsi="Times New Roman"/>
          <w:sz w:val="20"/>
          <w:szCs w:val="20"/>
          <w:color w:val="auto"/>
        </w:rPr>
      </w:pPr>
    </w:p>
    <w:p>
      <w:pPr>
        <w:ind w:left="8" w:firstLine="639"/>
        <w:spacing w:after="0" w:line="211" w:lineRule="auto"/>
        <w:tabs>
          <w:tab w:leader="none" w:pos="115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u w:val="single" w:color="auto"/>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65" w:lineRule="exact"/>
        <w:rPr>
          <w:rFonts w:ascii="Times New Roman" w:cs="Times New Roman" w:eastAsia="Times New Roman" w:hAnsi="Times New Roman"/>
          <w:sz w:val="20"/>
          <w:szCs w:val="20"/>
          <w:color w:val="auto"/>
        </w:rPr>
      </w:pPr>
    </w:p>
    <w:p>
      <w:pPr>
        <w:ind w:left="8" w:right="160" w:firstLine="639"/>
        <w:spacing w:after="0" w:line="220" w:lineRule="auto"/>
        <w:tabs>
          <w:tab w:leader="none" w:pos="115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and (iii) any amount accrued and arising from Executive’s participation in, or benefits accrued under any employee benefit plans, programs or arrangements, which amounts shall be</w:t>
      </w:r>
    </w:p>
    <w:p>
      <w:pPr>
        <w:sectPr>
          <w:pgSz w:w="11900" w:h="16838" w:orient="portrait"/>
          <w:cols w:equalWidth="0" w:num="1">
            <w:col w:w="10948"/>
          </w:cols>
          <w:pgMar w:left="472" w:top="1440" w:right="479" w:bottom="1440" w:gutter="0" w:footer="0" w:header="0"/>
        </w:sectPr>
      </w:pPr>
    </w:p>
    <w:bookmarkStart w:id="148" w:name="page149"/>
    <w:bookmarkEnd w:id="148"/>
    <w:p>
      <w:pPr>
        <w:spacing w:after="0" w:line="1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payable in accordance with the terms and conditions of such employee benefit plans, programs or arrangements (collectively, the</w:t>
      </w:r>
    </w:p>
    <w:p>
      <w:pPr>
        <w:ind w:left="8" w:right="540"/>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as specifically provided herein, all of Executive’s rights to salary, severance, benefits, bonuses and other compensatory amounts hereunder (if any) shall cease upon the termination of Executive’s employment hereunder.</w:t>
      </w:r>
    </w:p>
    <w:p>
      <w:pPr>
        <w:spacing w:after="0" w:line="147" w:lineRule="exact"/>
        <w:rPr>
          <w:sz w:val="20"/>
          <w:szCs w:val="20"/>
          <w:color w:val="auto"/>
        </w:rPr>
      </w:pPr>
    </w:p>
    <w:p>
      <w:pPr>
        <w:ind w:left="8" w:right="380" w:firstLine="639"/>
        <w:spacing w:after="0"/>
        <w:tabs>
          <w:tab w:leader="none" w:pos="115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Times New Roman" w:cs="Times New Roman" w:eastAsia="Times New Roman" w:hAnsi="Times New Roman"/>
          <w:sz w:val="20"/>
          <w:szCs w:val="20"/>
          <w:color w:val="auto"/>
        </w:rPr>
      </w:pPr>
    </w:p>
    <w:p>
      <w:pPr>
        <w:ind w:left="648" w:hanging="648"/>
        <w:spacing w:after="0"/>
        <w:tabs>
          <w:tab w:leader="none" w:pos="648"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8" w:right="40" w:firstLine="639"/>
        <w:spacing w:after="0" w:line="222" w:lineRule="auto"/>
        <w:tabs>
          <w:tab w:leader="none" w:pos="115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ind w:left="1148" w:hanging="501"/>
        <w:spacing w:after="0"/>
        <w:tabs>
          <w:tab w:leader="none" w:pos="11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If Executive’s employment</w:t>
      </w:r>
    </w:p>
    <w:p>
      <w:pPr>
        <w:ind w:left="8" w:right="580"/>
        <w:spacing w:after="0" w:line="215" w:lineRule="auto"/>
        <w:rPr>
          <w:sz w:val="20"/>
          <w:szCs w:val="20"/>
          <w:color w:val="auto"/>
        </w:rPr>
      </w:pPr>
      <w:r>
        <w:rPr>
          <w:rFonts w:ascii="Times New Roman" w:cs="Times New Roman" w:eastAsia="Times New Roman" w:hAnsi="Times New Roman"/>
          <w:sz w:val="19"/>
          <w:szCs w:val="19"/>
          <w:color w:val="auto"/>
        </w:rPr>
        <w:t xml:space="preserve">terminates without Cause pursuant to </w:t>
      </w:r>
      <w:r>
        <w:rPr>
          <w:rFonts w:ascii="Times New Roman" w:cs="Times New Roman" w:eastAsia="Times New Roman" w:hAnsi="Times New Roman"/>
          <w:sz w:val="19"/>
          <w:szCs w:val="19"/>
          <w:u w:val="single" w:color="auto"/>
          <w:color w:val="auto"/>
        </w:rPr>
        <w:t>Section 3(a)(iv)</w:t>
      </w:r>
      <w:r>
        <w:rPr>
          <w:rFonts w:ascii="Times New Roman" w:cs="Times New Roman" w:eastAsia="Times New Roman" w:hAnsi="Times New Roman"/>
          <w:sz w:val="19"/>
          <w:szCs w:val="19"/>
          <w:color w:val="auto"/>
        </w:rPr>
        <w:t xml:space="preserve">, or pursuant to </w:t>
      </w:r>
      <w:r>
        <w:rPr>
          <w:rFonts w:ascii="Times New Roman" w:cs="Times New Roman" w:eastAsia="Times New Roman" w:hAnsi="Times New Roman"/>
          <w:sz w:val="19"/>
          <w:szCs w:val="19"/>
          <w:u w:val="single" w:color="auto"/>
          <w:color w:val="auto"/>
        </w:rPr>
        <w:t>Section 3(a)(v)</w:t>
      </w:r>
      <w:r>
        <w:rPr>
          <w:rFonts w:ascii="Times New Roman" w:cs="Times New Roman" w:eastAsia="Times New Roman" w:hAnsi="Times New Roman"/>
          <w:sz w:val="19"/>
          <w:szCs w:val="19"/>
          <w:color w:val="auto"/>
        </w:rPr>
        <w:t xml:space="preserve"> due to Executive’s resignation with Good Reason, then except as otherwise provided under </w:t>
      </w:r>
      <w:r>
        <w:rPr>
          <w:rFonts w:ascii="Times New Roman" w:cs="Times New Roman" w:eastAsia="Times New Roman" w:hAnsi="Times New Roman"/>
          <w:sz w:val="19"/>
          <w:szCs w:val="19"/>
          <w:u w:val="single" w:color="auto"/>
          <w:color w:val="auto"/>
        </w:rPr>
        <w:t>Section 4(c)</w:t>
      </w:r>
      <w:r>
        <w:rPr>
          <w:rFonts w:ascii="Times New Roman" w:cs="Times New Roman" w:eastAsia="Times New Roman" w:hAnsi="Times New Roman"/>
          <w:sz w:val="19"/>
          <w:szCs w:val="19"/>
          <w:color w:val="auto"/>
        </w:rPr>
        <w:t xml:space="preserve"> and subject to Executive signing on or before the 21st day following</w:t>
      </w:r>
    </w:p>
    <w:p>
      <w:pPr>
        <w:ind w:left="8"/>
        <w:spacing w:after="0" w:line="211" w:lineRule="auto"/>
        <w:rPr>
          <w:sz w:val="20"/>
          <w:szCs w:val="20"/>
          <w:color w:val="auto"/>
        </w:rPr>
      </w:pPr>
      <w:r>
        <w:rPr>
          <w:rFonts w:ascii="Times New Roman" w:cs="Times New Roman" w:eastAsia="Times New Roman" w:hAnsi="Times New Roman"/>
          <w:sz w:val="20"/>
          <w:szCs w:val="20"/>
          <w:color w:val="auto"/>
        </w:rPr>
        <w:t>Executive’s Separation from Service (as defined below), and not revoking, a release of claims substantially in the</w:t>
      </w:r>
    </w:p>
    <w:p>
      <w:pPr>
        <w:ind w:left="8" w:right="460"/>
        <w:spacing w:after="0" w:line="221" w:lineRule="auto"/>
        <w:rPr>
          <w:sz w:val="20"/>
          <w:szCs w:val="20"/>
          <w:color w:val="auto"/>
        </w:rPr>
      </w:pPr>
      <w:r>
        <w:rPr>
          <w:rFonts w:ascii="Times New Roman" w:cs="Times New Roman" w:eastAsia="Times New Roman" w:hAnsi="Times New Roman"/>
          <w:sz w:val="20"/>
          <w:szCs w:val="20"/>
          <w:color w:val="auto"/>
        </w:rPr>
        <w:t xml:space="preserve">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62" w:lineRule="exact"/>
        <w:rPr>
          <w:sz w:val="20"/>
          <w:szCs w:val="20"/>
          <w:color w:val="auto"/>
        </w:rPr>
      </w:pPr>
    </w:p>
    <w:p>
      <w:pPr>
        <w:ind w:left="648" w:right="120" w:firstLine="648"/>
        <w:spacing w:after="0" w:line="226" w:lineRule="auto"/>
        <w:tabs>
          <w:tab w:leader="none" w:pos="179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0.5 times the Annual Base Salary, payable in the form of salary continuation in regular installments over the 6 month period following the date of Executive’s Separation from Service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in accordance with the Company’s normal payroll practices;</w:t>
      </w:r>
    </w:p>
    <w:p>
      <w:pPr>
        <w:spacing w:after="0" w:line="160" w:lineRule="exact"/>
        <w:rPr>
          <w:rFonts w:ascii="Times New Roman" w:cs="Times New Roman" w:eastAsia="Times New Roman" w:hAnsi="Times New Roman"/>
          <w:sz w:val="20"/>
          <w:szCs w:val="20"/>
          <w:color w:val="auto"/>
        </w:rPr>
      </w:pPr>
    </w:p>
    <w:p>
      <w:pPr>
        <w:ind w:left="648" w:right="300" w:firstLine="648"/>
        <w:spacing w:after="0" w:line="220" w:lineRule="auto"/>
        <w:tabs>
          <w:tab w:leader="none" w:pos="179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60" w:lineRule="exact"/>
        <w:rPr>
          <w:rFonts w:ascii="Times New Roman" w:cs="Times New Roman" w:eastAsia="Times New Roman" w:hAnsi="Times New Roman"/>
          <w:sz w:val="20"/>
          <w:szCs w:val="20"/>
          <w:color w:val="auto"/>
        </w:rPr>
      </w:pPr>
    </w:p>
    <w:p>
      <w:pPr>
        <w:ind w:left="648" w:firstLine="648"/>
        <w:spacing w:after="0" w:line="245" w:lineRule="auto"/>
        <w:tabs>
          <w:tab w:leader="none" w:pos="17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w:t>
      </w:r>
    </w:p>
    <w:p>
      <w:pPr>
        <w:sectPr>
          <w:pgSz w:w="11900" w:h="16838" w:orient="portrait"/>
          <w:cols w:equalWidth="0" w:num="1">
            <w:col w:w="10928"/>
          </w:cols>
          <w:pgMar w:left="472" w:top="1440" w:right="499" w:bottom="1440" w:gutter="0" w:footer="0" w:header="0"/>
        </w:sectPr>
      </w:pPr>
    </w:p>
    <w:bookmarkStart w:id="149" w:name="page150"/>
    <w:bookmarkEnd w:id="149"/>
    <w:p>
      <w:pPr>
        <w:spacing w:after="0" w:line="189" w:lineRule="exact"/>
        <w:rPr>
          <w:sz w:val="20"/>
          <w:szCs w:val="20"/>
          <w:color w:val="auto"/>
        </w:rPr>
      </w:pPr>
    </w:p>
    <w:p>
      <w:pPr>
        <w:ind w:left="1"/>
        <w:spacing w:after="0" w:line="227" w:lineRule="auto"/>
        <w:rPr>
          <w:sz w:val="20"/>
          <w:szCs w:val="20"/>
          <w:color w:val="auto"/>
        </w:rPr>
      </w:pPr>
      <w:r>
        <w:rPr>
          <w:rFonts w:ascii="Times New Roman" w:cs="Times New Roman" w:eastAsia="Times New Roman" w:hAnsi="Times New Roman"/>
          <w:sz w:val="19"/>
          <w:szCs w:val="19"/>
          <w:color w:val="auto"/>
        </w:rPr>
        <w:t>from a subsequent employer (and Executive agrees to promptly notify the Company of such eligibility) (the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Continuation Period</w:t>
      </w:r>
      <w:r>
        <w:rPr>
          <w:rFonts w:ascii="Times New Roman" w:cs="Times New Roman" w:eastAsia="Times New Roman" w:hAnsi="Times New Roman"/>
          <w:sz w:val="19"/>
          <w:szCs w:val="19"/>
          <w:color w:val="auto"/>
        </w:rPr>
        <w:t>”). Notwithstanding the foregoing, if the Company determines it cannot provide the foregoing benefit without</w:t>
      </w:r>
    </w:p>
    <w:p>
      <w:pPr>
        <w:ind w:left="1"/>
        <w:spacing w:after="0" w:line="222" w:lineRule="auto"/>
        <w:rPr>
          <w:sz w:val="20"/>
          <w:szCs w:val="20"/>
          <w:color w:val="auto"/>
        </w:rPr>
      </w:pPr>
      <w:r>
        <w:rPr>
          <w:rFonts w:ascii="Times New Roman" w:cs="Times New Roman" w:eastAsia="Times New Roman" w:hAnsi="Times New Roman"/>
          <w:sz w:val="19"/>
          <w:szCs w:val="19"/>
          <w:color w:val="auto"/>
        </w:rPr>
        <w:t>potentially violating applicable law (including, without limitation, Section 2716 of the Public Health Service Act) or incurring an</w:t>
      </w:r>
    </w:p>
    <w:p>
      <w:pPr>
        <w:spacing w:after="0" w:line="1" w:lineRule="exact"/>
        <w:rPr>
          <w:sz w:val="20"/>
          <w:szCs w:val="20"/>
          <w:color w:val="auto"/>
        </w:rPr>
      </w:pPr>
    </w:p>
    <w:p>
      <w:pPr>
        <w:ind w:left="1" w:right="100"/>
        <w:spacing w:after="0" w:line="204" w:lineRule="auto"/>
        <w:rPr>
          <w:sz w:val="20"/>
          <w:szCs w:val="20"/>
          <w:color w:val="auto"/>
        </w:rPr>
      </w:pPr>
      <w:r>
        <w:rPr>
          <w:rFonts w:ascii="Times New Roman" w:cs="Times New Roman" w:eastAsia="Times New Roman" w:hAnsi="Times New Roman"/>
          <w:sz w:val="20"/>
          <w:szCs w:val="20"/>
          <w:color w:val="auto"/>
        </w:rPr>
        <w:t>excise tax, the Company shall in lieu thereof provide to Executive a taxable monthly payment in an amount equal to the monthly COBRA premium that Executive would be required to pay to</w:t>
      </w:r>
    </w:p>
    <w:p>
      <w:pPr>
        <w:ind w:left="1"/>
        <w:spacing w:after="0" w:line="211" w:lineRule="auto"/>
        <w:rPr>
          <w:sz w:val="20"/>
          <w:szCs w:val="20"/>
          <w:color w:val="auto"/>
        </w:rPr>
      </w:pPr>
      <w:r>
        <w:rPr>
          <w:rFonts w:ascii="Times New Roman" w:cs="Times New Roman" w:eastAsia="Times New Roman" w:hAnsi="Times New Roman"/>
          <w:sz w:val="20"/>
          <w:szCs w:val="20"/>
          <w:color w:val="auto"/>
        </w:rPr>
        <w:t>continue Executive’s and Executive’s covered dependents’ group health coverage in effect on the Date of Termination (which</w:t>
      </w:r>
    </w:p>
    <w:p>
      <w:pPr>
        <w:spacing w:after="0" w:line="1" w:lineRule="exact"/>
        <w:rPr>
          <w:sz w:val="20"/>
          <w:szCs w:val="20"/>
          <w:color w:val="auto"/>
        </w:rPr>
      </w:pPr>
    </w:p>
    <w:p>
      <w:pPr>
        <w:ind w:left="1" w:right="260"/>
        <w:spacing w:after="0" w:line="215" w:lineRule="auto"/>
        <w:rPr>
          <w:sz w:val="20"/>
          <w:szCs w:val="20"/>
          <w:color w:val="auto"/>
        </w:rPr>
      </w:pPr>
      <w:r>
        <w:rPr>
          <w:rFonts w:ascii="Times New Roman" w:cs="Times New Roman" w:eastAsia="Times New Roman" w:hAnsi="Times New Roman"/>
          <w:sz w:val="19"/>
          <w:szCs w:val="19"/>
          <w:color w:val="auto"/>
        </w:rPr>
        <w:t>amount shall be based on the premium for the first month of COBRA coverage), less the amount Executive would have had to pay to receive such group health coverage as an active employee for Executive and his or her covered dependents based on the</w:t>
      </w:r>
    </w:p>
    <w:p>
      <w:pPr>
        <w:ind w:left="1" w:right="740"/>
        <w:spacing w:after="0" w:line="228" w:lineRule="auto"/>
        <w:rPr>
          <w:sz w:val="20"/>
          <w:szCs w:val="20"/>
          <w:color w:val="auto"/>
        </w:rPr>
      </w:pPr>
      <w:r>
        <w:rPr>
          <w:rFonts w:ascii="Times New Roman" w:cs="Times New Roman" w:eastAsia="Times New Roman" w:hAnsi="Times New Roman"/>
          <w:sz w:val="20"/>
          <w:szCs w:val="20"/>
          <w:color w:val="auto"/>
        </w:rPr>
        <w:t>cost sharing levels in effect on the Date of Termination, which payments shall be made for the remainder of the COBRA Continuation Period.</w:t>
      </w:r>
    </w:p>
    <w:p>
      <w:pPr>
        <w:spacing w:after="0" w:line="149" w:lineRule="exact"/>
        <w:rPr>
          <w:sz w:val="20"/>
          <w:szCs w:val="20"/>
          <w:color w:val="auto"/>
        </w:rPr>
      </w:pPr>
    </w:p>
    <w:p>
      <w:pPr>
        <w:ind w:left="-639" w:right="40" w:firstLine="639"/>
        <w:spacing w:after="0" w:line="220" w:lineRule="auto"/>
        <w:tabs>
          <w:tab w:leader="none" w:pos="51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In lieu of the payments and benefits set forth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60" w:lineRule="exact"/>
        <w:rPr>
          <w:rFonts w:ascii="Times New Roman" w:cs="Times New Roman" w:eastAsia="Times New Roman" w:hAnsi="Times New Roman"/>
          <w:sz w:val="20"/>
          <w:szCs w:val="20"/>
          <w:color w:val="auto"/>
        </w:rPr>
      </w:pPr>
    </w:p>
    <w:p>
      <w:pPr>
        <w:jc w:val="both"/>
        <w:ind w:left="1" w:right="120" w:firstLine="648"/>
        <w:spacing w:after="0" w:line="226" w:lineRule="auto"/>
        <w:tabs>
          <w:tab w:leader="none" w:pos="114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0.75 times the Annual Base Salary, payable in equal installments over the 9 month period following the date of Executive’s Separation from Service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in accordance with the Company’s normal payroll practices;</w:t>
      </w:r>
    </w:p>
    <w:p>
      <w:pPr>
        <w:spacing w:after="0" w:line="160" w:lineRule="exact"/>
        <w:rPr>
          <w:rFonts w:ascii="Times New Roman" w:cs="Times New Roman" w:eastAsia="Times New Roman" w:hAnsi="Times New Roman"/>
          <w:sz w:val="20"/>
          <w:szCs w:val="20"/>
          <w:color w:val="auto"/>
        </w:rPr>
      </w:pPr>
    </w:p>
    <w:p>
      <w:pPr>
        <w:ind w:left="1301" w:hanging="652"/>
        <w:spacing w:after="0"/>
        <w:tabs>
          <w:tab w:leader="none" w:pos="130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set forth in </w:t>
      </w:r>
      <w:r>
        <w:rPr>
          <w:rFonts w:ascii="Times New Roman" w:cs="Times New Roman" w:eastAsia="Times New Roman" w:hAnsi="Times New Roman"/>
          <w:sz w:val="20"/>
          <w:szCs w:val="20"/>
          <w:u w:val="single" w:color="auto"/>
          <w:color w:val="auto"/>
        </w:rPr>
        <w:t>Section 4(b)(ii)</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1141" w:hanging="492"/>
        <w:spacing w:after="0"/>
        <w:tabs>
          <w:tab w:leader="none" w:pos="114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benefits set forth in </w:t>
      </w:r>
      <w:r>
        <w:rPr>
          <w:rFonts w:ascii="Times New Roman" w:cs="Times New Roman" w:eastAsia="Times New Roman" w:hAnsi="Times New Roman"/>
          <w:sz w:val="20"/>
          <w:szCs w:val="20"/>
          <w:u w:val="single" w:color="auto"/>
          <w:color w:val="auto"/>
        </w:rPr>
        <w:t>Section 4(b)(iii)</w:t>
      </w:r>
      <w:r>
        <w:rPr>
          <w:rFonts w:ascii="Times New Roman" w:cs="Times New Roman" w:eastAsia="Times New Roman" w:hAnsi="Times New Roman"/>
          <w:sz w:val="20"/>
          <w:szCs w:val="20"/>
          <w:color w:val="auto"/>
        </w:rPr>
        <w:t>, provided that for this purpose, the “Severance Period” will mean</w:t>
      </w:r>
    </w:p>
    <w:p>
      <w:pPr>
        <w:ind w:left="1"/>
        <w:spacing w:after="0"/>
        <w:rPr>
          <w:sz w:val="20"/>
          <w:szCs w:val="20"/>
          <w:color w:val="auto"/>
        </w:rPr>
      </w:pPr>
      <w:r>
        <w:rPr>
          <w:rFonts w:ascii="Times New Roman" w:cs="Times New Roman" w:eastAsia="Times New Roman" w:hAnsi="Times New Roman"/>
          <w:sz w:val="20"/>
          <w:szCs w:val="20"/>
          <w:color w:val="auto"/>
        </w:rPr>
        <w:t>the CIC Severance Period;</w:t>
      </w:r>
    </w:p>
    <w:p>
      <w:pPr>
        <w:spacing w:after="0" w:line="153" w:lineRule="exact"/>
        <w:rPr>
          <w:sz w:val="20"/>
          <w:szCs w:val="20"/>
          <w:color w:val="auto"/>
        </w:rPr>
      </w:pPr>
    </w:p>
    <w:p>
      <w:pPr>
        <w:ind w:left="1301" w:right="240" w:hanging="652"/>
        <w:spacing w:after="0"/>
        <w:tabs>
          <w:tab w:leader="none" w:pos="129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0.75 times the Target Annual Bonus, payable in a lump sum on the Company’s first ordinary payroll date that occurs after the Date of Termination; and</w:t>
      </w:r>
    </w:p>
    <w:p>
      <w:pPr>
        <w:spacing w:after="0" w:line="161" w:lineRule="exact"/>
        <w:rPr>
          <w:rFonts w:ascii="Times New Roman" w:cs="Times New Roman" w:eastAsia="Times New Roman" w:hAnsi="Times New Roman"/>
          <w:sz w:val="20"/>
          <w:szCs w:val="20"/>
          <w:color w:val="auto"/>
        </w:rPr>
      </w:pPr>
    </w:p>
    <w:p>
      <w:pPr>
        <w:ind w:left="1" w:right="120" w:firstLine="648"/>
        <w:spacing w:after="0" w:line="226" w:lineRule="auto"/>
        <w:tabs>
          <w:tab w:leader="none" w:pos="115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spacing w:after="0" w:line="160" w:lineRule="exact"/>
        <w:rPr>
          <w:rFonts w:ascii="Times New Roman" w:cs="Times New Roman" w:eastAsia="Times New Roman" w:hAnsi="Times New Roman"/>
          <w:sz w:val="20"/>
          <w:szCs w:val="20"/>
          <w:color w:val="auto"/>
        </w:rPr>
      </w:pPr>
    </w:p>
    <w:p>
      <w:pPr>
        <w:ind w:left="-639" w:right="180" w:firstLine="639"/>
        <w:spacing w:after="0" w:line="233" w:lineRule="auto"/>
        <w:tabs>
          <w:tab w:leader="none" w:pos="50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ectPr>
          <w:pgSz w:w="11900" w:h="16838" w:orient="portrait"/>
          <w:cols w:equalWidth="0" w:num="1">
            <w:col w:w="10281"/>
          </w:cols>
          <w:pgMar w:left="1119" w:top="1440" w:right="499" w:bottom="1440" w:gutter="0" w:footer="0" w:header="0"/>
        </w:sectPr>
      </w:pPr>
    </w:p>
    <w:bookmarkStart w:id="150" w:name="page151"/>
    <w:bookmarkEnd w:id="150"/>
    <w:p>
      <w:pPr>
        <w:spacing w:after="0" w:line="199" w:lineRule="exact"/>
        <w:rPr>
          <w:sz w:val="20"/>
          <w:szCs w:val="20"/>
          <w:color w:val="auto"/>
        </w:rPr>
      </w:pPr>
    </w:p>
    <w:p>
      <w:pPr>
        <w:ind w:left="8" w:right="140" w:hanging="8"/>
        <w:spacing w:after="0" w:line="213" w:lineRule="auto"/>
        <w:tabs>
          <w:tab w:leader="none" w:pos="50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to the effectiveness of this Agreement, Executive will have executed and delivered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no later than contemporaneously herewith the Employee Proprietary Information and Inventions Assignment Agreement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72" w:lineRule="exact"/>
        <w:rPr>
          <w:rFonts w:ascii="Times New Roman" w:cs="Times New Roman" w:eastAsia="Times New Roman" w:hAnsi="Times New Roman"/>
          <w:sz w:val="22"/>
          <w:szCs w:val="22"/>
          <w:b w:val="1"/>
          <w:bCs w:val="1"/>
          <w:color w:val="auto"/>
        </w:rPr>
      </w:pPr>
    </w:p>
    <w:p>
      <w:pPr>
        <w:ind w:left="648" w:hanging="648"/>
        <w:spacing w:after="0"/>
        <w:tabs>
          <w:tab w:leader="none" w:pos="64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56" w:lineRule="exact"/>
        <w:rPr>
          <w:sz w:val="20"/>
          <w:szCs w:val="20"/>
          <w:color w:val="auto"/>
        </w:rPr>
      </w:pPr>
    </w:p>
    <w:p>
      <w:pPr>
        <w:ind w:left="8" w:right="40" w:firstLine="647"/>
        <w:spacing w:after="0" w:line="234" w:lineRule="auto"/>
        <w:rPr>
          <w:sz w:val="20"/>
          <w:szCs w:val="20"/>
          <w:color w:val="auto"/>
        </w:rPr>
      </w:pPr>
      <w:r>
        <w:rPr>
          <w:rFonts w:ascii="Times New Roman" w:cs="Times New Roman" w:eastAsia="Times New Roman" w:hAnsi="Times New Roman"/>
          <w:sz w:val="19"/>
          <w:szCs w:val="19"/>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w:t>
      </w:r>
    </w:p>
    <w:p>
      <w:pPr>
        <w:spacing w:after="0" w:line="1" w:lineRule="exact"/>
        <w:rPr>
          <w:sz w:val="20"/>
          <w:szCs w:val="20"/>
          <w:color w:val="auto"/>
        </w:rPr>
      </w:pPr>
    </w:p>
    <w:p>
      <w:pPr>
        <w:jc w:val="both"/>
        <w:ind w:left="8"/>
        <w:spacing w:after="0" w:line="215" w:lineRule="auto"/>
        <w:rPr>
          <w:sz w:val="20"/>
          <w:szCs w:val="20"/>
          <w:color w:val="auto"/>
        </w:rPr>
      </w:pPr>
      <w:r>
        <w:rPr>
          <w:rFonts w:ascii="Times New Roman" w:cs="Times New Roman" w:eastAsia="Times New Roman" w:hAnsi="Times New Roman"/>
          <w:sz w:val="19"/>
          <w:szCs w:val="19"/>
          <w:color w:val="auto"/>
        </w:rPr>
        <w:t>its rights hereunder as security for indebtedness of the Company and its affiliates. This Agreement shall be binding upon and inure to the benefit of the Company, Executive and their respective successors, assigns, personal and legal representatives, executors, administrators,</w:t>
      </w:r>
    </w:p>
    <w:p>
      <w:pPr>
        <w:ind w:left="8"/>
        <w:spacing w:after="0" w:line="211" w:lineRule="auto"/>
        <w:rPr>
          <w:sz w:val="20"/>
          <w:szCs w:val="20"/>
          <w:color w:val="auto"/>
        </w:rPr>
      </w:pPr>
      <w:r>
        <w:rPr>
          <w:rFonts w:ascii="Times New Roman" w:cs="Times New Roman" w:eastAsia="Times New Roman" w:hAnsi="Times New Roman"/>
          <w:sz w:val="20"/>
          <w:szCs w:val="20"/>
          <w:color w:val="auto"/>
        </w:rPr>
        <w:t>heirs, distributees, devisees, and legatees, as applicable. None of Executive’s rights or obligations may be assigned or transferred by</w:t>
      </w:r>
    </w:p>
    <w:p>
      <w:pPr>
        <w:ind w:left="8" w:right="600"/>
        <w:spacing w:after="0" w:line="215" w:lineRule="auto"/>
        <w:rPr>
          <w:sz w:val="20"/>
          <w:szCs w:val="20"/>
          <w:color w:val="auto"/>
        </w:rPr>
      </w:pPr>
      <w:r>
        <w:rPr>
          <w:rFonts w:ascii="Times New Roman" w:cs="Times New Roman" w:eastAsia="Times New Roman" w:hAnsi="Times New Roman"/>
          <w:sz w:val="19"/>
          <w:szCs w:val="19"/>
          <w:color w:val="auto"/>
        </w:rPr>
        <w:t>Executive, other than Executive’s rights to payments hereunder, which may be transferred only by will or operation of law. Notwithstanding the foregoing, Executive shall be entitled, to the extent permitted under applicable law and applicable Company</w:t>
      </w:r>
    </w:p>
    <w:p>
      <w:pPr>
        <w:ind w:left="8"/>
        <w:spacing w:after="0" w:line="211" w:lineRule="auto"/>
        <w:rPr>
          <w:sz w:val="20"/>
          <w:szCs w:val="20"/>
          <w:color w:val="auto"/>
        </w:rPr>
      </w:pPr>
      <w:r>
        <w:rPr>
          <w:rFonts w:ascii="Times New Roman" w:cs="Times New Roman" w:eastAsia="Times New Roman" w:hAnsi="Times New Roman"/>
          <w:sz w:val="20"/>
          <w:szCs w:val="20"/>
          <w:color w:val="auto"/>
        </w:rPr>
        <w:t>Arrangements, to select and change a beneficiary or beneficiaries to receive</w:t>
      </w:r>
    </w:p>
    <w:p>
      <w:pPr>
        <w:ind w:left="8"/>
        <w:spacing w:after="0"/>
        <w:rPr>
          <w:sz w:val="20"/>
          <w:szCs w:val="20"/>
          <w:color w:val="auto"/>
        </w:rPr>
      </w:pPr>
      <w:r>
        <w:rPr>
          <w:rFonts w:ascii="Times New Roman" w:cs="Times New Roman" w:eastAsia="Times New Roman" w:hAnsi="Times New Roman"/>
          <w:sz w:val="20"/>
          <w:szCs w:val="20"/>
          <w:color w:val="auto"/>
        </w:rPr>
        <w:t>compensation hereunder following Executive’s death by giving written notice thereof to the Company.</w:t>
      </w:r>
    </w:p>
    <w:p>
      <w:pPr>
        <w:spacing w:after="0" w:line="176" w:lineRule="exact"/>
        <w:rPr>
          <w:sz w:val="20"/>
          <w:szCs w:val="20"/>
          <w:color w:val="auto"/>
        </w:rPr>
      </w:pPr>
    </w:p>
    <w:p>
      <w:pPr>
        <w:ind w:left="648" w:hanging="648"/>
        <w:spacing w:after="0"/>
        <w:tabs>
          <w:tab w:leader="none" w:pos="64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1148" w:hanging="501"/>
        <w:spacing w:after="0"/>
        <w:tabs>
          <w:tab w:leader="none" w:pos="114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188" w:lineRule="exact"/>
        <w:rPr>
          <w:rFonts w:ascii="Times New Roman" w:cs="Times New Roman" w:eastAsia="Times New Roman" w:hAnsi="Times New Roman"/>
          <w:sz w:val="20"/>
          <w:szCs w:val="20"/>
          <w:color w:val="auto"/>
        </w:rPr>
      </w:pPr>
    </w:p>
    <w:p>
      <w:pPr>
        <w:ind w:left="648" w:right="140" w:firstLine="648"/>
        <w:spacing w:after="0" w:line="217" w:lineRule="auto"/>
        <w:tabs>
          <w:tab w:leader="none" w:pos="1793"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reasonable, good faith determination that Executive has refused to (A) substantially perform the duties associated with Executive’s position with the Company or (B) carry out the reasonable and lawful instructions of the Executive’s direct supervisor concerning duties or actions consistent with the Executive’s position with the Company, in each case, that, to the extent capable of cure, has remained uncured for a period of thirty (30) days following written notice from the Company;</w:t>
      </w:r>
    </w:p>
    <w:p>
      <w:pPr>
        <w:spacing w:after="0" w:line="161" w:lineRule="exact"/>
        <w:rPr>
          <w:rFonts w:ascii="Times New Roman" w:cs="Times New Roman" w:eastAsia="Times New Roman" w:hAnsi="Times New Roman"/>
          <w:sz w:val="20"/>
          <w:szCs w:val="20"/>
          <w:color w:val="auto"/>
        </w:rPr>
      </w:pPr>
    </w:p>
    <w:p>
      <w:pPr>
        <w:ind w:left="648" w:right="380" w:firstLine="648"/>
        <w:spacing w:after="0"/>
        <w:tabs>
          <w:tab w:leader="none" w:pos="1794"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breach of a material provision of this Agreement that, to the extent capable of cure, has remained uncured for a period of thirty (30) days following written notice from the Company;</w:t>
      </w:r>
    </w:p>
    <w:p>
      <w:pPr>
        <w:spacing w:after="0" w:line="157" w:lineRule="exact"/>
        <w:rPr>
          <w:rFonts w:ascii="Times New Roman" w:cs="Times New Roman" w:eastAsia="Times New Roman" w:hAnsi="Times New Roman"/>
          <w:sz w:val="20"/>
          <w:szCs w:val="20"/>
          <w:color w:val="auto"/>
        </w:rPr>
      </w:pPr>
    </w:p>
    <w:p>
      <w:pPr>
        <w:ind w:left="648" w:right="140" w:firstLine="648"/>
        <w:spacing w:after="0" w:line="273" w:lineRule="auto"/>
        <w:tabs>
          <w:tab w:leader="none" w:pos="1795"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or crime involving moral turpitude;</w:t>
      </w:r>
    </w:p>
    <w:p>
      <w:pPr>
        <w:spacing w:after="0" w:line="142" w:lineRule="exact"/>
        <w:rPr>
          <w:rFonts w:ascii="Times New Roman" w:cs="Times New Roman" w:eastAsia="Times New Roman" w:hAnsi="Times New Roman"/>
          <w:sz w:val="20"/>
          <w:szCs w:val="20"/>
          <w:color w:val="auto"/>
        </w:rPr>
      </w:pPr>
    </w:p>
    <w:p>
      <w:pPr>
        <w:ind w:left="648" w:right="200" w:firstLine="648"/>
        <w:spacing w:after="0" w:line="222" w:lineRule="auto"/>
        <w:tabs>
          <w:tab w:leader="none" w:pos="1798"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unlawful use (including being under the influence) or possession of illegal drugs on the Company’s (or any of its affiliate’s) premises or while performing</w:t>
      </w:r>
    </w:p>
    <w:p>
      <w:pPr>
        <w:spacing w:after="0" w:line="1" w:lineRule="exact"/>
        <w:rPr>
          <w:rFonts w:ascii="Times New Roman" w:cs="Times New Roman" w:eastAsia="Times New Roman" w:hAnsi="Times New Roman"/>
          <w:sz w:val="20"/>
          <w:szCs w:val="20"/>
          <w:color w:val="auto"/>
        </w:rPr>
      </w:pPr>
    </w:p>
    <w:p>
      <w:pPr>
        <w:ind w:left="64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duties and responsibilities under this Agreement; or</w:t>
      </w:r>
    </w:p>
    <w:p>
      <w:pPr>
        <w:spacing w:after="0" w:line="153" w:lineRule="exact"/>
        <w:rPr>
          <w:rFonts w:ascii="Times New Roman" w:cs="Times New Roman" w:eastAsia="Times New Roman" w:hAnsi="Times New Roman"/>
          <w:sz w:val="20"/>
          <w:szCs w:val="20"/>
          <w:color w:val="auto"/>
        </w:rPr>
      </w:pPr>
    </w:p>
    <w:p>
      <w:pPr>
        <w:ind w:left="648" w:right="260" w:firstLine="648"/>
        <w:spacing w:after="0"/>
        <w:tabs>
          <w:tab w:leader="none" w:pos="1797"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any act of fraud, embezzlement, misappropriation, willful misconduct, or breach of fiduciary duty against the Company or any of its affiliates.</w:t>
      </w:r>
    </w:p>
    <w:p>
      <w:pPr>
        <w:spacing w:after="0" w:line="147" w:lineRule="exact"/>
        <w:rPr>
          <w:rFonts w:ascii="Times New Roman" w:cs="Times New Roman" w:eastAsia="Times New Roman" w:hAnsi="Times New Roman"/>
          <w:sz w:val="20"/>
          <w:szCs w:val="20"/>
          <w:color w:val="auto"/>
        </w:rPr>
      </w:pPr>
    </w:p>
    <w:p>
      <w:pPr>
        <w:ind w:left="1288" w:hanging="640"/>
        <w:spacing w:after="0"/>
        <w:tabs>
          <w:tab w:leader="none" w:pos="12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have the meaning set forth in the</w:t>
      </w:r>
    </w:p>
    <w:p>
      <w:pPr>
        <w:sectPr>
          <w:pgSz w:w="11900" w:h="16838" w:orient="portrait"/>
          <w:cols w:equalWidth="0" w:num="1">
            <w:col w:w="10828"/>
          </w:cols>
          <w:pgMar w:left="472" w:top="1440" w:right="599" w:bottom="1440" w:gutter="0" w:footer="0" w:header="0"/>
        </w:sectPr>
      </w:pPr>
    </w:p>
    <w:bookmarkStart w:id="151" w:name="page152"/>
    <w:bookmarkEnd w:id="151"/>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Immuneering Corporation 2021 Incentive Award Plan, as in effect on the Effective Date.</w:t>
      </w:r>
    </w:p>
    <w:p>
      <w:pPr>
        <w:spacing w:after="0" w:line="175" w:lineRule="exact"/>
        <w:rPr>
          <w:sz w:val="20"/>
          <w:szCs w:val="20"/>
          <w:color w:val="auto"/>
        </w:rPr>
      </w:pPr>
    </w:p>
    <w:p>
      <w:pPr>
        <w:ind w:left="8" w:right="1240" w:firstLine="639"/>
        <w:spacing w:after="0"/>
        <w:tabs>
          <w:tab w:leader="none" w:pos="115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Internal Revenue Code of 1986, as amended, and the regulations and guidance promulgated thereunder.</w:t>
      </w:r>
    </w:p>
    <w:p>
      <w:pPr>
        <w:spacing w:after="0" w:line="161" w:lineRule="exact"/>
        <w:rPr>
          <w:rFonts w:ascii="Times New Roman" w:cs="Times New Roman" w:eastAsia="Times New Roman" w:hAnsi="Times New Roman"/>
          <w:sz w:val="20"/>
          <w:szCs w:val="20"/>
          <w:color w:val="auto"/>
        </w:rPr>
      </w:pPr>
    </w:p>
    <w:p>
      <w:pPr>
        <w:ind w:left="8" w:right="20" w:firstLine="639"/>
        <w:spacing w:after="0" w:line="226" w:lineRule="auto"/>
        <w:tabs>
          <w:tab w:leader="none" w:pos="115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60" w:lineRule="exact"/>
        <w:rPr>
          <w:rFonts w:ascii="Times New Roman" w:cs="Times New Roman" w:eastAsia="Times New Roman" w:hAnsi="Times New Roman"/>
          <w:sz w:val="20"/>
          <w:szCs w:val="20"/>
          <w:color w:val="auto"/>
        </w:rPr>
      </w:pPr>
    </w:p>
    <w:p>
      <w:pPr>
        <w:ind w:left="8" w:firstLine="639"/>
        <w:spacing w:after="0" w:line="208" w:lineRule="auto"/>
        <w:tabs>
          <w:tab w:leader="none" w:pos="115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 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w:t>
      </w:r>
    </w:p>
    <w:p>
      <w:pPr>
        <w:spacing w:after="0" w:line="3" w:lineRule="exact"/>
        <w:rPr>
          <w:rFonts w:ascii="Times New Roman" w:cs="Times New Roman" w:eastAsia="Times New Roman" w:hAnsi="Times New Roman"/>
          <w:sz w:val="20"/>
          <w:szCs w:val="20"/>
          <w:color w:val="auto"/>
        </w:rPr>
      </w:pPr>
    </w:p>
    <w:p>
      <w:pPr>
        <w:ind w:left="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conclusive evidence of Executive’s Disability.</w:t>
      </w:r>
    </w:p>
    <w:p>
      <w:pPr>
        <w:spacing w:after="0" w:line="166" w:lineRule="exact"/>
        <w:rPr>
          <w:rFonts w:ascii="Times New Roman" w:cs="Times New Roman" w:eastAsia="Times New Roman" w:hAnsi="Times New Roman"/>
          <w:sz w:val="20"/>
          <w:szCs w:val="20"/>
          <w:color w:val="auto"/>
        </w:rPr>
      </w:pPr>
    </w:p>
    <w:p>
      <w:pPr>
        <w:ind w:left="8" w:right="200" w:firstLine="639"/>
        <w:spacing w:after="0" w:line="210" w:lineRule="auto"/>
        <w:tabs>
          <w:tab w:leader="none" w:pos="115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“Good Reason” if Executive resigns within ninety (90) days after any of the following events, unless Executive consents in writing to the applicable event: (i) a reduction in Executive’s Annual Base Salary or Target Annual Bonus, (ii) the relocation of Executive’s primary office to a location more than twenty-five (25) miles from the Executive’s primary office as of the date of this Agreement or (iii) the Company’s breach of a material provision of this Agreement. Notwithstanding the foregoing, no Good Reason will have</w:t>
      </w:r>
    </w:p>
    <w:p>
      <w:pPr>
        <w:spacing w:after="0" w:line="2" w:lineRule="exact"/>
        <w:rPr>
          <w:rFonts w:ascii="Times New Roman" w:cs="Times New Roman" w:eastAsia="Times New Roman" w:hAnsi="Times New Roman"/>
          <w:sz w:val="20"/>
          <w:szCs w:val="20"/>
          <w:color w:val="auto"/>
        </w:rPr>
      </w:pPr>
    </w:p>
    <w:p>
      <w:pPr>
        <w:jc w:val="both"/>
        <w:ind w:left="8" w:right="60"/>
        <w:spacing w:after="0" w:line="21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occurred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70" w:lineRule="exact"/>
        <w:rPr>
          <w:rFonts w:ascii="Times New Roman" w:cs="Times New Roman" w:eastAsia="Times New Roman" w:hAnsi="Times New Roman"/>
          <w:sz w:val="20"/>
          <w:szCs w:val="20"/>
          <w:color w:val="auto"/>
        </w:rPr>
      </w:pPr>
    </w:p>
    <w:p>
      <w:pPr>
        <w:ind w:left="648" w:hanging="648"/>
        <w:spacing w:after="0"/>
        <w:tabs>
          <w:tab w:leader="none" w:pos="64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left="8" w:right="60" w:firstLine="639"/>
        <w:spacing w:after="0" w:line="226" w:lineRule="auto"/>
        <w:tabs>
          <w:tab w:leader="none" w:pos="1158"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w:t>
      </w:r>
      <w:r>
        <w:rPr>
          <w:rFonts w:ascii="Times New Roman" w:cs="Times New Roman" w:eastAsia="Times New Roman" w:hAnsi="Times New Roman"/>
          <w:sz w:val="19"/>
          <w:szCs w:val="19"/>
          <w:color w:val="auto"/>
        </w:rPr>
        <w:t xml:space="preserve"> hereof, being hereinafter referred to as the “</w:t>
      </w:r>
      <w:r>
        <w:rPr>
          <w:rFonts w:ascii="Times New Roman" w:cs="Times New Roman" w:eastAsia="Times New Roman" w:hAnsi="Times New Roman"/>
          <w:sz w:val="19"/>
          <w:szCs w:val="19"/>
          <w:u w:val="single" w:color="auto"/>
          <w:color w:val="auto"/>
        </w:rPr>
        <w:t>Total Payments</w:t>
      </w:r>
      <w:r>
        <w:rPr>
          <w:rFonts w:ascii="Times New Roman" w:cs="Times New Roman" w:eastAsia="Times New Roman" w:hAnsi="Times New Roman"/>
          <w:sz w:val="19"/>
          <w:szCs w:val="19"/>
          <w:color w:val="auto"/>
        </w:rPr>
        <w:t>”), would be subject (in whole or in part) to the excise tax imposed by Section 4999 of the Code (the “</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xml:space="preserve">”), then the Total Payments shall be reduced (in the order provided in </w:t>
      </w:r>
      <w:r>
        <w:rPr>
          <w:rFonts w:ascii="Times New Roman" w:cs="Times New Roman" w:eastAsia="Times New Roman" w:hAnsi="Times New Roman"/>
          <w:sz w:val="19"/>
          <w:szCs w:val="19"/>
          <w:u w:val="single" w:color="auto"/>
          <w:color w:val="auto"/>
        </w:rPr>
        <w:t>Section 8(b)</w:t>
      </w:r>
      <w:r>
        <w:rPr>
          <w:rFonts w:ascii="Times New Roman" w:cs="Times New Roman" w:eastAsia="Times New Roman" w:hAnsi="Times New Roman"/>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w:t>
      </w:r>
    </w:p>
    <w:p>
      <w:pPr>
        <w:sectPr>
          <w:pgSz w:w="11900" w:h="16838" w:orient="portrait"/>
          <w:cols w:equalWidth="0" w:num="1">
            <w:col w:w="10948"/>
          </w:cols>
          <w:pgMar w:left="472" w:top="1440" w:right="479" w:bottom="1440" w:gutter="0" w:footer="0" w:header="0"/>
        </w:sectPr>
      </w:pPr>
    </w:p>
    <w:bookmarkStart w:id="152" w:name="page153"/>
    <w:bookmarkEnd w:id="152"/>
    <w:p>
      <w:pPr>
        <w:spacing w:after="0" w:line="189" w:lineRule="exact"/>
        <w:rPr>
          <w:sz w:val="20"/>
          <w:szCs w:val="20"/>
          <w:color w:val="auto"/>
        </w:rPr>
      </w:pPr>
    </w:p>
    <w:p>
      <w:pPr>
        <w:ind w:left="8" w:right="220"/>
        <w:spacing w:after="0" w:line="215" w:lineRule="auto"/>
        <w:rPr>
          <w:sz w:val="20"/>
          <w:szCs w:val="20"/>
          <w:color w:val="auto"/>
        </w:rPr>
      </w:pPr>
      <w:r>
        <w:rPr>
          <w:rFonts w:ascii="Times New Roman" w:cs="Times New Roman" w:eastAsia="Times New Roman" w:hAnsi="Times New Roman"/>
          <w:sz w:val="20"/>
          <w:szCs w:val="20"/>
          <w:color w:val="auto"/>
        </w:rPr>
        <w:t>reduced Total Payments and after taking into account the phase out of itemized deductions and personal exemptions attributable to such reduced Total Payments), is greater than or equal to (ii) the net amount of such Total Payments without such reduction (but after</w:t>
      </w:r>
    </w:p>
    <w:p>
      <w:pPr>
        <w:ind w:left="8"/>
        <w:spacing w:after="0" w:line="224" w:lineRule="auto"/>
        <w:rPr>
          <w:sz w:val="20"/>
          <w:szCs w:val="20"/>
          <w:color w:val="auto"/>
        </w:rPr>
      </w:pPr>
      <w:r>
        <w:rPr>
          <w:rFonts w:ascii="Times New Roman" w:cs="Times New Roman" w:eastAsia="Times New Roman" w:hAnsi="Times New Roman"/>
          <w:sz w:val="19"/>
          <w:szCs w:val="19"/>
          <w:color w:val="auto"/>
        </w:rPr>
        <w:t>subtracting the net amount of federal, state and local income and employment taxes on such Total Payments and the amount of the Excise</w:t>
      </w:r>
    </w:p>
    <w:p>
      <w:pPr>
        <w:ind w:left="8" w:right="500"/>
        <w:spacing w:after="0" w:line="221" w:lineRule="auto"/>
        <w:rPr>
          <w:sz w:val="20"/>
          <w:szCs w:val="20"/>
          <w:color w:val="auto"/>
        </w:rPr>
      </w:pPr>
      <w:r>
        <w:rPr>
          <w:rFonts w:ascii="Times New Roman" w:cs="Times New Roman" w:eastAsia="Times New Roman" w:hAnsi="Times New Roman"/>
          <w:sz w:val="20"/>
          <w:szCs w:val="20"/>
          <w:color w:val="auto"/>
        </w:rPr>
        <w:t>Tax to which Executive would be subject in respect of such unreduced Total Payments and after taking into account the phase out of itemized deductions and personal exemptions attributable to such unreduced Total Payments).</w:t>
      </w:r>
    </w:p>
    <w:p>
      <w:pPr>
        <w:spacing w:after="0" w:line="162" w:lineRule="exact"/>
        <w:rPr>
          <w:sz w:val="20"/>
          <w:szCs w:val="20"/>
          <w:color w:val="auto"/>
        </w:rPr>
      </w:pPr>
    </w:p>
    <w:p>
      <w:pPr>
        <w:ind w:left="8" w:right="760" w:firstLine="639"/>
        <w:spacing w:after="0" w:line="215" w:lineRule="auto"/>
        <w:tabs>
          <w:tab w:leader="none" w:pos="115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Payments shall be reduced in the following order: (i) reduction on a pro rata basis of any cash severance payments that are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288" w:hanging="288"/>
        <w:spacing w:after="0" w:line="211" w:lineRule="auto"/>
        <w:tabs>
          <w:tab w:leader="none" w:pos="28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on a pro rata basis of any non-cash severance payments or benefits that are exempt from Section 409A, (iii) reduction on a</w:t>
      </w:r>
    </w:p>
    <w:p>
      <w:pPr>
        <w:ind w:left="8"/>
        <w:spacing w:after="0" w:line="215" w:lineRule="auto"/>
        <w:rPr>
          <w:sz w:val="20"/>
          <w:szCs w:val="20"/>
          <w:color w:val="auto"/>
        </w:rPr>
      </w:pPr>
      <w:r>
        <w:rPr>
          <w:rFonts w:ascii="Times New Roman" w:cs="Times New Roman" w:eastAsia="Times New Roman" w:hAnsi="Times New Roman"/>
          <w:sz w:val="19"/>
          <w:szCs w:val="19"/>
          <w:color w:val="auto"/>
        </w:rPr>
        <w:t>pro rata basis of any other payments or benefits that are exempt from Section 409A, and (iv) reduction of any payments or benefits otherwise payable to Executive on a pro rata basis or such other manner that complies with Section 409A; provided, in case of clauses (ii),</w:t>
      </w:r>
    </w:p>
    <w:p>
      <w:pPr>
        <w:ind w:left="8" w:right="120" w:hanging="8"/>
        <w:spacing w:after="0" w:line="228" w:lineRule="auto"/>
        <w:tabs>
          <w:tab w:leader="none" w:pos="35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(iv), that reduction of any payments attributable to the acceleration of vesting of Company equity awards shall be first applied to Company equity awards that would otherwise vest last in time.</w:t>
      </w:r>
    </w:p>
    <w:p>
      <w:pPr>
        <w:spacing w:after="0" w:line="162" w:lineRule="exact"/>
        <w:rPr>
          <w:rFonts w:ascii="Times New Roman" w:cs="Times New Roman" w:eastAsia="Times New Roman" w:hAnsi="Times New Roman"/>
          <w:sz w:val="20"/>
          <w:szCs w:val="20"/>
          <w:color w:val="auto"/>
        </w:rPr>
      </w:pPr>
    </w:p>
    <w:p>
      <w:pPr>
        <w:ind w:left="8" w:right="40" w:firstLine="639"/>
        <w:spacing w:after="0" w:line="221" w:lineRule="auto"/>
        <w:tabs>
          <w:tab w:leader="none" w:pos="115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determinations regarding the application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19"/>
          <w:szCs w:val="19"/>
          <w:u w:val="single" w:color="auto"/>
          <w:color w:val="auto"/>
        </w:rPr>
        <w:t>Independent Advisors</w:t>
      </w:r>
      <w:r>
        <w:rPr>
          <w:rFonts w:ascii="Times New Roman" w:cs="Times New Roman" w:eastAsia="Times New Roman" w:hAnsi="Times New Roman"/>
          <w:sz w:val="19"/>
          <w:szCs w:val="19"/>
          <w:color w:val="auto"/>
        </w:rPr>
        <w:t>”). For purposes of determinations, no portion of the Total Payments shall be taken into account which, in the opinion of the Independent Advisors, (i) does not constitute a “parachute payment” within the meaning of Section 280G(b)</w:t>
      </w:r>
    </w:p>
    <w:p>
      <w:pPr>
        <w:ind w:left="8" w:right="30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62" w:lineRule="exact"/>
        <w:rPr>
          <w:rFonts w:ascii="Times New Roman" w:cs="Times New Roman" w:eastAsia="Times New Roman" w:hAnsi="Times New Roman"/>
          <w:sz w:val="19"/>
          <w:szCs w:val="19"/>
          <w:color w:val="auto"/>
        </w:rPr>
      </w:pPr>
    </w:p>
    <w:p>
      <w:pPr>
        <w:ind w:left="8" w:right="260" w:firstLine="639"/>
        <w:spacing w:after="0"/>
        <w:tabs>
          <w:tab w:leader="none" w:pos="115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excess amount shall be returned promptly by Executive to the Company.</w:t>
      </w:r>
    </w:p>
    <w:p>
      <w:pPr>
        <w:spacing w:after="0" w:line="171" w:lineRule="exact"/>
        <w:rPr>
          <w:sz w:val="20"/>
          <w:szCs w:val="20"/>
          <w:color w:val="auto"/>
        </w:rPr>
      </w:pPr>
    </w:p>
    <w:p>
      <w:pPr>
        <w:ind w:left="648" w:hanging="648"/>
        <w:spacing w:after="0"/>
        <w:tabs>
          <w:tab w:leader="none" w:pos="64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8" w:right="100" w:firstLine="639"/>
        <w:spacing w:after="0" w:line="222" w:lineRule="auto"/>
        <w:tabs>
          <w:tab w:leader="none" w:pos="115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New York without reference to the principles of conflicts of law of the State of New York or any other jurisdiction that would result in the application of the laws of a jurisdiction other than the State of New York, and where applicable, the laws of the United States.</w:t>
      </w:r>
    </w:p>
    <w:p>
      <w:pPr>
        <w:spacing w:after="0" w:line="161" w:lineRule="exact"/>
        <w:rPr>
          <w:rFonts w:ascii="Times New Roman" w:cs="Times New Roman" w:eastAsia="Times New Roman" w:hAnsi="Times New Roman"/>
          <w:sz w:val="20"/>
          <w:szCs w:val="20"/>
          <w:color w:val="auto"/>
        </w:rPr>
      </w:pPr>
    </w:p>
    <w:p>
      <w:pPr>
        <w:ind w:left="8" w:right="340" w:firstLine="639"/>
        <w:spacing w:after="0" w:line="233" w:lineRule="auto"/>
        <w:tabs>
          <w:tab w:leader="none" w:pos="1156"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60" w:lineRule="exact"/>
        <w:rPr>
          <w:rFonts w:ascii="Times New Roman" w:cs="Times New Roman" w:eastAsia="Times New Roman" w:hAnsi="Times New Roman"/>
          <w:sz w:val="20"/>
          <w:szCs w:val="20"/>
          <w:color w:val="auto"/>
        </w:rPr>
      </w:pPr>
    </w:p>
    <w:p>
      <w:pPr>
        <w:ind w:left="8" w:right="860" w:firstLine="639"/>
        <w:spacing w:after="0" w:line="226" w:lineRule="auto"/>
        <w:tabs>
          <w:tab w:leader="none" w:pos="115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ectPr>
          <w:pgSz w:w="11900" w:h="16838" w:orient="portrait"/>
          <w:cols w:equalWidth="0" w:num="1">
            <w:col w:w="10968"/>
          </w:cols>
          <w:pgMar w:left="472" w:top="1440" w:right="459" w:bottom="1440" w:gutter="0" w:footer="0" w:header="0"/>
        </w:sectPr>
      </w:pPr>
    </w:p>
    <w:bookmarkStart w:id="153" w:name="page154"/>
    <w:bookmarkEnd w:id="153"/>
    <w:p>
      <w:pPr>
        <w:spacing w:after="0" w:line="189" w:lineRule="exact"/>
        <w:rPr>
          <w:sz w:val="20"/>
          <w:szCs w:val="20"/>
          <w:color w:val="auto"/>
        </w:rPr>
      </w:pPr>
    </w:p>
    <w:p>
      <w:pPr>
        <w:ind w:left="1780" w:hanging="492"/>
        <w:spacing w:after="0"/>
        <w:tabs>
          <w:tab w:leader="none" w:pos="178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General Counsel of the Company at the Company’s headquarters,</w:t>
      </w:r>
    </w:p>
    <w:p>
      <w:pPr>
        <w:spacing w:after="0" w:line="175" w:lineRule="exact"/>
        <w:rPr>
          <w:rFonts w:ascii="Times New Roman" w:cs="Times New Roman" w:eastAsia="Times New Roman" w:hAnsi="Times New Roman"/>
          <w:sz w:val="20"/>
          <w:szCs w:val="20"/>
          <w:color w:val="auto"/>
        </w:rPr>
      </w:pPr>
    </w:p>
    <w:p>
      <w:pPr>
        <w:ind w:left="1780" w:hanging="492"/>
        <w:spacing w:after="0"/>
        <w:tabs>
          <w:tab w:leader="none" w:pos="178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188" w:lineRule="exact"/>
        <w:rPr>
          <w:rFonts w:ascii="Times New Roman" w:cs="Times New Roman" w:eastAsia="Times New Roman" w:hAnsi="Times New Roman"/>
          <w:sz w:val="20"/>
          <w:szCs w:val="20"/>
          <w:color w:val="auto"/>
        </w:rPr>
      </w:pPr>
    </w:p>
    <w:p>
      <w:pPr>
        <w:ind w:left="1780" w:hanging="492"/>
        <w:spacing w:after="0"/>
        <w:tabs>
          <w:tab w:leader="none" w:pos="178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188" w:lineRule="exact"/>
        <w:rPr>
          <w:rFonts w:ascii="Times New Roman" w:cs="Times New Roman" w:eastAsia="Times New Roman" w:hAnsi="Times New Roman"/>
          <w:sz w:val="20"/>
          <w:szCs w:val="20"/>
          <w:color w:val="auto"/>
        </w:rPr>
      </w:pPr>
    </w:p>
    <w:p>
      <w:pPr>
        <w:jc w:val="both"/>
        <w:ind w:right="180" w:firstLine="639"/>
        <w:spacing w:after="0" w:line="226" w:lineRule="auto"/>
        <w:tabs>
          <w:tab w:leader="none" w:pos="11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60" w:lineRule="exact"/>
        <w:rPr>
          <w:rFonts w:ascii="Times New Roman" w:cs="Times New Roman" w:eastAsia="Times New Roman" w:hAnsi="Times New Roman"/>
          <w:sz w:val="20"/>
          <w:szCs w:val="20"/>
          <w:color w:val="auto"/>
        </w:rPr>
      </w:pPr>
    </w:p>
    <w:p>
      <w:pPr>
        <w:ind w:right="80" w:firstLine="639"/>
        <w:spacing w:after="0" w:line="216" w:lineRule="auto"/>
        <w:tabs>
          <w:tab w:leader="none" w:pos="115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The terms of this Agreement, and the Restrictive Covenant Agreement incorporated herein by reference as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2" w:lineRule="exact"/>
        <w:rPr>
          <w:rFonts w:ascii="Times New Roman" w:cs="Times New Roman" w:eastAsia="Times New Roman" w:hAnsi="Times New Roman"/>
          <w:sz w:val="20"/>
          <w:szCs w:val="20"/>
          <w:color w:val="auto"/>
        </w:rPr>
      </w:pPr>
    </w:p>
    <w:p>
      <w:pPr>
        <w:ind w:right="120" w:firstLine="639"/>
        <w:spacing w:after="0" w:line="227" w:lineRule="auto"/>
        <w:tabs>
          <w:tab w:leader="none" w:pos="114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Waivers</w:t>
      </w:r>
      <w:r>
        <w:rPr>
          <w:rFonts w:ascii="Times New Roman" w:cs="Times New Roman" w:eastAsia="Times New Roman" w:hAnsi="Times New Roman"/>
          <w:sz w:val="19"/>
          <w:szCs w:val="19"/>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64" w:lineRule="exact"/>
        <w:rPr>
          <w:rFonts w:ascii="Times New Roman" w:cs="Times New Roman" w:eastAsia="Times New Roman" w:hAnsi="Times New Roman"/>
          <w:sz w:val="19"/>
          <w:szCs w:val="19"/>
          <w:color w:val="auto"/>
        </w:rPr>
      </w:pPr>
    </w:p>
    <w:p>
      <w:pPr>
        <w:ind w:right="140" w:firstLine="639"/>
        <w:spacing w:after="0" w:line="208" w:lineRule="auto"/>
        <w:tabs>
          <w:tab w:leader="none" w:pos="11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w:t>
      </w:r>
    </w:p>
    <w:p>
      <w:pPr>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62" w:lineRule="exact"/>
        <w:rPr>
          <w:rFonts w:ascii="Times New Roman" w:cs="Times New Roman" w:eastAsia="Times New Roman" w:hAnsi="Times New Roman"/>
          <w:sz w:val="20"/>
          <w:szCs w:val="20"/>
          <w:color w:val="auto"/>
        </w:rPr>
      </w:pPr>
    </w:p>
    <w:p>
      <w:pPr>
        <w:ind w:right="420" w:firstLine="639"/>
        <w:spacing w:after="0" w:line="222" w:lineRule="auto"/>
        <w:tabs>
          <w:tab w:leader="none" w:pos="11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controversy, claim or dispute arising out of or relating to this Agreement, shall be settled solely and exclusively by a binding arbitration process administered by JAMS/Endispute in New York, New York. Such arbitration shall be conducted in accordance with the then-existing JAMS/Endispute Rules of Practice and Procedure, with the following exceptions if in conflict: (i) one arbitrator who is a retired judge shall be chosen by JAMS/Endispute; (ii) each Party to</w:t>
      </w:r>
    </w:p>
    <w:p>
      <w:pPr>
        <w:sectPr>
          <w:pgSz w:w="11900" w:h="16838" w:orient="portrait"/>
          <w:cols w:equalWidth="0" w:num="1">
            <w:col w:w="10960"/>
          </w:cols>
          <w:pgMar w:left="480" w:top="1440" w:right="459" w:bottom="1440" w:gutter="0" w:footer="0" w:header="0"/>
        </w:sectPr>
      </w:pPr>
    </w:p>
    <w:bookmarkStart w:id="154" w:name="page155"/>
    <w:bookmarkEnd w:id="154"/>
    <w:p>
      <w:pPr>
        <w:spacing w:after="0" w:line="18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the arbitration will pay one-half of the expenses and fees of the arbitrator, together with other expenses of the arbitration incurred or approved by the arbitrator; and (iii) arbitration may proceed in the absence of any Party if written notice (pursuant to the JAMS/Endispute</w:t>
      </w:r>
    </w:p>
    <w:p>
      <w:pPr>
        <w:spacing w:after="0" w:line="211" w:lineRule="auto"/>
        <w:rPr>
          <w:sz w:val="20"/>
          <w:szCs w:val="20"/>
          <w:color w:val="auto"/>
        </w:rPr>
      </w:pPr>
      <w:r>
        <w:rPr>
          <w:rFonts w:ascii="Times New Roman" w:cs="Times New Roman" w:eastAsia="Times New Roman" w:hAnsi="Times New Roman"/>
          <w:sz w:val="20"/>
          <w:szCs w:val="20"/>
          <w:color w:val="auto"/>
        </w:rPr>
        <w:t>rules and regulations) of the proceedings has been given to such Party. Each Party shall bear its own attorney’s fees and expenses;</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provided that the arbitrator may assess the prevailing Party’s fees and costs against the non-prevailing Party as part of the arbitrator’s award. The Parties agree to abide by all decisions and awards rendered in such proceedings. Such decisions and awards rendered by the</w:t>
      </w:r>
    </w:p>
    <w:p>
      <w:pPr>
        <w:spacing w:after="0" w:line="211" w:lineRule="auto"/>
        <w:rPr>
          <w:sz w:val="20"/>
          <w:szCs w:val="20"/>
          <w:color w:val="auto"/>
        </w:rPr>
      </w:pPr>
      <w:r>
        <w:rPr>
          <w:rFonts w:ascii="Times New Roman" w:cs="Times New Roman" w:eastAsia="Times New Roman" w:hAnsi="Times New Roman"/>
          <w:sz w:val="20"/>
          <w:szCs w:val="20"/>
          <w:color w:val="auto"/>
        </w:rPr>
        <w:t>arbitrator shall be final and conclusive. All such controversies, claims or disputes shall be settled in this manner in lieu of any action at</w:t>
      </w:r>
    </w:p>
    <w:p>
      <w:pPr>
        <w:ind w:right="120"/>
        <w:spacing w:after="0" w:line="215" w:lineRule="auto"/>
        <w:rPr>
          <w:sz w:val="20"/>
          <w:szCs w:val="20"/>
          <w:color w:val="auto"/>
        </w:rPr>
      </w:pPr>
      <w:r>
        <w:rPr>
          <w:rFonts w:ascii="Times New Roman" w:cs="Times New Roman" w:eastAsia="Times New Roman" w:hAnsi="Times New Roman"/>
          <w:sz w:val="19"/>
          <w:szCs w:val="19"/>
          <w:color w:val="auto"/>
        </w:rPr>
        <w:t>law or equity; provided, however, that nothing in this subsection shall be construed as precluding the bringing of an action for injunctive relief or specific performance as provided in this Agreement or the Restrictive Covenant Agreement. This dispute resolution process and</w:t>
      </w:r>
    </w:p>
    <w:p>
      <w:pPr>
        <w:spacing w:after="0" w:line="211" w:lineRule="auto"/>
        <w:rPr>
          <w:sz w:val="20"/>
          <w:szCs w:val="20"/>
          <w:color w:val="auto"/>
        </w:rPr>
      </w:pPr>
      <w:r>
        <w:rPr>
          <w:rFonts w:ascii="Times New Roman" w:cs="Times New Roman" w:eastAsia="Times New Roman" w:hAnsi="Times New Roman"/>
          <w:sz w:val="20"/>
          <w:szCs w:val="20"/>
          <w:color w:val="auto"/>
        </w:rPr>
        <w:t>any arbitration hereunder shall be confidential and neither any Party nor the neutral arbitrator shall disclose the existence, contents or</w:t>
      </w:r>
    </w:p>
    <w:p>
      <w:pPr>
        <w:ind w:right="440"/>
        <w:spacing w:after="0" w:line="215" w:lineRule="auto"/>
        <w:rPr>
          <w:sz w:val="20"/>
          <w:szCs w:val="20"/>
          <w:color w:val="auto"/>
        </w:rPr>
      </w:pPr>
      <w:r>
        <w:rPr>
          <w:rFonts w:ascii="Times New Roman" w:cs="Times New Roman" w:eastAsia="Times New Roman" w:hAnsi="Times New Roman"/>
          <w:sz w:val="19"/>
          <w:szCs w:val="19"/>
          <w:color w:val="auto"/>
        </w:rPr>
        <w:t>results of such process without the prior written consent of all Parties, except where necessary or compelled in a court to enforce this arbitration provision or an award from such arbitration or otherwise in a legal proceeding. If JAMS/Endispute no longer exists or is</w:t>
      </w:r>
    </w:p>
    <w:p>
      <w:pPr>
        <w:spacing w:after="0" w:line="211" w:lineRule="auto"/>
        <w:rPr>
          <w:sz w:val="20"/>
          <w:szCs w:val="20"/>
          <w:color w:val="auto"/>
        </w:rPr>
      </w:pPr>
      <w:r>
        <w:rPr>
          <w:rFonts w:ascii="Times New Roman" w:cs="Times New Roman" w:eastAsia="Times New Roman" w:hAnsi="Times New Roman"/>
          <w:sz w:val="20"/>
          <w:szCs w:val="20"/>
          <w:color w:val="auto"/>
        </w:rPr>
        <w:t>otherwise unavailable, the Parties agree that the American</w:t>
      </w:r>
    </w:p>
    <w:p>
      <w:pPr>
        <w:ind w:right="40"/>
        <w:spacing w:after="0" w:line="215" w:lineRule="auto"/>
        <w:rPr>
          <w:sz w:val="20"/>
          <w:szCs w:val="20"/>
          <w:color w:val="auto"/>
        </w:rPr>
      </w:pPr>
      <w:r>
        <w:rPr>
          <w:rFonts w:ascii="Times New Roman" w:cs="Times New Roman" w:eastAsia="Times New Roman" w:hAnsi="Times New Roman"/>
          <w:sz w:val="19"/>
          <w:szCs w:val="19"/>
          <w:color w:val="auto"/>
        </w:rPr>
        <w:t>Arbitration Association (“</w:t>
      </w:r>
      <w:r>
        <w:rPr>
          <w:rFonts w:ascii="Times New Roman" w:cs="Times New Roman" w:eastAsia="Times New Roman" w:hAnsi="Times New Roman"/>
          <w:sz w:val="19"/>
          <w:szCs w:val="19"/>
          <w:u w:val="single" w:color="auto"/>
          <w:color w:val="auto"/>
        </w:rPr>
        <w:t>AAA</w:t>
      </w:r>
      <w:r>
        <w:rPr>
          <w:rFonts w:ascii="Times New Roman" w:cs="Times New Roman" w:eastAsia="Times New Roman" w:hAnsi="Times New Roman"/>
          <w:sz w:val="19"/>
          <w:szCs w:val="19"/>
          <w:color w:val="auto"/>
        </w:rPr>
        <w:t>”) shall administer the arbitration in accordance with its then-existing rules as modified by this subsection. In such event, all references herein to JAMS/Endispute shall mean AAA. Notwithstanding the foregoing, Executive and the Company</w:t>
      </w:r>
    </w:p>
    <w:p>
      <w:pPr>
        <w:spacing w:after="0"/>
        <w:rPr>
          <w:sz w:val="20"/>
          <w:szCs w:val="20"/>
          <w:color w:val="auto"/>
        </w:rPr>
      </w:pPr>
      <w:r>
        <w:rPr>
          <w:rFonts w:ascii="Times New Roman" w:cs="Times New Roman" w:eastAsia="Times New Roman" w:hAnsi="Times New Roman"/>
          <w:sz w:val="20"/>
          <w:szCs w:val="20"/>
          <w:color w:val="auto"/>
        </w:rPr>
        <w:t>each have the right to resolve any issue or dispute over intellectual property rights by court action instead of arbitration.</w:t>
      </w:r>
    </w:p>
    <w:p>
      <w:pPr>
        <w:spacing w:after="0" w:line="167" w:lineRule="exact"/>
        <w:rPr>
          <w:sz w:val="20"/>
          <w:szCs w:val="20"/>
          <w:color w:val="auto"/>
        </w:rPr>
      </w:pPr>
    </w:p>
    <w:p>
      <w:pPr>
        <w:ind w:right="80" w:firstLine="639"/>
        <w:spacing w:after="0" w:line="215"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0" w:lineRule="exact"/>
        <w:rPr>
          <w:rFonts w:ascii="Times New Roman" w:cs="Times New Roman" w:eastAsia="Times New Roman" w:hAnsi="Times New Roman"/>
          <w:sz w:val="20"/>
          <w:szCs w:val="20"/>
          <w:color w:val="auto"/>
        </w:rPr>
      </w:pPr>
    </w:p>
    <w:p>
      <w:pPr>
        <w:ind w:right="260" w:firstLine="639"/>
        <w:spacing w:after="0" w:line="226"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60"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640" w:right="540" w:firstLine="648"/>
        <w:spacing w:after="0" w:line="227" w:lineRule="auto"/>
        <w:tabs>
          <w:tab w:leader="none" w:pos="178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w:t>
      </w:r>
    </w:p>
    <w:p>
      <w:pPr>
        <w:spacing w:after="0" w:line="157" w:lineRule="exact"/>
        <w:rPr>
          <w:rFonts w:ascii="Times New Roman" w:cs="Times New Roman" w:eastAsia="Times New Roman" w:hAnsi="Times New Roman"/>
          <w:sz w:val="20"/>
          <w:szCs w:val="20"/>
          <w:color w:val="auto"/>
        </w:rPr>
      </w:pPr>
    </w:p>
    <w:p>
      <w:pPr>
        <w:ind w:left="640" w:firstLine="648"/>
        <w:spacing w:after="0" w:line="215" w:lineRule="auto"/>
        <w:tabs>
          <w:tab w:leader="none" w:pos="178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any compensation or benefits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payable under this Agreement that is designated under this Agreement as payable upon Executive’s termination of employment shall be payable only upon</w:t>
      </w:r>
    </w:p>
    <w:p>
      <w:pPr>
        <w:spacing w:after="0" w:line="1" w:lineRule="exact"/>
        <w:rPr>
          <w:rFonts w:ascii="Times New Roman" w:cs="Times New Roman" w:eastAsia="Times New Roman" w:hAnsi="Times New Roman"/>
          <w:sz w:val="20"/>
          <w:szCs w:val="20"/>
          <w:color w:val="auto"/>
        </w:rPr>
      </w:pPr>
    </w:p>
    <w:p>
      <w:pPr>
        <w:ind w:left="640" w:right="2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“separation from service” with the Company within the meaning of Section 409A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xml:space="preserve">”) and, except as provided below, any such compensation or benefits described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not be paid, or, in the case of installments, shall not commence payment, until the thirtieth (30th) day following Executive’s Separation from Service (the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 Any installment payments that would have been made to Executive during the thirty (30) day period immediately following Executive’s Separation from Service but for the</w:t>
      </w:r>
    </w:p>
    <w:p>
      <w:pPr>
        <w:sectPr>
          <w:pgSz w:w="11900" w:h="16838" w:orient="portrait"/>
          <w:cols w:equalWidth="0" w:num="1">
            <w:col w:w="10940"/>
          </w:cols>
          <w:pgMar w:left="480" w:top="1440" w:right="479" w:bottom="1440" w:gutter="0" w:footer="0" w:header="0"/>
        </w:sectPr>
      </w:pPr>
    </w:p>
    <w:bookmarkStart w:id="155" w:name="page156"/>
    <w:bookmarkEnd w:id="155"/>
    <w:p>
      <w:pPr>
        <w:spacing w:after="0" w:line="189" w:lineRule="exact"/>
        <w:rPr>
          <w:sz w:val="20"/>
          <w:szCs w:val="20"/>
          <w:color w:val="auto"/>
        </w:rPr>
      </w:pPr>
    </w:p>
    <w:p>
      <w:pPr>
        <w:ind w:left="648"/>
        <w:spacing w:after="0" w:line="233" w:lineRule="auto"/>
        <w:rPr>
          <w:sz w:val="20"/>
          <w:szCs w:val="20"/>
          <w:color w:val="auto"/>
        </w:rPr>
      </w:pPr>
      <w:r>
        <w:rPr>
          <w:rFonts w:ascii="Times New Roman" w:cs="Times New Roman" w:eastAsia="Times New Roman" w:hAnsi="Times New Roman"/>
          <w:sz w:val="20"/>
          <w:szCs w:val="20"/>
          <w:color w:val="auto"/>
        </w:rPr>
        <w:t>preceding sentence shall be paid to Executive on the First Payment Date and the remaining payments shall be made as provided in this Agreement.</w:t>
      </w:r>
    </w:p>
    <w:p>
      <w:pPr>
        <w:spacing w:after="0" w:line="157" w:lineRule="exact"/>
        <w:rPr>
          <w:sz w:val="20"/>
          <w:szCs w:val="20"/>
          <w:color w:val="auto"/>
        </w:rPr>
      </w:pPr>
    </w:p>
    <w:p>
      <w:pPr>
        <w:ind w:left="648" w:right="240" w:firstLine="648"/>
        <w:spacing w:after="0" w:line="214" w:lineRule="auto"/>
        <w:tabs>
          <w:tab w:leader="none" w:pos="179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w:t>
      </w:r>
    </w:p>
    <w:p>
      <w:pPr>
        <w:spacing w:after="0" w:line="2" w:lineRule="exact"/>
        <w:rPr>
          <w:rFonts w:ascii="Times New Roman" w:cs="Times New Roman" w:eastAsia="Times New Roman" w:hAnsi="Times New Roman"/>
          <w:sz w:val="20"/>
          <w:szCs w:val="20"/>
          <w:color w:val="auto"/>
        </w:rPr>
      </w:pPr>
    </w:p>
    <w:p>
      <w:pPr>
        <w:ind w:left="648" w:right="16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9" w:lineRule="exact"/>
        <w:rPr>
          <w:rFonts w:ascii="Times New Roman" w:cs="Times New Roman" w:eastAsia="Times New Roman" w:hAnsi="Times New Roman"/>
          <w:sz w:val="20"/>
          <w:szCs w:val="20"/>
          <w:color w:val="auto"/>
        </w:rPr>
      </w:pPr>
    </w:p>
    <w:p>
      <w:pPr>
        <w:ind w:left="648" w:right="80" w:firstLine="648"/>
        <w:spacing w:after="0" w:line="217" w:lineRule="auto"/>
        <w:tabs>
          <w:tab w:leader="none" w:pos="179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56" w:lineRule="exact"/>
        <w:rPr>
          <w:rFonts w:ascii="Times New Roman" w:cs="Times New Roman" w:eastAsia="Times New Roman" w:hAnsi="Times New Roman"/>
          <w:sz w:val="20"/>
          <w:szCs w:val="20"/>
          <w:color w:val="auto"/>
        </w:rPr>
      </w:pPr>
    </w:p>
    <w:p>
      <w:pPr>
        <w:ind w:left="648" w:right="360" w:firstLine="648"/>
        <w:spacing w:after="0" w:line="217" w:lineRule="auto"/>
        <w:tabs>
          <w:tab w:leader="none" w:pos="179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69" w:lineRule="exact"/>
        <w:rPr>
          <w:rFonts w:ascii="Times New Roman" w:cs="Times New Roman" w:eastAsia="Times New Roman" w:hAnsi="Times New Roman"/>
          <w:sz w:val="20"/>
          <w:szCs w:val="20"/>
          <w:color w:val="auto"/>
        </w:rPr>
      </w:pPr>
    </w:p>
    <w:p>
      <w:pPr>
        <w:ind w:left="648" w:hanging="648"/>
        <w:spacing w:after="0"/>
        <w:tabs>
          <w:tab w:leader="none" w:pos="648"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left="8" w:right="120" w:firstLine="647"/>
        <w:spacing w:after="0" w:line="227" w:lineRule="auto"/>
        <w:rPr>
          <w:sz w:val="20"/>
          <w:szCs w:val="20"/>
          <w:color w:val="auto"/>
        </w:rPr>
      </w:pPr>
      <w:r>
        <w:rPr>
          <w:rFonts w:ascii="Times New Roman" w:cs="Times New Roman" w:eastAsia="Times New Roman" w:hAnsi="Times New Roman"/>
          <w:sz w:val="19"/>
          <w:szCs w:val="19"/>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w:t>
      </w:r>
    </w:p>
    <w:p>
      <w:pPr>
        <w:ind w:left="8"/>
        <w:spacing w:after="0"/>
        <w:rPr>
          <w:sz w:val="20"/>
          <w:szCs w:val="20"/>
          <w:color w:val="auto"/>
        </w:rPr>
      </w:pPr>
      <w:r>
        <w:rPr>
          <w:rFonts w:ascii="Times New Roman" w:cs="Times New Roman" w:eastAsia="Times New Roman" w:hAnsi="Times New Roman"/>
          <w:sz w:val="20"/>
          <w:szCs w:val="20"/>
          <w:color w:val="auto"/>
        </w:rPr>
        <w:t>this Agreement freely based on Executive’s own judgment.</w:t>
      </w:r>
    </w:p>
    <w:p>
      <w:pPr>
        <w:spacing w:after="0" w:line="163"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968"/>
          </w:cols>
          <w:pgMar w:left="472" w:top="1440"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ectPr>
          <w:pgSz w:w="11900" w:h="16838" w:orient="portrait"/>
          <w:cols w:equalWidth="0" w:num="1">
            <w:col w:w="9339"/>
          </w:cols>
          <w:pgMar w:left="1120" w:top="1386" w:right="1440" w:bottom="1440" w:gutter="0" w:footer="0" w:header="0"/>
        </w:sectPr>
      </w:pP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IMMUNEERING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145415</wp:posOffset>
            </wp:positionV>
            <wp:extent cx="874395" cy="403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87439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By: ________________________________</w:t>
      </w:r>
    </w:p>
    <w:p>
      <w:pPr>
        <w:spacing w:after="0" w:line="18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Name: Biren Amin</w:t>
      </w:r>
    </w:p>
    <w:p>
      <w:pPr>
        <w:spacing w:after="0" w:line="18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290830</wp:posOffset>
            </wp:positionV>
            <wp:extent cx="1140460" cy="403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11404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By: ________________________________</w:t>
      </w:r>
    </w:p>
    <w:p>
      <w:pPr>
        <w:sectPr>
          <w:pgSz w:w="11900" w:h="16838" w:orient="portrait"/>
          <w:cols w:equalWidth="0" w:num="1">
            <w:col w:w="9339"/>
          </w:cols>
          <w:pgMar w:left="1120" w:top="13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i w:val="1"/>
          <w:iCs w:val="1"/>
          <w:color w:val="auto"/>
        </w:rPr>
        <w:t>[Signature Page to Employment Agreement]</w:t>
      </w:r>
    </w:p>
    <w:p>
      <w:pPr>
        <w:sectPr>
          <w:pgSz w:w="11900" w:h="16838" w:orient="portrait"/>
          <w:cols w:equalWidth="0" w:num="1">
            <w:col w:w="9339"/>
          </w:cols>
          <w:pgMar w:left="1120" w:top="1386" w:right="1440" w:bottom="1440" w:gutter="0" w:footer="0" w:header="0"/>
          <w:type w:val="continuous"/>
        </w:sectPr>
      </w:pPr>
    </w:p>
    <w:bookmarkStart w:id="157" w:name="page158"/>
    <w:bookmarkEnd w:id="157"/>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85" w:lineRule="exact"/>
        <w:rPr>
          <w:sz w:val="20"/>
          <w:szCs w:val="20"/>
          <w:color w:val="auto"/>
        </w:rPr>
      </w:pPr>
    </w:p>
    <w:p>
      <w:pPr>
        <w:ind w:right="60" w:firstLine="647"/>
        <w:spacing w:after="0" w:line="227" w:lineRule="auto"/>
        <w:rPr>
          <w:sz w:val="20"/>
          <w:szCs w:val="20"/>
          <w:color w:val="auto"/>
        </w:rPr>
      </w:pPr>
      <w:r>
        <w:rPr>
          <w:rFonts w:ascii="Times New Roman" w:cs="Times New Roman" w:eastAsia="Times New Roman" w:hAnsi="Times New Roman"/>
          <w:sz w:val="19"/>
          <w:szCs w:val="19"/>
          <w:color w:val="auto"/>
        </w:rPr>
        <w:t>This Separation Agreement and Release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by and between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Immuneering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(collectively referred to as the “Parties” or individually referred to as a “Party”). Capitalized terms used but not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-127000</wp:posOffset>
            </wp:positionV>
            <wp:extent cx="1511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1511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in this Agreement shall have the meanings set forth in the Employment Agreement (as defined below).</w:t>
      </w:r>
    </w:p>
    <w:p>
      <w:pPr>
        <w:spacing w:after="0" w:line="40" w:lineRule="exact"/>
        <w:rPr>
          <w:sz w:val="20"/>
          <w:szCs w:val="20"/>
          <w:color w:val="auto"/>
        </w:rPr>
      </w:pPr>
    </w:p>
    <w:p>
      <w:pPr>
        <w:ind w:left="640"/>
        <w:spacing w:after="0"/>
        <w:tabs>
          <w:tab w:leader="none" w:pos="8940" w:val="left"/>
        </w:tabs>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w:t>
      </w:r>
      <w:r>
        <w:rPr>
          <w:sz w:val="20"/>
          <w:szCs w:val="20"/>
          <w:color w:val="auto"/>
        </w:rPr>
        <w:tab/>
      </w:r>
      <w:r>
        <w:rPr>
          <w:rFonts w:ascii="Times New Roman" w:cs="Times New Roman" w:eastAsia="Times New Roman" w:hAnsi="Times New Roman"/>
          <w:sz w:val="19"/>
          <w:szCs w:val="19"/>
          <w:color w:val="auto"/>
        </w:rPr>
        <w:t>, 2021 (the</w:t>
      </w:r>
    </w:p>
    <w:p>
      <w:pPr>
        <w:spacing w:after="0" w:line="211" w:lineRule="auto"/>
        <w:tabs>
          <w:tab w:leader="none" w:pos="105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and that certain Employee Proprietary Information and Inventions Assignment Agreement, dated as of</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-127000</wp:posOffset>
            </wp:positionV>
            <wp:extent cx="1257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-6985</wp:posOffset>
            </wp:positionV>
            <wp:extent cx="1257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2021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and</w:t>
      </w:r>
    </w:p>
    <w:p>
      <w:pPr>
        <w:spacing w:after="0" w:line="59" w:lineRule="exact"/>
        <w:rPr>
          <w:sz w:val="20"/>
          <w:szCs w:val="20"/>
          <w:color w:val="auto"/>
        </w:rPr>
      </w:pPr>
    </w:p>
    <w:p>
      <w:pPr>
        <w:ind w:right="360" w:firstLine="647"/>
        <w:spacing w:after="0" w:line="215"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 20 , the Parties wish to resolve any and all disputes, claims, complaints, grievances, charges, actions, petitions,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125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-6350</wp:posOffset>
            </wp:positionV>
            <wp:extent cx="31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24" w:lineRule="auto"/>
        <w:rPr>
          <w:sz w:val="20"/>
          <w:szCs w:val="20"/>
          <w:color w:val="auto"/>
        </w:rPr>
      </w:pPr>
      <w:r>
        <w:rPr>
          <w:rFonts w:ascii="Times New Roman" w:cs="Times New Roman" w:eastAsia="Times New Roman" w:hAnsi="Times New Roman"/>
          <w:sz w:val="19"/>
          <w:szCs w:val="19"/>
          <w:color w:val="auto"/>
        </w:rPr>
        <w:t>and demands that Executive may have against the Company and any of the Releasees as defined below, including, but not limited to, any</w:t>
      </w:r>
    </w:p>
    <w:p>
      <w:pPr>
        <w:ind w:right="160"/>
        <w:spacing w:after="0" w:line="215" w:lineRule="auto"/>
        <w:rPr>
          <w:sz w:val="20"/>
          <w:szCs w:val="20"/>
          <w:color w:val="auto"/>
        </w:rPr>
      </w:pPr>
      <w:r>
        <w:rPr>
          <w:rFonts w:ascii="Times New Roman" w:cs="Times New Roman" w:eastAsia="Times New Roman" w:hAnsi="Times New Roman"/>
          <w:sz w:val="19"/>
          <w:szCs w:val="19"/>
          <w:color w:val="auto"/>
        </w:rPr>
        <w:t>and all claims arising out of or in any way related to Executive’s employment with or separation from the Company or its subsidiaries or affiliates but, for the avoidance of doubt, nothing herein will be deemed to release any rights or remedies in connection with Executive’s</w:t>
      </w:r>
    </w:p>
    <w:p>
      <w:pPr>
        <w:ind w:right="200"/>
        <w:spacing w:after="0" w:line="221" w:lineRule="auto"/>
        <w:rPr>
          <w:sz w:val="20"/>
          <w:szCs w:val="20"/>
          <w:color w:val="auto"/>
        </w:rPr>
      </w:pPr>
      <w:r>
        <w:rPr>
          <w:rFonts w:ascii="Times New Roman" w:cs="Times New Roman" w:eastAsia="Times New Roman" w:hAnsi="Times New Roman"/>
          <w:sz w:val="20"/>
          <w:szCs w:val="20"/>
          <w:color w:val="auto"/>
        </w:rPr>
        <w:t>ownership of vested equity securities of the Company, vested benefits or Executive’s right to indemnification by the Company or any of its affiliates (collectively, the “</w:t>
      </w:r>
      <w:r>
        <w:rPr>
          <w:rFonts w:ascii="Times New Roman" w:cs="Times New Roman" w:eastAsia="Times New Roman" w:hAnsi="Times New Roman"/>
          <w:sz w:val="20"/>
          <w:szCs w:val="20"/>
          <w:u w:val="single" w:color="auto"/>
          <w:color w:val="auto"/>
        </w:rPr>
        <w:t>Retained Claims</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right="720" w:firstLine="647"/>
        <w:spacing w:after="0" w:line="222"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w:t>
      </w:r>
    </w:p>
    <w:p>
      <w:pPr>
        <w:spacing w:after="0" w:line="209" w:lineRule="auto"/>
        <w:rPr>
          <w:sz w:val="20"/>
          <w:szCs w:val="20"/>
          <w:color w:val="auto"/>
        </w:rPr>
      </w:pPr>
      <w:r>
        <w:rPr>
          <w:rFonts w:ascii="Times New Roman" w:cs="Times New Roman" w:eastAsia="Times New Roman" w:hAnsi="Times New Roman"/>
          <w:sz w:val="19"/>
          <w:szCs w:val="19"/>
          <w:color w:val="auto"/>
        </w:rPr>
        <w:t>conditioned on Executive’s execution and non-revocation of this Agreement, and in consideration of the mutual promises made herein, the</w:t>
      </w:r>
    </w:p>
    <w:p>
      <w:pPr>
        <w:spacing w:after="0"/>
        <w:rPr>
          <w:sz w:val="20"/>
          <w:szCs w:val="20"/>
          <w:color w:val="auto"/>
        </w:rPr>
      </w:pPr>
      <w:r>
        <w:rPr>
          <w:rFonts w:ascii="Times New Roman" w:cs="Times New Roman" w:eastAsia="Times New Roman" w:hAnsi="Times New Roman"/>
          <w:sz w:val="20"/>
          <w:szCs w:val="20"/>
          <w:color w:val="auto"/>
        </w:rPr>
        <w:t>Company and Executive hereby agree as follows:</w:t>
      </w:r>
    </w:p>
    <w:p>
      <w:pPr>
        <w:spacing w:after="0" w:line="59" w:lineRule="exact"/>
        <w:rPr>
          <w:sz w:val="20"/>
          <w:szCs w:val="20"/>
          <w:color w:val="auto"/>
        </w:rPr>
      </w:pPr>
    </w:p>
    <w:p>
      <w:pPr>
        <w:ind w:right="380" w:firstLine="639"/>
        <w:spacing w:after="0" w:line="217" w:lineRule="auto"/>
        <w:tabs>
          <w:tab w:leader="none" w:pos="114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cs="Times New Roman" w:eastAsia="Times New Roman" w:hAnsi="Times New Roman"/>
          <w:sz w:val="20"/>
          <w:szCs w:val="20"/>
          <w:u w:val="single" w:color="auto"/>
          <w:color w:val="auto"/>
        </w:rPr>
        <w:t>3(c)</w:t>
      </w:r>
      <w:r>
        <w:rPr>
          <w:rFonts w:ascii="Times New Roman" w:cs="Times New Roman" w:eastAsia="Times New Roman" w:hAnsi="Times New Roman"/>
          <w:sz w:val="20"/>
          <w:szCs w:val="20"/>
          <w:color w:val="auto"/>
        </w:rPr>
        <w:t xml:space="preserve"> of the Employment Agreement, subject to and in accordance with the terms thereof.</w:t>
      </w:r>
    </w:p>
    <w:p>
      <w:pPr>
        <w:spacing w:after="0" w:line="161" w:lineRule="exact"/>
        <w:rPr>
          <w:rFonts w:ascii="Times New Roman" w:cs="Times New Roman" w:eastAsia="Times New Roman" w:hAnsi="Times New Roman"/>
          <w:sz w:val="20"/>
          <w:szCs w:val="20"/>
          <w:color w:val="auto"/>
        </w:rPr>
      </w:pPr>
    </w:p>
    <w:p>
      <w:pPr>
        <w:ind w:right="20" w:firstLine="639"/>
        <w:spacing w:after="0" w:line="212" w:lineRule="auto"/>
        <w:tabs>
          <w:tab w:leader="none" w:pos="114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ectPr>
          <w:pgSz w:w="11900" w:h="16838" w:orient="portrait"/>
          <w:cols w:equalWidth="0" w:num="1">
            <w:col w:w="10960"/>
          </w:cols>
          <w:pgMar w:left="480" w:top="1440" w:right="459" w:bottom="1440" w:gutter="0" w:footer="0" w:header="0"/>
        </w:sectPr>
      </w:pPr>
    </w:p>
    <w:bookmarkStart w:id="158" w:name="page159"/>
    <w:bookmarkEnd w:id="158"/>
    <w:p>
      <w:pPr>
        <w:spacing w:after="0" w:line="216" w:lineRule="exact"/>
        <w:rPr>
          <w:sz w:val="20"/>
          <w:szCs w:val="20"/>
          <w:color w:val="auto"/>
        </w:rPr>
      </w:pPr>
    </w:p>
    <w:p>
      <w:pPr>
        <w:ind w:right="40" w:firstLine="1287"/>
        <w:spacing w:after="0"/>
        <w:tabs>
          <w:tab w:leader="none" w:pos="179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47" w:lineRule="exact"/>
        <w:rPr>
          <w:rFonts w:ascii="Times New Roman" w:cs="Times New Roman" w:eastAsia="Times New Roman" w:hAnsi="Times New Roman"/>
          <w:sz w:val="20"/>
          <w:szCs w:val="20"/>
          <w:color w:val="auto"/>
        </w:rPr>
      </w:pPr>
    </w:p>
    <w:p>
      <w:pPr>
        <w:ind w:right="100" w:firstLine="1287"/>
        <w:spacing w:after="0" w:line="244" w:lineRule="auto"/>
        <w:tabs>
          <w:tab w:leader="none" w:pos="1796"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43" w:lineRule="exact"/>
        <w:rPr>
          <w:rFonts w:ascii="Times New Roman" w:cs="Times New Roman" w:eastAsia="Times New Roman" w:hAnsi="Times New Roman"/>
          <w:sz w:val="19"/>
          <w:szCs w:val="19"/>
          <w:color w:val="auto"/>
        </w:rPr>
      </w:pPr>
    </w:p>
    <w:p>
      <w:pPr>
        <w:ind w:firstLine="1287"/>
        <w:spacing w:after="0" w:line="231" w:lineRule="auto"/>
        <w:tabs>
          <w:tab w:leader="none" w:pos="179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3" w:lineRule="exact"/>
        <w:rPr>
          <w:rFonts w:ascii="Times New Roman" w:cs="Times New Roman" w:eastAsia="Times New Roman" w:hAnsi="Times New Roman"/>
          <w:sz w:val="19"/>
          <w:szCs w:val="19"/>
          <w:color w:val="auto"/>
        </w:rPr>
      </w:pPr>
    </w:p>
    <w:p>
      <w:pPr>
        <w:ind w:right="60" w:firstLine="1287"/>
        <w:spacing w:after="0" w:line="217" w:lineRule="auto"/>
        <w:tabs>
          <w:tab w:leader="none" w:pos="17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61"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169" w:lineRule="exact"/>
        <w:rPr>
          <w:rFonts w:ascii="Times New Roman" w:cs="Times New Roman" w:eastAsia="Times New Roman" w:hAnsi="Times New Roman"/>
          <w:sz w:val="20"/>
          <w:szCs w:val="20"/>
          <w:color w:val="auto"/>
        </w:rPr>
      </w:pPr>
    </w:p>
    <w:p>
      <w:pPr>
        <w:ind w:left="1780" w:hanging="493"/>
        <w:spacing w:after="0"/>
        <w:tabs>
          <w:tab w:leader="none" w:pos="17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discrimination;</w:t>
      </w:r>
    </w:p>
    <w:p>
      <w:pPr>
        <w:spacing w:after="0" w:line="166" w:lineRule="exact"/>
        <w:rPr>
          <w:rFonts w:ascii="Times New Roman" w:cs="Times New Roman" w:eastAsia="Times New Roman" w:hAnsi="Times New Roman"/>
          <w:sz w:val="20"/>
          <w:szCs w:val="20"/>
          <w:color w:val="auto"/>
        </w:rPr>
      </w:pPr>
    </w:p>
    <w:p>
      <w:pPr>
        <w:ind w:right="220" w:firstLine="1287"/>
        <w:spacing w:after="0"/>
        <w:tabs>
          <w:tab w:leader="none" w:pos="17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47" w:lineRule="exact"/>
        <w:rPr>
          <w:rFonts w:ascii="Times New Roman" w:cs="Times New Roman" w:eastAsia="Times New Roman" w:hAnsi="Times New Roman"/>
          <w:sz w:val="20"/>
          <w:szCs w:val="20"/>
          <w:color w:val="auto"/>
        </w:rPr>
      </w:pPr>
    </w:p>
    <w:p>
      <w:pPr>
        <w:ind w:right="180" w:firstLine="1287"/>
        <w:spacing w:after="0"/>
        <w:tabs>
          <w:tab w:leader="none" w:pos="17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47" w:lineRule="exact"/>
        <w:rPr>
          <w:rFonts w:ascii="Times New Roman" w:cs="Times New Roman" w:eastAsia="Times New Roman" w:hAnsi="Times New Roman"/>
          <w:sz w:val="20"/>
          <w:szCs w:val="20"/>
          <w:color w:val="auto"/>
        </w:rPr>
      </w:pPr>
    </w:p>
    <w:p>
      <w:pPr>
        <w:ind w:left="1940" w:hanging="652"/>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18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right to report possible violations of federal law or regulation to any governmental agency or entity in accordance with the provisions of and rules promulgated under Section 21F of the Securities Exchange Act of 1934 or Section 806 of the Sarbanes-Oxley Act of 2002, or</w:t>
      </w:r>
    </w:p>
    <w:p>
      <w:pPr>
        <w:spacing w:after="0" w:line="211" w:lineRule="auto"/>
        <w:rPr>
          <w:sz w:val="20"/>
          <w:szCs w:val="20"/>
          <w:color w:val="auto"/>
        </w:rPr>
      </w:pPr>
      <w:r>
        <w:rPr>
          <w:rFonts w:ascii="Times New Roman" w:cs="Times New Roman" w:eastAsia="Times New Roman" w:hAnsi="Times New Roman"/>
          <w:sz w:val="20"/>
          <w:szCs w:val="20"/>
          <w:color w:val="auto"/>
        </w:rPr>
        <w:t>any other whistleblower protection provisions of state or federal law or regulation and any right to receive an award for information</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provided thereunder, Executive’s right to file a charge with or participate in a charge by the Equal Employment Opportunity Commission, or any other local, state, or federal administrative body or government agency that is authorized to enforce or</w:t>
      </w:r>
    </w:p>
    <w:p>
      <w:pPr>
        <w:sectPr>
          <w:pgSz w:w="11900" w:h="16838" w:orient="portrait"/>
          <w:cols w:equalWidth="0" w:num="1">
            <w:col w:w="10920"/>
          </w:cols>
          <w:pgMar w:left="480" w:top="1440" w:right="499" w:bottom="1440" w:gutter="0" w:footer="0" w:header="0"/>
        </w:sectPr>
      </w:pPr>
    </w:p>
    <w:bookmarkStart w:id="159" w:name="page160"/>
    <w:bookmarkEnd w:id="159"/>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administer laws related to employment, against the Company for discrimination (with the understanding that Executive’s release of claims</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herein bars Executive from recovering such monetary relief from the Company or any Releasee for any alleged discriminatory treatment), claims for unemployment compensation or any state disability insurance benefits pursuant to the terms of applicable state law,</w:t>
      </w:r>
    </w:p>
    <w:p>
      <w:pPr>
        <w:spacing w:after="0" w:line="222" w:lineRule="auto"/>
        <w:rPr>
          <w:sz w:val="20"/>
          <w:szCs w:val="20"/>
          <w:color w:val="auto"/>
        </w:rPr>
      </w:pPr>
      <w:r>
        <w:rPr>
          <w:rFonts w:ascii="Times New Roman" w:cs="Times New Roman" w:eastAsia="Times New Roman" w:hAnsi="Times New Roman"/>
          <w:sz w:val="19"/>
          <w:szCs w:val="19"/>
          <w:color w:val="auto"/>
        </w:rPr>
        <w:t>claims to continued participation in certain of the Company’s group benefit plans pursuant to the terms and conditions of COBRA, claims</w:t>
      </w:r>
    </w:p>
    <w:p>
      <w:pPr>
        <w:ind w:right="100"/>
        <w:spacing w:after="0" w:line="204" w:lineRule="auto"/>
        <w:rPr>
          <w:sz w:val="20"/>
          <w:szCs w:val="20"/>
          <w:color w:val="auto"/>
        </w:rPr>
      </w:pPr>
      <w:r>
        <w:rPr>
          <w:rFonts w:ascii="Times New Roman" w:cs="Times New Roman" w:eastAsia="Times New Roman" w:hAnsi="Times New Roman"/>
          <w:sz w:val="20"/>
          <w:szCs w:val="20"/>
          <w:color w:val="auto"/>
        </w:rPr>
        <w:t>to any benefit entitlements vested as the date of separation of Executive’s employment pursuant to written terms of any employee benefit plan of the Company or its affiliates and Executive’s right under applicable law, any Retained Claims and any claims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7" w:lineRule="exact"/>
        <w:rPr>
          <w:sz w:val="20"/>
          <w:szCs w:val="20"/>
          <w:color w:val="auto"/>
        </w:rPr>
      </w:pPr>
    </w:p>
    <w:p>
      <w:pPr>
        <w:ind w:right="180" w:firstLine="639"/>
        <w:spacing w:after="0" w:line="210" w:lineRule="auto"/>
        <w:tabs>
          <w:tab w:leader="none" w:pos="114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w:t>
      </w:r>
    </w:p>
    <w:p>
      <w:pPr>
        <w:spacing w:after="0" w:line="2" w:lineRule="exact"/>
        <w:rPr>
          <w:rFonts w:ascii="Times New Roman" w:cs="Times New Roman" w:eastAsia="Times New Roman" w:hAnsi="Times New Roman"/>
          <w:sz w:val="20"/>
          <w:szCs w:val="20"/>
          <w:color w:val="auto"/>
        </w:rPr>
      </w:pPr>
    </w:p>
    <w:p>
      <w:pPr>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1" w:lineRule="exact"/>
        <w:rPr>
          <w:rFonts w:ascii="Times New Roman" w:cs="Times New Roman" w:eastAsia="Times New Roman" w:hAnsi="Times New Roman"/>
          <w:sz w:val="20"/>
          <w:szCs w:val="20"/>
          <w:color w:val="auto"/>
        </w:rPr>
      </w:pPr>
    </w:p>
    <w:p>
      <w:pPr>
        <w:ind w:left="1280" w:hanging="640"/>
        <w:spacing w:after="0"/>
        <w:tabs>
          <w:tab w:leader="none" w:pos="12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300" w:firstLine="1287"/>
        <w:spacing w:after="0" w:line="230" w:lineRule="auto"/>
        <w:tabs>
          <w:tab w:leader="none" w:pos="179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covenants under the Restrictive Covenant Agreement are hereby incorporated by reference into this Agreement. Executive acknowledges and agrees that Executive’s obligations under the Restrictive Covenant Agreement, as modified hereby, shall remain in full force and effect following the Separation Date in accordance with the terms thereof.</w:t>
      </w:r>
    </w:p>
    <w:p>
      <w:pPr>
        <w:spacing w:after="0" w:line="148" w:lineRule="exact"/>
        <w:rPr>
          <w:rFonts w:ascii="Times New Roman" w:cs="Times New Roman" w:eastAsia="Times New Roman" w:hAnsi="Times New Roman"/>
          <w:sz w:val="20"/>
          <w:szCs w:val="20"/>
          <w:color w:val="auto"/>
        </w:rPr>
      </w:pPr>
    </w:p>
    <w:p>
      <w:pPr>
        <w:ind w:right="80" w:firstLine="1287"/>
        <w:spacing w:after="0" w:line="222" w:lineRule="auto"/>
        <w:tabs>
          <w:tab w:leader="none" w:pos="179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Executive shall not publicly disparage, criticize or defame the Company or its directors, officers, products, services, technology or business. Nothing in this Section 5(b) will prohibit disclosure of information that is required to be disclosed to enforce the terms of this Agreement or to comply with applicable law or order of a court or other regulatory body of competent jurisdiction.</w:t>
      </w:r>
    </w:p>
    <w:p>
      <w:pPr>
        <w:spacing w:after="0" w:line="161" w:lineRule="exact"/>
        <w:rPr>
          <w:rFonts w:ascii="Times New Roman" w:cs="Times New Roman" w:eastAsia="Times New Roman" w:hAnsi="Times New Roman"/>
          <w:sz w:val="20"/>
          <w:szCs w:val="20"/>
          <w:color w:val="auto"/>
        </w:rPr>
      </w:pPr>
    </w:p>
    <w:p>
      <w:pPr>
        <w:ind w:right="240" w:firstLine="1287"/>
        <w:spacing w:after="0" w:line="226" w:lineRule="auto"/>
        <w:tabs>
          <w:tab w:leader="none" w:pos="179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Executive has returned to the Company all files, memoranda, records and other documents, and any other physical or personal property which are the property of the Company and which Executive had in Executive’s possession, custody or control.</w:t>
      </w:r>
    </w:p>
    <w:p>
      <w:pPr>
        <w:spacing w:after="0" w:line="160" w:lineRule="exact"/>
        <w:rPr>
          <w:sz w:val="20"/>
          <w:szCs w:val="20"/>
          <w:color w:val="auto"/>
        </w:rPr>
      </w:pPr>
    </w:p>
    <w:p>
      <w:pPr>
        <w:ind w:right="540" w:firstLine="639"/>
        <w:spacing w:after="0" w:line="233" w:lineRule="auto"/>
        <w:tabs>
          <w:tab w:leader="none" w:pos="11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ectPr>
          <w:pgSz w:w="11900" w:h="16838" w:orient="portrait"/>
          <w:cols w:equalWidth="0" w:num="1">
            <w:col w:w="10940"/>
          </w:cols>
          <w:pgMar w:left="480" w:top="1440" w:right="479" w:bottom="1440" w:gutter="0" w:footer="0" w:header="0"/>
        </w:sectPr>
      </w:pPr>
    </w:p>
    <w:bookmarkStart w:id="160" w:name="page161"/>
    <w:bookmarkEnd w:id="160"/>
    <w:p>
      <w:pPr>
        <w:spacing w:after="0" w:line="200" w:lineRule="exact"/>
        <w:rPr>
          <w:sz w:val="20"/>
          <w:szCs w:val="20"/>
          <w:color w:val="auto"/>
        </w:rPr>
      </w:pPr>
    </w:p>
    <w:p>
      <w:pPr>
        <w:spacing w:after="0" w:line="259" w:lineRule="exact"/>
        <w:rPr>
          <w:sz w:val="20"/>
          <w:szCs w:val="20"/>
          <w:color w:val="auto"/>
        </w:rPr>
      </w:pPr>
    </w:p>
    <w:p>
      <w:pPr>
        <w:ind w:right="220" w:firstLine="639"/>
        <w:spacing w:after="0"/>
        <w:tabs>
          <w:tab w:leader="none" w:pos="114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9(a), 9(c), and 9(h) of the Employment Agreement.</w:t>
      </w:r>
    </w:p>
    <w:p>
      <w:pPr>
        <w:spacing w:after="0" w:line="147" w:lineRule="exact"/>
        <w:rPr>
          <w:rFonts w:ascii="Times New Roman" w:cs="Times New Roman" w:eastAsia="Times New Roman" w:hAnsi="Times New Roman"/>
          <w:sz w:val="20"/>
          <w:szCs w:val="20"/>
          <w:color w:val="auto"/>
        </w:rPr>
      </w:pPr>
    </w:p>
    <w:p>
      <w:pPr>
        <w:ind w:right="40" w:firstLine="639"/>
        <w:spacing w:after="0" w:line="215" w:lineRule="auto"/>
        <w:tabs>
          <w:tab w:leader="none" w:pos="114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days after Executive signs this Agreement to revoke it and this Agreement will become effective on the day immediately following the seventh day after Executive signed this Agreement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 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spacing w:after="0" w:line="164" w:lineRule="exact"/>
        <w:rPr>
          <w:rFonts w:ascii="Times New Roman" w:cs="Times New Roman" w:eastAsia="Times New Roman" w:hAnsi="Times New Roman"/>
          <w:sz w:val="20"/>
          <w:szCs w:val="20"/>
          <w:color w:val="auto"/>
        </w:rPr>
      </w:pPr>
    </w:p>
    <w:p>
      <w:pPr>
        <w:ind w:firstLine="639"/>
        <w:spacing w:after="0" w:line="215" w:lineRule="auto"/>
        <w:tabs>
          <w:tab w:leader="none" w:pos="114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940"/>
          </w:cols>
          <w:pgMar w:left="480" w:top="1440" w:right="479" w:bottom="1440" w:gutter="0" w:footer="0" w:header="0"/>
        </w:sectPr>
      </w:pPr>
    </w:p>
    <w:bookmarkStart w:id="161" w:name="page162"/>
    <w:bookmarkEnd w:id="161"/>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674370</wp:posOffset>
            </wp:positionV>
            <wp:extent cx="26485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-10795</wp:posOffset>
            </wp:positionV>
            <wp:extent cx="125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40" w:type="dxa"/>
            <w:vAlign w:val="bottom"/>
          </w:tcPr>
          <w:p>
            <w:pPr>
              <w:spacing w:after="0"/>
              <w:rPr>
                <w:sz w:val="22"/>
                <w:szCs w:val="22"/>
                <w:color w:val="auto"/>
              </w:rPr>
            </w:pPr>
          </w:p>
        </w:tc>
        <w:tc>
          <w:tcPr>
            <w:tcW w:w="5560" w:type="dxa"/>
            <w:vAlign w:val="bottom"/>
            <w:gridSpan w:val="3"/>
          </w:tcPr>
          <w:p>
            <w:pPr>
              <w:ind w:left="2500"/>
              <w:spacing w:after="0"/>
              <w:rPr>
                <w:sz w:val="20"/>
                <w:szCs w:val="20"/>
                <w:color w:val="auto"/>
              </w:rPr>
            </w:pPr>
            <w:r>
              <w:rPr>
                <w:rFonts w:ascii="Times New Roman" w:cs="Times New Roman" w:eastAsia="Times New Roman" w:hAnsi="Times New Roman"/>
                <w:sz w:val="20"/>
                <w:szCs w:val="20"/>
                <w:color w:val="auto"/>
              </w:rPr>
              <w:t>Mallory Morales</w:t>
            </w:r>
          </w:p>
        </w:tc>
        <w:tc>
          <w:tcPr>
            <w:tcW w:w="0" w:type="dxa"/>
            <w:vAlign w:val="bottom"/>
          </w:tcPr>
          <w:p>
            <w:pPr>
              <w:spacing w:after="0"/>
              <w:rPr>
                <w:sz w:val="1"/>
                <w:szCs w:val="1"/>
                <w:color w:val="auto"/>
              </w:rPr>
            </w:pPr>
          </w:p>
        </w:tc>
      </w:tr>
      <w:tr>
        <w:trPr>
          <w:trHeight w:val="608"/>
        </w:trPr>
        <w:tc>
          <w:tcPr>
            <w:tcW w:w="3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Dated:</w:t>
            </w:r>
          </w:p>
        </w:tc>
        <w:tc>
          <w:tcPr>
            <w:tcW w:w="5560" w:type="dxa"/>
            <w:vAlign w:val="bottom"/>
            <w:gridSpan w:val="3"/>
          </w:tcPr>
          <w:p>
            <w:pPr>
              <w:ind w:left="2500"/>
              <w:spacing w:after="0"/>
              <w:rPr>
                <w:sz w:val="20"/>
                <w:szCs w:val="20"/>
                <w:color w:val="auto"/>
              </w:rPr>
            </w:pPr>
            <w:r>
              <w:rPr>
                <w:rFonts w:ascii="Times New Roman" w:cs="Times New Roman" w:eastAsia="Times New Roman" w:hAnsi="Times New Roman"/>
                <w:sz w:val="20"/>
                <w:szCs w:val="20"/>
                <w:b w:val="1"/>
                <w:bCs w:val="1"/>
                <w:color w:val="auto"/>
                <w:w w:val="97"/>
              </w:rPr>
              <w:t>IMMUNEERING CORPORATION</w:t>
            </w:r>
          </w:p>
        </w:tc>
        <w:tc>
          <w:tcPr>
            <w:tcW w:w="0" w:type="dxa"/>
            <w:vAlign w:val="bottom"/>
          </w:tcPr>
          <w:p>
            <w:pPr>
              <w:spacing w:after="0"/>
              <w:rPr>
                <w:sz w:val="1"/>
                <w:szCs w:val="1"/>
                <w:color w:val="auto"/>
              </w:rPr>
            </w:pPr>
          </w:p>
        </w:tc>
      </w:tr>
      <w:tr>
        <w:trPr>
          <w:trHeight w:val="243"/>
        </w:trPr>
        <w:tc>
          <w:tcPr>
            <w:tcW w:w="3040" w:type="dxa"/>
            <w:vAlign w:val="bottom"/>
            <w:vMerge w:val="continue"/>
          </w:tcPr>
          <w:p>
            <w:pPr>
              <w:spacing w:after="0"/>
              <w:rPr>
                <w:sz w:val="21"/>
                <w:szCs w:val="21"/>
                <w:color w:val="auto"/>
              </w:rPr>
            </w:pPr>
          </w:p>
        </w:tc>
        <w:tc>
          <w:tcPr>
            <w:tcW w:w="2780" w:type="dxa"/>
            <w:vAlign w:val="bottom"/>
            <w:vMerge w:val="restart"/>
          </w:tcPr>
          <w:p>
            <w:pPr>
              <w:ind w:left="2500"/>
              <w:spacing w:after="0"/>
              <w:rPr>
                <w:sz w:val="20"/>
                <w:szCs w:val="20"/>
                <w:color w:val="auto"/>
              </w:rPr>
            </w:pPr>
            <w:r>
              <w:rPr>
                <w:rFonts w:ascii="Times New Roman" w:cs="Times New Roman" w:eastAsia="Times New Roman" w:hAnsi="Times New Roman"/>
                <w:sz w:val="20"/>
                <w:szCs w:val="20"/>
                <w:color w:val="auto"/>
                <w:w w:val="89"/>
              </w:rPr>
              <w:t>By:</w:t>
            </w:r>
          </w:p>
        </w:tc>
        <w:tc>
          <w:tcPr>
            <w:tcW w:w="40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Name:</w:t>
            </w: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959"/>
          </w:cols>
          <w:pgMar w:left="500" w:top="1440" w:right="1440" w:bottom="1440" w:gutter="0" w:footer="0" w:header="0"/>
        </w:sectPr>
      </w:pPr>
    </w:p>
    <w:bookmarkStart w:id="162" w:name="page163"/>
    <w:bookmarkEnd w:id="162"/>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Restrictive Covenant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163" w:name="page164"/>
    <w:bookmarkEnd w:id="1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406400</wp:posOffset>
            </wp:positionV>
            <wp:extent cx="1954530" cy="3257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954530" cy="325755"/>
                    </a:xfrm>
                    <a:prstGeom prst="rect">
                      <a:avLst/>
                    </a:prstGeom>
                    <a:noFill/>
                  </pic:spPr>
                </pic:pic>
              </a:graphicData>
            </a:graphic>
          </wp:anchor>
        </w:drawing>
        <w:t>Mallory Morales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June 14, 2023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Dear Mallory:</w:t>
      </w:r>
    </w:p>
    <w:p>
      <w:pPr>
        <w:spacing w:after="0" w:line="30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We are pleased to inform you about an important change to your compensation in connection with your promotion from Vice President, Finance to Chief Accounting Officer!</w:t>
      </w:r>
    </w:p>
    <w:p>
      <w:pPr>
        <w:spacing w:after="0" w:line="1" w:lineRule="exact"/>
        <w:rPr>
          <w:sz w:val="20"/>
          <w:szCs w:val="20"/>
          <w:color w:val="auto"/>
        </w:rPr>
      </w:pPr>
    </w:p>
    <w:p>
      <w:pPr>
        <w:ind w:right="720"/>
        <w:spacing w:after="0" w:line="305" w:lineRule="auto"/>
        <w:rPr>
          <w:sz w:val="20"/>
          <w:szCs w:val="20"/>
          <w:color w:val="auto"/>
        </w:rPr>
      </w:pPr>
      <w:r>
        <w:rPr>
          <w:rFonts w:ascii="Arial" w:cs="Arial" w:eastAsia="Arial" w:hAnsi="Arial"/>
          <w:sz w:val="16"/>
          <w:szCs w:val="16"/>
          <w:color w:val="auto"/>
        </w:rPr>
        <w:t>You are being awarded an annual salary increase from $325,503.36 to $348,000.00 in recognition of your valuable contributions to your department and to Immuneering. Your new wages will be effective July 1, 2023.</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are pleased to offer you an increase in your annual target bonus from 30% to 35%. Your target bonus will be blended at 30% for the time from January to June 2023 and at 35% for the time from July through December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2023. You will continue to report to the CEO until a CFO is hired.</w:t>
      </w:r>
    </w:p>
    <w:p>
      <w:pPr>
        <w:spacing w:after="0" w:line="302"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As approved by the Board of Directors (or a committee thereof), you will also receive an option to purchase 15,000 shares of common stock on June 13, 2023, with standard monthly vesting over 4 years and subject to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of the 2021 Incentive Award Plan.</w:t>
      </w:r>
    </w:p>
    <w:p>
      <w:pPr>
        <w:spacing w:after="0" w:line="290" w:lineRule="exact"/>
        <w:rPr>
          <w:sz w:val="20"/>
          <w:szCs w:val="20"/>
          <w:color w:val="auto"/>
        </w:rPr>
      </w:pPr>
    </w:p>
    <w:p>
      <w:pPr>
        <w:ind w:right="700"/>
        <w:spacing w:after="0" w:line="251" w:lineRule="auto"/>
        <w:rPr>
          <w:sz w:val="20"/>
          <w:szCs w:val="20"/>
          <w:color w:val="auto"/>
        </w:rPr>
      </w:pPr>
      <w:r>
        <w:rPr>
          <w:rFonts w:ascii="Arial" w:cs="Arial" w:eastAsia="Arial" w:hAnsi="Arial"/>
          <w:sz w:val="16"/>
          <w:szCs w:val="16"/>
          <w:color w:val="auto"/>
        </w:rPr>
        <w:t>If you have any questions about the above or the related calculations, please reach out to Human Resources. If you wish to change any exemptions claimed on your W4, please contact payroll. Please keep this information</w:t>
      </w:r>
    </w:p>
    <w:p>
      <w:pPr>
        <w:spacing w:after="0" w:line="20"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auto"/>
        </w:rPr>
        <w:t>confidential. Thank you for your continued commitment and dedication. We are looking forward to accomplishing many more great things as a team. Congratulations on your well-earned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99060</wp:posOffset>
            </wp:positionV>
            <wp:extent cx="1440180" cy="266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14401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Ben Zeskind CEO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CC: Employee manager CC: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auto"/>
        </w:rPr>
        <w:t>Confidential</w:t>
      </w:r>
    </w:p>
    <w:p>
      <w:pPr>
        <w:spacing w:after="0" w:line="127"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245 Main St, 2</w:t>
      </w:r>
      <w:r>
        <w:rPr>
          <w:rFonts w:ascii="Arial" w:cs="Arial" w:eastAsia="Arial" w:hAnsi="Arial"/>
          <w:sz w:val="10"/>
          <w:szCs w:val="10"/>
          <w:color w:val="auto"/>
        </w:rPr>
        <w:t>nd</w:t>
      </w:r>
      <w:r>
        <w:rPr>
          <w:rFonts w:ascii="Arial" w:cs="Arial" w:eastAsia="Arial" w:hAnsi="Arial"/>
          <w:sz w:val="16"/>
          <w:szCs w:val="16"/>
          <w:color w:val="auto"/>
        </w:rPr>
        <w:t xml:space="preserve"> Floor, Cambridge, MA 02142 | 617-500-8080 immuneering.com</w:t>
      </w:r>
    </w:p>
    <w:p>
      <w:pPr>
        <w:sectPr>
          <w:pgSz w:w="11900" w:h="16838" w:orient="portrait"/>
          <w:cols w:equalWidth="0" w:num="1">
            <w:col w:w="10400"/>
          </w:cols>
          <w:pgMar w:left="1120" w:top="1260" w:right="379" w:bottom="0" w:gutter="0" w:footer="0" w:header="0"/>
        </w:sectPr>
      </w:pPr>
    </w:p>
    <w:bookmarkStart w:id="165" w:name="page166"/>
    <w:bookmarkEnd w:id="16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center"/>
        <w:ind w:right="-41"/>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179" w:lineRule="exact"/>
        <w:rPr>
          <w:sz w:val="20"/>
          <w:szCs w:val="20"/>
          <w:color w:val="auto"/>
        </w:rPr>
      </w:pPr>
    </w:p>
    <w:p>
      <w:pPr>
        <w:ind w:left="2" w:firstLine="647"/>
        <w:spacing w:after="0" w:line="230"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March 24, 2023, is made by and between Immuneering Corporation, a Delaware corporation (together with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Harold E. Brakewood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ind w:left="642" w:right="480" w:hanging="642"/>
        <w:spacing w:after="0"/>
        <w:tabs>
          <w:tab w:leader="none" w:pos="63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as of the Effective Date and thereafter by entering into this Agreement.</w:t>
      </w:r>
    </w:p>
    <w:p>
      <w:pPr>
        <w:spacing w:after="0" w:line="147" w:lineRule="exact"/>
        <w:rPr>
          <w:rFonts w:ascii="Times New Roman" w:cs="Times New Roman" w:eastAsia="Times New Roman" w:hAnsi="Times New Roman"/>
          <w:sz w:val="20"/>
          <w:szCs w:val="20"/>
          <w:color w:val="auto"/>
        </w:rPr>
      </w:pPr>
    </w:p>
    <w:p>
      <w:pPr>
        <w:ind w:left="642" w:hanging="642"/>
        <w:spacing w:after="0"/>
        <w:tabs>
          <w:tab w:leader="none" w:pos="64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184" w:lineRule="exact"/>
        <w:rPr>
          <w:rFonts w:ascii="Times New Roman" w:cs="Times New Roman" w:eastAsia="Times New Roman" w:hAnsi="Times New Roman"/>
          <w:sz w:val="20"/>
          <w:szCs w:val="20"/>
          <w:color w:val="auto"/>
        </w:rPr>
      </w:pPr>
    </w:p>
    <w:p>
      <w:pPr>
        <w:ind w:left="488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w:t>
      </w:r>
    </w:p>
    <w:p>
      <w:pPr>
        <w:spacing w:after="0" w:line="193" w:lineRule="exact"/>
        <w:rPr>
          <w:sz w:val="20"/>
          <w:szCs w:val="20"/>
          <w:color w:val="auto"/>
        </w:rPr>
      </w:pPr>
    </w:p>
    <w:p>
      <w:pPr>
        <w:ind w:left="2" w:firstLine="647"/>
        <w:spacing w:after="0" w:line="233"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70" w:lineRule="exact"/>
        <w:rPr>
          <w:sz w:val="20"/>
          <w:szCs w:val="20"/>
          <w:color w:val="auto"/>
        </w:rPr>
      </w:pPr>
    </w:p>
    <w:p>
      <w:pPr>
        <w:ind w:left="642" w:hanging="642"/>
        <w:spacing w:after="0"/>
        <w:tabs>
          <w:tab w:leader="none" w:pos="64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left="2" w:right="220" w:firstLine="645"/>
        <w:spacing w:after="0" w:line="217" w:lineRule="auto"/>
        <w:tabs>
          <w:tab w:leader="none" w:pos="120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Executive’s commencement of employment with the Company, which shall be no later than March 31, 2023 (such date,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the Company shall employ Executive, and Executive shall be employed by the Company, for the period and in the positions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and subject to the other terms and conditions herein provided. This Agreement shall only become effective on the Effective Date. If Executive fails to commence employment by the Effective Date (or the Company withdraws its offer of employment prior to the Effective Date), this Agreement shall be null and void.</w:t>
      </w:r>
    </w:p>
    <w:p>
      <w:pPr>
        <w:spacing w:after="0" w:line="161" w:lineRule="exact"/>
        <w:rPr>
          <w:rFonts w:ascii="Times New Roman" w:cs="Times New Roman" w:eastAsia="Times New Roman" w:hAnsi="Times New Roman"/>
          <w:sz w:val="20"/>
          <w:szCs w:val="20"/>
          <w:color w:val="auto"/>
        </w:rPr>
      </w:pPr>
    </w:p>
    <w:p>
      <w:pPr>
        <w:ind w:left="2" w:right="280" w:firstLine="645"/>
        <w:spacing w:after="0" w:line="213" w:lineRule="auto"/>
        <w:tabs>
          <w:tab w:leader="none" w:pos="120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Effective Date and end on the date this Agreement is terminated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ind w:left="2" w:right="100" w:firstLine="645"/>
        <w:spacing w:after="0" w:line="210" w:lineRule="auto"/>
        <w:tabs>
          <w:tab w:leader="none" w:pos="120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Chief Business Officer of the Company, with such responsibilities, duties and authority normally associated with such position, including as may from time to time be assigned to Executive by the Chief Executive Officer, which shall be Executive’s direct supervisor.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w:t>
      </w:r>
    </w:p>
    <w:p>
      <w:pPr>
        <w:spacing w:after="0" w:line="2" w:lineRule="exact"/>
        <w:rPr>
          <w:rFonts w:ascii="Times New Roman" w:cs="Times New Roman" w:eastAsia="Times New Roman" w:hAnsi="Times New Roman"/>
          <w:sz w:val="20"/>
          <w:szCs w:val="20"/>
          <w:color w:val="auto"/>
        </w:rPr>
      </w:pPr>
    </w:p>
    <w:p>
      <w:pPr>
        <w:ind w:left="2" w:right="30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personal, financial and legal affairs, (ii) participate in trade associations, and (iii) serve on the board of directors of not-for-profit or tax-exempt charitable organizations, in each case, subject to</w:t>
      </w:r>
    </w:p>
    <w:p>
      <w:pPr>
        <w:sectPr>
          <w:pgSz w:w="11900" w:h="16838" w:orient="portrait"/>
          <w:cols w:equalWidth="0" w:num="1">
            <w:col w:w="11002"/>
          </w:cols>
          <w:pgMar w:left="418" w:top="1382" w:right="479" w:bottom="1440" w:gutter="0" w:footer="0" w:header="0"/>
        </w:sectPr>
      </w:pPr>
    </w:p>
    <w:bookmarkStart w:id="167" w:name="page168"/>
    <w:bookmarkEnd w:id="167"/>
    <w:p>
      <w:pPr>
        <w:ind w:left="20" w:right="540"/>
        <w:spacing w:after="0" w:line="215" w:lineRule="auto"/>
        <w:rPr>
          <w:sz w:val="20"/>
          <w:szCs w:val="20"/>
          <w:color w:val="auto"/>
        </w:rPr>
      </w:pPr>
      <w:r>
        <w:rPr>
          <w:rFonts w:ascii="Times New Roman" w:cs="Times New Roman" w:eastAsia="Times New Roman" w:hAnsi="Times New Roman"/>
          <w:sz w:val="20"/>
          <w:szCs w:val="20"/>
          <w:color w:val="auto"/>
        </w:rPr>
        <w:t>compliance with this Agreement and provided that such activities do not materially interfere with Executive’s performance of Executive’s duties and responsibilities hereunder. Executive agrees to</w:t>
      </w:r>
    </w:p>
    <w:p>
      <w:pPr>
        <w:spacing w:after="0" w:line="1"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20"/>
          <w:szCs w:val="20"/>
          <w:color w:val="auto"/>
        </w:rPr>
        <w:t>observe and comply with the rules and policies of the Company as adopted by the Company from time to time, in each case, as amended from time to time,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hanging="642"/>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51" w:lineRule="exact"/>
        <w:rPr>
          <w:sz w:val="20"/>
          <w:szCs w:val="20"/>
          <w:color w:val="auto"/>
        </w:rPr>
      </w:pPr>
    </w:p>
    <w:p>
      <w:pPr>
        <w:ind w:left="1300" w:hanging="63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w:t>
      </w:r>
    </w:p>
    <w:p>
      <w:pPr>
        <w:ind w:left="20"/>
        <w:spacing w:after="0" w:line="215" w:lineRule="auto"/>
        <w:rPr>
          <w:sz w:val="20"/>
          <w:szCs w:val="20"/>
          <w:color w:val="auto"/>
        </w:rPr>
      </w:pPr>
      <w:r>
        <w:rPr>
          <w:rFonts w:ascii="Times New Roman" w:cs="Times New Roman" w:eastAsia="Times New Roman" w:hAnsi="Times New Roman"/>
          <w:sz w:val="19"/>
          <w:szCs w:val="19"/>
          <w:color w:val="auto"/>
        </w:rPr>
        <w:t>$425,000 per annum, which shall be paid in accordance with the customary payroll practices of the Company and shall be pro-rated for partial years of employment. Such annual base salary shall be reviewed (and may be adjusted) from time to time by the Board of Directors</w:t>
      </w:r>
    </w:p>
    <w:p>
      <w:pPr>
        <w:ind w:left="20" w:right="20"/>
        <w:spacing w:after="0" w:line="228" w:lineRule="auto"/>
        <w:rPr>
          <w:sz w:val="20"/>
          <w:szCs w:val="20"/>
          <w:color w:val="auto"/>
        </w:rPr>
      </w:pPr>
      <w:r>
        <w:rPr>
          <w:rFonts w:ascii="Times New Roman" w:cs="Times New Roman" w:eastAsia="Times New Roman" w:hAnsi="Times New Roman"/>
          <w:sz w:val="20"/>
          <w:szCs w:val="20"/>
          <w:color w:val="auto"/>
        </w:rPr>
        <w:t>of the Company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 an authorized committee thereof (such annual base salary, as it may be adjusted from time to time,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20" w:right="580" w:firstLine="645"/>
        <w:spacing w:after="0" w:line="214" w:lineRule="auto"/>
        <w:tabs>
          <w:tab w:leader="none" w:pos="122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shall be targeted at 40% of</w:t>
      </w:r>
    </w:p>
    <w:p>
      <w:pPr>
        <w:ind w:left="20" w:right="20"/>
        <w:spacing w:after="0" w:line="2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Annual Base Salary (such target, as may be adjusted by the Board or an authorized committee thereof from time to time, the “</w:t>
      </w:r>
      <w:r>
        <w:rPr>
          <w:rFonts w:ascii="Times New Roman" w:cs="Times New Roman" w:eastAsia="Times New Roman" w:hAnsi="Times New Roman"/>
          <w:sz w:val="20"/>
          <w:szCs w:val="20"/>
          <w:u w:val="single" w:color="auto"/>
          <w:color w:val="auto"/>
        </w:rPr>
        <w:t>Target Annual Bonus</w:t>
      </w:r>
      <w:r>
        <w:rPr>
          <w:rFonts w:ascii="Times New Roman" w:cs="Times New Roman" w:eastAsia="Times New Roman" w:hAnsi="Times New Roman"/>
          <w:sz w:val="20"/>
          <w:szCs w:val="20"/>
          <w:color w:val="auto"/>
        </w:rPr>
        <w:t>”). The Annual Bonus payable under the incentive program shall be based on the achievement of performance goals to be determined by the Board or an authorized committee thereof and may in the Board or authorized committee’s discretion be calculated in a manner intended to reflect any mid-year changes in Annual Base Salary or Target Annual Bonus. The payment of any Annual Bonus pursuant to the incentive program shall be subject to</w:t>
      </w:r>
    </w:p>
    <w:p>
      <w:pPr>
        <w:spacing w:after="0" w:line="2"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continued employment with the Company through the date of payment, except as otherwise provided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left="20" w:right="20" w:firstLine="645"/>
        <w:spacing w:after="0" w:line="234" w:lineRule="auto"/>
        <w:tabs>
          <w:tab w:leader="none" w:pos="122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xml:space="preserve">. During the Term, Executive shall be eligible to participate in employee benefit plans, programs and arrangements of the Company, at the same level as other senior executives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Agreement.</w:t>
      </w:r>
    </w:p>
    <w:p>
      <w:pPr>
        <w:spacing w:after="0" w:line="154" w:lineRule="exact"/>
        <w:rPr>
          <w:rFonts w:ascii="Times New Roman" w:cs="Times New Roman" w:eastAsia="Times New Roman" w:hAnsi="Times New Roman"/>
          <w:sz w:val="19"/>
          <w:szCs w:val="19"/>
          <w:color w:val="auto"/>
        </w:rPr>
      </w:pPr>
    </w:p>
    <w:p>
      <w:pPr>
        <w:ind w:left="1220" w:hanging="555"/>
        <w:spacing w:after="0"/>
        <w:tabs>
          <w:tab w:leader="none" w:pos="12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paid personal leave in</w:t>
      </w:r>
    </w:p>
    <w:p>
      <w:pPr>
        <w:ind w:left="20" w:right="440"/>
        <w:spacing w:after="0" w:line="221" w:lineRule="auto"/>
        <w:rPr>
          <w:sz w:val="20"/>
          <w:szCs w:val="20"/>
          <w:color w:val="auto"/>
        </w:rPr>
      </w:pPr>
      <w:r>
        <w:rPr>
          <w:rFonts w:ascii="Times New Roman" w:cs="Times New Roman" w:eastAsia="Times New Roman" w:hAnsi="Times New Roman"/>
          <w:sz w:val="20"/>
          <w:szCs w:val="20"/>
          <w:color w:val="auto"/>
        </w:rPr>
        <w:t>accordance with the Company’s Policies. Any vacation shall be taken at the reasonable and mutual convenience of the Company and Executive.</w:t>
      </w:r>
    </w:p>
    <w:p>
      <w:pPr>
        <w:spacing w:after="0" w:line="162" w:lineRule="exact"/>
        <w:rPr>
          <w:sz w:val="20"/>
          <w:szCs w:val="20"/>
          <w:color w:val="auto"/>
        </w:rPr>
      </w:pPr>
    </w:p>
    <w:p>
      <w:pPr>
        <w:ind w:left="20" w:right="380" w:firstLine="645"/>
        <w:spacing w:after="0" w:line="226" w:lineRule="auto"/>
        <w:tabs>
          <w:tab w:leader="none" w:pos="12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60" w:lineRule="exact"/>
        <w:rPr>
          <w:rFonts w:ascii="Times New Roman" w:cs="Times New Roman" w:eastAsia="Times New Roman" w:hAnsi="Times New Roman"/>
          <w:sz w:val="20"/>
          <w:szCs w:val="20"/>
          <w:color w:val="auto"/>
        </w:rPr>
      </w:pPr>
    </w:p>
    <w:p>
      <w:pPr>
        <w:jc w:val="both"/>
        <w:ind w:left="20" w:right="160" w:firstLine="645"/>
        <w:spacing w:after="0" w:line="210" w:lineRule="auto"/>
        <w:tabs>
          <w:tab w:leader="none" w:pos="121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The Company will recommend to the Board or its designee that it grant Executive an option to purchase 165,000 shares of the Company’s common stock (the “</w:t>
      </w:r>
      <w:r>
        <w:rPr>
          <w:rFonts w:ascii="Times New Roman" w:cs="Times New Roman" w:eastAsia="Times New Roman" w:hAnsi="Times New Roman"/>
          <w:sz w:val="20"/>
          <w:szCs w:val="20"/>
          <w:u w:val="single" w:color="auto"/>
          <w:color w:val="auto"/>
        </w:rPr>
        <w:t>Stock Option</w:t>
      </w:r>
      <w:r>
        <w:rPr>
          <w:rFonts w:ascii="Times New Roman" w:cs="Times New Roman" w:eastAsia="Times New Roman" w:hAnsi="Times New Roman"/>
          <w:sz w:val="20"/>
          <w:szCs w:val="20"/>
          <w:color w:val="auto"/>
        </w:rPr>
        <w:t>”) at a per-share exercise price equal to the fair market value of a share of the Company’s common stock on the date of grant (as determined in accordance with the Company’s 2021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provided that Executive is employed by the Company on the date of grant. Subject to</w:t>
      </w:r>
    </w:p>
    <w:p>
      <w:pPr>
        <w:ind w:left="20" w:right="40"/>
        <w:spacing w:after="0" w:line="20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continued employment with the Company through the applicable vesting date, 25% of the shares underlying the Stock Option will vest on January 23, 2024 and 1/48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total number of shares initially underlying the Stock Option will vest on each monthly anniversary thereafter. The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80"/>
          </w:cols>
          <w:pgMar w:left="400" w:top="1386" w:right="519" w:bottom="1440" w:gutter="0" w:footer="0" w:header="0"/>
        </w:sectPr>
      </w:pPr>
    </w:p>
    <w:bookmarkStart w:id="168" w:name="page169"/>
    <w:bookmarkEnd w:id="168"/>
    <w:p>
      <w:pPr>
        <w:spacing w:after="0" w:line="189" w:lineRule="exact"/>
        <w:rPr>
          <w:sz w:val="20"/>
          <w:szCs w:val="20"/>
          <w:color w:val="auto"/>
        </w:rPr>
      </w:pPr>
    </w:p>
    <w:p>
      <w:pPr>
        <w:ind w:left="20" w:right="180"/>
        <w:spacing w:after="0" w:line="233" w:lineRule="auto"/>
        <w:rPr>
          <w:sz w:val="20"/>
          <w:szCs w:val="20"/>
          <w:color w:val="auto"/>
        </w:rPr>
      </w:pPr>
      <w:r>
        <w:rPr>
          <w:rFonts w:ascii="Times New Roman" w:cs="Times New Roman" w:eastAsia="Times New Roman" w:hAnsi="Times New Roman"/>
          <w:sz w:val="20"/>
          <w:szCs w:val="20"/>
          <w:color w:val="auto"/>
        </w:rPr>
        <w:t>will otherwise be subject to the terms and conditions of the Plan and a stock option agreement to be entered into between Executive and the Company.</w:t>
      </w:r>
    </w:p>
    <w:p>
      <w:pPr>
        <w:spacing w:after="0" w:line="170" w:lineRule="exact"/>
        <w:rPr>
          <w:sz w:val="20"/>
          <w:szCs w:val="20"/>
          <w:color w:val="auto"/>
        </w:rPr>
      </w:pPr>
    </w:p>
    <w:p>
      <w:pPr>
        <w:ind w:left="660" w:hanging="64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left="80" w:right="240" w:firstLine="647"/>
        <w:spacing w:after="0" w:line="233"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61" w:lineRule="exact"/>
        <w:rPr>
          <w:sz w:val="20"/>
          <w:szCs w:val="20"/>
          <w:color w:val="auto"/>
        </w:rPr>
      </w:pPr>
    </w:p>
    <w:p>
      <w:pPr>
        <w:ind w:left="1300" w:hanging="634"/>
        <w:spacing w:after="0"/>
        <w:tabs>
          <w:tab w:leader="none" w:pos="1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960" w:hanging="646"/>
        <w:spacing w:after="0"/>
        <w:tabs>
          <w:tab w:leader="none" w:pos="19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175" w:lineRule="exact"/>
        <w:rPr>
          <w:rFonts w:ascii="Times New Roman" w:cs="Times New Roman" w:eastAsia="Times New Roman" w:hAnsi="Times New Roman"/>
          <w:sz w:val="20"/>
          <w:szCs w:val="20"/>
          <w:color w:val="auto"/>
        </w:rPr>
      </w:pPr>
    </w:p>
    <w:p>
      <w:pPr>
        <w:ind w:left="660" w:right="1500" w:firstLine="654"/>
        <w:spacing w:after="0" w:line="245" w:lineRule="auto"/>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Executive’s employment.</w:t>
      </w:r>
    </w:p>
    <w:p>
      <w:pPr>
        <w:spacing w:after="0" w:line="151"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175"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188" w:lineRule="exact"/>
        <w:rPr>
          <w:rFonts w:ascii="Times New Roman" w:cs="Times New Roman" w:eastAsia="Times New Roman" w:hAnsi="Times New Roman"/>
          <w:sz w:val="20"/>
          <w:szCs w:val="20"/>
          <w:color w:val="auto"/>
        </w:rPr>
      </w:pPr>
    </w:p>
    <w:p>
      <w:pPr>
        <w:ind w:left="660" w:right="600" w:firstLine="654"/>
        <w:spacing w:after="0" w:line="245" w:lineRule="auto"/>
        <w:tabs>
          <w:tab w:leader="none" w:pos="1863"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37" w:lineRule="exact"/>
        <w:rPr>
          <w:rFonts w:ascii="Times New Roman" w:cs="Times New Roman" w:eastAsia="Times New Roman" w:hAnsi="Times New Roman"/>
          <w:sz w:val="20"/>
          <w:szCs w:val="20"/>
          <w:color w:val="auto"/>
        </w:rPr>
      </w:pPr>
    </w:p>
    <w:p>
      <w:pPr>
        <w:ind w:left="660" w:right="300" w:firstLine="654"/>
        <w:spacing w:after="0" w:line="245" w:lineRule="auto"/>
        <w:tabs>
          <w:tab w:leader="none" w:pos="186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ind w:left="20" w:firstLine="645"/>
        <w:spacing w:after="0" w:line="211" w:lineRule="auto"/>
        <w:tabs>
          <w:tab w:leader="none" w:pos="122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u w:val="single" w:color="auto"/>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65" w:lineRule="exact"/>
        <w:rPr>
          <w:rFonts w:ascii="Times New Roman" w:cs="Times New Roman" w:eastAsia="Times New Roman" w:hAnsi="Times New Roman"/>
          <w:sz w:val="20"/>
          <w:szCs w:val="20"/>
          <w:color w:val="auto"/>
        </w:rPr>
      </w:pPr>
    </w:p>
    <w:p>
      <w:pPr>
        <w:ind w:left="20" w:right="880" w:firstLine="645"/>
        <w:spacing w:after="0" w:line="226" w:lineRule="auto"/>
        <w:tabs>
          <w:tab w:leader="none" w:pos="122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Executive (or Executive’s estate) shall be entitled to receive the sum of: (i) the portion of Executive’s Annual Base Salary earned through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60"/>
          </w:cols>
          <w:pgMar w:left="400" w:top="1440" w:right="539" w:bottom="1440" w:gutter="0" w:footer="0" w:header="0"/>
        </w:sectPr>
      </w:pPr>
    </w:p>
    <w:bookmarkStart w:id="169" w:name="page170"/>
    <w:bookmarkEnd w:id="169"/>
    <w:p>
      <w:pPr>
        <w:spacing w:after="0" w:line="189" w:lineRule="exact"/>
        <w:rPr>
          <w:sz w:val="20"/>
          <w:szCs w:val="20"/>
          <w:color w:val="auto"/>
        </w:rPr>
      </w:pPr>
    </w:p>
    <w:p>
      <w:pPr>
        <w:ind w:left="20" w:right="220"/>
        <w:spacing w:after="0" w:line="215" w:lineRule="auto"/>
        <w:rPr>
          <w:sz w:val="20"/>
          <w:szCs w:val="20"/>
          <w:color w:val="auto"/>
        </w:rPr>
      </w:pPr>
      <w:r>
        <w:rPr>
          <w:rFonts w:ascii="Times New Roman" w:cs="Times New Roman" w:eastAsia="Times New Roman" w:hAnsi="Times New Roman"/>
          <w:sz w:val="20"/>
          <w:szCs w:val="20"/>
          <w:color w:val="auto"/>
        </w:rPr>
        <w:t xml:space="preserve">of Termination, but not yet paid to Executive; (ii) any expense reimbursements owed to Executive pursuant to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and (iii) any amount accrued and arising from Executive’s participation in, or benefits accrued under any employee benefit plans, programs or</w:t>
      </w:r>
    </w:p>
    <w:p>
      <w:pPr>
        <w:ind w:left="20"/>
        <w:spacing w:after="0" w:line="212" w:lineRule="auto"/>
        <w:rPr>
          <w:sz w:val="20"/>
          <w:szCs w:val="20"/>
          <w:color w:val="auto"/>
        </w:rPr>
      </w:pPr>
      <w:r>
        <w:rPr>
          <w:rFonts w:ascii="Times New Roman" w:cs="Times New Roman" w:eastAsia="Times New Roman" w:hAnsi="Times New Roman"/>
          <w:sz w:val="20"/>
          <w:szCs w:val="20"/>
          <w:color w:val="auto"/>
        </w:rPr>
        <w:t>arrangements, which amounts shall be payable in accordance with the terms and conditions of such employee benefit plans, programs or</w:t>
      </w:r>
    </w:p>
    <w:p>
      <w:pPr>
        <w:spacing w:after="0" w:line="1"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19"/>
          <w:szCs w:val="19"/>
          <w:color w:val="auto"/>
        </w:rPr>
        <w:t>arrangements (collectively, the “</w:t>
      </w:r>
      <w:r>
        <w:rPr>
          <w:rFonts w:ascii="Times New Roman" w:cs="Times New Roman" w:eastAsia="Times New Roman" w:hAnsi="Times New Roman"/>
          <w:sz w:val="19"/>
          <w:szCs w:val="19"/>
          <w:u w:val="single" w:color="auto"/>
          <w:color w:val="auto"/>
        </w:rPr>
        <w:t>Company Arrangements</w:t>
      </w:r>
      <w:r>
        <w:rPr>
          <w:rFonts w:ascii="Times New Roman" w:cs="Times New Roman" w:eastAsia="Times New Roman" w:hAnsi="Times New Roman"/>
          <w:sz w:val="19"/>
          <w:szCs w:val="19"/>
          <w:color w:val="auto"/>
        </w:rPr>
        <w:t>”). Except as otherwise expressly required by law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COBRA) or as specifically provided herein, all of Executive’s rights to salary, severance, benefits, bonuses and other compensatory amounts hereunder (if</w:t>
      </w:r>
    </w:p>
    <w:p>
      <w:pPr>
        <w:ind w:left="20"/>
        <w:spacing w:after="0"/>
        <w:rPr>
          <w:sz w:val="20"/>
          <w:szCs w:val="20"/>
          <w:color w:val="auto"/>
        </w:rPr>
      </w:pPr>
      <w:r>
        <w:rPr>
          <w:rFonts w:ascii="Times New Roman" w:cs="Times New Roman" w:eastAsia="Times New Roman" w:hAnsi="Times New Roman"/>
          <w:sz w:val="20"/>
          <w:szCs w:val="20"/>
          <w:color w:val="auto"/>
        </w:rPr>
        <w:t>any) shall cease upon the termination of Executive’s employment hereunder.</w:t>
      </w:r>
    </w:p>
    <w:p>
      <w:pPr>
        <w:spacing w:after="0" w:line="167" w:lineRule="exact"/>
        <w:rPr>
          <w:sz w:val="20"/>
          <w:szCs w:val="20"/>
          <w:color w:val="auto"/>
        </w:rPr>
      </w:pPr>
    </w:p>
    <w:p>
      <w:pPr>
        <w:ind w:left="20" w:right="400" w:firstLine="645"/>
        <w:spacing w:after="0" w:line="233" w:lineRule="auto"/>
        <w:tabs>
          <w:tab w:leader="none" w:pos="122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Times New Roman" w:cs="Times New Roman" w:eastAsia="Times New Roman" w:hAnsi="Times New Roman"/>
          <w:sz w:val="20"/>
          <w:szCs w:val="20"/>
          <w:color w:val="auto"/>
        </w:rPr>
      </w:pPr>
    </w:p>
    <w:p>
      <w:pPr>
        <w:ind w:left="660" w:hanging="64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ind w:left="20" w:right="60" w:firstLine="645"/>
        <w:spacing w:after="0" w:line="222" w:lineRule="auto"/>
        <w:tabs>
          <w:tab w:leader="none" w:pos="122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42" w:lineRule="exact"/>
        <w:rPr>
          <w:rFonts w:ascii="Times New Roman" w:cs="Times New Roman" w:eastAsia="Times New Roman" w:hAnsi="Times New Roman"/>
          <w:sz w:val="20"/>
          <w:szCs w:val="20"/>
          <w:color w:val="auto"/>
        </w:rPr>
      </w:pPr>
    </w:p>
    <w:p>
      <w:pPr>
        <w:ind w:left="1220" w:hanging="555"/>
        <w:spacing w:after="0"/>
        <w:tabs>
          <w:tab w:leader="none" w:pos="122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If Executive’s employment</w:t>
      </w:r>
    </w:p>
    <w:p>
      <w:pPr>
        <w:ind w:left="20"/>
        <w:spacing w:after="0" w:line="211" w:lineRule="auto"/>
        <w:rPr>
          <w:sz w:val="20"/>
          <w:szCs w:val="20"/>
          <w:color w:val="auto"/>
        </w:rPr>
      </w:pPr>
      <w:r>
        <w:rPr>
          <w:rFonts w:ascii="Times New Roman" w:cs="Times New Roman" w:eastAsia="Times New Roman" w:hAnsi="Times New Roman"/>
          <w:sz w:val="20"/>
          <w:szCs w:val="20"/>
          <w:color w:val="auto"/>
        </w:rPr>
        <w:t xml:space="preserve">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w:t>
      </w:r>
    </w:p>
    <w:p>
      <w:pPr>
        <w:ind w:left="20" w:right="660"/>
        <w:spacing w:after="0" w:line="204" w:lineRule="auto"/>
        <w:rPr>
          <w:sz w:val="20"/>
          <w:szCs w:val="20"/>
          <w:color w:val="auto"/>
        </w:rPr>
      </w:pPr>
      <w:r>
        <w:rPr>
          <w:rFonts w:ascii="Times New Roman" w:cs="Times New Roman" w:eastAsia="Times New Roman" w:hAnsi="Times New Roman"/>
          <w:sz w:val="20"/>
          <w:szCs w:val="20"/>
          <w:color w:val="auto"/>
        </w:rPr>
        <w:t xml:space="preserve">Reason, then except as otherwise provided under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and subject to Executive signing on or before the 21st day following Executive’s Separation from Service (as defined below), and not revoking, a release of claims substantially in the</w:t>
      </w:r>
    </w:p>
    <w:p>
      <w:pPr>
        <w:spacing w:after="0" w:line="1" w:lineRule="exact"/>
        <w:rPr>
          <w:sz w:val="20"/>
          <w:szCs w:val="20"/>
          <w:color w:val="auto"/>
        </w:rPr>
      </w:pPr>
    </w:p>
    <w:p>
      <w:pPr>
        <w:ind w:left="20" w:right="540"/>
        <w:spacing w:after="0" w:line="228" w:lineRule="auto"/>
        <w:rPr>
          <w:sz w:val="20"/>
          <w:szCs w:val="20"/>
          <w:color w:val="auto"/>
        </w:rPr>
      </w:pPr>
      <w:r>
        <w:rPr>
          <w:rFonts w:ascii="Times New Roman" w:cs="Times New Roman" w:eastAsia="Times New Roman" w:hAnsi="Times New Roman"/>
          <w:sz w:val="20"/>
          <w:szCs w:val="20"/>
          <w:color w:val="auto"/>
        </w:rPr>
        <w:t xml:space="preserve">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49" w:lineRule="exact"/>
        <w:rPr>
          <w:sz w:val="20"/>
          <w:szCs w:val="20"/>
          <w:color w:val="auto"/>
        </w:rPr>
      </w:pPr>
    </w:p>
    <w:p>
      <w:pPr>
        <w:ind w:left="660" w:right="140" w:firstLine="654"/>
        <w:spacing w:after="0" w:line="222" w:lineRule="auto"/>
        <w:tabs>
          <w:tab w:leader="none" w:pos="185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1.0 times the Annual Base Salary, payable in the form of salary continuation in regular installments over the 12-month period following the date of</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Separation from Service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in accordance with the Company’s normal payroll practices;</w:t>
      </w:r>
    </w:p>
    <w:p>
      <w:pPr>
        <w:spacing w:after="0" w:line="153" w:lineRule="exact"/>
        <w:rPr>
          <w:rFonts w:ascii="Times New Roman" w:cs="Times New Roman" w:eastAsia="Times New Roman" w:hAnsi="Times New Roman"/>
          <w:sz w:val="20"/>
          <w:szCs w:val="20"/>
          <w:color w:val="auto"/>
        </w:rPr>
      </w:pPr>
    </w:p>
    <w:p>
      <w:pPr>
        <w:ind w:left="660" w:right="400" w:firstLine="654"/>
        <w:spacing w:after="0" w:line="220" w:lineRule="auto"/>
        <w:tabs>
          <w:tab w:leader="none" w:pos="18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unpaid as of the Date of Termination, an amount of cash equal to any Annual Bonus earned by Executive for the Company’s fiscal year prior to the fiscal year in which the Date of Termination occurs, as determined by the Board or an authorized committee thereof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60" w:lineRule="exact"/>
        <w:rPr>
          <w:rFonts w:ascii="Times New Roman" w:cs="Times New Roman" w:eastAsia="Times New Roman" w:hAnsi="Times New Roman"/>
          <w:sz w:val="20"/>
          <w:szCs w:val="20"/>
          <w:color w:val="auto"/>
        </w:rPr>
      </w:pPr>
    </w:p>
    <w:p>
      <w:pPr>
        <w:ind w:left="660" w:right="700" w:firstLine="654"/>
        <w:spacing w:after="0" w:line="215" w:lineRule="auto"/>
        <w:tabs>
          <w:tab w:leader="none" w:pos="186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w:t>
      </w:r>
    </w:p>
    <w:p>
      <w:pPr>
        <w:spacing w:after="0" w:line="1" w:lineRule="exact"/>
        <w:rPr>
          <w:rFonts w:ascii="Times New Roman" w:cs="Times New Roman" w:eastAsia="Times New Roman" w:hAnsi="Times New Roman"/>
          <w:sz w:val="20"/>
          <w:szCs w:val="20"/>
          <w:color w:val="auto"/>
        </w:rPr>
      </w:pPr>
    </w:p>
    <w:p>
      <w:pPr>
        <w:ind w:left="660" w:right="40"/>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Consolidated Omnibus Budget Reconciliation Act of 1985, as amended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00" w:top="1440" w:right="479" w:bottom="1440" w:gutter="0" w:footer="0" w:header="0"/>
        </w:sectPr>
      </w:pPr>
    </w:p>
    <w:bookmarkStart w:id="170" w:name="page171"/>
    <w:bookmarkEnd w:id="170"/>
    <w:p>
      <w:pPr>
        <w:spacing w:after="0" w:line="189" w:lineRule="exact"/>
        <w:rPr>
          <w:sz w:val="20"/>
          <w:szCs w:val="20"/>
          <w:color w:val="auto"/>
        </w:rPr>
      </w:pPr>
    </w:p>
    <w:p>
      <w:pPr>
        <w:ind w:left="660" w:right="160"/>
        <w:spacing w:after="0" w:line="227" w:lineRule="auto"/>
        <w:rPr>
          <w:sz w:val="20"/>
          <w:szCs w:val="20"/>
          <w:color w:val="auto"/>
        </w:rPr>
      </w:pPr>
      <w:r>
        <w:rPr>
          <w:rFonts w:ascii="Times New Roman" w:cs="Times New Roman" w:eastAsia="Times New Roman" w:hAnsi="Times New Roman"/>
          <w:sz w:val="19"/>
          <w:szCs w:val="19"/>
          <w:color w:val="auto"/>
        </w:rPr>
        <w:t>on the Date of Termination, during the period commencing on Executive’s Separation from Service and ending upon the earliest of (A) the last day of the Severance Period, (B) the date that Executive and/or Executive’s covered dependents become no longer</w:t>
      </w:r>
    </w:p>
    <w:p>
      <w:pPr>
        <w:ind w:left="660"/>
        <w:spacing w:after="0" w:line="222" w:lineRule="auto"/>
        <w:rPr>
          <w:sz w:val="20"/>
          <w:szCs w:val="20"/>
          <w:color w:val="auto"/>
        </w:rPr>
      </w:pPr>
      <w:r>
        <w:rPr>
          <w:rFonts w:ascii="Times New Roman" w:cs="Times New Roman" w:eastAsia="Times New Roman" w:hAnsi="Times New Roman"/>
          <w:sz w:val="19"/>
          <w:szCs w:val="19"/>
          <w:color w:val="auto"/>
        </w:rPr>
        <w:t>eligible for COBRA and (C) the date Executive becomes eligible to receive medical, dental or vision coverage, as applicable, from</w:t>
      </w:r>
    </w:p>
    <w:p>
      <w:pPr>
        <w:spacing w:after="0" w:line="1" w:lineRule="exact"/>
        <w:rPr>
          <w:sz w:val="20"/>
          <w:szCs w:val="20"/>
          <w:color w:val="auto"/>
        </w:rPr>
      </w:pPr>
    </w:p>
    <w:p>
      <w:pPr>
        <w:ind w:left="660" w:right="260"/>
        <w:spacing w:after="0" w:line="215" w:lineRule="auto"/>
        <w:rPr>
          <w:sz w:val="20"/>
          <w:szCs w:val="20"/>
          <w:color w:val="auto"/>
        </w:rPr>
      </w:pPr>
      <w:r>
        <w:rPr>
          <w:rFonts w:ascii="Times New Roman" w:cs="Times New Roman" w:eastAsia="Times New Roman" w:hAnsi="Times New Roman"/>
          <w:sz w:val="19"/>
          <w:szCs w:val="19"/>
          <w:color w:val="auto"/>
        </w:rPr>
        <w:t>a subsequent employer (and Executive agrees to promptly notify the Company of such eligibility) (the “</w:t>
      </w:r>
      <w:r>
        <w:rPr>
          <w:rFonts w:ascii="Times New Roman" w:cs="Times New Roman" w:eastAsia="Times New Roman" w:hAnsi="Times New Roman"/>
          <w:sz w:val="19"/>
          <w:szCs w:val="19"/>
          <w:u w:val="single" w:color="auto"/>
          <w:color w:val="auto"/>
        </w:rPr>
        <w:t>COBRA Continuation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Period</w:t>
      </w:r>
      <w:r>
        <w:rPr>
          <w:rFonts w:ascii="Times New Roman" w:cs="Times New Roman" w:eastAsia="Times New Roman" w:hAnsi="Times New Roman"/>
          <w:sz w:val="19"/>
          <w:szCs w:val="19"/>
          <w:color w:val="auto"/>
        </w:rPr>
        <w:t>”). Notwithstanding the foregoing, if the Company determines it cannot provide the foregoing benefit without potentially</w:t>
      </w:r>
    </w:p>
    <w:p>
      <w:pPr>
        <w:ind w:left="660"/>
        <w:spacing w:after="0" w:line="211" w:lineRule="auto"/>
        <w:rPr>
          <w:sz w:val="20"/>
          <w:szCs w:val="20"/>
          <w:color w:val="auto"/>
        </w:rPr>
      </w:pPr>
      <w:r>
        <w:rPr>
          <w:rFonts w:ascii="Times New Roman" w:cs="Times New Roman" w:eastAsia="Times New Roman" w:hAnsi="Times New Roman"/>
          <w:sz w:val="20"/>
          <w:szCs w:val="20"/>
          <w:color w:val="auto"/>
        </w:rPr>
        <w:t>violating applicable law (including, without limitation, Section 2716 of the Public Health Service Act) or incurring an excise tax,</w:t>
      </w:r>
    </w:p>
    <w:p>
      <w:pPr>
        <w:ind w:left="660" w:right="320"/>
        <w:spacing w:after="0" w:line="204" w:lineRule="auto"/>
        <w:rPr>
          <w:sz w:val="20"/>
          <w:szCs w:val="20"/>
          <w:color w:val="auto"/>
        </w:rPr>
      </w:pPr>
      <w:r>
        <w:rPr>
          <w:rFonts w:ascii="Times New Roman" w:cs="Times New Roman" w:eastAsia="Times New Roman" w:hAnsi="Times New Roman"/>
          <w:sz w:val="20"/>
          <w:szCs w:val="20"/>
          <w:color w:val="auto"/>
        </w:rPr>
        <w:t>the Company shall in lieu thereof provide to Executive a taxable monthly payment in an amount equal to the monthly COBRA premium that Executive would be required to pay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continue Executive’s and Executive’s covered dependents’ group health coverage in effect on the Date of Termination (which</w:t>
      </w:r>
    </w:p>
    <w:p>
      <w:pPr>
        <w:spacing w:after="0" w:line="1" w:lineRule="exact"/>
        <w:rPr>
          <w:sz w:val="20"/>
          <w:szCs w:val="20"/>
          <w:color w:val="auto"/>
        </w:rPr>
      </w:pP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amount shall be based on the premium for the first month of COBRA coverage), less the amount Executive would have had to pay to receive such group health coverage as an active employee for Executive and his or her covered dependents based on the cost</w:t>
      </w:r>
    </w:p>
    <w:p>
      <w:pPr>
        <w:ind w:left="660" w:right="100"/>
        <w:spacing w:after="0" w:line="228" w:lineRule="auto"/>
        <w:rPr>
          <w:sz w:val="20"/>
          <w:szCs w:val="20"/>
          <w:color w:val="auto"/>
        </w:rPr>
      </w:pPr>
      <w:r>
        <w:rPr>
          <w:rFonts w:ascii="Times New Roman" w:cs="Times New Roman" w:eastAsia="Times New Roman" w:hAnsi="Times New Roman"/>
          <w:sz w:val="20"/>
          <w:szCs w:val="20"/>
          <w:color w:val="auto"/>
        </w:rPr>
        <w:t>sharing levels in effect on the Date of Termination, which payments shall be made for the remainder of the COBRA Continuation Period.</w:t>
      </w:r>
    </w:p>
    <w:p>
      <w:pPr>
        <w:spacing w:after="0" w:line="149" w:lineRule="exact"/>
        <w:rPr>
          <w:sz w:val="20"/>
          <w:szCs w:val="20"/>
          <w:color w:val="auto"/>
        </w:rPr>
      </w:pPr>
    </w:p>
    <w:p>
      <w:pPr>
        <w:ind w:left="20" w:right="100" w:firstLine="645"/>
        <w:spacing w:after="0" w:line="220" w:lineRule="auto"/>
        <w:tabs>
          <w:tab w:leader="none" w:pos="122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In lieu of the payments and benefits set forth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47" w:lineRule="exact"/>
        <w:rPr>
          <w:rFonts w:ascii="Times New Roman" w:cs="Times New Roman" w:eastAsia="Times New Roman" w:hAnsi="Times New Roman"/>
          <w:sz w:val="20"/>
          <w:szCs w:val="20"/>
          <w:color w:val="auto"/>
        </w:rPr>
      </w:pPr>
    </w:p>
    <w:p>
      <w:pPr>
        <w:ind w:left="660" w:right="460" w:firstLine="654"/>
        <w:spacing w:after="0" w:line="230" w:lineRule="auto"/>
        <w:tabs>
          <w:tab w:leader="none" w:pos="1859"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1.0 times the Annual Base Salary, payable in equal installments over the 12-month period following the date of Executive’s Separation from Service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in accordance with the Company’s normal payroll practices;</w:t>
      </w:r>
    </w:p>
    <w:p>
      <w:pPr>
        <w:spacing w:after="0" w:line="162" w:lineRule="exact"/>
        <w:rPr>
          <w:rFonts w:ascii="Times New Roman" w:cs="Times New Roman" w:eastAsia="Times New Roman" w:hAnsi="Times New Roman"/>
          <w:sz w:val="20"/>
          <w:szCs w:val="20"/>
          <w:color w:val="auto"/>
        </w:rPr>
      </w:pPr>
    </w:p>
    <w:p>
      <w:pPr>
        <w:ind w:left="1960" w:hanging="646"/>
        <w:spacing w:after="0"/>
        <w:tabs>
          <w:tab w:leader="none" w:pos="19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set forth in </w:t>
      </w:r>
      <w:r>
        <w:rPr>
          <w:rFonts w:ascii="Times New Roman" w:cs="Times New Roman" w:eastAsia="Times New Roman" w:hAnsi="Times New Roman"/>
          <w:sz w:val="20"/>
          <w:szCs w:val="20"/>
          <w:u w:val="single" w:color="auto"/>
          <w:color w:val="auto"/>
        </w:rPr>
        <w:t>Section 4(b)(ii)</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benefits set forth in </w:t>
      </w:r>
      <w:r>
        <w:rPr>
          <w:rFonts w:ascii="Times New Roman" w:cs="Times New Roman" w:eastAsia="Times New Roman" w:hAnsi="Times New Roman"/>
          <w:sz w:val="20"/>
          <w:szCs w:val="20"/>
          <w:u w:val="single" w:color="auto"/>
          <w:color w:val="auto"/>
        </w:rPr>
        <w:t>Section 4(b)(iii)</w:t>
      </w:r>
      <w:r>
        <w:rPr>
          <w:rFonts w:ascii="Times New Roman" w:cs="Times New Roman" w:eastAsia="Times New Roman" w:hAnsi="Times New Roman"/>
          <w:sz w:val="20"/>
          <w:szCs w:val="20"/>
          <w:color w:val="auto"/>
        </w:rPr>
        <w:t>, provided that for this purpose, the “Severance Period” will mean</w:t>
      </w:r>
    </w:p>
    <w:p>
      <w:pPr>
        <w:ind w:left="660"/>
        <w:spacing w:after="0"/>
        <w:rPr>
          <w:sz w:val="20"/>
          <w:szCs w:val="20"/>
          <w:color w:val="auto"/>
        </w:rPr>
      </w:pPr>
      <w:r>
        <w:rPr>
          <w:rFonts w:ascii="Times New Roman" w:cs="Times New Roman" w:eastAsia="Times New Roman" w:hAnsi="Times New Roman"/>
          <w:sz w:val="20"/>
          <w:szCs w:val="20"/>
          <w:color w:val="auto"/>
        </w:rPr>
        <w:t>the CIC Severance Period;</w:t>
      </w:r>
    </w:p>
    <w:p>
      <w:pPr>
        <w:spacing w:after="0" w:line="167" w:lineRule="exact"/>
        <w:rPr>
          <w:sz w:val="20"/>
          <w:szCs w:val="20"/>
          <w:color w:val="auto"/>
        </w:rPr>
      </w:pPr>
    </w:p>
    <w:p>
      <w:pPr>
        <w:ind w:left="660" w:right="480" w:firstLine="654"/>
        <w:spacing w:after="0" w:line="233" w:lineRule="auto"/>
        <w:tabs>
          <w:tab w:leader="none" w:pos="186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1.0 times the Target Annual Bonus, payable in a lump sum on the Company’s first ordinary payroll date that occurs after the Date of Termination; and</w:t>
      </w:r>
    </w:p>
    <w:p>
      <w:pPr>
        <w:spacing w:after="0" w:line="160" w:lineRule="exact"/>
        <w:rPr>
          <w:rFonts w:ascii="Times New Roman" w:cs="Times New Roman" w:eastAsia="Times New Roman" w:hAnsi="Times New Roman"/>
          <w:sz w:val="20"/>
          <w:szCs w:val="20"/>
          <w:color w:val="auto"/>
        </w:rPr>
      </w:pPr>
    </w:p>
    <w:p>
      <w:pPr>
        <w:jc w:val="both"/>
        <w:ind w:left="660" w:right="140" w:firstLine="654"/>
        <w:spacing w:after="0" w:line="226" w:lineRule="auto"/>
        <w:tabs>
          <w:tab w:leader="none" w:pos="1863"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equity or equity-based awards held by Executive under any Company equity compensation plans that vest solely based on continued employment or service and the passage of time shall immediately become 100% vested, with any other equity or equity- based awards being governed by the terms of the applicable award agreement.</w:t>
      </w:r>
    </w:p>
    <w:p>
      <w:pPr>
        <w:spacing w:after="0" w:line="160" w:lineRule="exact"/>
        <w:rPr>
          <w:rFonts w:ascii="Times New Roman" w:cs="Times New Roman" w:eastAsia="Times New Roman" w:hAnsi="Times New Roman"/>
          <w:sz w:val="20"/>
          <w:szCs w:val="20"/>
          <w:color w:val="auto"/>
        </w:rPr>
      </w:pPr>
    </w:p>
    <w:p>
      <w:pPr>
        <w:ind w:left="20" w:right="200" w:firstLine="645"/>
        <w:spacing w:after="0" w:line="233" w:lineRule="auto"/>
        <w:tabs>
          <w:tab w:leader="none" w:pos="122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0"/>
          </w:cols>
          <w:pgMar w:left="400" w:top="1440" w:right="479" w:bottom="1440" w:gutter="0" w:footer="0" w:header="0"/>
        </w:sectPr>
      </w:pPr>
    </w:p>
    <w:bookmarkStart w:id="171" w:name="page172"/>
    <w:bookmarkEnd w:id="171"/>
    <w:p>
      <w:pPr>
        <w:spacing w:after="0" w:line="199" w:lineRule="exact"/>
        <w:rPr>
          <w:sz w:val="20"/>
          <w:szCs w:val="20"/>
          <w:color w:val="auto"/>
        </w:rPr>
      </w:pPr>
    </w:p>
    <w:p>
      <w:pPr>
        <w:ind w:left="20" w:right="200" w:hanging="2"/>
        <w:spacing w:after="0" w:line="213" w:lineRule="auto"/>
        <w:tabs>
          <w:tab w:leader="none" w:pos="574"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to the effectiveness of this Agreement, Executive will have executed and delivered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no later than contemporaneously herewith the Employee Proprietary Information and Inventions Assignment Agreement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72" w:lineRule="exact"/>
        <w:rPr>
          <w:rFonts w:ascii="Times New Roman" w:cs="Times New Roman" w:eastAsia="Times New Roman" w:hAnsi="Times New Roman"/>
          <w:sz w:val="22"/>
          <w:szCs w:val="22"/>
          <w:b w:val="1"/>
          <w:bCs w:val="1"/>
          <w:color w:val="auto"/>
        </w:rPr>
      </w:pPr>
    </w:p>
    <w:p>
      <w:pPr>
        <w:ind w:left="660" w:hanging="642"/>
        <w:spacing w:after="0"/>
        <w:tabs>
          <w:tab w:leader="none" w:pos="6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Company may assign its rights and obligations under this Agreement to any of its affiliates or to any successor to all or</w:t>
      </w:r>
    </w:p>
    <w:p>
      <w:pPr>
        <w:jc w:val="center"/>
        <w:ind w:right="-19"/>
        <w:spacing w:after="0" w:line="222" w:lineRule="auto"/>
        <w:rPr>
          <w:sz w:val="20"/>
          <w:szCs w:val="20"/>
          <w:color w:val="auto"/>
        </w:rPr>
      </w:pPr>
      <w:r>
        <w:rPr>
          <w:rFonts w:ascii="Times New Roman" w:cs="Times New Roman" w:eastAsia="Times New Roman" w:hAnsi="Times New Roman"/>
          <w:sz w:val="19"/>
          <w:szCs w:val="19"/>
          <w:color w:val="auto"/>
        </w:rPr>
        <w:t>substantially all of the business or the assets of the Company (by merger or otherwise), and may assign or encumber this Agreement and its</w:t>
      </w:r>
    </w:p>
    <w:p>
      <w:pPr>
        <w:ind w:left="20" w:right="200"/>
        <w:spacing w:after="0" w:line="215" w:lineRule="auto"/>
        <w:rPr>
          <w:sz w:val="20"/>
          <w:szCs w:val="20"/>
          <w:color w:val="auto"/>
        </w:rPr>
      </w:pPr>
      <w:r>
        <w:rPr>
          <w:rFonts w:ascii="Times New Roman" w:cs="Times New Roman" w:eastAsia="Times New Roman" w:hAnsi="Times New Roman"/>
          <w:sz w:val="19"/>
          <w:szCs w:val="19"/>
          <w:color w:val="auto"/>
        </w:rPr>
        <w:t>rights hereunder as security for indebtedness of the Company and its affiliates. This Agreement shall be binding upon and inure to the benefit of the Company, Executive and their respective successors, assigns, personal and legal representatives, executors, administrators,</w:t>
      </w:r>
    </w:p>
    <w:p>
      <w:pPr>
        <w:ind w:left="20"/>
        <w:spacing w:after="0" w:line="211" w:lineRule="auto"/>
        <w:rPr>
          <w:sz w:val="20"/>
          <w:szCs w:val="20"/>
          <w:color w:val="auto"/>
        </w:rPr>
      </w:pPr>
      <w:r>
        <w:rPr>
          <w:rFonts w:ascii="Times New Roman" w:cs="Times New Roman" w:eastAsia="Times New Roman" w:hAnsi="Times New Roman"/>
          <w:sz w:val="20"/>
          <w:szCs w:val="20"/>
          <w:color w:val="auto"/>
        </w:rPr>
        <w:t>heirs, distributees, devisees, and legatees, as applicable. None of Executive’s rights or obligations may be assigned or transferred by</w:t>
      </w:r>
    </w:p>
    <w:p>
      <w:pPr>
        <w:ind w:left="20"/>
        <w:spacing w:after="0" w:line="215" w:lineRule="auto"/>
        <w:rPr>
          <w:sz w:val="20"/>
          <w:szCs w:val="20"/>
          <w:color w:val="auto"/>
        </w:rPr>
      </w:pPr>
      <w:r>
        <w:rPr>
          <w:rFonts w:ascii="Times New Roman" w:cs="Times New Roman" w:eastAsia="Times New Roman" w:hAnsi="Times New Roman"/>
          <w:sz w:val="19"/>
          <w:szCs w:val="19"/>
          <w:color w:val="auto"/>
        </w:rPr>
        <w:t>Executive, other than Executive’s rights to payments hereunder, which inure to the benefit of Executive’s heirs and may be transferred only by will or operation of law. Notwithstanding the foregoing, Executive shall be entitled, to the extent permitted under applicable law and</w:t>
      </w:r>
    </w:p>
    <w:p>
      <w:pPr>
        <w:ind w:left="20" w:right="540"/>
        <w:spacing w:after="0" w:line="228" w:lineRule="auto"/>
        <w:rPr>
          <w:sz w:val="20"/>
          <w:szCs w:val="20"/>
          <w:color w:val="auto"/>
        </w:rPr>
      </w:pPr>
      <w:r>
        <w:rPr>
          <w:rFonts w:ascii="Times New Roman" w:cs="Times New Roman" w:eastAsia="Times New Roman" w:hAnsi="Times New Roman"/>
          <w:sz w:val="20"/>
          <w:szCs w:val="20"/>
          <w:color w:val="auto"/>
        </w:rPr>
        <w:t>applicable Company Arrangements, to select and change a beneficiary or beneficiaries to receive compensation hereunder following Executive’s death by giving written notice thereof to the Company.</w:t>
      </w:r>
    </w:p>
    <w:p>
      <w:pPr>
        <w:spacing w:after="0" w:line="172" w:lineRule="exact"/>
        <w:rPr>
          <w:sz w:val="20"/>
          <w:szCs w:val="20"/>
          <w:color w:val="auto"/>
        </w:rPr>
      </w:pPr>
    </w:p>
    <w:p>
      <w:pPr>
        <w:ind w:left="660" w:hanging="64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1220" w:hanging="555"/>
        <w:spacing w:after="0"/>
        <w:tabs>
          <w:tab w:leader="none" w:pos="12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188" w:lineRule="exact"/>
        <w:rPr>
          <w:rFonts w:ascii="Times New Roman" w:cs="Times New Roman" w:eastAsia="Times New Roman" w:hAnsi="Times New Roman"/>
          <w:sz w:val="20"/>
          <w:szCs w:val="20"/>
          <w:color w:val="auto"/>
        </w:rPr>
      </w:pPr>
    </w:p>
    <w:p>
      <w:pPr>
        <w:ind w:left="660" w:right="280" w:firstLine="654"/>
        <w:spacing w:after="0" w:line="215" w:lineRule="auto"/>
        <w:tabs>
          <w:tab w:leader="none" w:pos="1859" w:val="left"/>
        </w:tabs>
        <w:numPr>
          <w:ilvl w:val="3"/>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reasonable, good faith determination that Executive has refused to (A) substantially perform the duties associated with Executive’s position with the Company or</w:t>
      </w:r>
    </w:p>
    <w:p>
      <w:pPr>
        <w:spacing w:after="0" w:line="1" w:lineRule="exact"/>
        <w:rPr>
          <w:rFonts w:ascii="Times New Roman" w:cs="Times New Roman" w:eastAsia="Times New Roman" w:hAnsi="Times New Roman"/>
          <w:sz w:val="20"/>
          <w:szCs w:val="20"/>
          <w:color w:val="auto"/>
        </w:rPr>
      </w:pPr>
    </w:p>
    <w:p>
      <w:pPr>
        <w:ind w:left="660" w:right="340" w:firstLine="6"/>
        <w:spacing w:after="0" w:line="218" w:lineRule="auto"/>
        <w:tabs>
          <w:tab w:leader="none" w:pos="973"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the reasonable and lawful instructions of the Executive’s direct supervisor concerning duties or actions consistent with the Executive’s position with the Company, in each case, that, to the extent capable of cure, has remained uncured for a period of thirty (30) days following Executive’s receipt of written notice from the Company;</w:t>
      </w:r>
    </w:p>
    <w:p>
      <w:pPr>
        <w:spacing w:after="0" w:line="161" w:lineRule="exact"/>
        <w:rPr>
          <w:rFonts w:ascii="Times New Roman" w:cs="Times New Roman" w:eastAsia="Times New Roman" w:hAnsi="Times New Roman"/>
          <w:sz w:val="20"/>
          <w:szCs w:val="20"/>
          <w:color w:val="auto"/>
        </w:rPr>
      </w:pPr>
    </w:p>
    <w:p>
      <w:pPr>
        <w:ind w:left="660" w:right="520" w:firstLine="654"/>
        <w:spacing w:after="0"/>
        <w:tabs>
          <w:tab w:leader="none" w:pos="1860" w:val="left"/>
        </w:tabs>
        <w:numPr>
          <w:ilvl w:val="3"/>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breach of a material provision of this Agreement that, to the extent capable of cure, has remained uncured for a period of thirty (30) days following Executive’s receipt of written notice from the Company;</w:t>
      </w:r>
    </w:p>
    <w:p>
      <w:pPr>
        <w:spacing w:after="0" w:line="143" w:lineRule="exact"/>
        <w:rPr>
          <w:rFonts w:ascii="Times New Roman" w:cs="Times New Roman" w:eastAsia="Times New Roman" w:hAnsi="Times New Roman"/>
          <w:sz w:val="20"/>
          <w:szCs w:val="20"/>
          <w:color w:val="auto"/>
        </w:rPr>
      </w:pPr>
    </w:p>
    <w:p>
      <w:pPr>
        <w:ind w:left="660" w:right="280" w:firstLine="654"/>
        <w:spacing w:after="0" w:line="245" w:lineRule="auto"/>
        <w:tabs>
          <w:tab w:leader="none" w:pos="1861" w:val="left"/>
        </w:tabs>
        <w:numPr>
          <w:ilvl w:val="3"/>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or crime involving moral turpitude;</w:t>
      </w:r>
    </w:p>
    <w:p>
      <w:pPr>
        <w:spacing w:after="0" w:line="155" w:lineRule="exact"/>
        <w:rPr>
          <w:rFonts w:ascii="Times New Roman" w:cs="Times New Roman" w:eastAsia="Times New Roman" w:hAnsi="Times New Roman"/>
          <w:sz w:val="20"/>
          <w:szCs w:val="20"/>
          <w:color w:val="auto"/>
        </w:rPr>
      </w:pPr>
    </w:p>
    <w:p>
      <w:pPr>
        <w:ind w:left="660" w:right="340" w:firstLine="654"/>
        <w:spacing w:after="0" w:line="215" w:lineRule="auto"/>
        <w:tabs>
          <w:tab w:leader="none" w:pos="1864" w:val="left"/>
        </w:tabs>
        <w:numPr>
          <w:ilvl w:val="3"/>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unlawful use (including being under the influence) or possession of illegal drugs on the Company’s (or any of its affiliate’s) premises or while performing</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duties and responsibilities under this Agreement; or</w:t>
      </w:r>
    </w:p>
    <w:p>
      <w:pPr>
        <w:spacing w:after="0" w:line="166" w:lineRule="exact"/>
        <w:rPr>
          <w:rFonts w:ascii="Times New Roman" w:cs="Times New Roman" w:eastAsia="Times New Roman" w:hAnsi="Times New Roman"/>
          <w:sz w:val="20"/>
          <w:szCs w:val="20"/>
          <w:color w:val="auto"/>
        </w:rPr>
      </w:pPr>
    </w:p>
    <w:p>
      <w:pPr>
        <w:ind w:left="660" w:right="400" w:firstLine="654"/>
        <w:spacing w:after="0" w:line="233" w:lineRule="auto"/>
        <w:tabs>
          <w:tab w:leader="none" w:pos="1863" w:val="left"/>
        </w:tabs>
        <w:numPr>
          <w:ilvl w:val="3"/>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any act of fraud, embezzlement, misappropriation, willful misconduct, or breach of fiduciary duty against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40"/>
          </w:cols>
          <w:pgMar w:left="400" w:top="1440" w:right="459" w:bottom="1440" w:gutter="0" w:footer="0" w:header="0"/>
        </w:sectPr>
      </w:pPr>
    </w:p>
    <w:bookmarkStart w:id="172" w:name="page173"/>
    <w:bookmarkEnd w:id="172"/>
    <w:p>
      <w:pPr>
        <w:spacing w:after="0" w:line="189" w:lineRule="exact"/>
        <w:rPr>
          <w:sz w:val="20"/>
          <w:szCs w:val="20"/>
          <w:color w:val="auto"/>
        </w:rPr>
      </w:pPr>
    </w:p>
    <w:p>
      <w:pPr>
        <w:ind w:left="20" w:right="980" w:firstLine="645"/>
        <w:spacing w:after="0" w:line="233" w:lineRule="auto"/>
        <w:tabs>
          <w:tab w:leader="none" w:pos="122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have the meaning set forth in the Immuneering Corporation 2021 Incentive Award Plan, as in effect on the Effective Date.</w:t>
      </w:r>
    </w:p>
    <w:p>
      <w:pPr>
        <w:spacing w:after="0" w:line="160" w:lineRule="exact"/>
        <w:rPr>
          <w:rFonts w:ascii="Times New Roman" w:cs="Times New Roman" w:eastAsia="Times New Roman" w:hAnsi="Times New Roman"/>
          <w:sz w:val="20"/>
          <w:szCs w:val="20"/>
          <w:color w:val="auto"/>
        </w:rPr>
      </w:pPr>
    </w:p>
    <w:p>
      <w:pPr>
        <w:ind w:left="20" w:right="1240" w:firstLine="645"/>
        <w:spacing w:after="0"/>
        <w:tabs>
          <w:tab w:leader="none" w:pos="122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Internal Revenue Code of 1986, as amended, and the regulations and guidance promulgated thereunder.</w:t>
      </w:r>
    </w:p>
    <w:p>
      <w:pPr>
        <w:spacing w:after="0" w:line="147" w:lineRule="exact"/>
        <w:rPr>
          <w:rFonts w:ascii="Times New Roman" w:cs="Times New Roman" w:eastAsia="Times New Roman" w:hAnsi="Times New Roman"/>
          <w:sz w:val="20"/>
          <w:szCs w:val="20"/>
          <w:color w:val="auto"/>
        </w:rPr>
      </w:pPr>
    </w:p>
    <w:p>
      <w:pPr>
        <w:ind w:left="20" w:right="80" w:firstLine="645"/>
        <w:spacing w:after="0" w:line="230" w:lineRule="auto"/>
        <w:tabs>
          <w:tab w:leader="none" w:pos="122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48" w:lineRule="exact"/>
        <w:rPr>
          <w:rFonts w:ascii="Times New Roman" w:cs="Times New Roman" w:eastAsia="Times New Roman" w:hAnsi="Times New Roman"/>
          <w:sz w:val="20"/>
          <w:szCs w:val="20"/>
          <w:color w:val="auto"/>
        </w:rPr>
      </w:pPr>
    </w:p>
    <w:p>
      <w:pPr>
        <w:ind w:left="20" w:firstLine="645"/>
        <w:spacing w:after="0" w:line="209" w:lineRule="auto"/>
        <w:tabs>
          <w:tab w:leader="none" w:pos="122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 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w:t>
      </w:r>
    </w:p>
    <w:p>
      <w:pPr>
        <w:spacing w:after="0" w:line="6"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conclusive evidence of Executive’s Disability.</w:t>
      </w:r>
    </w:p>
    <w:p>
      <w:pPr>
        <w:spacing w:after="0" w:line="147" w:lineRule="exact"/>
        <w:rPr>
          <w:rFonts w:ascii="Times New Roman" w:cs="Times New Roman" w:eastAsia="Times New Roman" w:hAnsi="Times New Roman"/>
          <w:sz w:val="20"/>
          <w:szCs w:val="20"/>
          <w:color w:val="auto"/>
        </w:rPr>
      </w:pPr>
    </w:p>
    <w:p>
      <w:pPr>
        <w:ind w:left="1220" w:hanging="555"/>
        <w:spacing w:after="0"/>
        <w:tabs>
          <w:tab w:leader="none" w:pos="12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w:t>
      </w:r>
    </w:p>
    <w:p>
      <w:pPr>
        <w:ind w:left="20"/>
        <w:spacing w:after="0" w:line="197" w:lineRule="auto"/>
        <w:rPr>
          <w:sz w:val="20"/>
          <w:szCs w:val="20"/>
          <w:color w:val="auto"/>
        </w:rPr>
      </w:pPr>
      <w:r>
        <w:rPr>
          <w:rFonts w:ascii="Times New Roman" w:cs="Times New Roman" w:eastAsia="Times New Roman" w:hAnsi="Times New Roman"/>
          <w:sz w:val="20"/>
          <w:szCs w:val="20"/>
          <w:color w:val="auto"/>
        </w:rPr>
        <w:t>described above, Executive’s resignation will be with “Good Reason” if</w:t>
      </w:r>
    </w:p>
    <w:p>
      <w:pPr>
        <w:ind w:left="20"/>
        <w:spacing w:after="0" w:line="211" w:lineRule="auto"/>
        <w:rPr>
          <w:sz w:val="20"/>
          <w:szCs w:val="20"/>
          <w:color w:val="auto"/>
        </w:rPr>
      </w:pPr>
      <w:r>
        <w:rPr>
          <w:rFonts w:ascii="Times New Roman" w:cs="Times New Roman" w:eastAsia="Times New Roman" w:hAnsi="Times New Roman"/>
          <w:sz w:val="20"/>
          <w:szCs w:val="20"/>
          <w:color w:val="auto"/>
        </w:rPr>
        <w:t>Executive resigns within ninety (90) days after any of the following events, unless Executive consents in writing to the applicable event:</w:t>
      </w:r>
    </w:p>
    <w:p>
      <w:pPr>
        <w:spacing w:after="0" w:line="1" w:lineRule="exact"/>
        <w:rPr>
          <w:sz w:val="20"/>
          <w:szCs w:val="20"/>
          <w:color w:val="auto"/>
        </w:rPr>
      </w:pPr>
    </w:p>
    <w:p>
      <w:pPr>
        <w:ind w:left="20" w:right="60" w:hanging="2"/>
        <w:spacing w:after="0" w:line="212" w:lineRule="auto"/>
        <w:tabs>
          <w:tab w:leader="none" w:pos="25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Executive’s Annual Base Salary or Target Annual Bonus, (ii) a material decrease in Executive’s authority or areas of responsibility as are commensurate with Executive’s title or position with the Company, (iii) the relocation of Executive’s primary office to a location more than twenty-five (25) miles from the Executive’s primary office as of the date of this Agreement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71" w:lineRule="exact"/>
        <w:rPr>
          <w:sz w:val="20"/>
          <w:szCs w:val="20"/>
          <w:color w:val="auto"/>
        </w:rPr>
      </w:pPr>
    </w:p>
    <w:p>
      <w:pPr>
        <w:ind w:left="660" w:hanging="642"/>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20" w:right="40" w:firstLine="645"/>
        <w:spacing w:after="0" w:line="220" w:lineRule="auto"/>
        <w:tabs>
          <w:tab w:leader="none" w:pos="122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in part)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the Total Payments shall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20"/>
          </w:cols>
          <w:pgMar w:left="400" w:top="1440" w:right="479" w:bottom="1440" w:gutter="0" w:footer="0" w:header="0"/>
        </w:sectPr>
      </w:pPr>
    </w:p>
    <w:bookmarkStart w:id="173" w:name="page174"/>
    <w:bookmarkEnd w:id="173"/>
    <w:p>
      <w:pPr>
        <w:spacing w:after="0" w:line="189" w:lineRule="exact"/>
        <w:rPr>
          <w:sz w:val="20"/>
          <w:szCs w:val="20"/>
          <w:color w:val="auto"/>
        </w:rPr>
      </w:pPr>
    </w:p>
    <w:p>
      <w:pPr>
        <w:ind w:left="20"/>
        <w:spacing w:after="0" w:line="227" w:lineRule="auto"/>
        <w:rPr>
          <w:sz w:val="20"/>
          <w:szCs w:val="20"/>
          <w:color w:val="auto"/>
        </w:rPr>
      </w:pPr>
      <w:r>
        <w:rPr>
          <w:rFonts w:ascii="Times New Roman" w:cs="Times New Roman" w:eastAsia="Times New Roman" w:hAnsi="Times New Roman"/>
          <w:sz w:val="19"/>
          <w:szCs w:val="19"/>
          <w:color w:val="auto"/>
        </w:rPr>
        <w:t xml:space="preserve">(in the order provided in </w:t>
      </w:r>
      <w:r>
        <w:rPr>
          <w:rFonts w:ascii="Times New Roman" w:cs="Times New Roman" w:eastAsia="Times New Roman" w:hAnsi="Times New Roman"/>
          <w:sz w:val="19"/>
          <w:szCs w:val="19"/>
          <w:u w:val="single" w:color="auto"/>
          <w:color w:val="auto"/>
        </w:rPr>
        <w:t>Section 8(b)</w:t>
      </w:r>
      <w:r>
        <w:rPr>
          <w:rFonts w:ascii="Times New Roman" w:cs="Times New Roman" w:eastAsia="Times New Roman" w:hAnsi="Times New Roman"/>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w:t>
      </w:r>
    </w:p>
    <w:p>
      <w:pPr>
        <w:ind w:left="20"/>
        <w:spacing w:after="0" w:line="211" w:lineRule="auto"/>
        <w:rPr>
          <w:sz w:val="20"/>
          <w:szCs w:val="20"/>
          <w:color w:val="auto"/>
        </w:rPr>
      </w:pPr>
      <w:r>
        <w:rPr>
          <w:rFonts w:ascii="Times New Roman" w:cs="Times New Roman" w:eastAsia="Times New Roman" w:hAnsi="Times New Roman"/>
          <w:sz w:val="20"/>
          <w:szCs w:val="20"/>
          <w:color w:val="auto"/>
        </w:rPr>
        <w:t>and employment taxes on such reduced Total Payments and after taking into account the phase out of itemized deductions and personal</w:t>
      </w:r>
    </w:p>
    <w:p>
      <w:pPr>
        <w:spacing w:after="0" w:line="1" w:lineRule="exact"/>
        <w:rPr>
          <w:sz w:val="20"/>
          <w:szCs w:val="20"/>
          <w:color w:val="auto"/>
        </w:rPr>
      </w:pPr>
    </w:p>
    <w:p>
      <w:pPr>
        <w:ind w:left="20" w:right="120"/>
        <w:spacing w:after="0" w:line="215" w:lineRule="auto"/>
        <w:rPr>
          <w:sz w:val="20"/>
          <w:szCs w:val="20"/>
          <w:color w:val="auto"/>
        </w:rPr>
      </w:pPr>
      <w:r>
        <w:rPr>
          <w:rFonts w:ascii="Times New Roman" w:cs="Times New Roman" w:eastAsia="Times New Roman" w:hAnsi="Times New Roman"/>
          <w:sz w:val="19"/>
          <w:szCs w:val="19"/>
          <w:color w:val="auto"/>
        </w:rPr>
        <w:t>exemptions attributable to such reduced Total Payments), is greater than or equal to (ii) the net amount of such Total Payments without such reduction (but after subtracting the net amount of federal, state and local income and employment taxes on such Total Payments and</w:t>
      </w:r>
    </w:p>
    <w:p>
      <w:pPr>
        <w:ind w:left="20" w:right="480"/>
        <w:spacing w:after="0" w:line="228" w:lineRule="auto"/>
        <w:rPr>
          <w:sz w:val="20"/>
          <w:szCs w:val="20"/>
          <w:color w:val="auto"/>
        </w:rPr>
      </w:pPr>
      <w:r>
        <w:rPr>
          <w:rFonts w:ascii="Times New Roman" w:cs="Times New Roman" w:eastAsia="Times New Roman" w:hAnsi="Times New Roman"/>
          <w:sz w:val="20"/>
          <w:szCs w:val="20"/>
          <w:color w:val="auto"/>
        </w:rPr>
        <w:t>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49" w:lineRule="exact"/>
        <w:rPr>
          <w:sz w:val="20"/>
          <w:szCs w:val="20"/>
          <w:color w:val="auto"/>
        </w:rPr>
      </w:pPr>
    </w:p>
    <w:p>
      <w:pPr>
        <w:ind w:left="20" w:right="720" w:firstLine="645"/>
        <w:spacing w:after="0" w:line="222" w:lineRule="auto"/>
        <w:tabs>
          <w:tab w:leader="none" w:pos="122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Payments shall be reduced in the following order: (i) reduction on a pro rata basis of any cash severance payments that are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20" w:right="20" w:hanging="2"/>
        <w:spacing w:after="0" w:line="217" w:lineRule="auto"/>
        <w:tabs>
          <w:tab w:leader="none" w:pos="311"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w:t>
      </w:r>
    </w:p>
    <w:p>
      <w:pPr>
        <w:spacing w:after="0" w:line="1" w:lineRule="exact"/>
        <w:rPr>
          <w:rFonts w:ascii="Times New Roman" w:cs="Times New Roman" w:eastAsia="Times New Roman" w:hAnsi="Times New Roman"/>
          <w:sz w:val="19"/>
          <w:szCs w:val="19"/>
          <w:color w:val="auto"/>
        </w:rPr>
      </w:pPr>
    </w:p>
    <w:p>
      <w:pPr>
        <w:ind w:left="20" w:right="140" w:hanging="2"/>
        <w:spacing w:after="0" w:line="221" w:lineRule="auto"/>
        <w:tabs>
          <w:tab w:leader="none" w:pos="36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(iv), that reduction of any payments attributable to the acceleration of vesting of Company equity awards shall be first applied to Company equity awards that would otherwise vest last in time.</w:t>
      </w:r>
    </w:p>
    <w:p>
      <w:pPr>
        <w:spacing w:after="0" w:line="161" w:lineRule="exact"/>
        <w:rPr>
          <w:rFonts w:ascii="Times New Roman" w:cs="Times New Roman" w:eastAsia="Times New Roman" w:hAnsi="Times New Roman"/>
          <w:sz w:val="20"/>
          <w:szCs w:val="20"/>
          <w:color w:val="auto"/>
        </w:rPr>
      </w:pPr>
    </w:p>
    <w:p>
      <w:pPr>
        <w:ind w:left="20" w:firstLine="645"/>
        <w:spacing w:after="0" w:line="210" w:lineRule="auto"/>
        <w:tabs>
          <w:tab w:leader="none" w:pos="122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determinations regarding the application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For purposes of determinations, no portion of the Total Payments shall be taken into account which, in the opinion of the Independent Advisors, (i) does not constitute a “parachute payment” within the meaning of Section 280G(b)</w:t>
      </w:r>
    </w:p>
    <w:p>
      <w:pPr>
        <w:ind w:left="20" w:right="320"/>
        <w:spacing w:after="0" w:line="2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62" w:lineRule="exact"/>
        <w:rPr>
          <w:rFonts w:ascii="Times New Roman" w:cs="Times New Roman" w:eastAsia="Times New Roman" w:hAnsi="Times New Roman"/>
          <w:sz w:val="20"/>
          <w:szCs w:val="20"/>
          <w:color w:val="auto"/>
        </w:rPr>
      </w:pPr>
    </w:p>
    <w:p>
      <w:pPr>
        <w:ind w:left="20" w:right="220" w:firstLine="645"/>
        <w:spacing w:after="0"/>
        <w:tabs>
          <w:tab w:leader="none" w:pos="122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excess amount shall be returned promptly by Executive to the Company.</w:t>
      </w:r>
    </w:p>
    <w:p>
      <w:pPr>
        <w:spacing w:after="0" w:line="171" w:lineRule="exact"/>
        <w:rPr>
          <w:sz w:val="20"/>
          <w:szCs w:val="20"/>
          <w:color w:val="auto"/>
        </w:rPr>
      </w:pPr>
    </w:p>
    <w:p>
      <w:pPr>
        <w:ind w:left="660" w:hanging="642"/>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56" w:lineRule="exact"/>
        <w:rPr>
          <w:rFonts w:ascii="Times New Roman" w:cs="Times New Roman" w:eastAsia="Times New Roman" w:hAnsi="Times New Roman"/>
          <w:sz w:val="22"/>
          <w:szCs w:val="22"/>
          <w:b w:val="1"/>
          <w:bCs w:val="1"/>
          <w:color w:val="auto"/>
        </w:rPr>
      </w:pPr>
    </w:p>
    <w:p>
      <w:pPr>
        <w:ind w:left="20" w:right="120" w:firstLine="645"/>
        <w:spacing w:after="0" w:line="222" w:lineRule="auto"/>
        <w:tabs>
          <w:tab w:leader="none" w:pos="12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New York without reference to the principles of conflicts of law of the State of New York or any other jurisdiction that would result in the application of the laws of a jurisdiction other than the State of New York, and where applicable, the laws of the United States.</w:t>
      </w:r>
    </w:p>
    <w:p>
      <w:pPr>
        <w:spacing w:after="0" w:line="161" w:lineRule="exact"/>
        <w:rPr>
          <w:rFonts w:ascii="Times New Roman" w:cs="Times New Roman" w:eastAsia="Times New Roman" w:hAnsi="Times New Roman"/>
          <w:sz w:val="20"/>
          <w:szCs w:val="20"/>
          <w:color w:val="auto"/>
        </w:rPr>
      </w:pPr>
    </w:p>
    <w:p>
      <w:pPr>
        <w:ind w:left="20" w:right="300" w:firstLine="645"/>
        <w:spacing w:after="0" w:line="233" w:lineRule="auto"/>
        <w:tabs>
          <w:tab w:leader="none" w:pos="1222"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00"/>
          </w:cols>
          <w:pgMar w:left="400" w:top="1440" w:right="499" w:bottom="1440" w:gutter="0" w:footer="0" w:header="0"/>
        </w:sectPr>
      </w:pPr>
    </w:p>
    <w:bookmarkStart w:id="174" w:name="page175"/>
    <w:bookmarkEnd w:id="174"/>
    <w:p>
      <w:pPr>
        <w:spacing w:after="0" w:line="189" w:lineRule="exact"/>
        <w:rPr>
          <w:sz w:val="20"/>
          <w:szCs w:val="20"/>
          <w:color w:val="auto"/>
        </w:rPr>
      </w:pPr>
    </w:p>
    <w:p>
      <w:pPr>
        <w:ind w:left="20" w:right="860" w:firstLine="645"/>
        <w:spacing w:after="0" w:line="226" w:lineRule="auto"/>
        <w:tabs>
          <w:tab w:leader="none" w:pos="122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60"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Chief Legal Officer of the Company at the Company’s headquarters,</w:t>
      </w:r>
    </w:p>
    <w:p>
      <w:pPr>
        <w:spacing w:after="0" w:line="175"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188" w:lineRule="exact"/>
        <w:rPr>
          <w:rFonts w:ascii="Times New Roman" w:cs="Times New Roman" w:eastAsia="Times New Roman" w:hAnsi="Times New Roman"/>
          <w:sz w:val="20"/>
          <w:szCs w:val="20"/>
          <w:color w:val="auto"/>
        </w:rPr>
      </w:pPr>
    </w:p>
    <w:p>
      <w:pPr>
        <w:ind w:left="1860" w:hanging="546"/>
        <w:spacing w:after="0"/>
        <w:tabs>
          <w:tab w:leader="none" w:pos="1860"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188" w:lineRule="exact"/>
        <w:rPr>
          <w:rFonts w:ascii="Times New Roman" w:cs="Times New Roman" w:eastAsia="Times New Roman" w:hAnsi="Times New Roman"/>
          <w:sz w:val="20"/>
          <w:szCs w:val="20"/>
          <w:color w:val="auto"/>
        </w:rPr>
      </w:pPr>
    </w:p>
    <w:p>
      <w:pPr>
        <w:jc w:val="both"/>
        <w:ind w:left="20" w:right="180" w:firstLine="645"/>
        <w:spacing w:after="0" w:line="226" w:lineRule="auto"/>
        <w:tabs>
          <w:tab w:leader="none" w:pos="1222"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60" w:lineRule="exact"/>
        <w:rPr>
          <w:rFonts w:ascii="Times New Roman" w:cs="Times New Roman" w:eastAsia="Times New Roman" w:hAnsi="Times New Roman"/>
          <w:sz w:val="20"/>
          <w:szCs w:val="20"/>
          <w:color w:val="auto"/>
        </w:rPr>
      </w:pPr>
    </w:p>
    <w:p>
      <w:pPr>
        <w:ind w:left="20" w:right="80" w:firstLine="645"/>
        <w:spacing w:after="0" w:line="216" w:lineRule="auto"/>
        <w:tabs>
          <w:tab w:leader="none" w:pos="122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The terms of this Agreement, and the Restrictive Covenant Agreement incorporated herein by reference as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2" w:lineRule="exact"/>
        <w:rPr>
          <w:rFonts w:ascii="Times New Roman" w:cs="Times New Roman" w:eastAsia="Times New Roman" w:hAnsi="Times New Roman"/>
          <w:sz w:val="20"/>
          <w:szCs w:val="20"/>
          <w:color w:val="auto"/>
        </w:rPr>
      </w:pPr>
    </w:p>
    <w:p>
      <w:pPr>
        <w:ind w:left="20" w:right="160" w:firstLine="645"/>
        <w:spacing w:after="0" w:line="227" w:lineRule="auto"/>
        <w:tabs>
          <w:tab w:leader="none" w:pos="1216"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Waivers</w:t>
      </w:r>
      <w:r>
        <w:rPr>
          <w:rFonts w:ascii="Times New Roman" w:cs="Times New Roman" w:eastAsia="Times New Roman" w:hAnsi="Times New Roman"/>
          <w:sz w:val="19"/>
          <w:szCs w:val="19"/>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50" w:lineRule="exact"/>
        <w:rPr>
          <w:rFonts w:ascii="Times New Roman" w:cs="Times New Roman" w:eastAsia="Times New Roman" w:hAnsi="Times New Roman"/>
          <w:sz w:val="19"/>
          <w:szCs w:val="19"/>
          <w:color w:val="auto"/>
        </w:rPr>
      </w:pPr>
    </w:p>
    <w:p>
      <w:pPr>
        <w:ind w:left="20" w:firstLine="645"/>
        <w:spacing w:after="0" w:line="213" w:lineRule="auto"/>
        <w:tabs>
          <w:tab w:leader="none" w:pos="1222"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w:t>
      </w:r>
    </w:p>
    <w:p>
      <w:pPr>
        <w:ind w:left="20" w:right="10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includes the singular and the singular includes the plural; (ii) “and” and “or” are each used both conjunctively and disjunctively; (iii) “any,” “all,” “each,” or “every” means “any and all,” and “each and every”; (iv) “includes” and “including” are each “without limitation”;</w:t>
      </w:r>
    </w:p>
    <w:p>
      <w:pPr>
        <w:ind w:left="20" w:right="20" w:hanging="2"/>
        <w:spacing w:after="0" w:line="218" w:lineRule="auto"/>
        <w:tabs>
          <w:tab w:leader="none" w:pos="3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40"/>
          </w:cols>
          <w:pgMar w:left="400" w:top="1440" w:right="459" w:bottom="1440" w:gutter="0" w:footer="0" w:header="0"/>
        </w:sectPr>
      </w:pPr>
    </w:p>
    <w:bookmarkStart w:id="175" w:name="page176"/>
    <w:bookmarkEnd w:id="175"/>
    <w:p>
      <w:pPr>
        <w:spacing w:after="0" w:line="189" w:lineRule="exact"/>
        <w:rPr>
          <w:sz w:val="20"/>
          <w:szCs w:val="20"/>
          <w:color w:val="auto"/>
        </w:rPr>
      </w:pPr>
    </w:p>
    <w:p>
      <w:pPr>
        <w:ind w:left="20" w:right="80" w:firstLine="645"/>
        <w:spacing w:after="0" w:line="207" w:lineRule="auto"/>
        <w:tabs>
          <w:tab w:leader="none" w:pos="122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controversy, claim or dispute arising out of or relating to this Agreement, shall be settled solely and exclusively by a binding arbitration process administered by JAMS/Endispute in New York, New York.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w:t>
      </w:r>
    </w:p>
    <w:p>
      <w:pPr>
        <w:spacing w:after="0" w:line="7" w:lineRule="exact"/>
        <w:rPr>
          <w:rFonts w:ascii="Times New Roman" w:cs="Times New Roman" w:eastAsia="Times New Roman" w:hAnsi="Times New Roman"/>
          <w:sz w:val="20"/>
          <w:szCs w:val="20"/>
          <w:color w:val="auto"/>
        </w:rPr>
      </w:pPr>
    </w:p>
    <w:p>
      <w:pPr>
        <w:ind w:left="20"/>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Association (“</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46" w:lineRule="exact"/>
        <w:rPr>
          <w:rFonts w:ascii="Times New Roman" w:cs="Times New Roman" w:eastAsia="Times New Roman" w:hAnsi="Times New Roman"/>
          <w:sz w:val="20"/>
          <w:szCs w:val="20"/>
          <w:color w:val="auto"/>
        </w:rPr>
      </w:pPr>
    </w:p>
    <w:p>
      <w:pPr>
        <w:ind w:left="20" w:right="100" w:firstLine="645"/>
        <w:spacing w:after="0" w:line="215" w:lineRule="auto"/>
        <w:tabs>
          <w:tab w:leader="none" w:pos="121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4" w:lineRule="exact"/>
        <w:rPr>
          <w:rFonts w:ascii="Times New Roman" w:cs="Times New Roman" w:eastAsia="Times New Roman" w:hAnsi="Times New Roman"/>
          <w:sz w:val="20"/>
          <w:szCs w:val="20"/>
          <w:color w:val="auto"/>
        </w:rPr>
      </w:pPr>
    </w:p>
    <w:p>
      <w:pPr>
        <w:ind w:left="20" w:right="320" w:firstLine="645"/>
        <w:spacing w:after="0" w:line="226" w:lineRule="auto"/>
        <w:tabs>
          <w:tab w:leader="none" w:pos="121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60" w:lineRule="exact"/>
        <w:rPr>
          <w:rFonts w:ascii="Times New Roman" w:cs="Times New Roman" w:eastAsia="Times New Roman" w:hAnsi="Times New Roman"/>
          <w:sz w:val="20"/>
          <w:szCs w:val="20"/>
          <w:color w:val="auto"/>
        </w:rPr>
      </w:pPr>
    </w:p>
    <w:p>
      <w:pPr>
        <w:ind w:left="1300" w:hanging="634"/>
        <w:spacing w:after="0"/>
        <w:tabs>
          <w:tab w:leader="none" w:pos="13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left="660" w:right="620" w:firstLine="654"/>
        <w:spacing w:after="0" w:line="232" w:lineRule="auto"/>
        <w:tabs>
          <w:tab w:leader="none" w:pos="1859"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w:t>
      </w:r>
    </w:p>
    <w:p>
      <w:pPr>
        <w:spacing w:after="0" w:line="143" w:lineRule="exact"/>
        <w:rPr>
          <w:rFonts w:ascii="Times New Roman" w:cs="Times New Roman" w:eastAsia="Times New Roman" w:hAnsi="Times New Roman"/>
          <w:sz w:val="20"/>
          <w:szCs w:val="20"/>
          <w:color w:val="auto"/>
        </w:rPr>
      </w:pPr>
    </w:p>
    <w:p>
      <w:pPr>
        <w:ind w:left="660" w:right="20" w:firstLine="654"/>
        <w:spacing w:after="0" w:line="215" w:lineRule="auto"/>
        <w:tabs>
          <w:tab w:leader="none" w:pos="18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any compensation or benefits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payable under this Agreement that is designated under this Agreement as payable upon Executive’s termination of employment shall be payable only upon</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“separation from service” with the Company within the meaning of Section 409A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40"/>
          </w:cols>
          <w:pgMar w:left="400" w:top="1440" w:right="459" w:bottom="1440" w:gutter="0" w:footer="0" w:header="0"/>
        </w:sectPr>
      </w:pPr>
    </w:p>
    <w:bookmarkStart w:id="176" w:name="page177"/>
    <w:bookmarkEnd w:id="176"/>
    <w:p>
      <w:pPr>
        <w:spacing w:after="0" w:line="189" w:lineRule="exact"/>
        <w:rPr>
          <w:sz w:val="20"/>
          <w:szCs w:val="20"/>
          <w:color w:val="auto"/>
        </w:rPr>
      </w:pPr>
    </w:p>
    <w:p>
      <w:pPr>
        <w:ind w:left="660" w:right="160"/>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Separation from Service</w:t>
      </w:r>
      <w:r>
        <w:rPr>
          <w:rFonts w:ascii="Times New Roman" w:cs="Times New Roman" w:eastAsia="Times New Roman" w:hAnsi="Times New Roman"/>
          <w:sz w:val="19"/>
          <w:szCs w:val="19"/>
          <w:color w:val="auto"/>
        </w:rPr>
        <w:t xml:space="preserve">”) and, except as provided below, any such compensation or benefits described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shall not be paid, or, in the case of installments, shall not commence payment, until the thirtieth (30th) day following Executive’s Separation</w:t>
      </w:r>
    </w:p>
    <w:p>
      <w:pPr>
        <w:ind w:left="660"/>
        <w:spacing w:after="0" w:line="222" w:lineRule="auto"/>
        <w:rPr>
          <w:sz w:val="20"/>
          <w:szCs w:val="20"/>
          <w:color w:val="auto"/>
        </w:rPr>
      </w:pPr>
      <w:r>
        <w:rPr>
          <w:rFonts w:ascii="Times New Roman" w:cs="Times New Roman" w:eastAsia="Times New Roman" w:hAnsi="Times New Roman"/>
          <w:sz w:val="19"/>
          <w:szCs w:val="19"/>
          <w:color w:val="auto"/>
        </w:rPr>
        <w:t>from Service (the “</w:t>
      </w:r>
      <w:r>
        <w:rPr>
          <w:rFonts w:ascii="Times New Roman" w:cs="Times New Roman" w:eastAsia="Times New Roman" w:hAnsi="Times New Roman"/>
          <w:sz w:val="19"/>
          <w:szCs w:val="19"/>
          <w:u w:val="single" w:color="auto"/>
          <w:color w:val="auto"/>
        </w:rPr>
        <w:t>First Payment Date</w:t>
      </w:r>
      <w:r>
        <w:rPr>
          <w:rFonts w:ascii="Times New Roman" w:cs="Times New Roman" w:eastAsia="Times New Roman" w:hAnsi="Times New Roman"/>
          <w:sz w:val="19"/>
          <w:szCs w:val="19"/>
          <w:color w:val="auto"/>
        </w:rPr>
        <w:t>”). Any installment payments that would have been made to Executive during the thirty (30)</w:t>
      </w:r>
    </w:p>
    <w:p>
      <w:pPr>
        <w:spacing w:after="0" w:line="1" w:lineRule="exact"/>
        <w:rPr>
          <w:sz w:val="20"/>
          <w:szCs w:val="20"/>
          <w:color w:val="auto"/>
        </w:rPr>
      </w:pPr>
    </w:p>
    <w:p>
      <w:pPr>
        <w:ind w:left="660" w:right="180"/>
        <w:spacing w:after="0" w:line="221" w:lineRule="auto"/>
        <w:rPr>
          <w:sz w:val="20"/>
          <w:szCs w:val="20"/>
          <w:color w:val="auto"/>
        </w:rPr>
      </w:pPr>
      <w:r>
        <w:rPr>
          <w:rFonts w:ascii="Times New Roman" w:cs="Times New Roman" w:eastAsia="Times New Roman" w:hAnsi="Times New Roman"/>
          <w:sz w:val="20"/>
          <w:szCs w:val="20"/>
          <w:color w:val="auto"/>
        </w:rPr>
        <w:t>day period immediately following Executive’s Separation from Service but for the preceding sentence shall be paid to Executive on the First Payment Date and the remaining payments shall be made as provided in this Agreement.</w:t>
      </w:r>
    </w:p>
    <w:p>
      <w:pPr>
        <w:spacing w:after="0" w:line="158" w:lineRule="exact"/>
        <w:rPr>
          <w:sz w:val="20"/>
          <w:szCs w:val="20"/>
          <w:color w:val="auto"/>
        </w:rPr>
      </w:pPr>
    </w:p>
    <w:p>
      <w:pPr>
        <w:jc w:val="both"/>
        <w:ind w:left="660" w:right="280" w:firstLine="654"/>
        <w:spacing w:after="0" w:line="214" w:lineRule="auto"/>
        <w:tabs>
          <w:tab w:leader="none" w:pos="1861"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w:t>
      </w:r>
    </w:p>
    <w:p>
      <w:pPr>
        <w:spacing w:after="0" w:line="2" w:lineRule="exact"/>
        <w:rPr>
          <w:rFonts w:ascii="Times New Roman" w:cs="Times New Roman" w:eastAsia="Times New Roman" w:hAnsi="Times New Roman"/>
          <w:sz w:val="20"/>
          <w:szCs w:val="20"/>
          <w:color w:val="auto"/>
        </w:rPr>
      </w:pPr>
    </w:p>
    <w:p>
      <w:pPr>
        <w:ind w:left="660" w:right="200"/>
        <w:spacing w:after="0" w:line="2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benefits shall not be provided to Executive prior to the earlier of (i) the expiration of the six-month period measured from the date of Executive’s Separation from Service with the Company or (ii) the date of Executive’s death. Upon the first business day following the</w:t>
      </w:r>
    </w:p>
    <w:p>
      <w:pPr>
        <w:spacing w:after="0" w:line="1" w:lineRule="exact"/>
        <w:rPr>
          <w:rFonts w:ascii="Times New Roman" w:cs="Times New Roman" w:eastAsia="Times New Roman" w:hAnsi="Times New Roman"/>
          <w:sz w:val="20"/>
          <w:szCs w:val="20"/>
          <w:color w:val="auto"/>
        </w:rPr>
      </w:pPr>
    </w:p>
    <w:p>
      <w:pPr>
        <w:ind w:left="660" w:right="60"/>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7" w:lineRule="exact"/>
        <w:rPr>
          <w:rFonts w:ascii="Times New Roman" w:cs="Times New Roman" w:eastAsia="Times New Roman" w:hAnsi="Times New Roman"/>
          <w:sz w:val="20"/>
          <w:szCs w:val="20"/>
          <w:color w:val="auto"/>
        </w:rPr>
      </w:pPr>
    </w:p>
    <w:p>
      <w:pPr>
        <w:ind w:left="660" w:right="100" w:firstLine="654"/>
        <w:spacing w:after="0" w:line="217" w:lineRule="auto"/>
        <w:tabs>
          <w:tab w:leader="none" w:pos="186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42" w:lineRule="exact"/>
        <w:rPr>
          <w:rFonts w:ascii="Times New Roman" w:cs="Times New Roman" w:eastAsia="Times New Roman" w:hAnsi="Times New Roman"/>
          <w:sz w:val="20"/>
          <w:szCs w:val="20"/>
          <w:color w:val="auto"/>
        </w:rPr>
      </w:pPr>
    </w:p>
    <w:p>
      <w:pPr>
        <w:ind w:left="660" w:right="20" w:firstLine="654"/>
        <w:spacing w:after="0" w:line="232" w:lineRule="auto"/>
        <w:tabs>
          <w:tab w:leader="none" w:pos="1863"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Installments. </w:t>
      </w:r>
      <w:r>
        <w:rPr>
          <w:rFonts w:ascii="Times New Roman" w:cs="Times New Roman" w:eastAsia="Times New Roman" w:hAnsi="Times New Roman"/>
          <w:sz w:val="19"/>
          <w:szCs w:val="19"/>
          <w:color w:val="auto"/>
        </w:rPr>
        <w:t>Executive’s right to receive any installment payments under this Agreement, including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72" w:lineRule="exact"/>
        <w:rPr>
          <w:rFonts w:ascii="Times New Roman" w:cs="Times New Roman" w:eastAsia="Times New Roman" w:hAnsi="Times New Roman"/>
          <w:sz w:val="19"/>
          <w:szCs w:val="19"/>
          <w:color w:val="auto"/>
        </w:rPr>
      </w:pPr>
    </w:p>
    <w:p>
      <w:pPr>
        <w:ind w:left="660" w:hanging="642"/>
        <w:spacing w:after="0"/>
        <w:tabs>
          <w:tab w:leader="none" w:pos="6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56" w:lineRule="exact"/>
        <w:rPr>
          <w:sz w:val="20"/>
          <w:szCs w:val="20"/>
          <w:color w:val="auto"/>
        </w:rPr>
      </w:pPr>
    </w:p>
    <w:p>
      <w:pPr>
        <w:ind w:left="20" w:right="140" w:firstLine="647"/>
        <w:spacing w:after="0" w:line="21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Executive’s own judgment.</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20"/>
          </w:cols>
          <w:pgMar w:left="400" w:top="1440"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149860</wp:posOffset>
            </wp:positionV>
            <wp:extent cx="1294130" cy="402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ectPr>
          <w:pgSz w:w="11900" w:h="16838" w:orient="portrait"/>
          <w:cols w:equalWidth="0" w:num="1">
            <w:col w:w="9399"/>
          </w:cols>
          <w:pgMar w:left="1060" w:top="1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IMMUNEERING CORPORATION</w:t>
      </w:r>
    </w:p>
    <w:p>
      <w:pPr>
        <w:spacing w:after="0" w:line="193" w:lineRule="exact"/>
        <w:rPr>
          <w:sz w:val="20"/>
          <w:szCs w:val="20"/>
          <w:color w:val="auto"/>
        </w:rPr>
      </w:pPr>
    </w:p>
    <w:p>
      <w:pPr>
        <w:ind w:left="2600"/>
        <w:spacing w:after="0"/>
        <w:tabs>
          <w:tab w:leader="none" w:pos="33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 Benjamin Zeskind 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-3810</wp:posOffset>
            </wp:positionV>
            <wp:extent cx="251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321310</wp:posOffset>
            </wp:positionV>
            <wp:extent cx="1482725" cy="402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14827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8255</wp:posOffset>
            </wp:positionV>
            <wp:extent cx="1680210" cy="4629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1680210" cy="462915"/>
                    </a:xfrm>
                    <a:prstGeom prst="rect">
                      <a:avLst/>
                    </a:prstGeom>
                    <a:noFill/>
                  </pic:spPr>
                </pic:pic>
              </a:graphicData>
            </a:graphic>
          </wp:anchor>
        </w:drawing>
      </w:r>
    </w:p>
    <w:p>
      <w:pPr>
        <w:sectPr>
          <w:pgSz w:w="11900" w:h="16838" w:orient="portrait"/>
          <w:cols w:equalWidth="0" w:num="1">
            <w:col w:w="9399"/>
          </w:cols>
          <w:pgMar w:left="1060" w:top="13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i w:val="1"/>
          <w:iCs w:val="1"/>
          <w:color w:val="auto"/>
        </w:rPr>
        <w:t>[Signature Page to Employment Agreement]</w:t>
      </w:r>
    </w:p>
    <w:p>
      <w:pPr>
        <w:sectPr>
          <w:pgSz w:w="11900" w:h="16838" w:orient="portrait"/>
          <w:cols w:equalWidth="0" w:num="1">
            <w:col w:w="9399"/>
          </w:cols>
          <w:pgMar w:left="1060" w:top="1386" w:right="1440" w:bottom="1440" w:gutter="0" w:footer="0" w:header="0"/>
          <w:type w:val="continuous"/>
        </w:sectPr>
      </w:pPr>
    </w:p>
    <w:bookmarkStart w:id="178" w:name="page179"/>
    <w:bookmarkEnd w:id="178"/>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179" w:lineRule="exact"/>
        <w:rPr>
          <w:sz w:val="20"/>
          <w:szCs w:val="20"/>
          <w:color w:val="auto"/>
        </w:rPr>
      </w:pPr>
    </w:p>
    <w:p>
      <w:pPr>
        <w:ind w:right="220" w:firstLine="647"/>
        <w:spacing w:after="0" w:line="244" w:lineRule="auto"/>
        <w:rPr>
          <w:sz w:val="20"/>
          <w:szCs w:val="20"/>
          <w:color w:val="auto"/>
        </w:rPr>
      </w:pPr>
      <w:r>
        <w:rPr>
          <w:rFonts w:ascii="Times New Roman" w:cs="Times New Roman" w:eastAsia="Times New Roman" w:hAnsi="Times New Roman"/>
          <w:sz w:val="19"/>
          <w:szCs w:val="19"/>
          <w:color w:val="auto"/>
        </w:rPr>
        <w:t>This Separation Agreement and Release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by and between Harold E. Brakewood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Immuneering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(collectively referred to as the “Parties” or individually referred to as a “Party”). Capitalized terms used but not defined in this Agreement shall have the meanings set forth in the Employment Agreement (as defined below).</w:t>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March 24, 2023 (the</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and that certain Employee Proprietary Information and Inventions Assignment Agreement, dated as of March</w:t>
      </w:r>
    </w:p>
    <w:p>
      <w:pPr>
        <w:spacing w:after="0"/>
        <w:rPr>
          <w:sz w:val="20"/>
          <w:szCs w:val="20"/>
          <w:color w:val="auto"/>
        </w:rPr>
      </w:pPr>
      <w:r>
        <w:rPr>
          <w:rFonts w:ascii="Times New Roman" w:cs="Times New Roman" w:eastAsia="Times New Roman" w:hAnsi="Times New Roman"/>
          <w:sz w:val="20"/>
          <w:szCs w:val="20"/>
          <w:color w:val="auto"/>
        </w:rPr>
        <w:t>24, 2023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and</w:t>
      </w:r>
    </w:p>
    <w:p>
      <w:pPr>
        <w:spacing w:after="0" w:line="45" w:lineRule="exact"/>
        <w:rPr>
          <w:sz w:val="20"/>
          <w:szCs w:val="20"/>
          <w:color w:val="auto"/>
        </w:rPr>
      </w:pPr>
    </w:p>
    <w:p>
      <w:pPr>
        <w:ind w:right="120" w:firstLine="647"/>
        <w:spacing w:after="0" w:line="222"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 20 , the Parties wish to resolve any and all disputes, claims, complaints, grievances, charges, actions, petitions,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-6350</wp:posOffset>
            </wp:positionV>
            <wp:extent cx="125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-6350</wp:posOffset>
            </wp:positionV>
            <wp:extent cx="31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right="220"/>
        <w:spacing w:after="0" w:line="215" w:lineRule="auto"/>
        <w:rPr>
          <w:sz w:val="20"/>
          <w:szCs w:val="20"/>
          <w:color w:val="auto"/>
        </w:rPr>
      </w:pPr>
      <w:r>
        <w:rPr>
          <w:rFonts w:ascii="Times New Roman" w:cs="Times New Roman" w:eastAsia="Times New Roman" w:hAnsi="Times New Roman"/>
          <w:sz w:val="19"/>
          <w:szCs w:val="19"/>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w:t>
      </w:r>
    </w:p>
    <w:p>
      <w:pPr>
        <w:spacing w:after="0" w:line="211" w:lineRule="auto"/>
        <w:rPr>
          <w:sz w:val="20"/>
          <w:szCs w:val="20"/>
          <w:color w:val="auto"/>
        </w:rPr>
      </w:pPr>
      <w:r>
        <w:rPr>
          <w:rFonts w:ascii="Times New Roman" w:cs="Times New Roman" w:eastAsia="Times New Roman" w:hAnsi="Times New Roman"/>
          <w:sz w:val="20"/>
          <w:szCs w:val="20"/>
          <w:color w:val="auto"/>
        </w:rPr>
        <w:t>affiliates but, for the avoidance of doubt, nothing herein will be deemed to release any rights or remedies in connection with Executive’s</w:t>
      </w:r>
    </w:p>
    <w:p>
      <w:pPr>
        <w:ind w:right="300"/>
        <w:spacing w:after="0" w:line="221" w:lineRule="auto"/>
        <w:rPr>
          <w:sz w:val="20"/>
          <w:szCs w:val="20"/>
          <w:color w:val="auto"/>
        </w:rPr>
      </w:pPr>
      <w:r>
        <w:rPr>
          <w:rFonts w:ascii="Times New Roman" w:cs="Times New Roman" w:eastAsia="Times New Roman" w:hAnsi="Times New Roman"/>
          <w:sz w:val="20"/>
          <w:szCs w:val="20"/>
          <w:color w:val="auto"/>
        </w:rPr>
        <w:t>ownership of vested equity securities of the Company, vested benefits or Executive’s right to indemnification by the Company or any of its affiliates (collectively, the “</w:t>
      </w:r>
      <w:r>
        <w:rPr>
          <w:rFonts w:ascii="Times New Roman" w:cs="Times New Roman" w:eastAsia="Times New Roman" w:hAnsi="Times New Roman"/>
          <w:sz w:val="20"/>
          <w:szCs w:val="20"/>
          <w:u w:val="single" w:color="auto"/>
          <w:color w:val="auto"/>
        </w:rPr>
        <w:t>Retained Claims</w:t>
      </w: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right="820" w:firstLine="647"/>
        <w:spacing w:after="0" w:line="215"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w:t>
      </w:r>
    </w:p>
    <w:p>
      <w:pPr>
        <w:spacing w:after="0" w:line="224" w:lineRule="auto"/>
        <w:rPr>
          <w:sz w:val="20"/>
          <w:szCs w:val="20"/>
          <w:color w:val="auto"/>
        </w:rPr>
      </w:pPr>
      <w:r>
        <w:rPr>
          <w:rFonts w:ascii="Times New Roman" w:cs="Times New Roman" w:eastAsia="Times New Roman" w:hAnsi="Times New Roman"/>
          <w:sz w:val="19"/>
          <w:szCs w:val="19"/>
          <w:color w:val="auto"/>
        </w:rPr>
        <w:t>conditioned on Executive’s execution and non-revocation of this Agreement, and in consideration of the mutual promises made herein, the</w:t>
      </w:r>
    </w:p>
    <w:p>
      <w:pPr>
        <w:spacing w:after="0"/>
        <w:rPr>
          <w:sz w:val="20"/>
          <w:szCs w:val="20"/>
          <w:color w:val="auto"/>
        </w:rPr>
      </w:pPr>
      <w:r>
        <w:rPr>
          <w:rFonts w:ascii="Times New Roman" w:cs="Times New Roman" w:eastAsia="Times New Roman" w:hAnsi="Times New Roman"/>
          <w:sz w:val="20"/>
          <w:szCs w:val="20"/>
          <w:color w:val="auto"/>
        </w:rPr>
        <w:t>Company and Executive hereby agree as follows:</w:t>
      </w:r>
    </w:p>
    <w:p>
      <w:pPr>
        <w:spacing w:after="0" w:line="45" w:lineRule="exact"/>
        <w:rPr>
          <w:sz w:val="20"/>
          <w:szCs w:val="20"/>
          <w:color w:val="auto"/>
        </w:rPr>
      </w:pPr>
    </w:p>
    <w:p>
      <w:pPr>
        <w:ind w:right="140" w:firstLine="645"/>
        <w:spacing w:after="0" w:line="220" w:lineRule="auto"/>
        <w:tabs>
          <w:tab w:leader="none" w:pos="12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cs="Times New Roman" w:eastAsia="Times New Roman" w:hAnsi="Times New Roman"/>
          <w:sz w:val="20"/>
          <w:szCs w:val="20"/>
          <w:u w:val="single" w:color="auto"/>
          <w:color w:val="auto"/>
        </w:rPr>
        <w:t>3(c)</w:t>
      </w:r>
      <w:r>
        <w:rPr>
          <w:rFonts w:ascii="Times New Roman" w:cs="Times New Roman" w:eastAsia="Times New Roman" w:hAnsi="Times New Roman"/>
          <w:sz w:val="20"/>
          <w:szCs w:val="20"/>
          <w:color w:val="auto"/>
        </w:rPr>
        <w:t xml:space="preserve"> of the Employment Agreement, subject to and in accordance with the terms thereof.</w:t>
      </w:r>
    </w:p>
    <w:p>
      <w:pPr>
        <w:spacing w:after="0" w:line="160" w:lineRule="exact"/>
        <w:rPr>
          <w:rFonts w:ascii="Times New Roman" w:cs="Times New Roman" w:eastAsia="Times New Roman" w:hAnsi="Times New Roman"/>
          <w:sz w:val="20"/>
          <w:szCs w:val="20"/>
          <w:color w:val="auto"/>
        </w:rPr>
      </w:pPr>
    </w:p>
    <w:p>
      <w:pPr>
        <w:ind w:right="120" w:firstLine="645"/>
        <w:spacing w:after="0" w:line="210" w:lineRule="auto"/>
        <w:tabs>
          <w:tab w:leader="none" w:pos="12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ectPr>
          <w:pgSz w:w="11900" w:h="16838" w:orient="portrait"/>
          <w:cols w:equalWidth="0" w:num="1">
            <w:col w:w="11060"/>
          </w:cols>
          <w:pgMar w:left="420" w:top="1440" w:right="419" w:bottom="1440" w:gutter="0" w:footer="0" w:header="0"/>
        </w:sectPr>
      </w:pPr>
    </w:p>
    <w:bookmarkStart w:id="179" w:name="page180"/>
    <w:bookmarkEnd w:id="179"/>
    <w:p>
      <w:pPr>
        <w:spacing w:after="0" w:line="216" w:lineRule="exact"/>
        <w:rPr>
          <w:sz w:val="20"/>
          <w:szCs w:val="20"/>
          <w:color w:val="auto"/>
        </w:rPr>
      </w:pPr>
    </w:p>
    <w:p>
      <w:pPr>
        <w:ind w:right="60" w:firstLine="1293"/>
        <w:spacing w:after="0"/>
        <w:tabs>
          <w:tab w:leader="none" w:pos="185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47" w:lineRule="exact"/>
        <w:rPr>
          <w:rFonts w:ascii="Times New Roman" w:cs="Times New Roman" w:eastAsia="Times New Roman" w:hAnsi="Times New Roman"/>
          <w:sz w:val="20"/>
          <w:szCs w:val="20"/>
          <w:color w:val="auto"/>
        </w:rPr>
      </w:pPr>
    </w:p>
    <w:p>
      <w:pPr>
        <w:ind w:right="160" w:firstLine="1293"/>
        <w:spacing w:after="0" w:line="244" w:lineRule="auto"/>
        <w:tabs>
          <w:tab w:leader="none" w:pos="185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43" w:lineRule="exact"/>
        <w:rPr>
          <w:rFonts w:ascii="Times New Roman" w:cs="Times New Roman" w:eastAsia="Times New Roman" w:hAnsi="Times New Roman"/>
          <w:sz w:val="19"/>
          <w:szCs w:val="19"/>
          <w:color w:val="auto"/>
        </w:rPr>
      </w:pPr>
    </w:p>
    <w:p>
      <w:pPr>
        <w:ind w:firstLine="1293"/>
        <w:spacing w:after="0" w:line="231" w:lineRule="auto"/>
        <w:tabs>
          <w:tab w:leader="none" w:pos="185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3" w:lineRule="exact"/>
        <w:rPr>
          <w:rFonts w:ascii="Times New Roman" w:cs="Times New Roman" w:eastAsia="Times New Roman" w:hAnsi="Times New Roman"/>
          <w:sz w:val="19"/>
          <w:szCs w:val="19"/>
          <w:color w:val="auto"/>
        </w:rPr>
      </w:pPr>
    </w:p>
    <w:p>
      <w:pPr>
        <w:ind w:right="80" w:firstLine="1293"/>
        <w:spacing w:after="0" w:line="217" w:lineRule="auto"/>
        <w:tabs>
          <w:tab w:leader="none" w:pos="185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61" w:lineRule="exact"/>
        <w:rPr>
          <w:rFonts w:ascii="Times New Roman" w:cs="Times New Roman" w:eastAsia="Times New Roman" w:hAnsi="Times New Roman"/>
          <w:sz w:val="20"/>
          <w:szCs w:val="20"/>
          <w:color w:val="auto"/>
        </w:rPr>
      </w:pPr>
    </w:p>
    <w:p>
      <w:pPr>
        <w:ind w:left="1940" w:hanging="64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169" w:lineRule="exact"/>
        <w:rPr>
          <w:rFonts w:ascii="Times New Roman" w:cs="Times New Roman" w:eastAsia="Times New Roman" w:hAnsi="Times New Roman"/>
          <w:sz w:val="20"/>
          <w:szCs w:val="20"/>
          <w:color w:val="auto"/>
        </w:rPr>
      </w:pPr>
    </w:p>
    <w:p>
      <w:pPr>
        <w:ind w:left="1840" w:hanging="547"/>
        <w:spacing w:after="0"/>
        <w:tabs>
          <w:tab w:leader="none" w:pos="18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discrimination;</w:t>
      </w:r>
    </w:p>
    <w:p>
      <w:pPr>
        <w:spacing w:after="0" w:line="166" w:lineRule="exact"/>
        <w:rPr>
          <w:rFonts w:ascii="Times New Roman" w:cs="Times New Roman" w:eastAsia="Times New Roman" w:hAnsi="Times New Roman"/>
          <w:sz w:val="20"/>
          <w:szCs w:val="20"/>
          <w:color w:val="auto"/>
        </w:rPr>
      </w:pPr>
    </w:p>
    <w:p>
      <w:pPr>
        <w:ind w:right="240" w:firstLine="1293"/>
        <w:spacing w:after="0"/>
        <w:tabs>
          <w:tab w:leader="none" w:pos="185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47" w:lineRule="exact"/>
        <w:rPr>
          <w:rFonts w:ascii="Times New Roman" w:cs="Times New Roman" w:eastAsia="Times New Roman" w:hAnsi="Times New Roman"/>
          <w:sz w:val="20"/>
          <w:szCs w:val="20"/>
          <w:color w:val="auto"/>
        </w:rPr>
      </w:pPr>
    </w:p>
    <w:p>
      <w:pPr>
        <w:ind w:right="120" w:firstLine="1293"/>
        <w:spacing w:after="0" w:line="226" w:lineRule="auto"/>
        <w:tabs>
          <w:tab w:leader="none" w:pos="185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60" w:lineRule="exact"/>
        <w:rPr>
          <w:rFonts w:ascii="Times New Roman" w:cs="Times New Roman" w:eastAsia="Times New Roman" w:hAnsi="Times New Roman"/>
          <w:sz w:val="20"/>
          <w:szCs w:val="20"/>
          <w:color w:val="auto"/>
        </w:rPr>
      </w:pPr>
    </w:p>
    <w:p>
      <w:pPr>
        <w:ind w:left="1940" w:hanging="64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189"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 matters released. This release does not release claims that cannot be</w:t>
      </w:r>
    </w:p>
    <w:p>
      <w:pPr>
        <w:spacing w:after="0" w:line="1"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9"/>
          <w:szCs w:val="19"/>
          <w:color w:val="auto"/>
        </w:rPr>
        <w:t>released as a matter of law, including, but not limited to, Executive’s right to report possible violations of federal law or regulation to any governmental agency or entity in accordance with the provisions of and rules promulgated under Section 21F of the Securities Exchange</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Act of 1934 or Section 806 of the Sarbanes-Oxley Act of 2002, or any other whistleblower protection provisions of state or federal law or regulation and any right to receive an award for information provided thereunder, Executive’s right to file a charge with or participate in a</w:t>
      </w:r>
    </w:p>
    <w:p>
      <w:pPr>
        <w:ind w:right="40"/>
        <w:spacing w:after="0" w:line="228" w:lineRule="auto"/>
        <w:rPr>
          <w:sz w:val="20"/>
          <w:szCs w:val="20"/>
          <w:color w:val="auto"/>
        </w:rPr>
      </w:pPr>
      <w:r>
        <w:rPr>
          <w:rFonts w:ascii="Times New Roman" w:cs="Times New Roman" w:eastAsia="Times New Roman" w:hAnsi="Times New Roman"/>
          <w:sz w:val="20"/>
          <w:szCs w:val="20"/>
          <w:color w:val="auto"/>
        </w:rPr>
        <w:t>charge by the Equal Employment Opportunity Commission, or any other local, state, or federal administrative body or government agency that is authorized to enforce or</w:t>
      </w:r>
    </w:p>
    <w:p>
      <w:pPr>
        <w:sectPr>
          <w:pgSz w:w="11900" w:h="16838" w:orient="portrait"/>
          <w:cols w:equalWidth="0" w:num="1">
            <w:col w:w="11000"/>
          </w:cols>
          <w:pgMar w:left="420" w:top="1440" w:right="479" w:bottom="1440" w:gutter="0" w:footer="0" w:header="0"/>
        </w:sectPr>
      </w:pPr>
    </w:p>
    <w:bookmarkStart w:id="180" w:name="page181"/>
    <w:bookmarkEnd w:id="180"/>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administer laws related to employment, against the Company for discrimination (with the understanding that Executive’s release of claims</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herein bars Executive from recovering such monetary relief from the Company or any Releasee for any alleged discriminatory treatment), claims for unemployment compensation or any state disability insurance benefits pursuant to the terms of applicable state law,</w:t>
      </w:r>
    </w:p>
    <w:p>
      <w:pPr>
        <w:ind w:right="40"/>
        <w:spacing w:after="0" w:line="204" w:lineRule="auto"/>
        <w:rPr>
          <w:sz w:val="20"/>
          <w:szCs w:val="20"/>
          <w:color w:val="auto"/>
        </w:rPr>
      </w:pPr>
      <w:r>
        <w:rPr>
          <w:rFonts w:ascii="Times New Roman" w:cs="Times New Roman" w:eastAsia="Times New Roman" w:hAnsi="Times New Roman"/>
          <w:sz w:val="20"/>
          <w:szCs w:val="20"/>
          <w:color w:val="auto"/>
        </w:rPr>
        <w:t>claims to continued participation in certain of the Company’s group benefit plans pursuant to the terms and conditions of COBRA, claims to any benefit entitlements vested as the date of separation of</w:t>
      </w:r>
    </w:p>
    <w:p>
      <w:pPr>
        <w:spacing w:after="0" w:line="1"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20"/>
          <w:szCs w:val="20"/>
          <w:color w:val="auto"/>
        </w:rPr>
        <w:t>Executive’s employment pursuant to written terms of any employee benefit plan of the Company or its affiliates and Executive’s right under applicable law, any Retained Claims and any claims under this Agreement.</w:t>
      </w:r>
    </w:p>
    <w:p>
      <w:pPr>
        <w:spacing w:after="0" w:line="162" w:lineRule="exact"/>
        <w:rPr>
          <w:sz w:val="20"/>
          <w:szCs w:val="20"/>
          <w:color w:val="auto"/>
        </w:rPr>
      </w:pPr>
    </w:p>
    <w:p>
      <w:pPr>
        <w:ind w:right="140" w:firstLine="645"/>
        <w:spacing w:after="0" w:line="210" w:lineRule="auto"/>
        <w:tabs>
          <w:tab w:leader="none" w:pos="12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w:t>
      </w:r>
    </w:p>
    <w:p>
      <w:pPr>
        <w:spacing w:after="0" w:line="2" w:lineRule="exact"/>
        <w:rPr>
          <w:rFonts w:ascii="Times New Roman" w:cs="Times New Roman" w:eastAsia="Times New Roman" w:hAnsi="Times New Roman"/>
          <w:sz w:val="20"/>
          <w:szCs w:val="20"/>
          <w:color w:val="auto"/>
        </w:rPr>
      </w:pPr>
    </w:p>
    <w:p>
      <w:pPr>
        <w:ind w:right="60"/>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51"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200" w:firstLine="1293"/>
        <w:spacing w:after="0" w:line="230" w:lineRule="auto"/>
        <w:tabs>
          <w:tab w:leader="none" w:pos="185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covenants under the Restrictive Covenant Agreement are hereby incorporated by reference into this Agreement. Executive acknowledges and agrees that Executive’s obligations under the Restrictive Covenant Agreement shall remain in full force and effect following the Separation Date in accordance with the terms thereof.</w:t>
      </w:r>
    </w:p>
    <w:p>
      <w:pPr>
        <w:spacing w:after="0" w:line="148" w:lineRule="exact"/>
        <w:rPr>
          <w:rFonts w:ascii="Times New Roman" w:cs="Times New Roman" w:eastAsia="Times New Roman" w:hAnsi="Times New Roman"/>
          <w:sz w:val="20"/>
          <w:szCs w:val="20"/>
          <w:color w:val="auto"/>
        </w:rPr>
      </w:pPr>
    </w:p>
    <w:p>
      <w:pPr>
        <w:ind w:right="80" w:firstLine="1293"/>
        <w:spacing w:after="0" w:line="222" w:lineRule="auto"/>
        <w:tabs>
          <w:tab w:leader="none" w:pos="185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Executive shall not publicly disparage, criticize or defame the Company or its directors, officers, products, services, technology or business. Nothing in this Section 5(b) will prohibit disclosure of information that is required to be disclosed to enforce the terms of this Agreement or to comply with applicable law or order of a court or other regulatory body of competent jurisdiction.</w:t>
      </w:r>
    </w:p>
    <w:p>
      <w:pPr>
        <w:spacing w:after="0" w:line="161" w:lineRule="exact"/>
        <w:rPr>
          <w:rFonts w:ascii="Times New Roman" w:cs="Times New Roman" w:eastAsia="Times New Roman" w:hAnsi="Times New Roman"/>
          <w:sz w:val="20"/>
          <w:szCs w:val="20"/>
          <w:color w:val="auto"/>
        </w:rPr>
      </w:pPr>
    </w:p>
    <w:p>
      <w:pPr>
        <w:ind w:right="180" w:firstLine="1293"/>
        <w:spacing w:after="0" w:line="226" w:lineRule="auto"/>
        <w:tabs>
          <w:tab w:leader="none" w:pos="185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Executive has returned to the Company all files, memoranda, records and other documents, and any other physical or personal property which are the property of the Company and which Executive had in Executive’s possession, custody or control.</w:t>
      </w:r>
    </w:p>
    <w:p>
      <w:pPr>
        <w:spacing w:after="0" w:line="160" w:lineRule="exact"/>
        <w:rPr>
          <w:sz w:val="20"/>
          <w:szCs w:val="20"/>
          <w:color w:val="auto"/>
        </w:rPr>
      </w:pPr>
    </w:p>
    <w:p>
      <w:pPr>
        <w:ind w:right="480" w:firstLine="645"/>
        <w:spacing w:after="0" w:line="233" w:lineRule="auto"/>
        <w:tabs>
          <w:tab w:leader="none" w:pos="12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ectPr>
          <w:pgSz w:w="11900" w:h="16838" w:orient="portrait"/>
          <w:cols w:equalWidth="0" w:num="1">
            <w:col w:w="10940"/>
          </w:cols>
          <w:pgMar w:left="420" w:top="1440" w:right="539" w:bottom="1440" w:gutter="0" w:footer="0" w:header="0"/>
        </w:sectPr>
      </w:pPr>
    </w:p>
    <w:bookmarkStart w:id="181" w:name="page182"/>
    <w:bookmarkEnd w:id="181"/>
    <w:p>
      <w:pPr>
        <w:spacing w:after="0" w:line="200" w:lineRule="exact"/>
        <w:rPr>
          <w:sz w:val="20"/>
          <w:szCs w:val="20"/>
          <w:color w:val="auto"/>
        </w:rPr>
      </w:pPr>
    </w:p>
    <w:p>
      <w:pPr>
        <w:spacing w:after="0" w:line="259" w:lineRule="exact"/>
        <w:rPr>
          <w:sz w:val="20"/>
          <w:szCs w:val="20"/>
          <w:color w:val="auto"/>
        </w:rPr>
      </w:pPr>
    </w:p>
    <w:p>
      <w:pPr>
        <w:ind w:left="-120" w:right="160" w:firstLine="645"/>
        <w:spacing w:after="0"/>
        <w:tabs>
          <w:tab w:leader="none" w:pos="10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9(a), 9(c), and 9(h) of the Employment Agreement.</w:t>
      </w:r>
    </w:p>
    <w:p>
      <w:pPr>
        <w:spacing w:after="0" w:line="147" w:lineRule="exact"/>
        <w:rPr>
          <w:rFonts w:ascii="Times New Roman" w:cs="Times New Roman" w:eastAsia="Times New Roman" w:hAnsi="Times New Roman"/>
          <w:sz w:val="20"/>
          <w:szCs w:val="20"/>
          <w:color w:val="auto"/>
        </w:rPr>
      </w:pPr>
    </w:p>
    <w:p>
      <w:pPr>
        <w:ind w:left="-120" w:right="360" w:firstLine="645"/>
        <w:spacing w:after="0" w:line="230" w:lineRule="auto"/>
        <w:tabs>
          <w:tab w:leader="none" w:pos="10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120" w:firstLine="645"/>
        <w:spacing w:after="0" w:line="215" w:lineRule="auto"/>
        <w:tabs>
          <w:tab w:leader="none" w:pos="10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820"/>
          </w:cols>
          <w:pgMar w:left="540" w:top="1440" w:right="539" w:bottom="1440" w:gutter="0" w:footer="0" w:header="0"/>
        </w:sectPr>
      </w:pPr>
    </w:p>
    <w:bookmarkStart w:id="182" w:name="page183"/>
    <w:bookmarkEnd w:id="182"/>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674370</wp:posOffset>
            </wp:positionV>
            <wp:extent cx="26657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-10795</wp:posOffset>
            </wp:positionV>
            <wp:extent cx="125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3040" w:type="dxa"/>
            <w:vAlign w:val="bottom"/>
          </w:tcPr>
          <w:p>
            <w:pPr>
              <w:spacing w:after="0"/>
              <w:rPr>
                <w:sz w:val="22"/>
                <w:szCs w:val="22"/>
                <w:color w:val="auto"/>
              </w:rPr>
            </w:pPr>
          </w:p>
        </w:tc>
        <w:tc>
          <w:tcPr>
            <w:tcW w:w="5580" w:type="dxa"/>
            <w:vAlign w:val="bottom"/>
            <w:gridSpan w:val="3"/>
          </w:tcPr>
          <w:p>
            <w:pPr>
              <w:ind w:left="2520"/>
              <w:spacing w:after="0"/>
              <w:rPr>
                <w:sz w:val="20"/>
                <w:szCs w:val="20"/>
                <w:color w:val="auto"/>
              </w:rPr>
            </w:pPr>
            <w:r>
              <w:rPr>
                <w:rFonts w:ascii="Times New Roman" w:cs="Times New Roman" w:eastAsia="Times New Roman" w:hAnsi="Times New Roman"/>
                <w:sz w:val="20"/>
                <w:szCs w:val="20"/>
                <w:color w:val="auto"/>
              </w:rPr>
              <w:t>Harold E. Brakewood</w:t>
            </w:r>
          </w:p>
        </w:tc>
        <w:tc>
          <w:tcPr>
            <w:tcW w:w="0" w:type="dxa"/>
            <w:vAlign w:val="bottom"/>
          </w:tcPr>
          <w:p>
            <w:pPr>
              <w:spacing w:after="0"/>
              <w:rPr>
                <w:sz w:val="1"/>
                <w:szCs w:val="1"/>
                <w:color w:val="auto"/>
              </w:rPr>
            </w:pPr>
          </w:p>
        </w:tc>
      </w:tr>
      <w:tr>
        <w:trPr>
          <w:trHeight w:val="594"/>
        </w:trPr>
        <w:tc>
          <w:tcPr>
            <w:tcW w:w="3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Dated:</w:t>
            </w:r>
          </w:p>
        </w:tc>
        <w:tc>
          <w:tcPr>
            <w:tcW w:w="5580" w:type="dxa"/>
            <w:vAlign w:val="bottom"/>
            <w:gridSpan w:val="3"/>
          </w:tcPr>
          <w:p>
            <w:pPr>
              <w:ind w:left="2520"/>
              <w:spacing w:after="0"/>
              <w:rPr>
                <w:sz w:val="20"/>
                <w:szCs w:val="20"/>
                <w:color w:val="auto"/>
              </w:rPr>
            </w:pPr>
            <w:r>
              <w:rPr>
                <w:rFonts w:ascii="Times New Roman" w:cs="Times New Roman" w:eastAsia="Times New Roman" w:hAnsi="Times New Roman"/>
                <w:sz w:val="20"/>
                <w:szCs w:val="20"/>
                <w:b w:val="1"/>
                <w:bCs w:val="1"/>
                <w:color w:val="auto"/>
                <w:w w:val="97"/>
              </w:rPr>
              <w:t>IMMUNEERING CORPORATION</w:t>
            </w:r>
          </w:p>
        </w:tc>
        <w:tc>
          <w:tcPr>
            <w:tcW w:w="0" w:type="dxa"/>
            <w:vAlign w:val="bottom"/>
          </w:tcPr>
          <w:p>
            <w:pPr>
              <w:spacing w:after="0"/>
              <w:rPr>
                <w:sz w:val="1"/>
                <w:szCs w:val="1"/>
                <w:color w:val="auto"/>
              </w:rPr>
            </w:pPr>
          </w:p>
        </w:tc>
      </w:tr>
      <w:tr>
        <w:trPr>
          <w:trHeight w:val="256"/>
        </w:trPr>
        <w:tc>
          <w:tcPr>
            <w:tcW w:w="3040" w:type="dxa"/>
            <w:vAlign w:val="bottom"/>
            <w:vMerge w:val="continue"/>
          </w:tcPr>
          <w:p>
            <w:pPr>
              <w:spacing w:after="0"/>
              <w:rPr>
                <w:sz w:val="22"/>
                <w:szCs w:val="22"/>
                <w:color w:val="auto"/>
              </w:rPr>
            </w:pPr>
          </w:p>
        </w:tc>
        <w:tc>
          <w:tcPr>
            <w:tcW w:w="2800" w:type="dxa"/>
            <w:vAlign w:val="bottom"/>
            <w:vMerge w:val="restart"/>
          </w:tcPr>
          <w:p>
            <w:pPr>
              <w:ind w:left="2520"/>
              <w:spacing w:after="0"/>
              <w:rPr>
                <w:sz w:val="20"/>
                <w:szCs w:val="20"/>
                <w:color w:val="auto"/>
              </w:rPr>
            </w:pPr>
            <w:r>
              <w:rPr>
                <w:rFonts w:ascii="Times New Roman" w:cs="Times New Roman" w:eastAsia="Times New Roman" w:hAnsi="Times New Roman"/>
                <w:sz w:val="20"/>
                <w:szCs w:val="20"/>
                <w:color w:val="auto"/>
                <w:w w:val="89"/>
              </w:rPr>
              <w:t>By:</w:t>
            </w:r>
          </w:p>
        </w:tc>
        <w:tc>
          <w:tcPr>
            <w:tcW w:w="40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Name:</w:t>
            </w: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399"/>
          </w:cols>
          <w:pgMar w:left="1060" w:top="1440" w:right="1440" w:bottom="1440" w:gutter="0" w:footer="0" w:header="0"/>
        </w:sectPr>
      </w:pPr>
    </w:p>
    <w:bookmarkStart w:id="183" w:name="page184"/>
    <w:bookmarkEnd w:id="183"/>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Restrictive Covenant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184" w:name="page185"/>
    <w:bookmarkEnd w:id="1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Immuneering Corporation</w:t>
      </w:r>
    </w:p>
    <w:p>
      <w:pPr>
        <w:spacing w:after="0" w:line="2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3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AS OF JANUARY 1, 2024)</w:t>
      </w:r>
    </w:p>
    <w:p>
      <w:pPr>
        <w:spacing w:after="0" w:line="254" w:lineRule="exact"/>
        <w:rPr>
          <w:sz w:val="20"/>
          <w:szCs w:val="20"/>
          <w:color w:val="auto"/>
        </w:rPr>
      </w:pPr>
    </w:p>
    <w:p>
      <w:pPr>
        <w:jc w:val="both"/>
        <w:ind w:left="4" w:firstLine="648"/>
        <w:spacing w:after="0" w:line="221" w:lineRule="auto"/>
        <w:rPr>
          <w:sz w:val="20"/>
          <w:szCs w:val="20"/>
          <w:color w:val="auto"/>
        </w:rPr>
      </w:pPr>
      <w:r>
        <w:rPr>
          <w:rFonts w:ascii="Times New Roman" w:cs="Times New Roman" w:eastAsia="Times New Roman" w:hAnsi="Times New Roman"/>
          <w:sz w:val="21"/>
          <w:szCs w:val="21"/>
          <w:color w:val="auto"/>
        </w:rPr>
        <w:t>Non-employee members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Immuneering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receive cash and equity compensation as set forth in this Non-Employee Director Compensation Program (this “</w:t>
      </w:r>
      <w:r>
        <w:rPr>
          <w:rFonts w:ascii="Times New Roman" w:cs="Times New Roman" w:eastAsia="Times New Roman" w:hAnsi="Times New Roman"/>
          <w:sz w:val="21"/>
          <w:szCs w:val="21"/>
          <w:b w:val="1"/>
          <w:bCs w:val="1"/>
          <w:i w:val="1"/>
          <w:iCs w:val="1"/>
          <w:color w:val="auto"/>
        </w:rPr>
        <w:t>Program</w:t>
      </w:r>
      <w:r>
        <w:rPr>
          <w:rFonts w:ascii="Times New Roman" w:cs="Times New Roman" w:eastAsia="Times New Roman" w:hAnsi="Times New Roman"/>
          <w:sz w:val="21"/>
          <w:szCs w:val="21"/>
          <w:color w:val="auto"/>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first set forth above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left="644" w:hanging="644"/>
        <w:spacing w:after="0"/>
        <w:tabs>
          <w:tab w:leader="none" w:pos="644"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p>
    <w:p>
      <w:pPr>
        <w:spacing w:after="0" w:line="217" w:lineRule="exact"/>
        <w:rPr>
          <w:rFonts w:ascii="Times New Roman" w:cs="Times New Roman" w:eastAsia="Times New Roman" w:hAnsi="Times New Roman"/>
          <w:sz w:val="22"/>
          <w:szCs w:val="22"/>
          <w:b w:val="1"/>
          <w:bCs w:val="1"/>
          <w:color w:val="auto"/>
        </w:rPr>
      </w:pPr>
    </w:p>
    <w:p>
      <w:pPr>
        <w:ind w:left="4" w:right="300" w:firstLine="1292"/>
        <w:spacing w:after="0" w:line="239" w:lineRule="auto"/>
        <w:tabs>
          <w:tab w:leader="none" w:pos="183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$40,000 (the “</w:t>
      </w:r>
      <w:r>
        <w:rPr>
          <w:rFonts w:ascii="Times New Roman" w:cs="Times New Roman" w:eastAsia="Times New Roman" w:hAnsi="Times New Roman"/>
          <w:sz w:val="22"/>
          <w:szCs w:val="22"/>
          <w:b w:val="1"/>
          <w:bCs w:val="1"/>
          <w:i w:val="1"/>
          <w:i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Retainer</w:t>
      </w:r>
      <w:r>
        <w:rPr>
          <w:rFonts w:ascii="Times New Roman" w:cs="Times New Roman" w:eastAsia="Times New Roman" w:hAnsi="Times New Roman"/>
          <w:sz w:val="22"/>
          <w:szCs w:val="22"/>
          <w:color w:val="auto"/>
        </w:rPr>
        <w:t>”) for service on the Board.</w:t>
      </w:r>
    </w:p>
    <w:p>
      <w:pPr>
        <w:spacing w:after="0" w:line="148" w:lineRule="exact"/>
        <w:rPr>
          <w:rFonts w:ascii="Times New Roman" w:cs="Times New Roman" w:eastAsia="Times New Roman" w:hAnsi="Times New Roman"/>
          <w:sz w:val="22"/>
          <w:szCs w:val="22"/>
          <w:color w:val="auto"/>
        </w:rPr>
      </w:pPr>
    </w:p>
    <w:p>
      <w:pPr>
        <w:ind w:left="1824" w:hanging="529"/>
        <w:spacing w:after="0"/>
        <w:tabs>
          <w:tab w:leader="none" w:pos="182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Retainers</w:t>
      </w:r>
      <w:r>
        <w:rPr>
          <w:rFonts w:ascii="Times New Roman" w:cs="Times New Roman" w:eastAsia="Times New Roman" w:hAnsi="Times New Roman"/>
          <w:sz w:val="21"/>
          <w:szCs w:val="21"/>
          <w:color w:val="auto"/>
        </w:rPr>
        <w:t>. In addition, each Non-Employee Director shall receive the following annual</w:t>
      </w: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retainers:</w:t>
      </w:r>
    </w:p>
    <w:p>
      <w:pPr>
        <w:spacing w:after="0" w:line="151" w:lineRule="exact"/>
        <w:rPr>
          <w:rFonts w:ascii="Times New Roman" w:cs="Times New Roman" w:eastAsia="Times New Roman" w:hAnsi="Times New Roman"/>
          <w:sz w:val="21"/>
          <w:szCs w:val="21"/>
          <w:color w:val="auto"/>
        </w:rPr>
      </w:pPr>
    </w:p>
    <w:p>
      <w:pPr>
        <w:jc w:val="both"/>
        <w:ind w:left="4" w:right="20" w:firstLine="1940"/>
        <w:spacing w:after="0" w:line="227" w:lineRule="auto"/>
        <w:tabs>
          <w:tab w:leader="none" w:pos="248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Chairman of the Board or Lead Independent Director</w:t>
      </w:r>
      <w:r>
        <w:rPr>
          <w:rFonts w:ascii="Times New Roman" w:cs="Times New Roman" w:eastAsia="Times New Roman" w:hAnsi="Times New Roman"/>
          <w:sz w:val="22"/>
          <w:szCs w:val="22"/>
          <w:color w:val="auto"/>
        </w:rPr>
        <w:t>. A Non- 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 of the Board or Lead Independent Director shall receive an additional annual retainer of $30,000 for such service (the “</w:t>
      </w:r>
      <w:r>
        <w:rPr>
          <w:rFonts w:ascii="Times New Roman" w:cs="Times New Roman" w:eastAsia="Times New Roman" w:hAnsi="Times New Roman"/>
          <w:sz w:val="22"/>
          <w:szCs w:val="22"/>
          <w:b w:val="1"/>
          <w:bCs w:val="1"/>
          <w:i w:val="1"/>
          <w:iCs w:val="1"/>
          <w:color w:val="auto"/>
        </w:rPr>
        <w:t>COB or LID Retainer</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4" w:firstLine="1939"/>
        <w:spacing w:after="0" w:line="227" w:lineRule="auto"/>
        <w:tabs>
          <w:tab w:leader="none" w:pos="248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A Non-Employee Director serving as Chair of the Audit Committee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an additional annual retainer of $15,000 for such service. A Non-Employee Director serving as a member other than the Chair of the Audit Committee shall receive an additional annual retainer of $7,500 for such service.</w:t>
      </w:r>
    </w:p>
    <w:p>
      <w:pPr>
        <w:spacing w:after="0" w:line="146" w:lineRule="exact"/>
        <w:rPr>
          <w:rFonts w:ascii="Times New Roman" w:cs="Times New Roman" w:eastAsia="Times New Roman" w:hAnsi="Times New Roman"/>
          <w:sz w:val="22"/>
          <w:szCs w:val="22"/>
          <w:color w:val="auto"/>
        </w:rPr>
      </w:pPr>
    </w:p>
    <w:p>
      <w:pPr>
        <w:jc w:val="both"/>
        <w:ind w:left="4" w:firstLine="1940"/>
        <w:spacing w:after="0" w:line="221" w:lineRule="auto"/>
        <w:tabs>
          <w:tab w:leader="none" w:pos="248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A Non-Employee Director serving as Chair of the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shall receive an additional annual retainer of $10,000 for such service. A Non-Employee Director serving as a member other than the Chair of the Compensation Committee shall receive an additional annual retainer of $5,000 for such service.</w:t>
      </w:r>
    </w:p>
    <w:p>
      <w:pPr>
        <w:spacing w:after="0" w:line="148" w:lineRule="exact"/>
        <w:rPr>
          <w:rFonts w:ascii="Times New Roman" w:cs="Times New Roman" w:eastAsia="Times New Roman" w:hAnsi="Times New Roman"/>
          <w:sz w:val="22"/>
          <w:szCs w:val="22"/>
          <w:color w:val="auto"/>
        </w:rPr>
      </w:pPr>
    </w:p>
    <w:p>
      <w:pPr>
        <w:jc w:val="both"/>
        <w:ind w:left="4" w:firstLine="1939"/>
        <w:spacing w:after="0" w:line="227" w:lineRule="auto"/>
        <w:tabs>
          <w:tab w:leader="none" w:pos="248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 Employee Director serving as Chair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Nominating and Corporate Governance Committee shall receive an additional annual retainer of $8,000 for such service. A Non-Employee Director</w:t>
      </w:r>
    </w:p>
    <w:p>
      <w:pPr>
        <w:sectPr>
          <w:pgSz w:w="11900" w:h="16838" w:orient="portrait"/>
          <w:cols w:equalWidth="0" w:num="1">
            <w:col w:w="11024"/>
          </w:cols>
          <w:pgMar w:left="436" w:top="1391" w:right="439" w:bottom="1440" w:gutter="0" w:footer="0" w:header="0"/>
        </w:sectPr>
      </w:pPr>
    </w:p>
    <w:bookmarkStart w:id="186" w:name="page187"/>
    <w:bookmarkEnd w:id="186"/>
    <w:p>
      <w:pPr>
        <w:spacing w:after="0" w:line="19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serving as a member other than the Chair of the Nominating and Corporate Governance Committee shall receive an additional annual retainer of $4,000 for such service.</w:t>
      </w:r>
    </w:p>
    <w:p>
      <w:pPr>
        <w:spacing w:after="0" w:line="150" w:lineRule="exact"/>
        <w:rPr>
          <w:sz w:val="20"/>
          <w:szCs w:val="20"/>
          <w:color w:val="auto"/>
        </w:rPr>
      </w:pPr>
    </w:p>
    <w:p>
      <w:pPr>
        <w:jc w:val="both"/>
        <w:ind w:firstLine="1292"/>
        <w:spacing w:after="0" w:line="215" w:lineRule="auto"/>
        <w:tabs>
          <w:tab w:leader="none" w:pos="18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Election</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939"/>
        <w:spacing w:after="0" w:line="207" w:lineRule="auto"/>
        <w:tabs>
          <w:tab w:leader="none" w:pos="248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w:t>
      </w:r>
      <w:r>
        <w:rPr>
          <w:rFonts w:ascii="Times New Roman" w:cs="Times New Roman" w:eastAsia="Times New Roman" w:hAnsi="Times New Roman"/>
          <w:sz w:val="22"/>
          <w:szCs w:val="22"/>
          <w:color w:val="auto"/>
        </w:rPr>
        <w:t>. Beginning with Annual Retainers earned in 2024, each Non-Employee Director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elect (an “</w:t>
      </w:r>
      <w:r>
        <w:rPr>
          <w:rFonts w:ascii="Times New Roman" w:cs="Times New Roman" w:eastAsia="Times New Roman" w:hAnsi="Times New Roman"/>
          <w:sz w:val="22"/>
          <w:szCs w:val="22"/>
          <w:b w:val="1"/>
          <w:bCs w:val="1"/>
          <w:i w:val="1"/>
          <w:iCs w:val="1"/>
          <w:color w:val="auto"/>
        </w:rPr>
        <w:t>Election</w:t>
      </w:r>
      <w:r>
        <w:rPr>
          <w:rFonts w:ascii="Times New Roman" w:cs="Times New Roman" w:eastAsia="Times New Roman" w:hAnsi="Times New Roman"/>
          <w:sz w:val="22"/>
          <w:szCs w:val="22"/>
          <w:color w:val="auto"/>
        </w:rPr>
        <w:t>”) to receive an option (an “</w:t>
      </w:r>
      <w:r>
        <w:rPr>
          <w:rFonts w:ascii="Times New Roman" w:cs="Times New Roman" w:eastAsia="Times New Roman" w:hAnsi="Times New Roman"/>
          <w:sz w:val="22"/>
          <w:szCs w:val="22"/>
          <w:b w:val="1"/>
          <w:bCs w:val="1"/>
          <w:i w:val="1"/>
          <w:iCs w:val="1"/>
          <w:color w:val="auto"/>
        </w:rPr>
        <w:t>Elective Option</w:t>
      </w:r>
      <w:r>
        <w:rPr>
          <w:rFonts w:ascii="Times New Roman" w:cs="Times New Roman" w:eastAsia="Times New Roman" w:hAnsi="Times New Roman"/>
          <w:sz w:val="22"/>
          <w:szCs w:val="22"/>
          <w:color w:val="auto"/>
        </w:rPr>
        <w:t>”) to purchase shares of the Company’s Class A common stock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in lieu of all of the amount of the Non-Employee Director’s Base Retainer to be earned for a given year. In addition, a Non- Employee Director serving as the Chair or Lead Independent Director of the Board may elect to receive an Elective Option in lieu of all of such Non-Employee Director’s COB or LID Retainer to be earned for a given year. An Election must be made in the form determined by the Company and submitted to the Company no later than 5:00 pm Eastern time on November 30 of the calendar year preceding the calendar year to which the Election relates (the “</w:t>
      </w:r>
      <w:r>
        <w:rPr>
          <w:rFonts w:ascii="Times New Roman" w:cs="Times New Roman" w:eastAsia="Times New Roman" w:hAnsi="Times New Roman"/>
          <w:sz w:val="22"/>
          <w:szCs w:val="22"/>
          <w:b w:val="1"/>
          <w:bCs w:val="1"/>
          <w:i w:val="1"/>
          <w:iCs w:val="1"/>
          <w:color w:val="auto"/>
        </w:rPr>
        <w:t>Election Deadline</w:t>
      </w:r>
      <w:r>
        <w:rPr>
          <w:rFonts w:ascii="Times New Roman" w:cs="Times New Roman" w:eastAsia="Times New Roman" w:hAnsi="Times New Roman"/>
          <w:sz w:val="22"/>
          <w:szCs w:val="22"/>
          <w:color w:val="auto"/>
        </w:rPr>
        <w:t>”). An Election shall become effective only with respect to the Base Retainer and, if applicable, COB or LID Retainer, earned for the calendar year following the Election Deadline (the “</w:t>
      </w:r>
      <w:r>
        <w:rPr>
          <w:rFonts w:ascii="Times New Roman" w:cs="Times New Roman" w:eastAsia="Times New Roman" w:hAnsi="Times New Roman"/>
          <w:sz w:val="22"/>
          <w:szCs w:val="22"/>
          <w:b w:val="1"/>
          <w:bCs w:val="1"/>
          <w:i w:val="1"/>
          <w:iCs w:val="1"/>
          <w:color w:val="auto"/>
        </w:rPr>
        <w:t>Service Year</w:t>
      </w:r>
      <w:r>
        <w:rPr>
          <w:rFonts w:ascii="Times New Roman" w:cs="Times New Roman" w:eastAsia="Times New Roman" w:hAnsi="Times New Roman"/>
          <w:sz w:val="22"/>
          <w:szCs w:val="22"/>
          <w:color w:val="auto"/>
        </w:rPr>
        <w:t>”). A Non-Employee Director who timely makes an Election will be granted an Elective Option for the Base Retainer (a “</w:t>
      </w:r>
      <w:r>
        <w:rPr>
          <w:rFonts w:ascii="Times New Roman" w:cs="Times New Roman" w:eastAsia="Times New Roman" w:hAnsi="Times New Roman"/>
          <w:sz w:val="22"/>
          <w:szCs w:val="22"/>
          <w:b w:val="1"/>
          <w:bCs w:val="1"/>
          <w:i w:val="1"/>
          <w:iCs w:val="1"/>
          <w:color w:val="auto"/>
        </w:rPr>
        <w:t>Base Retainer Elective Option</w:t>
      </w:r>
      <w:r>
        <w:rPr>
          <w:rFonts w:ascii="Times New Roman" w:cs="Times New Roman" w:eastAsia="Times New Roman" w:hAnsi="Times New Roman"/>
          <w:sz w:val="22"/>
          <w:szCs w:val="22"/>
          <w:color w:val="auto"/>
        </w:rPr>
        <w:t>”) that such Non-Employee Director would, as of the Issue Date (as defined below), otherwise have been entitled to receive under this Program in cash for his or her service on the Board during the applicable Service Year, assuming such Non-Employee Director remained in service throughout the Service Year (the “</w:t>
      </w:r>
      <w:r>
        <w:rPr>
          <w:rFonts w:ascii="Times New Roman" w:cs="Times New Roman" w:eastAsia="Times New Roman" w:hAnsi="Times New Roman"/>
          <w:sz w:val="22"/>
          <w:szCs w:val="22"/>
          <w:b w:val="1"/>
          <w:bCs w:val="1"/>
          <w:i w:val="1"/>
          <w:iCs w:val="1"/>
          <w:color w:val="auto"/>
        </w:rPr>
        <w:t>Service Year Base Retainer Amount</w:t>
      </w:r>
      <w:r>
        <w:rPr>
          <w:rFonts w:ascii="Times New Roman" w:cs="Times New Roman" w:eastAsia="Times New Roman" w:hAnsi="Times New Roman"/>
          <w:sz w:val="22"/>
          <w:szCs w:val="22"/>
          <w:color w:val="auto"/>
        </w:rPr>
        <w:t>”) and, if applicable, a separate Elective Option for the COB or LID Retainer (an “</w:t>
      </w:r>
      <w:r>
        <w:rPr>
          <w:rFonts w:ascii="Times New Roman" w:cs="Times New Roman" w:eastAsia="Times New Roman" w:hAnsi="Times New Roman"/>
          <w:sz w:val="22"/>
          <w:szCs w:val="22"/>
          <w:b w:val="1"/>
          <w:bCs w:val="1"/>
          <w:i w:val="1"/>
          <w:iCs w:val="1"/>
          <w:color w:val="auto"/>
        </w:rPr>
        <w:t>Additional Retainer Elective Option</w:t>
      </w:r>
      <w:r>
        <w:rPr>
          <w:rFonts w:ascii="Times New Roman" w:cs="Times New Roman" w:eastAsia="Times New Roman" w:hAnsi="Times New Roman"/>
          <w:sz w:val="22"/>
          <w:szCs w:val="22"/>
          <w:color w:val="auto"/>
        </w:rPr>
        <w:t>”) that such Non- Employee Director would, as of the Issue Date, otherwise have been entitled to receive under this Program in cash for his or her service as the Chair or Lead Independent Director of the Board during the applicable Service Year, assuming such Non-Employee Director remained in service as Chair or Lead Independent Director of the Board throughout the Service Year (the “</w:t>
      </w:r>
      <w:r>
        <w:rPr>
          <w:rFonts w:ascii="Times New Roman" w:cs="Times New Roman" w:eastAsia="Times New Roman" w:hAnsi="Times New Roman"/>
          <w:sz w:val="22"/>
          <w:szCs w:val="22"/>
          <w:b w:val="1"/>
          <w:bCs w:val="1"/>
          <w:i w:val="1"/>
          <w:iCs w:val="1"/>
          <w:color w:val="auto"/>
        </w:rPr>
        <w:t>Service Year COB or LID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Retainer Amount</w:t>
      </w:r>
      <w:r>
        <w:rPr>
          <w:rFonts w:ascii="Times New Roman" w:cs="Times New Roman" w:eastAsia="Times New Roman" w:hAnsi="Times New Roman"/>
          <w:sz w:val="22"/>
          <w:szCs w:val="22"/>
          <w:color w:val="auto"/>
        </w:rPr>
        <w:t>,” and together with the Service Year Base Retainer Amount, the “</w:t>
      </w:r>
      <w:r>
        <w:rPr>
          <w:rFonts w:ascii="Times New Roman" w:cs="Times New Roman" w:eastAsia="Times New Roman" w:hAnsi="Times New Roman"/>
          <w:sz w:val="22"/>
          <w:szCs w:val="22"/>
          <w:b w:val="1"/>
          <w:bCs w:val="1"/>
          <w:i w:val="1"/>
          <w:iCs w:val="1"/>
          <w:color w:val="auto"/>
        </w:rPr>
        <w:t>Service Year Retainer Amounts</w:t>
      </w:r>
      <w:r>
        <w:rPr>
          <w:rFonts w:ascii="Times New Roman" w:cs="Times New Roman" w:eastAsia="Times New Roman" w:hAnsi="Times New Roman"/>
          <w:sz w:val="22"/>
          <w:szCs w:val="22"/>
          <w:color w:val="auto"/>
        </w:rPr>
        <w:t>”). If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Base Retainer or COB or LID Retainer is increased after the Issue Date of a corresponding Elective Option, the excess of such increased amount over the applicable Service Year Retainer Amount for the given Service Year will, to the extent earned, be paid in cash under and subject to the terms of Sections I(A), I(B)(1) and I(C), as applicable. If the Base Retainer or COB or LID Retainer is decreased after the Issue Date of a corresponding Elective Option, no reduction in such corresponding Elective Option will be made.</w:t>
      </w:r>
    </w:p>
    <w:p>
      <w:pPr>
        <w:spacing w:after="0" w:line="192" w:lineRule="exact"/>
        <w:rPr>
          <w:rFonts w:ascii="Times New Roman" w:cs="Times New Roman" w:eastAsia="Times New Roman" w:hAnsi="Times New Roman"/>
          <w:sz w:val="22"/>
          <w:szCs w:val="22"/>
          <w:color w:val="auto"/>
        </w:rPr>
      </w:pPr>
    </w:p>
    <w:p>
      <w:pPr>
        <w:jc w:val="both"/>
        <w:ind w:firstLine="1939"/>
        <w:spacing w:after="0" w:line="227" w:lineRule="auto"/>
        <w:tabs>
          <w:tab w:leader="none" w:pos="248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Elective Option</w:t>
      </w:r>
      <w:r>
        <w:rPr>
          <w:rFonts w:ascii="Times New Roman" w:cs="Times New Roman" w:eastAsia="Times New Roman" w:hAnsi="Times New Roman"/>
          <w:sz w:val="22"/>
          <w:szCs w:val="22"/>
          <w:color w:val="auto"/>
        </w:rPr>
        <w:t>. Each Elective Option will be granted automatically, without further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of the Board, on January 1 occurring after the Election Deadline (such date, the “</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under and subject to the terms of the Company’s 2021</w:t>
      </w:r>
    </w:p>
    <w:p>
      <w:pPr>
        <w:sectPr>
          <w:pgSz w:w="11900" w:h="16838" w:orient="portrait"/>
          <w:cols w:equalWidth="0" w:num="1">
            <w:col w:w="11020"/>
          </w:cols>
          <w:pgMar w:left="440" w:top="1440" w:right="439" w:bottom="1440" w:gutter="0" w:footer="0" w:header="0"/>
        </w:sectPr>
      </w:pPr>
    </w:p>
    <w:bookmarkStart w:id="187" w:name="page188"/>
    <w:bookmarkEnd w:id="187"/>
    <w:p>
      <w:pPr>
        <w:spacing w:after="0" w:line="192" w:lineRule="exact"/>
        <w:rPr>
          <w:sz w:val="20"/>
          <w:szCs w:val="20"/>
          <w:color w:val="auto"/>
        </w:rPr>
      </w:pPr>
    </w:p>
    <w:p>
      <w:pPr>
        <w:jc w:val="both"/>
        <w:ind w:left="5"/>
        <w:spacing w:after="0" w:line="216" w:lineRule="auto"/>
        <w:rPr>
          <w:sz w:val="20"/>
          <w:szCs w:val="20"/>
          <w:color w:val="auto"/>
        </w:rPr>
      </w:pPr>
      <w:r>
        <w:rPr>
          <w:rFonts w:ascii="Times New Roman" w:cs="Times New Roman" w:eastAsia="Times New Roman" w:hAnsi="Times New Roman"/>
          <w:sz w:val="22"/>
          <w:szCs w:val="22"/>
          <w:color w:val="auto"/>
        </w:rPr>
        <w:t>Incentive Award Plan or any other applicable Company equity incentive plan then maintained by the Company (the “</w:t>
      </w:r>
      <w:r>
        <w:rPr>
          <w:rFonts w:ascii="Times New Roman" w:cs="Times New Roman" w:eastAsia="Times New Roman" w:hAnsi="Times New Roman"/>
          <w:sz w:val="22"/>
          <w:szCs w:val="22"/>
          <w:b w:val="1"/>
          <w:bCs w:val="1"/>
          <w:i w:val="1"/>
          <w:iCs w:val="1"/>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an award agreement, including attached exhibits, in substantially the form previously approved by the Board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evidence awards of options to Non- Employee Directors under the Company’s 2021 Incentive Award Plan. The number of Shares subject to an Elective Option granted to a Non-Employee Director on the Issue Date will be determined by dividing: (i) the Service Year Base Retainer Amount or the Service Year COB or LID Retainer Amount, as applicable, by (ii) the Elective Option’s Black-Scholes Value (as defined below) on the Issue Date, rounded down to the nearest whole Share.</w:t>
      </w:r>
    </w:p>
    <w:p>
      <w:pPr>
        <w:spacing w:after="0" w:line="175" w:lineRule="exact"/>
        <w:rPr>
          <w:sz w:val="20"/>
          <w:szCs w:val="20"/>
          <w:color w:val="auto"/>
        </w:rPr>
      </w:pPr>
    </w:p>
    <w:p>
      <w:pPr>
        <w:jc w:val="both"/>
        <w:ind w:left="5" w:firstLine="1939"/>
        <w:spacing w:after="0" w:line="221" w:lineRule="auto"/>
        <w:tabs>
          <w:tab w:leader="none" w:pos="2489"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Withdrawal and Service</w:t>
      </w:r>
      <w:r>
        <w:rPr>
          <w:rFonts w:ascii="Times New Roman" w:cs="Times New Roman" w:eastAsia="Times New Roman" w:hAnsi="Times New Roman"/>
          <w:sz w:val="21"/>
          <w:szCs w:val="21"/>
          <w:color w:val="auto"/>
        </w:rPr>
        <w:t>. A Non-Employee Director may withdraw his or her Election at any time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to the Election Deadline for a given Service Year, and thereafter, any Elections delivered to the Company and not previously withdrawn will become irrevocable with respect to the Service Year. Notwithstanding anything in this Section I(D) or any Election to the contrary, if (a) a Non-Employee Director is not serving as a Non-Employee Director on the Issue Date,</w:t>
      </w:r>
    </w:p>
    <w:p>
      <w:pPr>
        <w:spacing w:after="0" w:line="2" w:lineRule="exact"/>
        <w:rPr>
          <w:rFonts w:ascii="Times New Roman" w:cs="Times New Roman" w:eastAsia="Times New Roman" w:hAnsi="Times New Roman"/>
          <w:sz w:val="21"/>
          <w:szCs w:val="21"/>
          <w:color w:val="auto"/>
        </w:rPr>
      </w:pPr>
    </w:p>
    <w:p>
      <w:pPr>
        <w:jc w:val="both"/>
        <w:ind w:left="5" w:hanging="5"/>
        <w:spacing w:after="0" w:line="211" w:lineRule="auto"/>
        <w:tabs>
          <w:tab w:leader="none" w:pos="3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Non-Employee Director is not serving in a position identified in Section I(B)(1) on the Issue Date, or (c) the grant of an Elective Option described in this Section I(D) is prohibited under applicable laws, exchange listing rules or the terms of the Equity Plan, the Non-Employee Director will not be issued an Elective Option, or in the case of a clause (b), an Additional Retainer Elective Option, on the Issue Date. Any Non- Employee Director whose service as a Non-Employee Director commences during a given Service Year shall not be eligible to make an Election under this Program until the first Election Deadline that occurs following the date such Non-Employee Director commences service as a Non-Employee Director.</w:t>
      </w:r>
    </w:p>
    <w:p>
      <w:pPr>
        <w:spacing w:after="0" w:line="174" w:lineRule="exact"/>
        <w:rPr>
          <w:rFonts w:ascii="Times New Roman" w:cs="Times New Roman" w:eastAsia="Times New Roman" w:hAnsi="Times New Roman"/>
          <w:sz w:val="22"/>
          <w:szCs w:val="22"/>
          <w:color w:val="auto"/>
        </w:rPr>
      </w:pPr>
    </w:p>
    <w:p>
      <w:pPr>
        <w:jc w:val="both"/>
        <w:ind w:left="5" w:firstLine="1939"/>
        <w:spacing w:after="0" w:line="212" w:lineRule="auto"/>
        <w:tabs>
          <w:tab w:leader="none" w:pos="2489"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Black-Scholes Value. </w:t>
      </w:r>
      <w:r>
        <w:rPr>
          <w:rFonts w:ascii="Times New Roman" w:cs="Times New Roman" w:eastAsia="Times New Roman" w:hAnsi="Times New Roman"/>
          <w:sz w:val="22"/>
          <w:szCs w:val="22"/>
          <w:color w:val="auto"/>
        </w:rPr>
        <w:t>For purposes of this Section I(D), “</w:t>
      </w:r>
      <w:r>
        <w:rPr>
          <w:rFonts w:ascii="Times New Roman" w:cs="Times New Roman" w:eastAsia="Times New Roman" w:hAnsi="Times New Roman"/>
          <w:sz w:val="22"/>
          <w:szCs w:val="22"/>
          <w:b w:val="1"/>
          <w:bCs w:val="1"/>
          <w:i w:val="1"/>
          <w:iCs w:val="1"/>
          <w:color w:val="auto"/>
        </w:rPr>
        <w:t>Black- Scholes Value</w:t>
      </w:r>
      <w:r>
        <w:rPr>
          <w:rFonts w:ascii="Times New Roman" w:cs="Times New Roman" w:eastAsia="Times New Roman" w:hAnsi="Times New Roman"/>
          <w:sz w:val="22"/>
          <w:szCs w:val="22"/>
          <w:color w:val="auto"/>
        </w:rPr>
        <w:t>” means,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 Elective Option, the per share fair value of the Elective Option determined as of the applicable Issue Date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(the “</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and using as inputs to such model: (i) the Fair Market Value (as defined in the Equity Plan) of a Share on the applicable Issue Date (or, if the Issue Date is not a trading day, the last trading day preceding the Issue Date) and (ii) such other assumptions as were reported by the Company in the Financial Statements for the most recent period covered by the Financial Statements (and if any such assumptions were reported as a range of values, using the arithmetic mean of the reported range).</w:t>
      </w:r>
    </w:p>
    <w:p>
      <w:pPr>
        <w:spacing w:after="0" w:line="178" w:lineRule="exact"/>
        <w:rPr>
          <w:sz w:val="20"/>
          <w:szCs w:val="20"/>
          <w:color w:val="auto"/>
        </w:rPr>
      </w:pPr>
    </w:p>
    <w:p>
      <w:pPr>
        <w:ind w:left="645" w:hanging="645"/>
        <w:spacing w:after="0"/>
        <w:tabs>
          <w:tab w:leader="none" w:pos="645"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Compensation</w:t>
      </w:r>
    </w:p>
    <w:p>
      <w:pPr>
        <w:spacing w:after="0" w:line="224" w:lineRule="exact"/>
        <w:rPr>
          <w:sz w:val="20"/>
          <w:szCs w:val="20"/>
          <w:color w:val="auto"/>
        </w:rPr>
      </w:pPr>
    </w:p>
    <w:p>
      <w:pPr>
        <w:jc w:val="both"/>
        <w:ind w:left="5" w:firstLine="648"/>
        <w:spacing w:after="0" w:line="225" w:lineRule="auto"/>
        <w:rPr>
          <w:sz w:val="20"/>
          <w:szCs w:val="20"/>
          <w:color w:val="auto"/>
        </w:rPr>
      </w:pPr>
      <w:r>
        <w:rPr>
          <w:rFonts w:ascii="Times New Roman" w:cs="Times New Roman" w:eastAsia="Times New Roman" w:hAnsi="Times New Roman"/>
          <w:sz w:val="21"/>
          <w:szCs w:val="21"/>
          <w:color w:val="auto"/>
        </w:rPr>
        <w:t>In addition to any Elective Options, Non-Employee Directors shall be granted the equity awards described below. The awards described below shall be granted under and shall be subject to the terms and provisions of the Equity Plan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w:t>
      </w:r>
    </w:p>
    <w:p>
      <w:pPr>
        <w:sectPr>
          <w:pgSz w:w="11900" w:h="16838" w:orient="portrait"/>
          <w:cols w:equalWidth="0" w:num="1">
            <w:col w:w="11025"/>
          </w:cols>
          <w:pgMar w:left="435" w:top="1440" w:right="439" w:bottom="1440" w:gutter="0" w:footer="0" w:header="0"/>
        </w:sectPr>
      </w:pPr>
    </w:p>
    <w:bookmarkStart w:id="188" w:name="page189"/>
    <w:bookmarkEnd w:id="188"/>
    <w:p>
      <w:pPr>
        <w:spacing w:after="0" w:line="198" w:lineRule="exact"/>
        <w:rPr>
          <w:sz w:val="20"/>
          <w:szCs w:val="20"/>
          <w:color w:val="auto"/>
        </w:rPr>
      </w:pPr>
    </w:p>
    <w:p>
      <w:pPr>
        <w:jc w:val="both"/>
        <w:ind w:left="-1000" w:right="20" w:firstLine="1291"/>
        <w:spacing w:after="0" w:line="220" w:lineRule="auto"/>
        <w:tabs>
          <w:tab w:leader="none" w:pos="83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an option to purchase 35,000 Shares on the date of such initial election or appointment. The awards described in this Section II(A)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pacing w:after="0" w:line="152" w:lineRule="exact"/>
        <w:rPr>
          <w:rFonts w:ascii="Times New Roman" w:cs="Times New Roman" w:eastAsia="Times New Roman" w:hAnsi="Times New Roman"/>
          <w:sz w:val="22"/>
          <w:szCs w:val="22"/>
          <w:color w:val="auto"/>
        </w:rPr>
      </w:pPr>
    </w:p>
    <w:p>
      <w:pPr>
        <w:jc w:val="both"/>
        <w:ind w:left="-1000" w:firstLine="1291"/>
        <w:spacing w:after="0" w:line="211" w:lineRule="auto"/>
        <w:tabs>
          <w:tab w:leader="none" w:pos="8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17,500 Shares on the date of such annual meeting. Any Non-Employee Director who has been serving as a Non-Employee Director on the Board for less than six months as of the date of any such annual meeting and will continue to serve as a Non-Employee Director immediately following such meeting, shall also receive an option to purchase shares of the Company’s common stock on the date of such annual meeting, but the number of shares underlying such option shall be reduced on a pro-rata basis based on the number of months such Non-Employee Director has served as a Non-Employee Director on the Board during the twelve month period ending on the date of such meeting The awards described in this Section II(B) shall be referred to as “</w:t>
      </w:r>
      <w:r>
        <w:rPr>
          <w:rFonts w:ascii="Times New Roman" w:cs="Times New Roman" w:eastAsia="Times New Roman" w:hAnsi="Times New Roman"/>
          <w:sz w:val="22"/>
          <w:szCs w:val="22"/>
          <w:b w:val="1"/>
          <w:bCs w:val="1"/>
          <w:i w:val="1"/>
          <w:iCs w:val="1"/>
          <w:color w:val="auto"/>
        </w:rPr>
        <w:t>Subsequent Awards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1000" w:firstLine="1291"/>
        <w:spacing w:after="0" w:line="217" w:lineRule="auto"/>
        <w:tabs>
          <w:tab w:leader="none" w:pos="8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spacing w:after="0" w:line="179"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175" w:lineRule="exact"/>
        <w:rPr>
          <w:rFonts w:ascii="Times New Roman" w:cs="Times New Roman" w:eastAsia="Times New Roman" w:hAnsi="Times New Roman"/>
          <w:sz w:val="22"/>
          <w:szCs w:val="22"/>
          <w:color w:val="auto"/>
        </w:rPr>
      </w:pPr>
    </w:p>
    <w:p>
      <w:pPr>
        <w:jc w:val="both"/>
        <w:ind w:left="-1000" w:firstLine="1940"/>
        <w:spacing w:after="0" w:line="227" w:lineRule="auto"/>
        <w:tabs>
          <w:tab w:leader="none" w:pos="148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equal the Fair Market Value of a Share on the date the option is granted (including on the Issue Date of any Elective Option).</w:t>
      </w:r>
    </w:p>
    <w:p>
      <w:pPr>
        <w:spacing w:after="0" w:line="146" w:lineRule="exact"/>
        <w:rPr>
          <w:rFonts w:ascii="Times New Roman" w:cs="Times New Roman" w:eastAsia="Times New Roman" w:hAnsi="Times New Roman"/>
          <w:sz w:val="22"/>
          <w:szCs w:val="22"/>
          <w:color w:val="auto"/>
        </w:rPr>
      </w:pPr>
    </w:p>
    <w:p>
      <w:pPr>
        <w:jc w:val="both"/>
        <w:ind w:left="-1000" w:firstLine="1939"/>
        <w:spacing w:after="0" w:line="221" w:lineRule="auto"/>
        <w:tabs>
          <w:tab w:leader="none" w:pos="1484"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Each Initial Award shall vest and become exercisable in thirty-six (36) substantially equal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monthly installments following the date of grant, such that the Initial Award shall be fully vested on the third anniversary of the date of grant, subject to the Non-Employee Director continuing in service as a Non-Employee Director on each such vesting date. Each Subsequent Award shall vest and become exercisable in twelve substantially equal monthly installments following the date of grant, such that the Subsequent Award shall be fully vested on the first anniversary of the date of grant (provided that any portion of a Subsequent Award scheduled to vest after the first annual meeting of the Company’s stockholders following the date of grant of such Subsequent Award shall vest on the date of such annual meeting), subject to the Non-Employee Director continuing in service on the Board as a Non-Employee Director on each such vesting date. Each Elective Option shall vest and become exercisable as to 25% of the Shares subject to the Elective Option (each, an “</w:t>
      </w:r>
      <w:r>
        <w:rPr>
          <w:rFonts w:ascii="Times New Roman" w:cs="Times New Roman" w:eastAsia="Times New Roman" w:hAnsi="Times New Roman"/>
          <w:sz w:val="21"/>
          <w:szCs w:val="21"/>
          <w:b w:val="1"/>
          <w:bCs w:val="1"/>
          <w:i w:val="1"/>
          <w:iCs w:val="1"/>
          <w:color w:val="auto"/>
        </w:rPr>
        <w:t>Elective 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Tranche</w:t>
      </w:r>
      <w:r>
        <w:rPr>
          <w:rFonts w:ascii="Times New Roman" w:cs="Times New Roman" w:eastAsia="Times New Roman" w:hAnsi="Times New Roman"/>
          <w:sz w:val="21"/>
          <w:szCs w:val="21"/>
          <w:color w:val="auto"/>
        </w:rPr>
        <w:t>”) upon the Non-Employee Director completing three months of continuous service as a Non-Employee</w:t>
      </w:r>
    </w:p>
    <w:p>
      <w:pPr>
        <w:sectPr>
          <w:pgSz w:w="11900" w:h="16838" w:orient="portrait"/>
          <w:cols w:equalWidth="0" w:num="1">
            <w:col w:w="10020"/>
          </w:cols>
          <w:pgMar w:left="1440" w:top="1440" w:right="439" w:bottom="1440" w:gutter="0" w:footer="0" w:header="0"/>
        </w:sectPr>
      </w:pPr>
    </w:p>
    <w:bookmarkStart w:id="189" w:name="page190"/>
    <w:bookmarkEnd w:id="189"/>
    <w:p>
      <w:pPr>
        <w:spacing w:after="0" w:line="19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Director, or in the case of an Additional Retainer Elective Option, in the applicable position, following the Issue Date, such that the fourth and final Elective Option Tranche will vest and become exercisable on the first anniversary of the Issue Date. By way of example, if, during a given Service Year for which a Non-Employee Director received a Base Retainer Elective Option and an Additional Retainer Elective Option, such Non-Employee Director ceases to serve as Chair of the Board but continues to serve as a Non-Employee Director, such Non-Employee Director’s Base Retainer Elective Option will continue to vest and become exercisable while such Non-Employee Director continues to serve as a Non-Employee Director and any portion of such Non-Employee Director’s Additional Retainer Elective Option that has not become vested and exercisable on or prior to the date such Non-Employee Director ceases to serve as the Chair of the Board shall, unless otherwise determined by the Board, be forfeited on the date such Non- Employee Director ceases to serve as Chair of the Board. Unless the Board otherwise determines, any portion of an Initial Award, Subsequent Award or Elective Option which is unvested or unexercisable at the time of a Non-Employee Director’s termination of service on the Board as a Non-Employee Director (or, if applicable, as Chair or Lead Independent Director) shall be immediately forfeited upon such termination of service and shall not thereafter become vested and exercisable. All of a Non-Employee Director’s outstanding Initial Awards, Subsequent Awards and Elective Options shall vest in full immediately prior to the occurrence of a Change in Control (as defined in the Equity Plan), to the extent outstanding at such time.</w:t>
      </w:r>
    </w:p>
    <w:p>
      <w:pPr>
        <w:spacing w:after="0" w:line="147" w:lineRule="exact"/>
        <w:rPr>
          <w:sz w:val="20"/>
          <w:szCs w:val="20"/>
          <w:color w:val="auto"/>
        </w:rPr>
      </w:pPr>
    </w:p>
    <w:p>
      <w:pPr>
        <w:ind w:right="280" w:firstLine="1939"/>
        <w:spacing w:after="0" w:line="238" w:lineRule="auto"/>
        <w:tabs>
          <w:tab w:leader="none" w:pos="248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 Employee Director hereunder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ten (10) years from the date the option is granted.</w:t>
      </w:r>
    </w:p>
    <w:p>
      <w:pPr>
        <w:spacing w:after="0" w:line="150" w:lineRule="exact"/>
        <w:rPr>
          <w:rFonts w:ascii="Times New Roman" w:cs="Times New Roman" w:eastAsia="Times New Roman" w:hAnsi="Times New Roman"/>
          <w:sz w:val="22"/>
          <w:szCs w:val="22"/>
          <w:color w:val="auto"/>
        </w:rPr>
      </w:pPr>
    </w:p>
    <w:p>
      <w:pPr>
        <w:ind w:left="5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ectPr>
          <w:pgSz w:w="11900" w:h="16838" w:orient="portrait"/>
          <w:cols w:equalWidth="0" w:num="1">
            <w:col w:w="11020"/>
          </w:cols>
          <w:pgMar w:left="440" w:top="1440" w:right="4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333-266738) on Form S-3 and Registration Statement (No. 333-258416)</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on Form S-8 of Immuneering Corporation of our report dated March 1, 2024, relating to the consolidated financial statements of Immuneering Corporation and subsidiaries, appearing in this Annual Report on Form 10-K of Immuneering Corporation for the year ended December 31,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March 1, 2024</w:t>
      </w:r>
    </w:p>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J. Zeskind, certify that:</w:t>
      </w:r>
    </w:p>
    <w:p>
      <w:pPr>
        <w:spacing w:after="0" w:line="117"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3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Mallory Morales, certify that:</w:t>
      </w:r>
    </w:p>
    <w:p>
      <w:pPr>
        <w:spacing w:after="0" w:line="117"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Mallory Morales</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Accounting Officer and Treasurer</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2023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160" w:hanging="644"/>
        <w:spacing w:after="0" w:line="282" w:lineRule="auto"/>
        <w:tabs>
          <w:tab w:leader="none" w:pos="129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3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2023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160" w:hanging="644"/>
        <w:spacing w:after="0" w:line="282" w:lineRule="auto"/>
        <w:tabs>
          <w:tab w:leader="none" w:pos="129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Mallory Morales</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Treasurer</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1"/>
          <w:szCs w:val="21"/>
          <w:b w:val="1"/>
          <w:bCs w:val="1"/>
          <w:color w:val="auto"/>
        </w:rPr>
        <w:t>IMMUNEERING CORPORATION POLICY FOR RECOVERY OF ERRONEOUSLY AWARDED COMPENSATION</w:t>
      </w:r>
    </w:p>
    <w:p>
      <w:pPr>
        <w:sectPr>
          <w:pgSz w:w="11900" w:h="16838" w:orient="portrait"/>
          <w:cols w:equalWidth="0" w:num="1">
            <w:col w:w="11060"/>
          </w:cols>
          <w:pgMar w:left="420" w:top="1391" w:right="419" w:bottom="1440" w:gutter="0" w:footer="0" w:header="0"/>
        </w:sectPr>
      </w:pPr>
    </w:p>
    <w:p>
      <w:pPr>
        <w:spacing w:after="0" w:line="189" w:lineRule="exact"/>
        <w:rPr>
          <w:sz w:val="20"/>
          <w:szCs w:val="20"/>
          <w:color w:val="auto"/>
        </w:rPr>
      </w:pPr>
    </w:p>
    <w:p>
      <w:pPr>
        <w:jc w:val="both"/>
        <w:ind w:left="20" w:right="60" w:firstLine="648"/>
        <w:spacing w:after="0" w:line="227" w:lineRule="auto"/>
        <w:rPr>
          <w:sz w:val="20"/>
          <w:szCs w:val="20"/>
          <w:color w:val="auto"/>
        </w:rPr>
      </w:pPr>
      <w:r>
        <w:rPr>
          <w:rFonts w:ascii="Times New Roman" w:cs="Times New Roman" w:eastAsia="Times New Roman" w:hAnsi="Times New Roman"/>
          <w:sz w:val="22"/>
          <w:szCs w:val="22"/>
          <w:color w:val="auto"/>
        </w:rPr>
        <w:t>Immuneering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48" w:lineRule="exact"/>
        <w:rPr>
          <w:sz w:val="20"/>
          <w:szCs w:val="20"/>
          <w:color w:val="auto"/>
        </w:rPr>
      </w:pPr>
    </w:p>
    <w:p>
      <w:pPr>
        <w:ind w:left="660" w:hanging="644"/>
        <w:spacing w:after="0"/>
        <w:tabs>
          <w:tab w:leader="none" w:pos="6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83" w:lineRule="exact"/>
        <w:rPr>
          <w:sz w:val="20"/>
          <w:szCs w:val="20"/>
          <w:color w:val="auto"/>
        </w:rPr>
      </w:pPr>
    </w:p>
    <w:p>
      <w:pPr>
        <w:jc w:val="both"/>
        <w:ind w:left="20" w:right="60" w:firstLine="648"/>
        <w:spacing w:after="0" w:line="236" w:lineRule="auto"/>
        <w:rPr>
          <w:sz w:val="20"/>
          <w:szCs w:val="20"/>
          <w:color w:val="auto"/>
        </w:rPr>
      </w:pPr>
      <w:r>
        <w:rPr>
          <w:rFonts w:ascii="Times New Roman" w:cs="Times New Roman" w:eastAsia="Times New Roman" w:hAnsi="Times New Roman"/>
          <w:sz w:val="21"/>
          <w:szCs w:val="21"/>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48" w:lineRule="exact"/>
        <w:rPr>
          <w:sz w:val="20"/>
          <w:szCs w:val="20"/>
          <w:color w:val="auto"/>
        </w:rPr>
      </w:pPr>
    </w:p>
    <w:p>
      <w:pPr>
        <w:ind w:left="660" w:hanging="644"/>
        <w:spacing w:after="0"/>
        <w:tabs>
          <w:tab w:leader="none" w:pos="6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183" w:lineRule="exact"/>
        <w:rPr>
          <w:sz w:val="20"/>
          <w:szCs w:val="20"/>
          <w:color w:val="auto"/>
        </w:rPr>
      </w:pPr>
    </w:p>
    <w:p>
      <w:pPr>
        <w:jc w:val="both"/>
        <w:ind w:left="20" w:right="60"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48" w:lineRule="exact"/>
        <w:rPr>
          <w:sz w:val="20"/>
          <w:szCs w:val="20"/>
          <w:color w:val="auto"/>
        </w:rPr>
      </w:pPr>
    </w:p>
    <w:p>
      <w:pPr>
        <w:ind w:left="660" w:hanging="644"/>
        <w:spacing w:after="0"/>
        <w:tabs>
          <w:tab w:leader="none" w:pos="6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183" w:lineRule="exact"/>
        <w:rPr>
          <w:sz w:val="20"/>
          <w:szCs w:val="20"/>
          <w:color w:val="auto"/>
        </w:rPr>
      </w:pPr>
    </w:p>
    <w:p>
      <w:pPr>
        <w:jc w:val="both"/>
        <w:ind w:left="20" w:right="40" w:firstLine="648"/>
        <w:spacing w:after="0" w:line="212"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52" w:lineRule="exact"/>
        <w:rPr>
          <w:sz w:val="20"/>
          <w:szCs w:val="20"/>
          <w:color w:val="auto"/>
        </w:rPr>
      </w:pPr>
    </w:p>
    <w:p>
      <w:pPr>
        <w:ind w:left="660" w:hanging="644"/>
        <w:spacing w:after="0"/>
        <w:tabs>
          <w:tab w:leader="none" w:pos="6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183" w:lineRule="exact"/>
        <w:rPr>
          <w:sz w:val="20"/>
          <w:szCs w:val="20"/>
          <w:color w:val="auto"/>
        </w:rPr>
      </w:pPr>
    </w:p>
    <w:p>
      <w:pPr>
        <w:jc w:val="both"/>
        <w:ind w:left="20" w:right="60" w:firstLine="648"/>
        <w:spacing w:after="0" w:line="220"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60"/>
          </w:cols>
          <w:pgMar w:left="420" w:top="1391" w:right="419" w:bottom="1440" w:gutter="0" w:footer="0" w:header="0"/>
          <w:type w:val="continuous"/>
        </w:sectPr>
      </w:pPr>
    </w:p>
    <w:bookmarkStart w:id="196" w:name="page197"/>
    <w:bookmarkEnd w:id="196"/>
    <w:p>
      <w:pPr>
        <w:jc w:val="both"/>
        <w:ind w:left="40"/>
        <w:spacing w:after="0" w:line="213" w:lineRule="auto"/>
        <w:rPr>
          <w:sz w:val="20"/>
          <w:szCs w:val="20"/>
          <w:color w:val="auto"/>
        </w:rPr>
      </w:pPr>
      <w:r>
        <w:rPr>
          <w:rFonts w:ascii="Times New Roman" w:cs="Times New Roman" w:eastAsia="Times New Roman" w:hAnsi="Times New Roman"/>
          <w:sz w:val="22"/>
          <w:szCs w:val="22"/>
          <w:color w:val="auto"/>
        </w:rPr>
        <w:t>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52" w:lineRule="exact"/>
        <w:rPr>
          <w:sz w:val="20"/>
          <w:szCs w:val="20"/>
          <w:color w:val="auto"/>
        </w:rPr>
      </w:pPr>
    </w:p>
    <w:p>
      <w:pPr>
        <w:ind w:left="680" w:hanging="644"/>
        <w:spacing w:after="0"/>
        <w:tabs>
          <w:tab w:leader="none" w:pos="68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left="40" w:firstLine="648"/>
        <w:spacing w:after="0" w:line="211"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54" w:lineRule="exact"/>
        <w:rPr>
          <w:sz w:val="20"/>
          <w:szCs w:val="20"/>
          <w:color w:val="auto"/>
        </w:rPr>
      </w:pPr>
    </w:p>
    <w:p>
      <w:pPr>
        <w:ind w:left="680" w:hanging="644"/>
        <w:spacing w:after="0"/>
        <w:tabs>
          <w:tab w:leader="none" w:pos="68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183" w:lineRule="exact"/>
        <w:rPr>
          <w:sz w:val="20"/>
          <w:szCs w:val="20"/>
          <w:color w:val="auto"/>
        </w:rPr>
      </w:pPr>
    </w:p>
    <w:p>
      <w:pPr>
        <w:jc w:val="both"/>
        <w:ind w:left="40" w:firstLine="648"/>
        <w:spacing w:after="0" w:line="225"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9" w:lineRule="exact"/>
        <w:rPr>
          <w:sz w:val="20"/>
          <w:szCs w:val="20"/>
          <w:color w:val="auto"/>
        </w:rPr>
      </w:pPr>
    </w:p>
    <w:p>
      <w:pPr>
        <w:ind w:left="680" w:hanging="644"/>
        <w:spacing w:after="0"/>
        <w:tabs>
          <w:tab w:leader="none" w:pos="68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183" w:lineRule="exact"/>
        <w:rPr>
          <w:sz w:val="20"/>
          <w:szCs w:val="20"/>
          <w:color w:val="auto"/>
        </w:rPr>
      </w:pPr>
    </w:p>
    <w:p>
      <w:pPr>
        <w:jc w:val="both"/>
        <w:ind w:left="40" w:firstLine="648"/>
        <w:spacing w:after="0" w:line="21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48" w:lineRule="exact"/>
        <w:rPr>
          <w:sz w:val="20"/>
          <w:szCs w:val="20"/>
          <w:color w:val="auto"/>
        </w:rPr>
      </w:pPr>
    </w:p>
    <w:p>
      <w:pPr>
        <w:ind w:left="680" w:hanging="644"/>
        <w:spacing w:after="0"/>
        <w:tabs>
          <w:tab w:leader="none" w:pos="68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183" w:lineRule="exact"/>
        <w:rPr>
          <w:sz w:val="20"/>
          <w:szCs w:val="20"/>
          <w:color w:val="auto"/>
        </w:rPr>
      </w:pPr>
    </w:p>
    <w:p>
      <w:pPr>
        <w:jc w:val="both"/>
        <w:ind w:left="40" w:firstLine="648"/>
        <w:spacing w:after="0" w:line="220"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0"/>
          </w:cols>
          <w:pgMar w:left="400" w:top="1395" w:right="479" w:bottom="1440" w:gutter="0" w:footer="0" w:header="0"/>
        </w:sectPr>
      </w:pPr>
    </w:p>
    <w:bookmarkStart w:id="197" w:name="page198"/>
    <w:bookmarkEnd w:id="197"/>
    <w:p>
      <w:pPr>
        <w:spacing w:after="0" w:line="192" w:lineRule="exact"/>
        <w:rPr>
          <w:sz w:val="20"/>
          <w:szCs w:val="20"/>
          <w:color w:val="auto"/>
        </w:rPr>
      </w:pPr>
    </w:p>
    <w:p>
      <w:pPr>
        <w:jc w:val="both"/>
        <w:ind w:left="40"/>
        <w:spacing w:after="0" w:line="227" w:lineRule="auto"/>
        <w:rPr>
          <w:sz w:val="20"/>
          <w:szCs w:val="20"/>
          <w:color w:val="auto"/>
        </w:rPr>
      </w:pPr>
      <w:r>
        <w:rPr>
          <w:rFonts w:ascii="Times New Roman" w:cs="Times New Roman" w:eastAsia="Times New Roman" w:hAnsi="Times New Roman"/>
          <w:sz w:val="22"/>
          <w:szCs w:val="22"/>
          <w:color w:val="auto"/>
        </w:rPr>
        <w:t>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48" w:lineRule="exact"/>
        <w:rPr>
          <w:sz w:val="20"/>
          <w:szCs w:val="20"/>
          <w:color w:val="auto"/>
        </w:rPr>
      </w:pPr>
    </w:p>
    <w:p>
      <w:pPr>
        <w:ind w:left="680" w:hanging="644"/>
        <w:spacing w:after="0"/>
        <w:tabs>
          <w:tab w:leader="none" w:pos="68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83" w:lineRule="exact"/>
        <w:rPr>
          <w:sz w:val="20"/>
          <w:szCs w:val="20"/>
          <w:color w:val="auto"/>
        </w:rPr>
      </w:pPr>
    </w:p>
    <w:p>
      <w:pPr>
        <w:jc w:val="both"/>
        <w:ind w:left="40" w:firstLine="648"/>
        <w:spacing w:after="0" w:line="22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8" w:lineRule="exact"/>
        <w:rPr>
          <w:sz w:val="20"/>
          <w:szCs w:val="20"/>
          <w:color w:val="auto"/>
        </w:rPr>
      </w:pPr>
    </w:p>
    <w:p>
      <w:pPr>
        <w:ind w:left="680" w:hanging="644"/>
        <w:spacing w:after="0"/>
        <w:tabs>
          <w:tab w:leader="none" w:pos="68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170" w:lineRule="exact"/>
        <w:rPr>
          <w:sz w:val="20"/>
          <w:szCs w:val="20"/>
          <w:color w:val="auto"/>
        </w:rPr>
      </w:pPr>
    </w:p>
    <w:p>
      <w:pPr>
        <w:jc w:val="both"/>
        <w:ind w:left="40" w:firstLine="648"/>
        <w:spacing w:after="0" w:line="225"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2" w:lineRule="exact"/>
        <w:rPr>
          <w:sz w:val="20"/>
          <w:szCs w:val="20"/>
          <w:color w:val="auto"/>
        </w:rPr>
      </w:pPr>
    </w:p>
    <w:p>
      <w:pPr>
        <w:ind w:left="660" w:hanging="624"/>
        <w:spacing w:after="0"/>
        <w:tabs>
          <w:tab w:leader="none" w:pos="66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left="40" w:firstLine="648"/>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62" w:lineRule="exact"/>
        <w:rPr>
          <w:sz w:val="20"/>
          <w:szCs w:val="20"/>
          <w:color w:val="auto"/>
        </w:rPr>
      </w:pPr>
    </w:p>
    <w:p>
      <w:pPr>
        <w:jc w:val="both"/>
        <w:ind w:left="4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left="40"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left="40"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400" w:top="1440" w:right="479" w:bottom="1440" w:gutter="0" w:footer="0" w:header="0"/>
        </w:sectPr>
      </w:pPr>
    </w:p>
    <w:bookmarkStart w:id="198" w:name="page199"/>
    <w:bookmarkEnd w:id="198"/>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IFRS</w:t>
      </w:r>
      <w:r>
        <w:rPr>
          <w:rFonts w:ascii="Times New Roman" w:cs="Times New Roman" w:eastAsia="Times New Roman" w:hAnsi="Times New Roman"/>
          <w:sz w:val="21"/>
          <w:szCs w:val="21"/>
          <w:color w:val="auto"/>
        </w:rPr>
        <w:t>” means international financial reporting standards as adopted by the International Accounting Standards Board.</w:t>
      </w:r>
    </w:p>
    <w:p>
      <w:pPr>
        <w:spacing w:after="0" w:line="191" w:lineRule="exact"/>
        <w:rPr>
          <w:sz w:val="20"/>
          <w:szCs w:val="20"/>
          <w:color w:val="auto"/>
        </w:rPr>
      </w:pPr>
    </w:p>
    <w:p>
      <w:pPr>
        <w:jc w:val="both"/>
        <w:ind w:left="40" w:firstLine="648"/>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Impracticable</w:t>
      </w:r>
      <w:r>
        <w:rPr>
          <w:rFonts w:ascii="Times New Roman" w:cs="Times New Roman" w:eastAsia="Times New Roman" w:hAnsi="Times New Roman"/>
          <w:sz w:val="21"/>
          <w:szCs w:val="21"/>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w:t>
      </w:r>
    </w:p>
    <w:p>
      <w:pPr>
        <w:spacing w:after="0" w:line="4" w:lineRule="exact"/>
        <w:rPr>
          <w:sz w:val="20"/>
          <w:szCs w:val="20"/>
          <w:color w:val="auto"/>
        </w:rPr>
      </w:pPr>
    </w:p>
    <w:p>
      <w:pPr>
        <w:jc w:val="both"/>
        <w:ind w:left="40" w:hanging="5"/>
        <w:spacing w:after="0" w:line="218" w:lineRule="auto"/>
        <w:tabs>
          <w:tab w:leader="none" w:pos="36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45" w:lineRule="exact"/>
        <w:rPr>
          <w:sz w:val="20"/>
          <w:szCs w:val="20"/>
          <w:color w:val="auto"/>
        </w:rPr>
      </w:pPr>
    </w:p>
    <w:p>
      <w:pPr>
        <w:jc w:val="both"/>
        <w:ind w:left="40"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7" w:lineRule="exact"/>
        <w:rPr>
          <w:sz w:val="20"/>
          <w:szCs w:val="20"/>
          <w:color w:val="auto"/>
        </w:rPr>
      </w:pPr>
    </w:p>
    <w:p>
      <w:pPr>
        <w:jc w:val="both"/>
        <w:ind w:left="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4" w:lineRule="exact"/>
        <w:rPr>
          <w:sz w:val="20"/>
          <w:szCs w:val="20"/>
          <w:color w:val="auto"/>
        </w:rPr>
      </w:pPr>
    </w:p>
    <w:p>
      <w:pPr>
        <w:jc w:val="both"/>
        <w:ind w:left="40"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44" w:lineRule="exact"/>
        <w:rPr>
          <w:sz w:val="20"/>
          <w:szCs w:val="20"/>
          <w:color w:val="auto"/>
        </w:rPr>
      </w:pPr>
    </w:p>
    <w:p>
      <w:pPr>
        <w:jc w:val="both"/>
        <w:ind w:left="40"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00" w:top="1440" w:right="479" w:bottom="1440" w:gutter="0" w:footer="0" w:header="0"/>
        </w:sectPr>
      </w:pPr>
    </w:p>
    <w:bookmarkStart w:id="199" w:name="page200"/>
    <w:bookmarkEnd w:id="199"/>
    <w:p>
      <w:pPr>
        <w:ind w:left="3100"/>
        <w:spacing w:after="0"/>
        <w:rPr>
          <w:sz w:val="20"/>
          <w:szCs w:val="20"/>
          <w:color w:val="auto"/>
        </w:rPr>
      </w:pPr>
      <w:r>
        <w:rPr>
          <w:rFonts w:ascii="Times New Roman" w:cs="Times New Roman" w:eastAsia="Times New Roman" w:hAnsi="Times New Roman"/>
          <w:sz w:val="22"/>
          <w:szCs w:val="22"/>
          <w:b w:val="1"/>
          <w:bCs w:val="1"/>
          <w:color w:val="auto"/>
        </w:rPr>
        <w:t>FORM OF ACKNOWLEDGMENT AGREEMENT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PERTAINING TO THE IMMUNEERING CORPORATION POLICY FOR RECOVERY OF ERRONEOUSLY</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AWARDED COMPENSATION</w:t>
      </w:r>
    </w:p>
    <w:p>
      <w:pPr>
        <w:sectPr>
          <w:pgSz w:w="11900" w:h="16838" w:orient="portrait"/>
          <w:cols w:equalWidth="0" w:num="1">
            <w:col w:w="11020"/>
          </w:cols>
          <w:pgMar w:left="440" w:top="1431" w:right="439" w:bottom="1440" w:gutter="0" w:footer="0" w:header="0"/>
        </w:sectPr>
      </w:pPr>
    </w:p>
    <w:p>
      <w:pPr>
        <w:spacing w:after="0" w:line="155"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In consideration of, and as a condition Immuneering Corporation (the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-168275</wp:posOffset>
            </wp:positionV>
            <wp:extent cx="2311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right"/>
        <w:spacing w:after="0" w:line="236" w:lineRule="auto"/>
        <w:rPr>
          <w:sz w:val="20"/>
          <w:szCs w:val="20"/>
          <w:color w:val="auto"/>
        </w:rPr>
      </w:pPr>
      <w:r>
        <w:rPr>
          <w:rFonts w:ascii="Times New Roman" w:cs="Times New Roman" w:eastAsia="Times New Roman" w:hAnsi="Times New Roman"/>
          <w:sz w:val="22"/>
          <w:szCs w:val="22"/>
          <w:color w:val="auto"/>
        </w:rPr>
        <w:t>to, the receipt of future cash and equity incentive compensation from (“Executive”) and the Company are entering into this Acknowledgment</w:t>
      </w:r>
    </w:p>
    <w:p>
      <w:pPr>
        <w:spacing w:after="0" w:line="365" w:lineRule="exact"/>
        <w:rPr>
          <w:sz w:val="20"/>
          <w:szCs w:val="20"/>
          <w:color w:val="auto"/>
        </w:rPr>
      </w:pPr>
    </w:p>
    <w:p>
      <w:pPr>
        <w:sectPr>
          <w:pgSz w:w="11900" w:h="16838" w:orient="portrait"/>
          <w:cols w:equalWidth="0" w:num="2">
            <w:col w:w="4320" w:space="120"/>
            <w:col w:w="6580"/>
          </w:cols>
          <w:pgMar w:left="440" w:top="1431" w:right="439" w:bottom="1440" w:gutter="0" w:footer="0" w:header="0"/>
          <w:type w:val="continuous"/>
        </w:sectPr>
      </w:pPr>
    </w:p>
    <w:p>
      <w:pPr>
        <w:jc w:val="both"/>
        <w:ind w:left="640" w:right="40" w:hanging="320"/>
        <w:spacing w:after="0" w:line="220" w:lineRule="auto"/>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received by Executive may be subject to reduction, cancellation, forfeiture and/or recoupment to the extent necessary to comply with the Policy for Recovery of Erroneously Awarded Compensation adopted by the Board of Directors of the Company (as amended from time to time, the “Policy”). Executive acknowledges that Executive has received and has had an opportunity to review the Policy.</w:t>
      </w:r>
    </w:p>
    <w:p>
      <w:pPr>
        <w:spacing w:after="0" w:line="165" w:lineRule="exact"/>
        <w:rPr>
          <w:rFonts w:ascii="Times New Roman" w:cs="Times New Roman" w:eastAsia="Times New Roman" w:hAnsi="Times New Roman"/>
          <w:sz w:val="22"/>
          <w:szCs w:val="22"/>
          <w:color w:val="auto"/>
        </w:rPr>
      </w:pPr>
    </w:p>
    <w:p>
      <w:pPr>
        <w:ind w:left="640" w:right="60" w:hanging="320"/>
        <w:spacing w:after="0" w:line="271" w:lineRule="auto"/>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including that any Incentive-Based Compensation (as defined in the Policy) received by Executive shall be subject to and conditioned upon the provisions of the Policy.</w:t>
      </w:r>
    </w:p>
    <w:p>
      <w:pPr>
        <w:spacing w:after="0" w:line="130" w:lineRule="exact"/>
        <w:rPr>
          <w:rFonts w:ascii="Times New Roman" w:cs="Times New Roman" w:eastAsia="Times New Roman" w:hAnsi="Times New Roman"/>
          <w:sz w:val="22"/>
          <w:szCs w:val="22"/>
          <w:color w:val="auto"/>
        </w:rPr>
      </w:pPr>
    </w:p>
    <w:p>
      <w:pPr>
        <w:jc w:val="both"/>
        <w:ind w:left="640" w:right="40" w:hanging="320"/>
        <w:spacing w:after="0" w:line="225" w:lineRule="auto"/>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and expressly waives any rights to such indemnification under the Company’s organizational documents or otherwise.</w:t>
      </w:r>
    </w:p>
    <w:p>
      <w:pPr>
        <w:spacing w:after="0" w:line="152" w:lineRule="exact"/>
        <w:rPr>
          <w:rFonts w:ascii="Times New Roman" w:cs="Times New Roman" w:eastAsia="Times New Roman" w:hAnsi="Times New Roman"/>
          <w:sz w:val="22"/>
          <w:szCs w:val="22"/>
          <w:color w:val="auto"/>
        </w:rPr>
      </w:pPr>
    </w:p>
    <w:p>
      <w:pPr>
        <w:jc w:val="both"/>
        <w:ind w:left="640" w:right="60" w:hanging="320"/>
        <w:spacing w:after="0" w:line="225" w:lineRule="auto"/>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(including, without limitation, any reduction, cancellation, forfeiture or recoupment of any compensation that Executive has received or to which Executive may become entitled).</w:t>
      </w:r>
    </w:p>
    <w:p>
      <w:pPr>
        <w:spacing w:after="0" w:line="152" w:lineRule="exact"/>
        <w:rPr>
          <w:rFonts w:ascii="Times New Roman" w:cs="Times New Roman" w:eastAsia="Times New Roman" w:hAnsi="Times New Roman"/>
          <w:sz w:val="22"/>
          <w:szCs w:val="22"/>
          <w:color w:val="auto"/>
        </w:rPr>
      </w:pPr>
    </w:p>
    <w:p>
      <w:pPr>
        <w:jc w:val="both"/>
        <w:ind w:left="640" w:right="40" w:hanging="321"/>
        <w:spacing w:after="0" w:line="217" w:lineRule="auto"/>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conflicts with any other contractual rights Executive may have with the Company or any affiliate, Executive understands that the terms of the Policy shall supersede any such contractual rights. Executive agrees that no recovery of compensation under the Policy will be an event that triggers or contributes to any right of Executive to resign for “good reason” or “constructive termination” (or similar term) under any agreement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020"/>
          </w:cols>
          <w:pgMar w:left="440" w:top="1431" w:right="439" w:bottom="1440" w:gutter="0" w:footer="0" w:header="0"/>
          <w:type w:val="continuous"/>
        </w:sectPr>
      </w:pPr>
    </w:p>
    <w:bookmarkStart w:id="200" w:name="page201"/>
    <w:bookmarkEnd w:id="200"/>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27514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742950</wp:posOffset>
            </wp:positionV>
            <wp:extent cx="27514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725805</wp:posOffset>
            </wp:positionV>
            <wp:extent cx="2743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871220</wp:posOffset>
            </wp:positionV>
            <wp:extent cx="21342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IMMUNEERING CORPORATION</w:t>
      </w:r>
    </w:p>
    <w:p>
      <w:pPr>
        <w:sectPr>
          <w:pgSz w:w="11900" w:h="16838" w:orient="portrait"/>
          <w:cols w:equalWidth="0" w:num="1">
            <w:col w:w="10019"/>
          </w:cols>
          <w:pgMar w:left="440" w:top="1440" w:right="1440" w:bottom="1440" w:gutter="0" w:footer="0" w:header="0"/>
        </w:sectPr>
      </w:pPr>
    </w:p>
    <w:bookmarkStart w:id="201" w:name="page202"/>
    <w:bookmarkEnd w:id="201"/>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285115</wp:posOffset>
            </wp:positionH>
            <wp:positionV relativeFrom="page">
              <wp:posOffset>106045</wp:posOffset>
            </wp:positionV>
            <wp:extent cx="27432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743200" cy="825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742950</wp:posOffset>
            </wp:positionV>
            <wp:extent cx="27432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742950</wp:posOffset>
            </wp:positionV>
            <wp:extent cx="27432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742950</wp:posOffset>
            </wp:positionV>
            <wp:extent cx="27432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Officer Acknowledgement]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9019"/>
      </w:cols>
      <w:pgMar w:left="1440" w:top="1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1)"/>
      <w:numFmt w:val="lowerLetter"/>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1."/>
      <w:numFmt w:val="upperLetter"/>
      <w:start w:val="1"/>
    </w:lvl>
  </w:abstractNum>
  <w:abstractNum w:abstractNumId="62">
    <w:nsid w:val="1FBFE8E0"/>
    <w:multiLevelType w:val="hybridMultilevel"/>
    <w:lvl w:ilvl="0">
      <w:lvlJc w:val="left"/>
      <w:lvlText w:val="%1."/>
      <w:numFmt w:val="decimal"/>
      <w:start w:val="1"/>
    </w:lvl>
    <w:lvl w:ilvl="1">
      <w:lvlJc w:val="left"/>
      <w:lvlText w:val="(%2)"/>
      <w:numFmt w:val="lowerLetter"/>
      <w:start w:val="1"/>
    </w:lvl>
  </w:abstractNum>
  <w:abstractNum w:abstractNumId="63">
    <w:nsid w:val="5092CA79"/>
    <w:multiLevelType w:val="hybridMultilevel"/>
    <w:lvl w:ilvl="0">
      <w:lvlJc w:val="left"/>
      <w:lvlText w:val="%1."/>
      <w:numFmt w:val="decimal"/>
      <w:start w:val="2"/>
    </w:lvl>
    <w:lvl w:ilvl="1">
      <w:lvlJc w:val="left"/>
      <w:lvlText w:val="(%2)"/>
      <w:numFmt w:val="lowerLetter"/>
      <w:start w:val="1"/>
    </w:lvl>
  </w:abstractNum>
  <w:abstractNum w:abstractNumId="64">
    <w:nsid w:val="1D545C4D"/>
    <w:multiLevelType w:val="hybridMultilevel"/>
    <w:lvl w:ilvl="0">
      <w:lvlJc w:val="left"/>
      <w:lvlText w:val="(%1)"/>
      <w:numFmt w:val="lowerLetter"/>
      <w:start w:val="3"/>
    </w:lvl>
  </w:abstractNum>
  <w:abstractNum w:abstractNumId="65">
    <w:nsid w:val="59ADEA3D"/>
    <w:multiLevelType w:val="hybridMultilevel"/>
    <w:lvl w:ilvl="0">
      <w:lvlJc w:val="left"/>
      <w:lvlText w:val="(%1)"/>
      <w:numFmt w:val="lowerLetter"/>
      <w:start w:val="6"/>
    </w:lvl>
  </w:abstractNum>
  <w:abstractNum w:abstractNumId="66">
    <w:nsid w:val="288F1A34"/>
    <w:multiLevelType w:val="hybridMultilevel"/>
    <w:lvl w:ilvl="0">
      <w:lvlJc w:val="left"/>
      <w:lvlText w:val="%1."/>
      <w:numFmt w:val="decimal"/>
      <w:start w:val="3"/>
    </w:lvl>
  </w:abstractNum>
  <w:abstractNum w:abstractNumId="67">
    <w:nsid w:val="2A155DBC"/>
    <w:multiLevelType w:val="hybridMultilevel"/>
    <w:lvl w:ilvl="0">
      <w:lvlJc w:val="left"/>
      <w:lvlText w:val="(%1)"/>
      <w:numFmt w:val="lowerLetter"/>
      <w:start w:val="1"/>
    </w:lvl>
    <w:lvl w:ilvl="1">
      <w:lvlJc w:val="left"/>
      <w:lvlText w:val="(%2)"/>
      <w:numFmt w:val="lowerRoman"/>
      <w:start w:val="1"/>
    </w:lvl>
  </w:abstractNum>
  <w:abstractNum w:abstractNumId="68">
    <w:nsid w:val="1D9F6E5F"/>
    <w:multiLevelType w:val="hybridMultilevel"/>
    <w:lvl w:ilvl="0">
      <w:lvlJc w:val="left"/>
      <w:lvlText w:val="%1"/>
      <w:numFmt w:val="decimal"/>
      <w:start w:val="1"/>
    </w:lvl>
    <w:lvl w:ilvl="1">
      <w:lvlJc w:val="left"/>
      <w:lvlText w:val="(%2)"/>
      <w:numFmt w:val="lowerLetter"/>
      <w:start w:val="4"/>
    </w:lvl>
  </w:abstractNum>
  <w:abstractNum w:abstractNumId="69">
    <w:nsid w:val="97E1B4E"/>
    <w:multiLevelType w:val="hybridMultilevel"/>
    <w:lvl w:ilvl="0">
      <w:lvlJc w:val="left"/>
      <w:lvlText w:val="%1."/>
      <w:numFmt w:val="decimal"/>
      <w:start w:val="4"/>
    </w:lvl>
    <w:lvl w:ilvl="1">
      <w:lvlJc w:val="left"/>
      <w:lvlText w:val="(%2)"/>
      <w:numFmt w:val="lowerLetter"/>
      <w:start w:val="1"/>
    </w:lvl>
  </w:abstractNum>
  <w:abstractNum w:abstractNumId="70">
    <w:nsid w:val="51088277"/>
    <w:multiLevelType w:val="hybridMultilevel"/>
    <w:lvl w:ilvl="0">
      <w:lvlJc w:val="left"/>
      <w:lvlText w:val="(%1)"/>
      <w:numFmt w:val="lowerRoman"/>
      <w:start w:val="1"/>
    </w:lvl>
  </w:abstractNum>
  <w:abstractNum w:abstractNumId="71">
    <w:nsid w:val="1CA0C5FA"/>
    <w:multiLevelType w:val="hybridMultilevel"/>
    <w:lvl w:ilvl="0">
      <w:lvlJc w:val="left"/>
      <w:lvlText w:val="(%1)"/>
      <w:numFmt w:val="lowerLetter"/>
      <w:start w:val="3"/>
    </w:lvl>
    <w:lvl w:ilvl="1">
      <w:lvlJc w:val="left"/>
      <w:lvlText w:val="(%2)"/>
      <w:numFmt w:val="lowerRoman"/>
      <w:start w:val="1"/>
    </w:lvl>
  </w:abstractNum>
  <w:abstractNum w:abstractNumId="72">
    <w:nsid w:val="53584BCB"/>
    <w:multiLevelType w:val="hybridMultilevel"/>
    <w:lvl w:ilvl="0">
      <w:lvlJc w:val="left"/>
      <w:lvlText w:val="%1"/>
      <w:numFmt w:val="lowerLetter"/>
      <w:start w:val="1"/>
    </w:lvl>
    <w:lvl w:ilvl="1">
      <w:lvlJc w:val="left"/>
      <w:lvlText w:val="(%2)"/>
      <w:numFmt w:val="lowerRoman"/>
      <w:start w:val="4"/>
    </w:lvl>
  </w:abstractNum>
  <w:abstractNum w:abstractNumId="73">
    <w:nsid w:val="415E286C"/>
    <w:multiLevelType w:val="hybridMultilevel"/>
    <w:lvl w:ilvl="0">
      <w:lvlJc w:val="left"/>
      <w:lvlText w:val="(%1)"/>
      <w:numFmt w:val="lowerLetter"/>
      <w:start w:val="4"/>
    </w:lvl>
    <w:lvl w:ilvl="1">
      <w:lvlJc w:val="left"/>
      <w:lvlText w:val="%2"/>
      <w:numFmt w:val="lowerRoman"/>
      <w:start w:val="1"/>
    </w:lvl>
  </w:abstractNum>
  <w:abstractNum w:abstractNumId="74">
    <w:nsid w:val="7C58FD05"/>
    <w:multiLevelType w:val="hybridMultilevel"/>
    <w:lvl w:ilvl="0">
      <w:lvlJc w:val="left"/>
      <w:lvlText w:val="%1."/>
      <w:numFmt w:val="decimal"/>
      <w:start w:val="5"/>
    </w:lvl>
  </w:abstractNum>
  <w:abstractNum w:abstractNumId="75">
    <w:nsid w:val="23D86A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6">
    <w:nsid w:val="45E6D486"/>
    <w:multiLevelType w:val="hybridMultilevel"/>
    <w:lvl w:ilvl="0">
      <w:lvlJc w:val="left"/>
      <w:lvlText w:val="%1"/>
      <w:numFmt w:val="decimal"/>
      <w:start w:val="1"/>
    </w:lvl>
    <w:lvl w:ilvl="1">
      <w:lvlJc w:val="left"/>
      <w:lvlText w:val="(%2)"/>
      <w:numFmt w:val="lowerLetter"/>
      <w:start w:val="3"/>
    </w:lvl>
  </w:abstractNum>
  <w:abstractNum w:abstractNumId="77">
    <w:nsid w:val="5C10FE21"/>
    <w:multiLevelType w:val="hybridMultilevel"/>
    <w:lvl w:ilvl="0">
      <w:lvlJc w:val="left"/>
      <w:lvlText w:val="%1."/>
      <w:numFmt w:val="decimal"/>
      <w:start w:val="8"/>
    </w:lvl>
    <w:lvl w:ilvl="1">
      <w:lvlJc w:val="left"/>
      <w:lvlText w:val="(%2)"/>
      <w:numFmt w:val="lowerLetter"/>
      <w:start w:val="1"/>
    </w:lvl>
  </w:abstractNum>
  <w:abstractNum w:abstractNumId="78">
    <w:nsid w:val="E7FFA2B"/>
    <w:multiLevelType w:val="hybridMultilevel"/>
    <w:lvl w:ilvl="0">
      <w:lvlJc w:val="left"/>
      <w:lvlText w:val="%1"/>
      <w:numFmt w:val="lowerLetter"/>
      <w:start w:val="1"/>
    </w:lvl>
    <w:lvl w:ilvl="1">
      <w:lvlJc w:val="left"/>
      <w:lvlText w:val="(%2)"/>
      <w:numFmt w:val="lowerLetter"/>
      <w:start w:val="2"/>
    </w:lvl>
  </w:abstractNum>
  <w:abstractNum w:abstractNumId="79">
    <w:nsid w:val="3C5991AA"/>
    <w:multiLevelType w:val="hybridMultilevel"/>
    <w:lvl w:ilvl="0">
      <w:lvlJc w:val="left"/>
      <w:lvlText w:val="(%1)"/>
      <w:numFmt w:val="lowerLetter"/>
      <w:start w:val="35"/>
    </w:lvl>
    <w:lvl w:ilvl="1">
      <w:lvlJc w:val="left"/>
      <w:lvlText w:val="%2"/>
      <w:numFmt w:val="lowerLetter"/>
      <w:start w:val="1"/>
    </w:lvl>
  </w:abstractNum>
  <w:abstractNum w:abstractNumId="80">
    <w:nsid w:val="4BD8591A"/>
    <w:multiLevelType w:val="hybridMultilevel"/>
    <w:lvl w:ilvl="0">
      <w:lvlJc w:val="left"/>
      <w:lvlText w:val="(%1)"/>
      <w:numFmt w:val="lowerLetter"/>
      <w:start w:val="61"/>
    </w:lvl>
    <w:lvl w:ilvl="1">
      <w:lvlJc w:val="left"/>
      <w:lvlText w:val="(%2)"/>
      <w:numFmt w:val="lowerLetter"/>
      <w:start w:val="3"/>
    </w:lvl>
  </w:abstractNum>
  <w:abstractNum w:abstractNumId="81">
    <w:nsid w:val="78DF6A55"/>
    <w:multiLevelType w:val="hybridMultilevel"/>
    <w:lvl w:ilvl="0">
      <w:lvlJc w:val="left"/>
      <w:lvlText w:val="%1."/>
      <w:numFmt w:val="decimal"/>
      <w:start w:val="9"/>
    </w:lvl>
    <w:lvl w:ilvl="1">
      <w:lvlJc w:val="left"/>
      <w:lvlText w:val="(%2)"/>
      <w:numFmt w:val="lowerLetter"/>
      <w:start w:val="1"/>
    </w:lvl>
  </w:abstractNum>
  <w:abstractNum w:abstractNumId="82">
    <w:nsid w:val="39B7AAA2"/>
    <w:multiLevelType w:val="hybridMultilevel"/>
    <w:lvl w:ilvl="0">
      <w:lvlJc w:val="left"/>
      <w:lvlText w:val="%1"/>
      <w:numFmt w:val="lowerLetter"/>
      <w:start w:val="1"/>
    </w:lvl>
    <w:lvl w:ilvl="1">
      <w:lvlJc w:val="left"/>
      <w:lvlText w:val="(%2)"/>
      <w:numFmt w:val="lowerRoman"/>
      <w:start w:val="1"/>
    </w:lvl>
  </w:abstractNum>
  <w:abstractNum w:abstractNumId="83">
    <w:nsid w:val="2B0D8DBE"/>
    <w:multiLevelType w:val="hybridMultilevel"/>
    <w:lvl w:ilvl="0">
      <w:lvlJc w:val="left"/>
      <w:lvlText w:val="(%1)"/>
      <w:numFmt w:val="lowerLetter"/>
      <w:start w:val="4"/>
    </w:lvl>
    <w:lvl w:ilvl="1">
      <w:lvlJc w:val="left"/>
      <w:lvlText w:val="%2"/>
      <w:numFmt w:val="lowerRoman"/>
      <w:start w:val="1"/>
    </w:lvl>
  </w:abstractNum>
  <w:abstractNum w:abstractNumId="84">
    <w:nsid w:val="6C80EC70"/>
    <w:multiLevelType w:val="hybridMultilevel"/>
    <w:lvl w:ilvl="0">
      <w:lvlJc w:val="left"/>
      <w:lvlText w:val="(%1)"/>
      <w:numFmt w:val="lowerLetter"/>
      <w:start w:val="9"/>
    </w:lvl>
    <w:lvl w:ilvl="1">
      <w:lvlJc w:val="left"/>
      <w:lvlText w:val="(%2)"/>
      <w:numFmt w:val="lowerRoman"/>
      <w:start w:val="1"/>
    </w:lvl>
  </w:abstractNum>
  <w:abstractNum w:abstractNumId="85">
    <w:nsid w:val="379E21B5"/>
    <w:multiLevelType w:val="hybridMultilevel"/>
    <w:lvl w:ilvl="0">
      <w:lvlJc w:val="left"/>
      <w:lvlText w:val="%1"/>
      <w:numFmt w:val="decimal"/>
      <w:start w:val="1"/>
    </w:lvl>
    <w:lvl w:ilvl="1">
      <w:lvlJc w:val="left"/>
      <w:lvlText w:val="(%2)"/>
      <w:numFmt w:val="lowerRoman"/>
      <w:start w:val="3"/>
    </w:lvl>
  </w:abstractNum>
  <w:abstractNum w:abstractNumId="86">
    <w:nsid w:val="69E373"/>
    <w:multiLevelType w:val="hybridMultilevel"/>
    <w:lvl w:ilvl="0">
      <w:lvlJc w:val="left"/>
      <w:lvlText w:val="%1."/>
      <w:numFmt w:val="decimal"/>
      <w:start w:val="10"/>
    </w:lvl>
    <w:lvl w:ilvl="1">
      <w:lvlJc w:val="left"/>
      <w:lvlText w:val="%2"/>
      <w:numFmt w:val="lowerRoman"/>
      <w:start w:val="1"/>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lowerLetter"/>
      <w:start w:val="1"/>
    </w:lvl>
  </w:abstractNum>
  <w:abstractNum w:abstractNumId="89">
    <w:nsid w:val="6AA7B75C"/>
    <w:multiLevelType w:val="hybridMultilevel"/>
    <w:lvl w:ilvl="0">
      <w:lvlJc w:val="left"/>
      <w:lvlText w:val="%1."/>
      <w:numFmt w:val="decimal"/>
      <w:start w:val="3"/>
    </w:lvl>
    <w:lvl w:ilvl="1">
      <w:lvlJc w:val="left"/>
      <w:lvlText w:val="(%2)"/>
      <w:numFmt w:val="lowerLetter"/>
      <w:start w:val="1"/>
    </w:lvl>
  </w:abstractNum>
  <w:abstractNum w:abstractNumId="90">
    <w:nsid w:val="1DF029D3"/>
    <w:multiLevelType w:val="hybridMultilevel"/>
    <w:lvl w:ilvl="0">
      <w:lvlJc w:val="left"/>
      <w:lvlText w:val="%1."/>
      <w:numFmt w:val="decimal"/>
      <w:start w:val="6"/>
    </w:lvl>
  </w:abstractNum>
  <w:abstractNum w:abstractNumId="91">
    <w:nsid w:val="5675FF36"/>
    <w:multiLevelType w:val="hybridMultilevel"/>
    <w:lvl w:ilvl="0">
      <w:lvlJc w:val="left"/>
      <w:lvlText w:val="%1."/>
      <w:numFmt w:val="decimal"/>
      <w:start w:val="7"/>
    </w:lvl>
  </w:abstractNum>
  <w:abstractNum w:abstractNumId="92">
    <w:nsid w:val="3DD15094"/>
    <w:multiLevelType w:val="hybridMultilevel"/>
    <w:lvl w:ilvl="0">
      <w:lvlJc w:val="left"/>
      <w:lvlText w:val="%1."/>
      <w:numFmt w:val="upperLetter"/>
      <w:start w:val="1"/>
    </w:lvl>
  </w:abstractNum>
  <w:abstractNum w:abstractNumId="93">
    <w:nsid w:val="3DB012B3"/>
    <w:multiLevelType w:val="hybridMultilevel"/>
    <w:lvl w:ilvl="0">
      <w:lvlJc w:val="left"/>
      <w:lvlText w:val="%1."/>
      <w:numFmt w:val="decimal"/>
      <w:start w:val="1"/>
    </w:lvl>
    <w:lvl w:ilvl="1">
      <w:lvlJc w:val="left"/>
      <w:lvlText w:val="(%2)"/>
      <w:numFmt w:val="lowerLetter"/>
      <w:start w:val="1"/>
    </w:lvl>
  </w:abstractNum>
  <w:abstractNum w:abstractNumId="94">
    <w:nsid w:val="2708C9AF"/>
    <w:multiLevelType w:val="hybridMultilevel"/>
    <w:lvl w:ilvl="0">
      <w:lvlJc w:val="left"/>
      <w:lvlText w:val="%1."/>
      <w:numFmt w:val="decimal"/>
      <w:start w:val="2"/>
    </w:lvl>
  </w:abstractNum>
  <w:abstractNum w:abstractNumId="95">
    <w:nsid w:val="5B25ACE2"/>
    <w:multiLevelType w:val="hybridMultilevel"/>
    <w:lvl w:ilvl="0">
      <w:lvlJc w:val="left"/>
      <w:lvlText w:val="(%1)"/>
      <w:numFmt w:val="lowerLetter"/>
      <w:start w:val="1"/>
    </w:lvl>
  </w:abstractNum>
  <w:abstractNum w:abstractNumId="96">
    <w:nsid w:val="175DFCF0"/>
    <w:multiLevelType w:val="hybridMultilevel"/>
    <w:lvl w:ilvl="0">
      <w:lvlJc w:val="left"/>
      <w:lvlText w:val="(%1)"/>
      <w:numFmt w:val="lowerLetter"/>
      <w:start w:val="2"/>
    </w:lvl>
  </w:abstractNum>
  <w:abstractNum w:abstractNumId="97">
    <w:nsid w:val="4F97E3E4"/>
    <w:multiLevelType w:val="hybridMultilevel"/>
    <w:lvl w:ilvl="0">
      <w:lvlJc w:val="left"/>
      <w:lvlText w:val="(%1)"/>
      <w:numFmt w:val="lowerLetter"/>
      <w:start w:val="5"/>
    </w:lvl>
  </w:abstractNum>
  <w:abstractNum w:abstractNumId="98">
    <w:nsid w:val="53B0A9E"/>
    <w:multiLevelType w:val="hybridMultilevel"/>
    <w:lvl w:ilvl="0">
      <w:lvlJc w:val="left"/>
      <w:lvlText w:val="%1."/>
      <w:numFmt w:val="decimal"/>
      <w:start w:val="3"/>
    </w:lvl>
  </w:abstractNum>
  <w:abstractNum w:abstractNumId="99">
    <w:nsid w:val="34FD6B4F"/>
    <w:multiLevelType w:val="hybridMultilevel"/>
    <w:lvl w:ilvl="0">
      <w:lvlJc w:val="left"/>
      <w:lvlText w:val="(%1)"/>
      <w:numFmt w:val="lowerLetter"/>
      <w:start w:val="1"/>
    </w:lvl>
    <w:lvl w:ilvl="1">
      <w:lvlJc w:val="left"/>
      <w:lvlText w:val="(%2)"/>
      <w:numFmt w:val="lowerRoman"/>
      <w:start w:val="1"/>
    </w:lvl>
  </w:abstractNum>
  <w:abstractNum w:abstractNumId="100">
    <w:nsid w:val="5915FF32"/>
    <w:multiLevelType w:val="hybridMultilevel"/>
    <w:lvl w:ilvl="0">
      <w:lvlJc w:val="left"/>
      <w:lvlText w:val="%1"/>
      <w:numFmt w:val="decimal"/>
      <w:start w:val="1"/>
    </w:lvl>
    <w:lvl w:ilvl="1">
      <w:lvlJc w:val="left"/>
      <w:lvlText w:val="(%2)"/>
      <w:numFmt w:val="lowerLetter"/>
      <w:start w:val="4"/>
    </w:lvl>
  </w:abstractNum>
  <w:abstractNum w:abstractNumId="101">
    <w:nsid w:val="56438D15"/>
    <w:multiLevelType w:val="hybridMultilevel"/>
    <w:lvl w:ilvl="0">
      <w:lvlJc w:val="left"/>
      <w:lvlText w:val="%1."/>
      <w:numFmt w:val="decimal"/>
      <w:start w:val="4"/>
    </w:lvl>
    <w:lvl w:ilvl="1">
      <w:lvlJc w:val="left"/>
      <w:lvlText w:val="(%2)"/>
      <w:numFmt w:val="lowerLetter"/>
      <w:start w:val="1"/>
    </w:lvl>
  </w:abstractNum>
  <w:abstractNum w:abstractNumId="102">
    <w:nsid w:val="519E3149"/>
    <w:multiLevelType w:val="hybridMultilevel"/>
    <w:lvl w:ilvl="0">
      <w:lvlJc w:val="left"/>
      <w:lvlText w:val="(%1)"/>
      <w:numFmt w:val="lowerRoman"/>
      <w:start w:val="1"/>
    </w:lvl>
  </w:abstractNum>
  <w:abstractNum w:abstractNumId="103">
    <w:nsid w:val="2C6E4AFD"/>
    <w:multiLevelType w:val="hybridMultilevel"/>
    <w:lvl w:ilvl="0">
      <w:lvlJc w:val="left"/>
      <w:lvlText w:val="(%1)"/>
      <w:numFmt w:val="lowerLetter"/>
      <w:start w:val="3"/>
    </w:lvl>
    <w:lvl w:ilvl="1">
      <w:lvlJc w:val="left"/>
      <w:lvlText w:val="(%2)"/>
      <w:numFmt w:val="lowerRoman"/>
      <w:start w:val="1"/>
    </w:lvl>
  </w:abstractNum>
  <w:abstractNum w:abstractNumId="104">
    <w:nsid w:val="17A1B582"/>
    <w:multiLevelType w:val="hybridMultilevel"/>
    <w:lvl w:ilvl="0">
      <w:lvlJc w:val="left"/>
      <w:lvlText w:val="%1"/>
      <w:numFmt w:val="lowerLetter"/>
      <w:start w:val="1"/>
    </w:lvl>
    <w:lvl w:ilvl="1">
      <w:lvlJc w:val="left"/>
      <w:lvlText w:val="(%2)"/>
      <w:numFmt w:val="lowerRoman"/>
      <w:start w:val="4"/>
    </w:lvl>
  </w:abstractNum>
  <w:abstractNum w:abstractNumId="105">
    <w:nsid w:val="4DF72E4E"/>
    <w:multiLevelType w:val="hybridMultilevel"/>
    <w:lvl w:ilvl="0">
      <w:lvlJc w:val="left"/>
      <w:lvlText w:val="(%1)"/>
      <w:numFmt w:val="lowerLetter"/>
      <w:start w:val="4"/>
    </w:lvl>
    <w:lvl w:ilvl="1">
      <w:lvlJc w:val="left"/>
      <w:lvlText w:val="%2"/>
      <w:numFmt w:val="lowerRoman"/>
      <w:start w:val="1"/>
    </w:lvl>
  </w:abstractNum>
  <w:abstractNum w:abstractNumId="106">
    <w:nsid w:val="5046B5A9"/>
    <w:multiLevelType w:val="hybridMultilevel"/>
    <w:lvl w:ilvl="0">
      <w:lvlJc w:val="left"/>
      <w:lvlText w:val="%1."/>
      <w:numFmt w:val="decimal"/>
      <w:start w:val="5"/>
    </w:lvl>
  </w:abstractNum>
  <w:abstractNum w:abstractNumId="107">
    <w:nsid w:val="5D888A08"/>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108">
    <w:nsid w:val="2A082C7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2"/>
    </w:lvl>
  </w:abstractNum>
  <w:abstractNum w:abstractNumId="109">
    <w:nsid w:val="5EC6AFD4"/>
    <w:multiLevelType w:val="hybridMultilevel"/>
    <w:lvl w:ilvl="0">
      <w:lvlJc w:val="left"/>
      <w:lvlText w:val="(%1)"/>
      <w:numFmt w:val="lowerLetter"/>
      <w:start w:val="2"/>
    </w:lvl>
  </w:abstractNum>
  <w:abstractNum w:abstractNumId="110">
    <w:nsid w:val="19E21BB2"/>
    <w:multiLevelType w:val="hybridMultilevel"/>
    <w:lvl w:ilvl="0">
      <w:lvlJc w:val="left"/>
      <w:lvlText w:val="(%1)"/>
      <w:numFmt w:val="lowerRoman"/>
      <w:start w:val="1"/>
    </w:lvl>
  </w:abstractNum>
  <w:abstractNum w:abstractNumId="111">
    <w:nsid w:val="75E0858A"/>
    <w:multiLevelType w:val="hybridMultilevel"/>
    <w:lvl w:ilvl="0">
      <w:lvlJc w:val="left"/>
      <w:lvlText w:val="%1."/>
      <w:numFmt w:val="decimal"/>
      <w:start w:val="8"/>
    </w:lvl>
    <w:lvl w:ilvl="1">
      <w:lvlJc w:val="left"/>
      <w:lvlText w:val="(%2)"/>
      <w:numFmt w:val="lowerLetter"/>
      <w:start w:val="1"/>
    </w:lvl>
  </w:abstractNum>
  <w:abstractNum w:abstractNumId="112">
    <w:nsid w:val="57A61A29"/>
    <w:multiLevelType w:val="hybridMultilevel"/>
    <w:lvl w:ilvl="0">
      <w:lvlJc w:val="left"/>
      <w:lvlText w:val="%1"/>
      <w:numFmt w:val="lowerRoman"/>
      <w:start w:val="1"/>
    </w:lvl>
    <w:lvl w:ilvl="1">
      <w:lvlJc w:val="left"/>
      <w:lvlText w:val="(%2)"/>
      <w:numFmt w:val="lowerLetter"/>
      <w:start w:val="2"/>
    </w:lvl>
  </w:abstractNum>
  <w:abstractNum w:abstractNumId="113">
    <w:nsid w:val="5399C654"/>
    <w:multiLevelType w:val="hybridMultilevel"/>
    <w:lvl w:ilvl="0">
      <w:lvlJc w:val="left"/>
      <w:lvlText w:val="(%1)"/>
      <w:numFmt w:val="lowerRoman"/>
      <w:start w:val="2"/>
    </w:lvl>
    <w:lvl w:ilvl="1">
      <w:lvlJc w:val="left"/>
      <w:lvlText w:val="(%2)"/>
      <w:numFmt w:val="lowerLetter"/>
      <w:start w:val="3"/>
    </w:lvl>
  </w:abstractNum>
  <w:abstractNum w:abstractNumId="114">
    <w:nsid w:val="20EE1348"/>
    <w:multiLevelType w:val="hybridMultilevel"/>
    <w:lvl w:ilvl="0">
      <w:lvlJc w:val="left"/>
      <w:lvlText w:val="%1."/>
      <w:numFmt w:val="decimal"/>
      <w:start w:val="9"/>
    </w:lvl>
    <w:lvl w:ilvl="1">
      <w:lvlJc w:val="left"/>
      <w:lvlText w:val="(%2)"/>
      <w:numFmt w:val="lowerLetter"/>
      <w:start w:val="1"/>
    </w:lvl>
  </w:abstractNum>
  <w:abstractNum w:abstractNumId="115">
    <w:nsid w:val="4427069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6">
    <w:nsid w:val="B37E80A"/>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117">
    <w:nsid w:val="2157F6BC"/>
    <w:multiLevelType w:val="hybridMultilevel"/>
    <w:lvl w:ilvl="0">
      <w:lvlJc w:val="left"/>
      <w:lvlText w:val="(%1)"/>
      <w:numFmt w:val="lowerLetter"/>
      <w:start w:val="8"/>
    </w:lvl>
    <w:lvl w:ilvl="1">
      <w:lvlJc w:val="left"/>
      <w:lvlText w:val="(%2)"/>
      <w:numFmt w:val="lowerRoman"/>
      <w:start w:val="1"/>
    </w:lvl>
  </w:abstractNum>
  <w:abstractNum w:abstractNumId="118">
    <w:nsid w:val="704E1DD5"/>
    <w:multiLevelType w:val="hybridMultilevel"/>
    <w:lvl w:ilvl="0">
      <w:lvlJc w:val="left"/>
      <w:lvlText w:val="%1"/>
      <w:numFmt w:val="decimal"/>
      <w:start w:val="1"/>
    </w:lvl>
    <w:lvl w:ilvl="1">
      <w:lvlJc w:val="left"/>
      <w:lvlText w:val="(%2)"/>
      <w:numFmt w:val="lowerRoman"/>
      <w:start w:val="3"/>
    </w:lvl>
  </w:abstractNum>
  <w:abstractNum w:abstractNumId="119">
    <w:nsid w:val="57D2F10E"/>
    <w:multiLevelType w:val="hybridMultilevel"/>
    <w:lvl w:ilvl="0">
      <w:lvlJc w:val="left"/>
      <w:lvlText w:val="%1."/>
      <w:numFmt w:val="decimal"/>
      <w:start w:val="10"/>
    </w:lvl>
    <w:lvl w:ilvl="1">
      <w:lvlJc w:val="left"/>
      <w:lvlText w:val="%2"/>
      <w:numFmt w:val="lowerRoman"/>
      <w:start w:val="1"/>
    </w:lvl>
  </w:abstractNum>
  <w:abstractNum w:abstractNumId="120">
    <w:nsid w:val="BFFAE18"/>
    <w:multiLevelType w:val="hybridMultilevel"/>
    <w:lvl w:ilvl="0">
      <w:lvlJc w:val="left"/>
      <w:lvlText w:val="%1."/>
      <w:numFmt w:val="decimal"/>
      <w:start w:val="1"/>
    </w:lvl>
  </w:abstractNum>
  <w:abstractNum w:abstractNumId="121">
    <w:nsid w:val="E3E47A8"/>
    <w:multiLevelType w:val="hybridMultilevel"/>
    <w:lvl w:ilvl="0">
      <w:lvlJc w:val="left"/>
      <w:lvlText w:val="(%1)"/>
      <w:numFmt w:val="lowerLetter"/>
      <w:start w:val="1"/>
    </w:lvl>
  </w:abstractNum>
  <w:abstractNum w:abstractNumId="122">
    <w:nsid w:val="2E48F044"/>
    <w:multiLevelType w:val="hybridMultilevel"/>
    <w:lvl w:ilvl="0">
      <w:lvlJc w:val="left"/>
      <w:lvlText w:val="%1."/>
      <w:numFmt w:val="decimal"/>
      <w:start w:val="3"/>
    </w:lvl>
    <w:lvl w:ilvl="1">
      <w:lvlJc w:val="left"/>
      <w:lvlText w:val="(%2)"/>
      <w:numFmt w:val="lowerLetter"/>
      <w:start w:val="1"/>
    </w:lvl>
  </w:abstractNum>
  <w:abstractNum w:abstractNumId="123">
    <w:nsid w:val="49D0FEAC"/>
    <w:multiLevelType w:val="hybridMultilevel"/>
    <w:lvl w:ilvl="0">
      <w:lvlJc w:val="left"/>
      <w:lvlText w:val="%1."/>
      <w:numFmt w:val="decimal"/>
      <w:start w:val="6"/>
    </w:lvl>
  </w:abstractNum>
  <w:abstractNum w:abstractNumId="124">
    <w:nsid w:val="4BEE5A5B"/>
    <w:multiLevelType w:val="hybridMultilevel"/>
    <w:lvl w:ilvl="0">
      <w:lvlJc w:val="left"/>
      <w:lvlText w:val="%1."/>
      <w:numFmt w:val="decimal"/>
      <w:start w:val="7"/>
    </w:lvl>
  </w:abstractNum>
  <w:abstractNum w:abstractNumId="125">
    <w:nsid w:val="5551B9F3"/>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26">
    <w:nsid w:val="24F6AB8E"/>
    <w:multiLevelType w:val="hybridMultilevel"/>
    <w:lvl w:ilvl="0">
      <w:lvlJc w:val="left"/>
      <w:lvlText w:val="%1."/>
      <w:numFmt w:val="upperLetter"/>
      <w:start w:val="3"/>
    </w:lvl>
    <w:lvl w:ilvl="1">
      <w:lvlJc w:val="left"/>
      <w:lvlText w:val="%2."/>
      <w:numFmt w:val="decimal"/>
      <w:start w:val="1"/>
    </w:lvl>
  </w:abstractNum>
  <w:abstractNum w:abstractNumId="127">
    <w:nsid w:val="634C574C"/>
    <w:multiLevelType w:val="hybridMultilevel"/>
    <w:lvl w:ilvl="0">
      <w:lvlJc w:val="left"/>
      <w:lvlText w:val="%1"/>
      <w:numFmt w:val="lowerLetter"/>
      <w:start w:val="1"/>
    </w:lvl>
    <w:lvl w:ilvl="1">
      <w:lvlJc w:val="left"/>
      <w:lvlText w:val="%2."/>
      <w:numFmt w:val="decimal"/>
      <w:start w:val="3"/>
    </w:lvl>
  </w:abstractNum>
  <w:abstractNum w:abstractNumId="128">
    <w:nsid w:val="24E99DD7"/>
    <w:multiLevelType w:val="hybridMultilevel"/>
    <w:lvl w:ilvl="0">
      <w:lvlJc w:val="left"/>
      <w:lvlText w:val="(%1)"/>
      <w:numFmt w:val="lowerLetter"/>
      <w:start w:val="2"/>
    </w:lvl>
    <w:lvl w:ilvl="1">
      <w:lvlJc w:val="left"/>
      <w:lvlText w:val="%2."/>
      <w:numFmt w:val="decimal"/>
      <w:start w:val="4"/>
    </w:lvl>
  </w:abstractNum>
  <w:abstractNum w:abstractNumId="129">
    <w:nsid w:val="2A31B62D"/>
    <w:multiLevelType w:val="hybridMultilevel"/>
    <w:lvl w:ilvl="0">
      <w:lvlJc w:val="left"/>
      <w:lvlText w:val="%1."/>
      <w:numFmt w:val="upperLetter"/>
      <w:start w:val="35"/>
    </w:lvl>
  </w:abstractNum>
  <w:abstractNum w:abstractNumId="130">
    <w:nsid w:val="1849C29B"/>
    <w:multiLevelType w:val="hybridMultilevel"/>
    <w:lvl w:ilvl="0">
      <w:lvlJc w:val="left"/>
      <w:lvlText w:val="%1."/>
      <w:numFmt w:val="upperLetter"/>
      <w:start w:val="1"/>
    </w:lvl>
    <w:lvl w:ilvl="1">
      <w:lvlJc w:val="left"/>
      <w:lvlText w:val="%2."/>
      <w:numFmt w:val="decimal"/>
      <w:start w:val="1"/>
    </w:lvl>
  </w:abstractNum>
  <w:abstractNum w:abstractNumId="131">
    <w:nsid w:val="7DFF9D09"/>
    <w:multiLevelType w:val="hybridMultilevel"/>
    <w:lvl w:ilvl="0">
      <w:lvlJc w:val="left"/>
      <w:lvlText w:val="%1."/>
      <w:numFmt w:val="decimal"/>
      <w:start w:val="3"/>
    </w:lvl>
    <w:lvl w:ilvl="1">
      <w:lvlJc w:val="left"/>
      <w:lvlText w:val="*"/>
      <w:numFmt w:val="bullet"/>
      <w:start w:val="1"/>
    </w:lvl>
  </w:abstractNum>
  <w:abstractNum w:abstractNumId="132">
    <w:nsid w:val="754342"/>
    <w:multiLevelType w:val="hybridMultilevel"/>
    <w:lvl w:ilvl="0">
      <w:lvlJc w:val="left"/>
      <w:lvlText w:val="%1."/>
      <w:numFmt w:val="decimal"/>
      <w:start w:val="1"/>
    </w:lvl>
    <w:lvl w:ilvl="1">
      <w:lvlJc w:val="left"/>
      <w:lvlText w:val="(%2)"/>
      <w:numFmt w:val="lowerLetter"/>
      <w:start w:val="1"/>
    </w:lvl>
  </w:abstractNum>
  <w:abstractNum w:abstractNumId="133">
    <w:nsid w:val="69E7F3E5"/>
    <w:multiLevelType w:val="hybridMultilevel"/>
    <w:lvl w:ilvl="0">
      <w:lvlJc w:val="left"/>
      <w:lvlText w:val="%1."/>
      <w:numFmt w:val="decimal"/>
      <w:start w:val="1"/>
    </w:lvl>
    <w:lvl w:ilvl="1">
      <w:lvlJc w:val="left"/>
      <w:lvlText w:val="(%2)"/>
      <w:numFmt w:val="lowerLetter"/>
      <w:start w:val="1"/>
    </w:lvl>
  </w:abstractNum>
  <w:abstractNum w:abstractNumId="134">
    <w:nsid w:val="2A6DE806"/>
    <w:multiLevelType w:val="hybridMultilevel"/>
    <w:lvl w:ilvl="0">
      <w:lvlJc w:val="left"/>
      <w:lvlText w:val="(%1)"/>
      <w:numFmt w:val="decimal"/>
      <w:start w:val="1"/>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decimal"/>
      <w:start w:val="2"/>
    </w:lvl>
  </w:abstractNum>
  <w:abstractNum w:abstractNumId="138">
    <w:nsid w:val="759F82CD"/>
    <w:multiLevelType w:val="hybridMultilevel"/>
    <w:lvl w:ilvl="0">
      <w:lvlJc w:val="left"/>
      <w:lvlText w:val="%1."/>
      <w:numFmt w:val="decimal"/>
      <w:start w:val="3"/>
    </w:lvl>
  </w:abstractNum>
  <w:abstractNum w:abstractNumId="139">
    <w:nsid w:val="61E74EA3"/>
    <w:multiLevelType w:val="hybridMultilevel"/>
    <w:lvl w:ilvl="0">
      <w:lvlJc w:val="left"/>
      <w:lvlText w:val="%1."/>
      <w:numFmt w:val="decimal"/>
      <w:start w:val="4"/>
    </w:lvl>
  </w:abstractNum>
  <w:abstractNum w:abstractNumId="140">
    <w:nsid w:val="597B4D84"/>
    <w:multiLevelType w:val="hybridMultilevel"/>
    <w:lvl w:ilvl="0">
      <w:lvlJc w:val="left"/>
      <w:lvlText w:val="%1."/>
      <w:numFmt w:val="decimal"/>
      <w:start w:val="5"/>
    </w:lvl>
  </w:abstractNum>
  <w:abstractNum w:abstractNumId="141">
    <w:nsid w:val="F819E7F"/>
    <w:multiLevelType w:val="hybridMultilevel"/>
    <w:lvl w:ilvl="0">
      <w:lvlJc w:val="left"/>
      <w:lvlText w:val="%1."/>
      <w:numFmt w:val="decimal"/>
      <w:start w:val="6"/>
    </w:lvl>
  </w:abstractNum>
  <w:abstractNum w:abstractNumId="142">
    <w:nsid w:val="57C7D42D"/>
    <w:multiLevelType w:val="hybridMultilevel"/>
    <w:lvl w:ilvl="0">
      <w:lvlJc w:val="left"/>
      <w:lvlText w:val="%1."/>
      <w:numFmt w:val="decimal"/>
      <w:start w:val="7"/>
    </w:lvl>
  </w:abstractNum>
  <w:abstractNum w:abstractNumId="143">
    <w:nsid w:val="312167AD"/>
    <w:multiLevelType w:val="hybridMultilevel"/>
    <w:lvl w:ilvl="0">
      <w:lvlJc w:val="left"/>
      <w:lvlText w:val="%1."/>
      <w:numFmt w:val="decimal"/>
      <w:start w:val="8"/>
    </w:lvl>
  </w:abstractNum>
  <w:abstractNum w:abstractNumId="144">
    <w:nsid w:val="631B64D4"/>
    <w:multiLevelType w:val="hybridMultilevel"/>
    <w:lvl w:ilvl="0">
      <w:lvlJc w:val="left"/>
      <w:lvlText w:val="%1."/>
      <w:numFmt w:val="decimal"/>
      <w:start w:val="9"/>
    </w:lvl>
  </w:abstractNum>
  <w:abstractNum w:abstractNumId="145">
    <w:nsid w:val="78B5E776"/>
    <w:multiLevelType w:val="hybridMultilevel"/>
    <w:lvl w:ilvl="0">
      <w:lvlJc w:val="left"/>
      <w:lvlText w:val="%1."/>
      <w:numFmt w:val="decimal"/>
      <w:start w:val="10"/>
    </w:lvl>
  </w:abstractNum>
  <w:abstractNum w:abstractNumId="146">
    <w:nsid w:val="75486E47"/>
    <w:multiLevelType w:val="hybridMultilevel"/>
    <w:lvl w:ilvl="0">
      <w:lvlJc w:val="left"/>
      <w:lvlText w:val="%1."/>
      <w:numFmt w:val="decimal"/>
      <w:start w:val="11"/>
    </w:lvl>
  </w:abstractNum>
  <w:abstractNum w:abstractNumId="147">
    <w:nsid w:val="6E534CDE"/>
    <w:multiLevelType w:val="hybridMultilevel"/>
    <w:lvl w:ilvl="0">
      <w:lvlJc w:val="left"/>
      <w:lvlText w:val="(%1)"/>
      <w:numFmt w:val="lowerRoman"/>
      <w:start w:val="2"/>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jpeg"/><Relationship Id="rId210" Type="http://schemas.openxmlformats.org/officeDocument/2006/relationships/image" Target="media/image183.jpe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jpeg"/><Relationship Id="rId219" Type="http://schemas.openxmlformats.org/officeDocument/2006/relationships/image" Target="media/image192.jpeg"/><Relationship Id="rId220" Type="http://schemas.openxmlformats.org/officeDocument/2006/relationships/image" Target="media/image193.jpeg"/><Relationship Id="rId221" Type="http://schemas.openxmlformats.org/officeDocument/2006/relationships/image" Target="media/image194.png"/><Relationship Id="rId222" Type="http://schemas.openxmlformats.org/officeDocument/2006/relationships/image" Target="media/image195.jpeg"/><Relationship Id="rId223" Type="http://schemas.openxmlformats.org/officeDocument/2006/relationships/image" Target="media/image196.jpe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jpe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187" Type="http://schemas.openxmlformats.org/officeDocument/2006/relationships/hyperlink" Target="https://www.sec.gov/Archives/edgar/data/1790340/000110465921152368/tm2136034d1_ex2-1.htm" TargetMode="External"/><Relationship Id="rId188" Type="http://schemas.openxmlformats.org/officeDocument/2006/relationships/hyperlink" Target="https://www.sec.gov/Archives/edgar/data/1790340/000155837021012336/imrx-20210630xex3d1.htm" TargetMode="External"/><Relationship Id="rId189" Type="http://schemas.openxmlformats.org/officeDocument/2006/relationships/hyperlink" Target="https://www.sec.gov/Archives/edgar/data/1790340/000110465924010041/tm245037d1_ex3-1.htm" TargetMode="External"/><Relationship Id="rId190" Type="http://schemas.openxmlformats.org/officeDocument/2006/relationships/hyperlink" Target="https://www.sec.gov/Archives/edgar/data/0001790340/000110465921095557/tm2115679d11_ex4-1.htm" TargetMode="External"/><Relationship Id="rId191" Type="http://schemas.openxmlformats.org/officeDocument/2006/relationships/hyperlink" Target="https://www.sec.gov/Archives/edgar/data/1790340/000110465921095557/tm2115679d11_ex4-2.htm" TargetMode="External"/><Relationship Id="rId192" Type="http://schemas.openxmlformats.org/officeDocument/2006/relationships/hyperlink" Target="https://www.sec.gov/Archives/edgar/data/1790340/000155837022003208/imrx-20211231xex4d3.htm" TargetMode="External"/><Relationship Id="rId193" Type="http://schemas.openxmlformats.org/officeDocument/2006/relationships/hyperlink" Target="https://www.sec.gov/Archives/edgar/data/1790340/000110465921095557/tm2115679d11_ex10-6.htm" TargetMode="External"/><Relationship Id="rId194" Type="http://schemas.openxmlformats.org/officeDocument/2006/relationships/hyperlink" Target="https://www.sec.gov/Archives/edgar/data/1790340/000110465921095557/tm2115679d11_ex10-7.htm" TargetMode="External"/><Relationship Id="rId195" Type="http://schemas.openxmlformats.org/officeDocument/2006/relationships/hyperlink" Target="https://www.sec.gov/Archives/edgar/data/1790340/000110465921095557/tm2115679d11_ex10-8.htm" TargetMode="External"/><Relationship Id="rId196" Type="http://schemas.openxmlformats.org/officeDocument/2006/relationships/hyperlink" Target="https://www.sec.gov/Archives/edgar/data/1790340/000110465922082207/tm2221718d1_ex10-1.htm" TargetMode="External"/><Relationship Id="rId197" Type="http://schemas.openxmlformats.org/officeDocument/2006/relationships/hyperlink" Target="https://www.sec.gov/Archives/edgar/data/1790340/000179034023000056/imrx-20230930xex102.htm" TargetMode="External"/><Relationship Id="rId198" Type="http://schemas.openxmlformats.org/officeDocument/2006/relationships/hyperlink" Target="https://www.sec.gov/Archives/edgar/data/1790340/000110465921090635/tm2115679d7_ex10-4.htm" TargetMode="External"/><Relationship Id="rId199" Type="http://schemas.openxmlformats.org/officeDocument/2006/relationships/hyperlink" Target="https://www.sec.gov/Archives/edgar/data/1790340/000110465921090635/tm2115679d7_ex10-5.htm" TargetMode="External"/><Relationship Id="rId200" Type="http://schemas.openxmlformats.org/officeDocument/2006/relationships/hyperlink" Target="https://www.sec.gov/Archives/edgar/data/1790340/000110465921095557/tm2115679d11_ex10-10.htm" TargetMode="External"/><Relationship Id="rId201" Type="http://schemas.openxmlformats.org/officeDocument/2006/relationships/hyperlink" Target="https://www.sec.gov/Archives/edgar/data/1790340/000110465921095557/tm2115679d11_ex10-11.htm" TargetMode="External"/><Relationship Id="rId202" Type="http://schemas.openxmlformats.org/officeDocument/2006/relationships/hyperlink" Target="https://www.sec.gov/Archives/edgar/data/1790340/000110465922088662/tm2222025d2_ex1-2.htm" TargetMode="External"/><Relationship Id="rId203" Type="http://schemas.openxmlformats.org/officeDocument/2006/relationships/hyperlink" Target="https://www.sec.gov/Archives/edgar/data/1790340/000110465921095557/tm2115679d11_ex10-12.htm" TargetMode="External"/><Relationship Id="rId204" Type="http://schemas.openxmlformats.org/officeDocument/2006/relationships/hyperlink" Target="https://www.sec.gov/Archives/edgar/data/1790340/000110465921152368/tm2136034d1_ex10-1.htm" TargetMode="External"/><Relationship Id="rId205" Type="http://schemas.openxmlformats.org/officeDocument/2006/relationships/hyperlink" Target="https://www.sec.gov/Archives/edgar/data/1790340/000110465923047191/tm2313152d1_ex1-1.htm" TargetMode="External"/><Relationship Id="rId206" Type="http://schemas.openxmlformats.org/officeDocument/2006/relationships/hyperlink" Target="https://www.sec.gov/Archives/edgar/data/1790340/000155837022003208/imrx-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2024-03-01T07:18:57Z</dcterms:created>
  <dcterms:modified xsi:type="dcterms:W3CDTF">2024-03-01T07:18:57Z</dcterms:modified>
</cp:coreProperties>
</file>