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1160" w:type="dxa"/>
            <w:vAlign w:val="bottom"/>
          </w:tcPr>
          <w:p>
            <w:pPr>
              <w:spacing w:after="0"/>
              <w:rPr>
                <w:sz w:val="24"/>
                <w:szCs w:val="24"/>
                <w:color w:val="auto"/>
              </w:rPr>
            </w:pPr>
          </w:p>
        </w:tc>
        <w:tc>
          <w:tcPr>
            <w:tcW w:w="8060" w:type="dxa"/>
            <w:vAlign w:val="bottom"/>
            <w:gridSpan w:val="3"/>
          </w:tcPr>
          <w:p>
            <w:pPr>
              <w:jc w:val="center"/>
              <w:ind w:left="780"/>
              <w:spacing w:after="0"/>
              <w:rPr>
                <w:sz w:val="20"/>
                <w:szCs w:val="20"/>
                <w:color w:val="auto"/>
              </w:rPr>
            </w:pPr>
            <w:r>
              <w:rPr>
                <w:rFonts w:ascii="Times New Roman" w:cs="Times New Roman" w:eastAsia="Times New Roman" w:hAnsi="Times New Roman"/>
                <w:sz w:val="25"/>
                <w:szCs w:val="25"/>
                <w:b w:val="1"/>
                <w:bCs w:val="1"/>
                <w:color w:val="auto"/>
                <w:w w:val="98"/>
              </w:rPr>
              <w:t>UNITED STATES</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4"/>
                <w:szCs w:val="24"/>
                <w:color w:val="auto"/>
              </w:rPr>
            </w:pPr>
          </w:p>
        </w:tc>
        <w:tc>
          <w:tcPr>
            <w:tcW w:w="8060" w:type="dxa"/>
            <w:vAlign w:val="bottom"/>
            <w:gridSpan w:val="3"/>
          </w:tcPr>
          <w:p>
            <w:pPr>
              <w:jc w:val="center"/>
              <w:ind w:left="8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060" w:type="dxa"/>
            <w:vAlign w:val="bottom"/>
            <w:gridSpan w:val="3"/>
          </w:tcPr>
          <w:p>
            <w:pPr>
              <w:jc w:val="center"/>
              <w:ind w:left="780"/>
              <w:spacing w:after="0"/>
              <w:rPr>
                <w:sz w:val="20"/>
                <w:szCs w:val="20"/>
                <w:color w:val="auto"/>
              </w:rPr>
            </w:pPr>
            <w:r>
              <w:rPr>
                <w:rFonts w:ascii="Times New Roman" w:cs="Times New Roman" w:eastAsia="Times New Roman" w:hAnsi="Times New Roman"/>
                <w:sz w:val="16"/>
                <w:szCs w:val="16"/>
                <w:b w:val="1"/>
                <w:bCs w:val="1"/>
                <w:color w:val="auto"/>
              </w:rPr>
              <w:t>Washington, D.C. 20549</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8060" w:type="dxa"/>
            <w:vAlign w:val="bottom"/>
            <w:gridSpan w:val="3"/>
          </w:tcPr>
          <w:p>
            <w:pPr>
              <w:jc w:val="center"/>
              <w:ind w:left="8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w:t>
            </w:r>
          </w:p>
        </w:tc>
        <w:tc>
          <w:tcPr>
            <w:tcW w:w="0" w:type="dxa"/>
            <w:vAlign w:val="bottom"/>
          </w:tcPr>
          <w:p>
            <w:pPr>
              <w:spacing w:after="0"/>
              <w:rPr>
                <w:sz w:val="1"/>
                <w:szCs w:val="1"/>
                <w:color w:val="auto"/>
              </w:rPr>
            </w:pPr>
          </w:p>
        </w:tc>
      </w:tr>
      <w:tr>
        <w:trPr>
          <w:trHeight w:val="395"/>
        </w:trPr>
        <w:tc>
          <w:tcPr>
            <w:tcW w:w="1160" w:type="dxa"/>
            <w:vAlign w:val="bottom"/>
          </w:tcPr>
          <w:p>
            <w:pPr>
              <w:spacing w:after="0"/>
              <w:rPr>
                <w:sz w:val="24"/>
                <w:szCs w:val="24"/>
                <w:color w:val="auto"/>
              </w:rPr>
            </w:pPr>
          </w:p>
        </w:tc>
        <w:tc>
          <w:tcPr>
            <w:tcW w:w="5220" w:type="dxa"/>
            <w:vAlign w:val="bottom"/>
            <w:gridSpan w:val="2"/>
          </w:tcPr>
          <w:p>
            <w:pPr>
              <w:jc w:val="center"/>
              <w:ind w:left="3620"/>
              <w:spacing w:after="0"/>
              <w:rPr>
                <w:sz w:val="20"/>
                <w:szCs w:val="20"/>
                <w:color w:val="auto"/>
              </w:rPr>
            </w:pPr>
            <w:r>
              <w:rPr>
                <w:rFonts w:ascii="Times New Roman" w:cs="Times New Roman" w:eastAsia="Times New Roman" w:hAnsi="Times New Roman"/>
                <w:sz w:val="25"/>
                <w:szCs w:val="25"/>
                <w:b w:val="1"/>
                <w:bCs w:val="1"/>
                <w:color w:val="auto"/>
              </w:rPr>
              <w:t>FORM 10-K</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(Mark One)</w:t>
            </w:r>
          </w:p>
        </w:tc>
        <w:tc>
          <w:tcPr>
            <w:tcW w:w="8060" w:type="dxa"/>
            <w:vAlign w:val="bottom"/>
            <w:gridSpan w:val="3"/>
          </w:tcPr>
          <w:p>
            <w:pPr>
              <w:jc w:val="center"/>
              <w:ind w:left="8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w:t>
            </w:r>
          </w:p>
        </w:tc>
        <w:tc>
          <w:tcPr>
            <w:tcW w:w="0" w:type="dxa"/>
            <w:vAlign w:val="bottom"/>
          </w:tcPr>
          <w:p>
            <w:pPr>
              <w:spacing w:after="0"/>
              <w:rPr>
                <w:sz w:val="1"/>
                <w:szCs w:val="1"/>
                <w:color w:val="auto"/>
              </w:rPr>
            </w:pPr>
          </w:p>
        </w:tc>
      </w:tr>
      <w:tr>
        <w:trPr>
          <w:trHeight w:val="123"/>
        </w:trPr>
        <w:tc>
          <w:tcPr>
            <w:tcW w:w="1160" w:type="dxa"/>
            <w:vAlign w:val="bottom"/>
            <w:vMerge w:val="continue"/>
          </w:tcPr>
          <w:p>
            <w:pPr>
              <w:spacing w:after="0"/>
              <w:rPr>
                <w:sz w:val="10"/>
                <w:szCs w:val="10"/>
                <w:color w:val="auto"/>
              </w:rPr>
            </w:pPr>
          </w:p>
        </w:tc>
        <w:tc>
          <w:tcPr>
            <w:tcW w:w="4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11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060" w:type="dxa"/>
            <w:vAlign w:val="bottom"/>
            <w:gridSpan w:val="3"/>
          </w:tcPr>
          <w:p>
            <w:pPr>
              <w:jc w:val="center"/>
              <w:ind w:left="106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8060" w:type="dxa"/>
            <w:vAlign w:val="bottom"/>
            <w:gridSpan w:val="3"/>
          </w:tcPr>
          <w:p>
            <w:pPr>
              <w:jc w:val="center"/>
              <w:ind w:left="1080"/>
              <w:spacing w:after="0"/>
              <w:rPr>
                <w:sz w:val="20"/>
                <w:szCs w:val="20"/>
                <w:color w:val="auto"/>
              </w:rPr>
            </w:pPr>
            <w:r>
              <w:rPr>
                <w:rFonts w:ascii="Times New Roman" w:cs="Times New Roman" w:eastAsia="Times New Roman" w:hAnsi="Times New Roman"/>
                <w:sz w:val="16"/>
                <w:szCs w:val="16"/>
                <w:b w:val="1"/>
                <w:bCs w:val="1"/>
                <w:color w:val="auto"/>
              </w:rPr>
              <w:t>EXCHANGE ACT OF 1934</w:t>
            </w:r>
          </w:p>
        </w:tc>
        <w:tc>
          <w:tcPr>
            <w:tcW w:w="0" w:type="dxa"/>
            <w:vAlign w:val="bottom"/>
          </w:tcPr>
          <w:p>
            <w:pPr>
              <w:spacing w:after="0"/>
              <w:rPr>
                <w:sz w:val="1"/>
                <w:szCs w:val="1"/>
                <w:color w:val="auto"/>
              </w:rPr>
            </w:pPr>
          </w:p>
        </w:tc>
      </w:tr>
      <w:tr>
        <w:trPr>
          <w:trHeight w:val="260"/>
        </w:trPr>
        <w:tc>
          <w:tcPr>
            <w:tcW w:w="1160" w:type="dxa"/>
            <w:vAlign w:val="bottom"/>
          </w:tcPr>
          <w:p>
            <w:pPr>
              <w:spacing w:after="0"/>
              <w:rPr>
                <w:sz w:val="22"/>
                <w:szCs w:val="22"/>
                <w:color w:val="auto"/>
              </w:rPr>
            </w:pPr>
          </w:p>
        </w:tc>
        <w:tc>
          <w:tcPr>
            <w:tcW w:w="8060" w:type="dxa"/>
            <w:vAlign w:val="bottom"/>
            <w:gridSpan w:val="3"/>
          </w:tcPr>
          <w:p>
            <w:pPr>
              <w:jc w:val="center"/>
              <w:ind w:left="800"/>
              <w:spacing w:after="0"/>
              <w:rPr>
                <w:sz w:val="20"/>
                <w:szCs w:val="20"/>
                <w:color w:val="auto"/>
              </w:rPr>
            </w:pPr>
            <w:r>
              <w:rPr>
                <w:rFonts w:ascii="Times New Roman" w:cs="Times New Roman" w:eastAsia="Times New Roman" w:hAnsi="Times New Roman"/>
                <w:sz w:val="13"/>
                <w:szCs w:val="13"/>
                <w:b w:val="1"/>
                <w:bCs w:val="1"/>
                <w:color w:val="auto"/>
                <w:w w:val="96"/>
              </w:rPr>
              <w:t>For the fiscal year ended December 31, 2025</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220" w:type="dxa"/>
            <w:vAlign w:val="bottom"/>
            <w:gridSpan w:val="2"/>
          </w:tcPr>
          <w:p>
            <w:pPr>
              <w:jc w:val="center"/>
              <w:ind w:left="3620"/>
              <w:spacing w:after="0"/>
              <w:rPr>
                <w:sz w:val="20"/>
                <w:szCs w:val="20"/>
                <w:color w:val="auto"/>
              </w:rPr>
            </w:pPr>
            <w:r>
              <w:rPr>
                <w:rFonts w:ascii="Times New Roman" w:cs="Times New Roman" w:eastAsia="Times New Roman" w:hAnsi="Times New Roman"/>
                <w:sz w:val="13"/>
                <w:szCs w:val="13"/>
                <w:b w:val="1"/>
                <w:bCs w:val="1"/>
                <w:color w:val="auto"/>
                <w:w w:val="97"/>
              </w:rPr>
              <w:t>or</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11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060" w:type="dxa"/>
            <w:vAlign w:val="bottom"/>
            <w:gridSpan w:val="3"/>
            <w:vMerge w:val="restart"/>
          </w:tcPr>
          <w:p>
            <w:pPr>
              <w:jc w:val="center"/>
              <w:ind w:left="108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w:t>
            </w:r>
          </w:p>
        </w:tc>
        <w:tc>
          <w:tcPr>
            <w:tcW w:w="0" w:type="dxa"/>
            <w:vAlign w:val="bottom"/>
          </w:tcPr>
          <w:p>
            <w:pPr>
              <w:spacing w:after="0"/>
              <w:rPr>
                <w:sz w:val="1"/>
                <w:szCs w:val="1"/>
                <w:color w:val="auto"/>
              </w:rPr>
            </w:pPr>
          </w:p>
        </w:tc>
      </w:tr>
      <w:tr>
        <w:trPr>
          <w:trHeight w:val="64"/>
        </w:trPr>
        <w:tc>
          <w:tcPr>
            <w:tcW w:w="1160" w:type="dxa"/>
            <w:vAlign w:val="bottom"/>
          </w:tcPr>
          <w:p>
            <w:pPr>
              <w:spacing w:after="0"/>
              <w:rPr>
                <w:sz w:val="5"/>
                <w:szCs w:val="5"/>
                <w:color w:val="auto"/>
              </w:rPr>
            </w:pPr>
          </w:p>
        </w:tc>
        <w:tc>
          <w:tcPr>
            <w:tcW w:w="8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8060" w:type="dxa"/>
            <w:vAlign w:val="bottom"/>
            <w:gridSpan w:val="3"/>
          </w:tcPr>
          <w:p>
            <w:pPr>
              <w:jc w:val="center"/>
              <w:ind w:left="1080"/>
              <w:spacing w:after="0"/>
              <w:rPr>
                <w:sz w:val="20"/>
                <w:szCs w:val="20"/>
                <w:color w:val="auto"/>
              </w:rPr>
            </w:pPr>
            <w:r>
              <w:rPr>
                <w:rFonts w:ascii="Times New Roman" w:cs="Times New Roman" w:eastAsia="Times New Roman" w:hAnsi="Times New Roman"/>
                <w:sz w:val="16"/>
                <w:szCs w:val="16"/>
                <w:b w:val="1"/>
                <w:bCs w:val="1"/>
                <w:color w:val="auto"/>
              </w:rPr>
              <w:t>EXCHANGE ACT OF 1934</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4660" w:type="dxa"/>
            <w:vAlign w:val="bottom"/>
          </w:tcPr>
          <w:p>
            <w:pPr>
              <w:ind w:left="300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560" w:type="dxa"/>
            <w:vAlign w:val="bottom"/>
            <w:tcBorders>
              <w:bottom w:val="single" w:sz="8" w:color="auto"/>
            </w:tcBorders>
          </w:tcPr>
          <w:p>
            <w:pPr>
              <w:spacing w:after="0"/>
              <w:rPr>
                <w:sz w:val="20"/>
                <w:szCs w:val="20"/>
                <w:color w:val="auto"/>
              </w:rPr>
            </w:pPr>
          </w:p>
        </w:tc>
        <w:tc>
          <w:tcPr>
            <w:tcW w:w="28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8060" w:type="dxa"/>
            <w:vAlign w:val="bottom"/>
            <w:gridSpan w:val="3"/>
          </w:tcPr>
          <w:p>
            <w:pPr>
              <w:jc w:val="center"/>
              <w:ind w:left="780"/>
              <w:spacing w:after="0"/>
              <w:rPr>
                <w:sz w:val="20"/>
                <w:szCs w:val="20"/>
                <w:color w:val="auto"/>
              </w:rPr>
            </w:pPr>
            <w:r>
              <w:rPr>
                <w:rFonts w:ascii="Times New Roman" w:cs="Times New Roman" w:eastAsia="Times New Roman" w:hAnsi="Times New Roman"/>
                <w:sz w:val="13"/>
                <w:szCs w:val="13"/>
                <w:b w:val="1"/>
                <w:bCs w:val="1"/>
                <w:color w:val="auto"/>
                <w:w w:val="96"/>
              </w:rPr>
              <w:t>Commission File Number: 001-40675</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8060" w:type="dxa"/>
            <w:vAlign w:val="bottom"/>
            <w:gridSpan w:val="3"/>
          </w:tcPr>
          <w:p>
            <w:pPr>
              <w:jc w:val="center"/>
              <w:ind w:left="8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w:t>
            </w:r>
          </w:p>
        </w:tc>
        <w:tc>
          <w:tcPr>
            <w:tcW w:w="0" w:type="dxa"/>
            <w:vAlign w:val="bottom"/>
          </w:tcPr>
          <w:p>
            <w:pPr>
              <w:spacing w:after="0"/>
              <w:rPr>
                <w:sz w:val="1"/>
                <w:szCs w:val="1"/>
                <w:color w:val="auto"/>
              </w:rPr>
            </w:pPr>
          </w:p>
        </w:tc>
      </w:tr>
      <w:tr>
        <w:trPr>
          <w:trHeight w:val="507"/>
        </w:trPr>
        <w:tc>
          <w:tcPr>
            <w:tcW w:w="1160" w:type="dxa"/>
            <w:vAlign w:val="bottom"/>
          </w:tcPr>
          <w:p>
            <w:pPr>
              <w:spacing w:after="0"/>
              <w:rPr>
                <w:sz w:val="24"/>
                <w:szCs w:val="24"/>
                <w:color w:val="auto"/>
              </w:rPr>
            </w:pPr>
          </w:p>
        </w:tc>
        <w:tc>
          <w:tcPr>
            <w:tcW w:w="8060" w:type="dxa"/>
            <w:vAlign w:val="bottom"/>
            <w:gridSpan w:val="3"/>
          </w:tcPr>
          <w:p>
            <w:pPr>
              <w:jc w:val="center"/>
              <w:ind w:left="780"/>
              <w:spacing w:after="0"/>
              <w:rPr>
                <w:sz w:val="20"/>
                <w:szCs w:val="20"/>
                <w:color w:val="auto"/>
              </w:rPr>
            </w:pPr>
            <w:r>
              <w:rPr>
                <w:rFonts w:ascii="Times New Roman" w:cs="Times New Roman" w:eastAsia="Times New Roman" w:hAnsi="Times New Roman"/>
                <w:sz w:val="36"/>
                <w:szCs w:val="36"/>
                <w:b w:val="1"/>
                <w:bCs w:val="1"/>
                <w:color w:val="auto"/>
              </w:rPr>
              <w:t>Immuneering Corporation</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8060" w:type="dxa"/>
            <w:vAlign w:val="bottom"/>
            <w:gridSpan w:val="3"/>
          </w:tcPr>
          <w:p>
            <w:pPr>
              <w:jc w:val="center"/>
              <w:ind w:left="800"/>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8060" w:type="dxa"/>
            <w:vAlign w:val="bottom"/>
            <w:gridSpan w:val="3"/>
          </w:tcPr>
          <w:p>
            <w:pPr>
              <w:jc w:val="center"/>
              <w:ind w:left="8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w:t>
            </w: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p>
        </w:tc>
        <w:tc>
          <w:tcPr>
            <w:tcW w:w="5220" w:type="dxa"/>
            <w:vAlign w:val="bottom"/>
            <w:gridSpan w:val="2"/>
          </w:tcPr>
          <w:p>
            <w:pPr>
              <w:jc w:val="center"/>
              <w:ind w:right="1900"/>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8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26-1976972</w:t>
            </w: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5220" w:type="dxa"/>
            <w:vAlign w:val="bottom"/>
            <w:gridSpan w:val="2"/>
          </w:tcPr>
          <w:p>
            <w:pPr>
              <w:jc w:val="center"/>
              <w:ind w:right="1900"/>
              <w:spacing w:after="0"/>
              <w:rPr>
                <w:sz w:val="20"/>
                <w:szCs w:val="20"/>
                <w:color w:val="auto"/>
              </w:rPr>
            </w:pPr>
            <w:r>
              <w:rPr>
                <w:rFonts w:ascii="Times New Roman" w:cs="Times New Roman" w:eastAsia="Times New Roman" w:hAnsi="Times New Roman"/>
                <w:sz w:val="9"/>
                <w:szCs w:val="9"/>
                <w:b w:val="1"/>
                <w:bCs w:val="1"/>
                <w:color w:val="auto"/>
                <w:w w:val="99"/>
              </w:rPr>
              <w:t>(State or other jurisdiction of incorporation or organization)</w:t>
            </w:r>
          </w:p>
        </w:tc>
        <w:tc>
          <w:tcPr>
            <w:tcW w:w="2840" w:type="dxa"/>
            <w:vAlign w:val="bottom"/>
          </w:tcPr>
          <w:p>
            <w:pPr>
              <w:jc w:val="center"/>
              <w:ind w:left="1224"/>
              <w:spacing w:after="0"/>
              <w:rPr>
                <w:sz w:val="20"/>
                <w:szCs w:val="20"/>
                <w:color w:val="auto"/>
              </w:rPr>
            </w:pPr>
            <w:r>
              <w:rPr>
                <w:rFonts w:ascii="Times New Roman" w:cs="Times New Roman" w:eastAsia="Times New Roman" w:hAnsi="Times New Roman"/>
                <w:sz w:val="9"/>
                <w:szCs w:val="9"/>
                <w:b w:val="1"/>
                <w:bCs w:val="1"/>
                <w:color w:val="auto"/>
                <w:w w:val="99"/>
              </w:rPr>
              <w:t>(I.R.S. Employer Identification Number)</w:t>
            </w:r>
          </w:p>
        </w:tc>
        <w:tc>
          <w:tcPr>
            <w:tcW w:w="0" w:type="dxa"/>
            <w:vAlign w:val="bottom"/>
          </w:tcPr>
          <w:p>
            <w:pPr>
              <w:spacing w:after="0"/>
              <w:rPr>
                <w:sz w:val="1"/>
                <w:szCs w:val="1"/>
                <w:color w:val="auto"/>
              </w:rPr>
            </w:pPr>
          </w:p>
        </w:tc>
      </w:tr>
      <w:tr>
        <w:trPr>
          <w:trHeight w:val="349"/>
        </w:trPr>
        <w:tc>
          <w:tcPr>
            <w:tcW w:w="1160" w:type="dxa"/>
            <w:vAlign w:val="bottom"/>
          </w:tcPr>
          <w:p>
            <w:pPr>
              <w:spacing w:after="0"/>
              <w:rPr>
                <w:sz w:val="24"/>
                <w:szCs w:val="24"/>
                <w:color w:val="auto"/>
              </w:rPr>
            </w:pPr>
          </w:p>
        </w:tc>
        <w:tc>
          <w:tcPr>
            <w:tcW w:w="5220" w:type="dxa"/>
            <w:vAlign w:val="bottom"/>
            <w:gridSpan w:val="2"/>
          </w:tcPr>
          <w:p>
            <w:pPr>
              <w:jc w:val="center"/>
              <w:ind w:right="1900"/>
              <w:spacing w:after="0"/>
              <w:rPr>
                <w:sz w:val="20"/>
                <w:szCs w:val="20"/>
                <w:color w:val="auto"/>
              </w:rPr>
            </w:pPr>
            <w:r>
              <w:rPr>
                <w:rFonts w:ascii="Times New Roman" w:cs="Times New Roman" w:eastAsia="Times New Roman" w:hAnsi="Times New Roman"/>
                <w:sz w:val="13"/>
                <w:szCs w:val="13"/>
                <w:b w:val="1"/>
                <w:bCs w:val="1"/>
                <w:color w:val="auto"/>
                <w:w w:val="95"/>
              </w:rPr>
              <w:t>245 Main St</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5220" w:type="dxa"/>
            <w:vAlign w:val="bottom"/>
            <w:gridSpan w:val="2"/>
          </w:tcPr>
          <w:p>
            <w:pPr>
              <w:jc w:val="center"/>
              <w:ind w:right="1900"/>
              <w:spacing w:after="0"/>
              <w:rPr>
                <w:sz w:val="20"/>
                <w:szCs w:val="20"/>
                <w:color w:val="auto"/>
              </w:rPr>
            </w:pPr>
            <w:r>
              <w:rPr>
                <w:rFonts w:ascii="Times New Roman" w:cs="Times New Roman" w:eastAsia="Times New Roman" w:hAnsi="Times New Roman"/>
                <w:sz w:val="13"/>
                <w:szCs w:val="13"/>
                <w:b w:val="1"/>
                <w:bCs w:val="1"/>
                <w:color w:val="auto"/>
                <w:w w:val="98"/>
              </w:rPr>
              <w:t>Second Floor</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5220" w:type="dxa"/>
            <w:vAlign w:val="bottom"/>
            <w:gridSpan w:val="2"/>
          </w:tcPr>
          <w:p>
            <w:pPr>
              <w:jc w:val="center"/>
              <w:ind w:right="1900"/>
              <w:spacing w:after="0"/>
              <w:rPr>
                <w:sz w:val="20"/>
                <w:szCs w:val="20"/>
                <w:color w:val="auto"/>
              </w:rPr>
            </w:pPr>
            <w:r>
              <w:rPr>
                <w:rFonts w:ascii="Times New Roman" w:cs="Times New Roman" w:eastAsia="Times New Roman" w:hAnsi="Times New Roman"/>
                <w:sz w:val="13"/>
                <w:szCs w:val="13"/>
                <w:b w:val="1"/>
                <w:bCs w:val="1"/>
                <w:color w:val="auto"/>
                <w:w w:val="96"/>
              </w:rPr>
              <w:t>Cambridge, MA</w:t>
            </w:r>
          </w:p>
        </w:tc>
        <w:tc>
          <w:tcPr>
            <w:tcW w:w="2840" w:type="dxa"/>
            <w:vAlign w:val="bottom"/>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02142</w:t>
            </w: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5220" w:type="dxa"/>
            <w:vAlign w:val="bottom"/>
            <w:gridSpan w:val="2"/>
          </w:tcPr>
          <w:p>
            <w:pPr>
              <w:jc w:val="center"/>
              <w:ind w:right="1920"/>
              <w:spacing w:after="0"/>
              <w:rPr>
                <w:sz w:val="20"/>
                <w:szCs w:val="20"/>
                <w:color w:val="auto"/>
              </w:rPr>
            </w:pPr>
            <w:r>
              <w:rPr>
                <w:rFonts w:ascii="Times New Roman" w:cs="Times New Roman" w:eastAsia="Times New Roman" w:hAnsi="Times New Roman"/>
                <w:sz w:val="9"/>
                <w:szCs w:val="9"/>
                <w:b w:val="1"/>
                <w:bCs w:val="1"/>
                <w:color w:val="auto"/>
                <w:w w:val="99"/>
              </w:rPr>
              <w:t>(Address of Principal Executive Offices)</w:t>
            </w:r>
          </w:p>
        </w:tc>
        <w:tc>
          <w:tcPr>
            <w:tcW w:w="2840" w:type="dxa"/>
            <w:vAlign w:val="bottom"/>
          </w:tcPr>
          <w:p>
            <w:pPr>
              <w:jc w:val="center"/>
              <w:ind w:left="1204"/>
              <w:spacing w:after="0"/>
              <w:rPr>
                <w:sz w:val="20"/>
                <w:szCs w:val="20"/>
                <w:color w:val="auto"/>
              </w:rPr>
            </w:pPr>
            <w:r>
              <w:rPr>
                <w:rFonts w:ascii="Times New Roman" w:cs="Times New Roman" w:eastAsia="Times New Roman" w:hAnsi="Times New Roman"/>
                <w:sz w:val="9"/>
                <w:szCs w:val="9"/>
                <w:b w:val="1"/>
                <w:bCs w:val="1"/>
                <w:color w:val="auto"/>
              </w:rPr>
              <w:t>(Zip Code)</w:t>
            </w:r>
          </w:p>
        </w:tc>
        <w:tc>
          <w:tcPr>
            <w:tcW w:w="0" w:type="dxa"/>
            <w:vAlign w:val="bottom"/>
          </w:tcPr>
          <w:p>
            <w:pPr>
              <w:spacing w:after="0"/>
              <w:rPr>
                <w:sz w:val="1"/>
                <w:szCs w:val="1"/>
                <w:color w:val="auto"/>
              </w:rPr>
            </w:pPr>
          </w:p>
        </w:tc>
      </w:tr>
      <w:tr>
        <w:trPr>
          <w:trHeight w:val="269"/>
        </w:trPr>
        <w:tc>
          <w:tcPr>
            <w:tcW w:w="1160" w:type="dxa"/>
            <w:vAlign w:val="bottom"/>
          </w:tcPr>
          <w:p>
            <w:pPr>
              <w:spacing w:after="0"/>
              <w:rPr>
                <w:sz w:val="23"/>
                <w:szCs w:val="23"/>
                <w:color w:val="auto"/>
              </w:rPr>
            </w:pPr>
          </w:p>
        </w:tc>
        <w:tc>
          <w:tcPr>
            <w:tcW w:w="5220" w:type="dxa"/>
            <w:vAlign w:val="bottom"/>
            <w:gridSpan w:val="2"/>
          </w:tcPr>
          <w:p>
            <w:pPr>
              <w:jc w:val="center"/>
              <w:ind w:left="3640"/>
              <w:spacing w:after="0"/>
              <w:rPr>
                <w:sz w:val="20"/>
                <w:szCs w:val="20"/>
                <w:color w:val="auto"/>
              </w:rPr>
            </w:pPr>
            <w:r>
              <w:rPr>
                <w:rFonts w:ascii="Times New Roman" w:cs="Times New Roman" w:eastAsia="Times New Roman" w:hAnsi="Times New Roman"/>
                <w:sz w:val="13"/>
                <w:szCs w:val="13"/>
                <w:b w:val="1"/>
                <w:bCs w:val="1"/>
                <w:color w:val="auto"/>
                <w:w w:val="95"/>
              </w:rPr>
              <w:t>(617) 500-8080</w:t>
            </w: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9"/>
          <w:szCs w:val="9"/>
          <w:b w:val="1"/>
          <w:bCs w:val="1"/>
          <w:color w:val="auto"/>
        </w:rPr>
        <w:t>(Registrant’s telephone number, including area code)</w:t>
      </w:r>
    </w:p>
    <w:p>
      <w:pPr>
        <w:spacing w:after="0" w:line="6"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Exchange on which registered</w:t>
            </w:r>
          </w:p>
        </w:tc>
      </w:tr>
      <w:tr>
        <w:trPr>
          <w:trHeight w:val="166"/>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A common Stock, par value $0.001 per share</w:t>
            </w:r>
          </w:p>
        </w:tc>
        <w:tc>
          <w:tcPr>
            <w:tcW w:w="100" w:type="dxa"/>
            <w:vAlign w:val="bottom"/>
          </w:tcPr>
          <w:p>
            <w:pPr>
              <w:spacing w:after="0"/>
              <w:rPr>
                <w:sz w:val="14"/>
                <w:szCs w:val="14"/>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IMRX</w:t>
            </w:r>
          </w:p>
        </w:tc>
        <w:tc>
          <w:tcPr>
            <w:tcW w:w="80" w:type="dxa"/>
            <w:vAlign w:val="bottom"/>
          </w:tcPr>
          <w:p>
            <w:pPr>
              <w:spacing w:after="0"/>
              <w:rPr>
                <w:sz w:val="14"/>
                <w:szCs w:val="14"/>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Global Market</w:t>
            </w:r>
          </w:p>
        </w:tc>
      </w:tr>
    </w:tbl>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80" w:lineRule="exact"/>
        <w:rPr>
          <w:sz w:val="24"/>
          <w:szCs w:val="24"/>
          <w:color w:val="auto"/>
        </w:rPr>
      </w:pPr>
    </w:p>
    <w:p>
      <w:pPr>
        <w:ind w:right="18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38" w:lineRule="exact"/>
        <w:rPr>
          <w:sz w:val="24"/>
          <w:szCs w:val="24"/>
          <w:color w:val="auto"/>
        </w:rPr>
      </w:pPr>
    </w:p>
    <w:p>
      <w:pPr>
        <w:ind w:right="24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52"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20"/>
        <w:spacing w:after="0"/>
        <w:tabs>
          <w:tab w:leader="none" w:pos="2040" w:val="left"/>
          <w:tab w:leader="none" w:pos="4640" w:val="left"/>
          <w:tab w:leader="none" w:pos="668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Wingdings" w:cs="Wingdings" w:eastAsia="Wingdings" w:hAnsi="Wingdings"/>
          <w:sz w:val="13"/>
          <w:szCs w:val="13"/>
          <w:b w:val="1"/>
          <w:bCs w:val="1"/>
          <w:color w:val="auto"/>
        </w:rPr>
        <w:t>o</w:t>
      </w:r>
    </w:p>
    <w:p>
      <w:pPr>
        <w:spacing w:after="0" w:line="129" w:lineRule="exact"/>
        <w:rPr>
          <w:sz w:val="24"/>
          <w:szCs w:val="24"/>
          <w:color w:val="auto"/>
        </w:rPr>
      </w:pPr>
    </w:p>
    <w:p>
      <w:pPr>
        <w:ind w:left="20"/>
        <w:spacing w:after="0"/>
        <w:tabs>
          <w:tab w:leader="none" w:pos="2040" w:val="left"/>
          <w:tab w:leader="none" w:pos="4640" w:val="left"/>
          <w:tab w:leader="none" w:pos="6680" w:val="left"/>
          <w:tab w:leader="none" w:pos="8380" w:val="left"/>
          <w:tab w:leader="none" w:pos="10780" w:val="left"/>
        </w:tabs>
        <w:rPr>
          <w:sz w:val="20"/>
          <w:szCs w:val="20"/>
          <w:color w:val="auto"/>
        </w:rPr>
      </w:pPr>
      <w:r>
        <w:rPr>
          <w:rFonts w:ascii="Times New Roman" w:cs="Times New Roman" w:eastAsia="Times New Roman" w:hAnsi="Times New Roman"/>
          <w:sz w:val="13"/>
          <w:szCs w:val="13"/>
          <w:color w:val="auto"/>
        </w:rPr>
        <w:t>Non-accelerated filer</w:t>
      </w:r>
      <w:r>
        <w:rPr>
          <w:sz w:val="20"/>
          <w:szCs w:val="20"/>
          <w:color w:val="auto"/>
        </w:rPr>
        <w:tab/>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3"/>
          <w:szCs w:val="13"/>
          <w:color w:val="auto"/>
        </w:rPr>
        <w:t>Smaller reporting company</w:t>
      </w:r>
      <w:r>
        <w:rPr>
          <w:sz w:val="20"/>
          <w:szCs w:val="20"/>
          <w:color w:val="auto"/>
        </w:rPr>
        <w:tab/>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3"/>
          <w:szCs w:val="13"/>
          <w:color w:val="auto"/>
        </w:rPr>
        <w:t>Emerging growth company</w:t>
      </w:r>
      <w:r>
        <w:rPr>
          <w:sz w:val="20"/>
          <w:szCs w:val="20"/>
          <w:color w:val="auto"/>
        </w:rPr>
        <w:tab/>
      </w:r>
      <w:r>
        <w:rPr>
          <w:rFonts w:ascii="Wingdings" w:cs="Wingdings" w:eastAsia="Wingdings" w:hAnsi="Wingdings"/>
          <w:sz w:val="13"/>
          <w:szCs w:val="13"/>
          <w:b w:val="1"/>
          <w:bCs w:val="1"/>
          <w:color w:val="auto"/>
        </w:rPr>
        <w:t>x</w:t>
      </w:r>
    </w:p>
    <w:p>
      <w:pPr>
        <w:spacing w:after="0" w:line="161" w:lineRule="exact"/>
        <w:rPr>
          <w:sz w:val="24"/>
          <w:szCs w:val="24"/>
          <w:color w:val="auto"/>
        </w:rPr>
      </w:pPr>
    </w:p>
    <w:p>
      <w:pPr>
        <w:ind w:right="320"/>
        <w:spacing w:after="0" w:line="262"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52" w:lineRule="exact"/>
        <w:rPr>
          <w:sz w:val="24"/>
          <w:szCs w:val="24"/>
          <w:color w:val="auto"/>
        </w:rPr>
      </w:pPr>
    </w:p>
    <w:p>
      <w:pPr>
        <w:ind w:right="22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o</w:t>
      </w:r>
    </w:p>
    <w:p>
      <w:pPr>
        <w:spacing w:after="0" w:line="38" w:lineRule="exact"/>
        <w:rPr>
          <w:sz w:val="24"/>
          <w:szCs w:val="24"/>
          <w:color w:val="auto"/>
        </w:rPr>
      </w:pPr>
    </w:p>
    <w:p>
      <w:pPr>
        <w:ind w:right="120"/>
        <w:spacing w:after="0" w:line="283"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25" w:lineRule="exact"/>
        <w:rPr>
          <w:sz w:val="24"/>
          <w:szCs w:val="24"/>
          <w:color w:val="auto"/>
        </w:rPr>
      </w:pPr>
    </w:p>
    <w:p>
      <w:pPr>
        <w:ind w:right="24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67" w:lineRule="exact"/>
        <w:rPr>
          <w:sz w:val="24"/>
          <w:szCs w:val="24"/>
          <w:color w:val="auto"/>
        </w:rPr>
      </w:pPr>
    </w:p>
    <w:p>
      <w:pPr>
        <w:ind w:right="180"/>
        <w:spacing w:after="0" w:line="262" w:lineRule="auto"/>
        <w:rPr>
          <w:sz w:val="20"/>
          <w:szCs w:val="20"/>
          <w:color w:val="auto"/>
        </w:rPr>
      </w:pPr>
      <w:r>
        <w:rPr>
          <w:rFonts w:ascii="Times New Roman" w:cs="Times New Roman" w:eastAsia="Times New Roman" w:hAnsi="Times New Roman"/>
          <w:sz w:val="13"/>
          <w:szCs w:val="13"/>
          <w:color w:val="auto"/>
        </w:rPr>
        <w:t>As of June 30, 2025, the aggregate market value of the registrant’s voting and non-voting common stock held by non-affiliates of the registrant was approximately $101.1 million (based upon a $3.37 closing sale price of the Class A common stock on that date on the Nasdaq Global Market).</w:t>
      </w:r>
    </w:p>
    <w:p>
      <w:pPr>
        <w:spacing w:after="0" w:line="52" w:lineRule="exact"/>
        <w:rPr>
          <w:sz w:val="24"/>
          <w:szCs w:val="24"/>
          <w:color w:val="auto"/>
        </w:rPr>
      </w:pPr>
    </w:p>
    <w:p>
      <w:pPr>
        <w:ind w:right="400"/>
        <w:spacing w:after="0" w:line="262" w:lineRule="auto"/>
        <w:rPr>
          <w:sz w:val="20"/>
          <w:szCs w:val="20"/>
          <w:color w:val="auto"/>
        </w:rPr>
      </w:pPr>
      <w:r>
        <w:rPr>
          <w:rFonts w:ascii="Times New Roman" w:cs="Times New Roman" w:eastAsia="Times New Roman" w:hAnsi="Times New Roman"/>
          <w:sz w:val="13"/>
          <w:szCs w:val="13"/>
          <w:color w:val="auto"/>
        </w:rPr>
        <w:t>As of March 3, 2026, the registrant had 64,652,926 shares of Class A common stock, $0.001 par value per share, issued and outstanding and 0 shares of Class B common stock, $0.001 par value per share, issued and outstanding.</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ectPr>
          <w:pgSz w:w="11900" w:h="16838" w:orient="portrait"/>
          <w:cols w:equalWidth="0" w:num="1">
            <w:col w:w="11240"/>
          </w:cols>
          <w:pgMar w:left="320" w:top="229" w:right="339" w:bottom="1440" w:gutter="0" w:footer="0" w:header="0"/>
        </w:sectPr>
      </w:pPr>
    </w:p>
    <w:p>
      <w:pPr>
        <w:spacing w:after="0" w:line="75"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the registrant’s 2026 Annual Meeting of Stockholders to be filed with the Securities and Exchange Commission within 120 days of the end of the registrant’s fiscal year ended December 31, 2025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40" w:type="dxa"/>
            <w:vAlign w:val="bottom"/>
            <w:gridSpan w:val="9"/>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40" w:type="dxa"/>
            <w:vAlign w:val="bottom"/>
          </w:tcPr>
          <w:p>
            <w:pPr>
              <w:spacing w:after="0"/>
              <w:rPr>
                <w:sz w:val="20"/>
                <w:szCs w:val="20"/>
                <w:color w:val="auto"/>
              </w:rPr>
            </w:pPr>
          </w:p>
        </w:tc>
      </w:tr>
      <w:tr>
        <w:trPr>
          <w:trHeight w:val="39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Forward-Looking Statements</w:t>
            </w:r>
          </w:p>
        </w:tc>
        <w:tc>
          <w:tcPr>
            <w:tcW w:w="6740" w:type="dxa"/>
            <w:vAlign w:val="bottom"/>
            <w:gridSpan w:val="12"/>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 Summary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0" w:type="dxa"/>
            <w:vAlign w:val="bottom"/>
            <w:tcBorders>
              <w:top w:val="single" w:sz="8" w:color="0000FF"/>
            </w:tcBorders>
          </w:tcPr>
          <w:p>
            <w:pPr>
              <w:spacing w:after="0"/>
              <w:rPr>
                <w:sz w:val="24"/>
                <w:szCs w:val="24"/>
                <w:color w:val="auto"/>
              </w:rPr>
            </w:pPr>
          </w:p>
        </w:tc>
        <w:tc>
          <w:tcPr>
            <w:tcW w:w="480" w:type="dxa"/>
            <w:vAlign w:val="bottom"/>
            <w:gridSpan w:val="4"/>
          </w:tcPr>
          <w:p>
            <w:pPr>
              <w:spacing w:after="0"/>
              <w:rPr>
                <w:sz w:val="24"/>
                <w:szCs w:val="24"/>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20" w:type="dxa"/>
            <w:vAlign w:val="bottom"/>
            <w:gridSpan w:val="24"/>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2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60" w:type="dxa"/>
            <w:vAlign w:val="bottom"/>
            <w:gridSpan w:val="2"/>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360" w:type="dxa"/>
            <w:vAlign w:val="bottom"/>
            <w:gridSpan w:val="2"/>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18"/>
        </w:trPr>
        <w:tc>
          <w:tcPr>
            <w:tcW w:w="20" w:type="dxa"/>
            <w:vAlign w:val="bottom"/>
          </w:tcPr>
          <w:p>
            <w:pPr>
              <w:spacing w:after="0"/>
              <w:rPr>
                <w:sz w:val="24"/>
                <w:szCs w:val="24"/>
                <w:color w:val="auto"/>
              </w:rPr>
            </w:pPr>
          </w:p>
        </w:tc>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360" w:type="dxa"/>
            <w:vAlign w:val="bottom"/>
            <w:gridSpan w:val="2"/>
          </w:tcPr>
          <w:p>
            <w:pPr>
              <w:spacing w:after="0"/>
              <w:rPr>
                <w:sz w:val="24"/>
                <w:szCs w:val="24"/>
                <w:color w:val="auto"/>
              </w:rPr>
            </w:pPr>
          </w:p>
        </w:tc>
        <w:tc>
          <w:tcPr>
            <w:tcW w:w="20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820" w:type="dxa"/>
            <w:vAlign w:val="bottom"/>
            <w:gridSpan w:val="13"/>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18"/>
        </w:trPr>
        <w:tc>
          <w:tcPr>
            <w:tcW w:w="20" w:type="dxa"/>
            <w:vAlign w:val="bottom"/>
          </w:tcPr>
          <w:p>
            <w:pPr>
              <w:spacing w:after="0"/>
              <w:rPr>
                <w:sz w:val="24"/>
                <w:szCs w:val="24"/>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Borders>
              <w:top w:val="single" w:sz="8" w:color="0000FF"/>
            </w:tcBorders>
          </w:tcPr>
          <w:p>
            <w:pPr>
              <w:spacing w:after="0"/>
              <w:rPr>
                <w:sz w:val="24"/>
                <w:szCs w:val="24"/>
                <w:color w:val="auto"/>
              </w:rPr>
            </w:pPr>
          </w:p>
        </w:tc>
        <w:tc>
          <w:tcPr>
            <w:tcW w:w="360" w:type="dxa"/>
            <w:vAlign w:val="bottom"/>
            <w:gridSpan w:val="2"/>
          </w:tcPr>
          <w:p>
            <w:pPr>
              <w:spacing w:after="0"/>
              <w:rPr>
                <w:sz w:val="24"/>
                <w:szCs w:val="24"/>
                <w:color w:val="auto"/>
              </w:rPr>
            </w:pP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60" w:type="dxa"/>
            <w:vAlign w:val="bottom"/>
            <w:gridSpan w:val="20"/>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3"/>
          </w:tcPr>
          <w:p>
            <w:pPr>
              <w:spacing w:after="0"/>
              <w:rPr>
                <w:sz w:val="24"/>
                <w:szCs w:val="24"/>
                <w:color w:val="auto"/>
              </w:rPr>
            </w:pP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520" w:type="dxa"/>
            <w:vAlign w:val="bottom"/>
            <w:gridSpan w:val="18"/>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1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00" w:type="dxa"/>
            <w:vAlign w:val="bottom"/>
            <w:gridSpan w:val="5"/>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420" w:type="dxa"/>
            <w:vAlign w:val="bottom"/>
            <w:gridSpan w:val="3"/>
          </w:tcPr>
          <w:p>
            <w:pPr>
              <w:spacing w:after="0"/>
              <w:rPr>
                <w:sz w:val="24"/>
                <w:szCs w:val="24"/>
                <w:color w:val="auto"/>
              </w:rPr>
            </w:pPr>
          </w:p>
        </w:tc>
        <w:tc>
          <w:tcPr>
            <w:tcW w:w="80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7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18"/>
        </w:trPr>
        <w:tc>
          <w:tcPr>
            <w:tcW w:w="2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420" w:type="dxa"/>
            <w:vAlign w:val="bottom"/>
            <w:gridSpan w:val="3"/>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7.</w:t>
            </w:r>
          </w:p>
        </w:tc>
        <w:tc>
          <w:tcPr>
            <w:tcW w:w="420" w:type="dxa"/>
            <w:vAlign w:val="bottom"/>
            <w:gridSpan w:val="3"/>
          </w:tcPr>
          <w:p>
            <w:pPr>
              <w:spacing w:after="0"/>
              <w:rPr>
                <w:sz w:val="24"/>
                <w:szCs w:val="24"/>
                <w:color w:val="auto"/>
              </w:rPr>
            </w:pPr>
          </w:p>
        </w:tc>
        <w:tc>
          <w:tcPr>
            <w:tcW w:w="64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00" w:type="dxa"/>
            <w:vAlign w:val="bottom"/>
            <w:gridSpan w:val="4"/>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17"/>
        </w:trPr>
        <w:tc>
          <w:tcPr>
            <w:tcW w:w="2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360" w:type="dxa"/>
            <w:vAlign w:val="bottom"/>
            <w:gridSpan w:val="2"/>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140" w:type="dxa"/>
            <w:vAlign w:val="bottom"/>
            <w:tcBorders>
              <w:top w:val="single" w:sz="8" w:color="0000FF"/>
            </w:tcBorders>
            <w:gridSpan w:val="3"/>
          </w:tcPr>
          <w:p>
            <w:pPr>
              <w:spacing w:after="0"/>
              <w:rPr>
                <w:sz w:val="24"/>
                <w:szCs w:val="24"/>
                <w:color w:val="auto"/>
              </w:rPr>
            </w:pPr>
          </w:p>
        </w:tc>
        <w:tc>
          <w:tcPr>
            <w:tcW w:w="360" w:type="dxa"/>
            <w:vAlign w:val="bottom"/>
            <w:gridSpan w:val="2"/>
          </w:tcPr>
          <w:p>
            <w:pPr>
              <w:spacing w:after="0"/>
              <w:rPr>
                <w:sz w:val="24"/>
                <w:szCs w:val="24"/>
                <w:color w:val="auto"/>
              </w:rPr>
            </w:pPr>
          </w:p>
        </w:tc>
        <w:tc>
          <w:tcPr>
            <w:tcW w:w="43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560" w:type="dxa"/>
            <w:vAlign w:val="bottom"/>
            <w:gridSpan w:val="7"/>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500" w:type="dxa"/>
            <w:vAlign w:val="bottom"/>
            <w:gridSpan w:val="5"/>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360" w:type="dxa"/>
            <w:vAlign w:val="bottom"/>
            <w:gridSpan w:val="2"/>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18"/>
        </w:trPr>
        <w:tc>
          <w:tcPr>
            <w:tcW w:w="20" w:type="dxa"/>
            <w:vAlign w:val="bottom"/>
          </w:tcPr>
          <w:p>
            <w:pPr>
              <w:spacing w:after="0"/>
              <w:rPr>
                <w:sz w:val="24"/>
                <w:szCs w:val="24"/>
                <w:color w:val="auto"/>
              </w:rPr>
            </w:pPr>
          </w:p>
        </w:tc>
        <w:tc>
          <w:tcPr>
            <w:tcW w:w="6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360" w:type="dxa"/>
            <w:vAlign w:val="bottom"/>
            <w:gridSpan w:val="2"/>
          </w:tcPr>
          <w:p>
            <w:pPr>
              <w:spacing w:after="0"/>
              <w:rPr>
                <w:sz w:val="24"/>
                <w:szCs w:val="24"/>
                <w:color w:val="auto"/>
              </w:rPr>
            </w:pP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24"/>
                <w:szCs w:val="24"/>
                <w:color w:val="auto"/>
              </w:rPr>
            </w:pPr>
          </w:p>
        </w:tc>
        <w:tc>
          <w:tcPr>
            <w:tcW w:w="7100" w:type="dxa"/>
            <w:vAlign w:val="bottom"/>
            <w:gridSpan w:val="15"/>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18"/>
        </w:trPr>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360" w:type="dxa"/>
            <w:vAlign w:val="bottom"/>
            <w:gridSpan w:val="2"/>
          </w:tcPr>
          <w:p>
            <w:pPr>
              <w:spacing w:after="0"/>
              <w:rPr>
                <w:sz w:val="24"/>
                <w:szCs w:val="24"/>
                <w:color w:val="auto"/>
              </w:rPr>
            </w:pPr>
          </w:p>
        </w:tc>
        <w:tc>
          <w:tcPr>
            <w:tcW w:w="49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960" w:type="dxa"/>
            <w:vAlign w:val="bottom"/>
            <w:gridSpan w:val="6"/>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1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360" w:type="dxa"/>
            <w:vAlign w:val="bottom"/>
            <w:gridSpan w:val="2"/>
          </w:tcPr>
          <w:p>
            <w:pPr>
              <w:spacing w:after="0"/>
              <w:rPr>
                <w:sz w:val="24"/>
                <w:szCs w:val="24"/>
                <w:color w:val="auto"/>
              </w:rPr>
            </w:pP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318"/>
        </w:trPr>
        <w:tc>
          <w:tcPr>
            <w:tcW w:w="20" w:type="dxa"/>
            <w:vAlign w:val="bottom"/>
          </w:tcPr>
          <w:p>
            <w:pPr>
              <w:spacing w:after="0"/>
              <w:rPr>
                <w:sz w:val="24"/>
                <w:szCs w:val="24"/>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420" w:type="dxa"/>
            <w:vAlign w:val="bottom"/>
            <w:gridSpan w:val="3"/>
          </w:tcPr>
          <w:p>
            <w:pPr>
              <w:spacing w:after="0"/>
              <w:rPr>
                <w:sz w:val="24"/>
                <w:szCs w:val="24"/>
                <w:color w:val="auto"/>
              </w:rPr>
            </w:pPr>
          </w:p>
        </w:tc>
        <w:tc>
          <w:tcPr>
            <w:tcW w:w="41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760" w:type="dxa"/>
            <w:vAlign w:val="bottom"/>
            <w:gridSpan w:val="8"/>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15.</w:t>
            </w: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16.</w:t>
            </w:r>
          </w:p>
        </w:tc>
        <w:tc>
          <w:tcPr>
            <w:tcW w:w="8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Borders>
              <w:top w:val="single" w:sz="8" w:color="0000FF"/>
            </w:tcBorders>
            <w:gridSpan w:val="8"/>
          </w:tcPr>
          <w:p>
            <w:pPr>
              <w:spacing w:after="0"/>
              <w:rPr>
                <w:sz w:val="24"/>
                <w:szCs w:val="24"/>
                <w:color w:val="auto"/>
              </w:rPr>
            </w:pPr>
          </w:p>
        </w:tc>
        <w:tc>
          <w:tcPr>
            <w:tcW w:w="3360" w:type="dxa"/>
            <w:vAlign w:val="bottom"/>
            <w:gridSpan w:val="11"/>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including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Annual Report on Form 10-K, including without limitation statements regarding our plans to develop, manufacture and commercialize our product candidates (including whether as potential monotherapies or in combination with other therapeutic agents), the design, timing, disclosure of data, or outcome of our ongoing or planned preclinical studies or clinical trials involving atebimetinib (also referred to as IMM-1-104), any of our other pipeline product candidates and any future product candidates, the clinical utility of our product candidates when administered alone or in combination with other therapeutic agents, the filing with, and approval by, regulatory authorities of our product candidates, the sufficiency of funds to operate the business of the Company and related expected cash runway, and our plans regarding raising additional capital, are forward-looking statements.</w:t>
      </w:r>
    </w:p>
    <w:p>
      <w:pPr>
        <w:spacing w:after="0" w:line="1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other important factors that could cause actual results to differ materially from those projected in the forward-looking statements, including, but not limited to, those described in the sections of this Annual Report on Form 10-K entitled “Risk Factors” and “Management’s Discussion and Analysis of Financial Condition and Results of Operations.” These risks and uncertainties include, but are not limited to:</w:t>
      </w:r>
    </w:p>
    <w:p>
      <w:pPr>
        <w:spacing w:after="0" w:line="139" w:lineRule="exact"/>
        <w:rPr>
          <w:sz w:val="20"/>
          <w:szCs w:val="20"/>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the substantial additional capital that will be required to finance our operations;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obtaining regulatory approval for any of our current or future product candidates;</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in designing and conducting clinical trials;</w:t>
      </w:r>
    </w:p>
    <w:p>
      <w:pPr>
        <w:spacing w:after="0" w:line="184"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progress and potential results of our ongoing and planned clinical trials and our research programs, including our ongoing Phase 1/2a clinical trial of atebimetinib and planned registrational trial of atebimetinib in combination with modified gemcitabine/nab-paclitaxel in first-line pancreatic cancer;</w:t>
      </w:r>
    </w:p>
    <w:p>
      <w:pPr>
        <w:spacing w:after="0" w:line="135"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clinical trials, including our ongoing Phase 1/2a clinical trial of atebimetinib and planned registrational trial of atebimetinib in combination with modified gemcitabine/nab-paclitaxel in first-line pancreatic cancer;</w:t>
      </w:r>
    </w:p>
    <w:p>
      <w:pPr>
        <w:spacing w:after="0" w:line="13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delays in completing, if at all, the development and commercialization of our current or future product candidates;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adverse events, toxicities or other undesirable side effects caused by our current or future product candidates;</w:t>
      </w:r>
    </w:p>
    <w:p>
      <w:pPr>
        <w:spacing w:after="0" w:line="184"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delays or difficulties in the enrollment and/or maintenance of patients in clinical trials, including in our planned registrational trial of atebimetinib in combination with modified gemcitabine/nab-paclitaxel in first-line pancreatic cancer;</w:t>
      </w:r>
    </w:p>
    <w:p>
      <w:pPr>
        <w:spacing w:after="0" w:line="134"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submit an Investigational New Drug application (“IND”), or IND amendments or comparable documents in foreign jurisdictions in order to commence clinical trials on the timelines we expect;</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reliance on the successful development of our current and future product candidates, as well as our platform, including our proprietary technologies;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hanging="327"/>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competition in our industry;</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for our product candidates, if approved;</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manufacturing;</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reliance on third parties;</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intellectual property;</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ongoing and future pandemics, or other widespread adverse health events; and</w:t>
      </w:r>
    </w:p>
    <w:p>
      <w:pPr>
        <w:spacing w:after="0" w:line="184"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important risk factors that could affect the outcome of the events set forth in these statements and that could affect our operating results and financial condition described in Part I, Item 1A. “Risk Factors” of this Annual Report on Form 10-K.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to “Immuneering,” the “Company,” “we,” “us,” and “our,” refer to Immuneering Corporation and its subsidiaries.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numerous risks and uncertainties, including those further described below in Part I, Item 1A. “Risk Factors” in this Annual Report on Form 10-K,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spacing w:after="0" w:line="143" w:lineRule="exact"/>
        <w:rPr>
          <w:sz w:val="20"/>
          <w:szCs w:val="20"/>
          <w:color w:val="auto"/>
        </w:rPr>
      </w:pPr>
    </w:p>
    <w:p>
      <w:pPr>
        <w:jc w:val="both"/>
        <w:ind w:left="740" w:right="20" w:hanging="327"/>
        <w:spacing w:after="0" w:line="266"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late-stage clinical oncology company with a limited operating history in developing pharmaceutical products, have not completed any registrational clinical trials and have no products approved for commercial sale, which may make it difficult for you to evaluate our current business and predict our future success and viability.</w:t>
      </w:r>
    </w:p>
    <w:p>
      <w:pPr>
        <w:spacing w:after="0" w:line="135"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for the past several years and we expect to continue to incur significant net losses for the foreseeable future and may never obtain profitability.</w:t>
      </w:r>
    </w:p>
    <w:p>
      <w:pPr>
        <w:spacing w:after="0" w:line="134"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35"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("FDA") and other comparable foreign regulatory authorities are lengthy, time consuming and inherently unpredictable with respect to outcomes.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39"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completing, or ultimately be unable to complete, the development and commercialization of our product candidates.</w:t>
      </w:r>
    </w:p>
    <w:p>
      <w:pPr>
        <w:spacing w:after="0" w:line="134"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studies and earlier clinical trials may not be predictive of the success of later clinical trials, and the results of our clinical trials may not satisfy the requirements of the FDA or other comparable foreign regulatory authorities.</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35"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substantially dependent on the successful development of our current and future product candidates. If we are unable to advance our current or future product candidates through clinical trials, obtain marketing approval to treat the indications that we seek to treat with our product candidates, and ultimately commercialize any product candidates we develop, or experience significant delays in doing so, our business will be materially harmed.</w:t>
      </w:r>
    </w:p>
    <w:p>
      <w:pPr>
        <w:spacing w:after="0" w:line="152"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our platform, including our proprietary technologies, which are supported by our information technology systems. Any failure of these or other elements of our platform will materially harm our business.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prospects depend in part upon discovering, developing and commercializing product candidates, which may fail in development or suffer delays that adversely affect their commercial viability.</w:t>
      </w:r>
    </w:p>
    <w:p>
      <w:pPr>
        <w:spacing w:after="0" w:line="12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unproven, and we may not be successful in our efforts to use and expand our platform and capabilities to build a pipeline of product candidates with commercial value.</w:t>
      </w:r>
    </w:p>
    <w:p>
      <w:pPr>
        <w:spacing w:after="0" w:line="134"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hanging="327"/>
        <w:spacing w:after="0" w:line="282"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34"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substantially rely, and expect to continue to rely, on third parties, including independent clinical investigators and contract research organizations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39"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including contract manufacturing organizations ("CMOs") and consultants,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be able to acquire such quantities at an acceptable cost, which could delay, prevent or impair our development or commercialization efforts.</w:t>
      </w:r>
    </w:p>
    <w:p>
      <w:pPr>
        <w:spacing w:after="0" w:line="139"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48"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and/or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develop and commercialize our product candidates, products (if any) and technology may be impaired, and we may not be able to compete effectively in our market.</w:t>
      </w:r>
    </w:p>
    <w:p>
      <w:pPr>
        <w:spacing w:after="0" w:line="139"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joint ventures or other transactions involving third parties could disrupt our business, cause dilution to our stockholders and otherwise harm our business.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A0A0A"/>
        </w:rPr>
        <w:t>We are a late-stage clinical oncology company focused on keeping cancer patients alive and helping them thrive. We are developing and seeking to commercialize an entirely new category of anti-cancer medicines, Deep Cyclic Inhibitors, which we believe have the potential to be more effective and better tolerated targeted therapies.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Deep Cyclic Inhibitors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A0A0A"/>
        </w:rPr>
        <w:t xml:space="preserve">Deep Cyclic Inhibition® ("DCI") is a novel mechanism that aims to deprive tumor cells of the sustained proliferative signaling required for rapid growth, while sparing healthy cells through a cadenced, normalized level of signaling. Our Deep Cyclic Inhibitors inhibit clinically-validated core signaling pathways, such as the mitogen-activated protein kinase ("MAPK") pathway. Our novel approach is designed to improve durability and tolerability, and differentiates us from chronically targeted precision therapies, which are </w:t>
      </w:r>
      <w:r>
        <w:rPr>
          <w:rFonts w:ascii="Times New Roman" w:cs="Times New Roman" w:eastAsia="Times New Roman" w:hAnsi="Times New Roman"/>
          <w:sz w:val="18"/>
          <w:szCs w:val="18"/>
          <w:color w:val="000000"/>
        </w:rPr>
        <w:t>generally limited by toxicity, resistance and/or application to specific mutations</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only</w:t>
      </w:r>
      <w:r>
        <w:rPr>
          <w:rFonts w:ascii="Times New Roman" w:cs="Times New Roman" w:eastAsia="Times New Roman" w:hAnsi="Times New Roman"/>
          <w:sz w:val="18"/>
          <w:szCs w:val="18"/>
          <w:color w:val="0A0A0A"/>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Atebimetinib (IMM-1-104)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A0A0A"/>
        </w:rPr>
        <w:t xml:space="preserve">Our lead product candidate, atebimetinib (IMM-1-104), is an oral, once-daily Deep Cyclic Inhibitor of </w:t>
      </w:r>
      <w:r>
        <w:rPr>
          <w:rFonts w:ascii="Times New Roman" w:cs="Times New Roman" w:eastAsia="Times New Roman" w:hAnsi="Times New Roman"/>
          <w:sz w:val="18"/>
          <w:szCs w:val="18"/>
          <w:color w:val="000000"/>
        </w:rPr>
        <w:t>mitogen-activated protein kinase kinase ("</w:t>
      </w:r>
      <w:r>
        <w:rPr>
          <w:rFonts w:ascii="Times New Roman" w:cs="Times New Roman" w:eastAsia="Times New Roman" w:hAnsi="Times New Roman"/>
          <w:sz w:val="18"/>
          <w:szCs w:val="18"/>
          <w:color w:val="0A0A0A"/>
        </w:rPr>
        <w:t>MEK"), designed to improve durability and tolerability across many cancer indications, including MAPK pathway-driven tumors such as pancreatic cancer. We are currently in the process of initiating a Phase 3 clinical trial of atebimetinib, which we call the MAPKeeper 301 trial, to evaluate atebimetinib in combination with modified gemcitabine/nab-paclitaxel ("mGnP") in first-line pancreatic cancer patients. We expect to dose the first patient in the MAPKeeper 301 trial in mid-2026.</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A0A0A"/>
        </w:rPr>
        <w:t>MAPKeeper 301 is designed as a global Phase 3 registrational trial that will evaluate atebimetinib (320 mg QD) in combination with mGnP, compared to standard of care gemcitabine/nab-paclitaxel ("GnP") alone, in first-line metastatic pancreatic ductal adenocarcinoma ("PDAC"). The primary endpoint of MAPKeeper 301 is overall survival, and secondary endpoints include progression-free survival, overall response rate, disease control rate, and quality of life measurements. We plan to enroll a total of approximately 510 patients in MAPKeeper 301, divided equally across the two arms.</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0A0A0A"/>
        </w:rPr>
        <w:t xml:space="preserve">In January 2026, we announced positive interim response and safety data from our </w:t>
      </w:r>
      <w:r>
        <w:rPr>
          <w:rFonts w:ascii="Times New Roman" w:cs="Times New Roman" w:eastAsia="Times New Roman" w:hAnsi="Times New Roman"/>
          <w:sz w:val="18"/>
          <w:szCs w:val="18"/>
          <w:color w:val="000000"/>
        </w:rPr>
        <w:t>ongoing Phase 2a clinical trial arm evaluating atebimetinib in</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combination with mGnP in first-line pancreatic cancer patients, which is part of our ongoing Phase 1/2a clinical trial of atebimetinib in patients with advanced solid tumors. We also announced that we expect the following near-term milestones related to atebimetinib: presenting further updated circulating tumor DNA data on acquired alterations from cancer patients treated with atebimetinib at a major scientific meeting, in the second quarter of 2026; announcing further updated survival data from over 50 first-line pancreatic cancer patients treated with atebimetinib in combination with mGnP in our ongoing Phase 1/2a clinical trial, in the first half of 2026; and dosing the first patient in a planned clinical trial of atebimetinib in combination with Libtayo® in non-small cell lung cancer patients, in the second half of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DCI Pipeline</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development pipeline also includes our additional clinical-stage product candidate envometinib </w:t>
      </w:r>
      <w:r>
        <w:rPr>
          <w:rFonts w:ascii="Times New Roman" w:cs="Times New Roman" w:eastAsia="Times New Roman" w:hAnsi="Times New Roman"/>
          <w:sz w:val="18"/>
          <w:szCs w:val="18"/>
          <w:color w:val="0A0A0A"/>
        </w:rPr>
        <w:t>(IMM-6-415) and</w:t>
      </w:r>
      <w:r>
        <w:rPr>
          <w:rFonts w:ascii="Times New Roman" w:cs="Times New Roman" w:eastAsia="Times New Roman" w:hAnsi="Times New Roman"/>
          <w:sz w:val="18"/>
          <w:szCs w:val="18"/>
          <w:color w:val="auto"/>
        </w:rPr>
        <w:t xml:space="preserve"> other early-stage research programs, including research focused on validated core cancer-signaling pathways outside of the MAPK pathway.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DCI platform is enabled by two key elements:</w:t>
      </w:r>
    </w:p>
    <w:p>
      <w:pPr>
        <w:spacing w:after="0" w:line="181" w:lineRule="exact"/>
        <w:rPr>
          <w:sz w:val="20"/>
          <w:szCs w:val="20"/>
          <w:color w:val="auto"/>
        </w:rPr>
      </w:pPr>
    </w:p>
    <w:p>
      <w:pPr>
        <w:ind w:left="740" w:hanging="327"/>
        <w:spacing w:after="0" w:line="286" w:lineRule="auto"/>
        <w:tabs>
          <w:tab w:leader="none" w:pos="7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Bioinformatics: </w:t>
      </w:r>
      <w:r>
        <w:rPr>
          <w:rFonts w:ascii="Times New Roman" w:cs="Times New Roman" w:eastAsia="Times New Roman" w:hAnsi="Times New Roman"/>
          <w:sz w:val="18"/>
          <w:szCs w:val="18"/>
          <w:color w:val="auto"/>
        </w:rPr>
        <w:t>our ability to efficiently analyze high-throughput molecular-level biochemical assays, including transcriptomics, genomics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proteomics, collectively referred to as Omics data; and</w:t>
      </w:r>
    </w:p>
    <w:p>
      <w:pPr>
        <w:spacing w:after="0" w:line="114" w:lineRule="exact"/>
        <w:rPr>
          <w:rFonts w:ascii="Times New Roman" w:cs="Times New Roman" w:eastAsia="Times New Roman" w:hAnsi="Times New Roman"/>
          <w:sz w:val="18"/>
          <w:szCs w:val="18"/>
          <w:color w:val="auto"/>
        </w:rPr>
      </w:pPr>
    </w:p>
    <w:p>
      <w:pPr>
        <w:ind w:left="740" w:hanging="327"/>
        <w:spacing w:after="0" w:line="286" w:lineRule="auto"/>
        <w:tabs>
          <w:tab w:leader="none" w:pos="7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3D Tumor Modeling: </w:t>
      </w:r>
      <w:r>
        <w:rPr>
          <w:rFonts w:ascii="Times New Roman" w:cs="Times New Roman" w:eastAsia="Times New Roman" w:hAnsi="Times New Roman"/>
          <w:sz w:val="18"/>
          <w:szCs w:val="18"/>
          <w:color w:val="auto"/>
        </w:rPr>
        <w:t>our ability to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studies in our own labs using proprietary humanized 3D tumor growth assays that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believe predict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more accurately than traditional 2D cell culture models.</w:t>
      </w:r>
    </w:p>
    <w:p>
      <w:pPr>
        <w:spacing w:after="0" w:line="1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different types of biochemical and 3D tumor growth assays each provide us with unique information about the molecular mechanisms of disease biology and drug response and help to guide our translational planning and development.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we have partnered with industry-leading pharmaceutical and biotechnology companies to perform a variety of analyses that utilize our expertise in translational bioinformatics. Examples publicly disclosed by our partners include our analyses of ibrutinib, ipilimumab, daratumumab, glatiramer acetate and pridopidine.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began applying our proprietary platform and approach to internally develop our wholly owned pipeline of Deep Cyclic Inhibitors, orally administered small molecule drug programs. Our approach played a critical role in determining the most important characteristics for, and the creation of,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and envometinib. Specifically, our platform enables us to:</w:t>
      </w:r>
    </w:p>
    <w:p>
      <w:pPr>
        <w:spacing w:after="0" w:line="135" w:lineRule="exact"/>
        <w:rPr>
          <w:sz w:val="20"/>
          <w:szCs w:val="20"/>
          <w:color w:val="auto"/>
        </w:rPr>
      </w:pPr>
    </w:p>
    <w:p>
      <w:pPr>
        <w:ind w:left="740" w:right="20" w:hanging="327"/>
        <w:spacing w:after="0" w:line="282"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leverage insights from human data to compare distinct groups who differ in a certain aspect of disease or response to a particular therapy, in order to identify disease transcriptional profiles we aim to counteract;</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identify novel targets and new ways to drug existing targets using our technology and insights into mechanisms of response;</w:t>
      </w:r>
    </w:p>
    <w:p>
      <w:pPr>
        <w:spacing w:after="0" w:line="198"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generate novel chemistry that is designed to overcome MAPK-feedback loops and other adaptive resistance mechanisms to achieve optimal signaling dynamics; and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6"/>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231F20"/>
        </w:rPr>
        <w:t>profile product candidates in a large number of proprietary humanized 3D tumor growth assays using our proprietary translational planning to more accurately predict drug response compared to standard models and identify the types of cancer we believe most likely to be sensitive to such product candidates.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programs are focused on tumors driven by mutations of the MAPK signaling pathway (i.e., RAS/RAF/MEK/ERK), and other relevant signaling pathways outside of the MAPK pathway. Existing drugs targeting the MAPK pathway are generally limited by toxicity, resistance and/or are narrowly focused on subpopulations with specific mutations. The MAPK pathway functions to drive cell proliferation, differentiation, survival and a variety of other cellular functions that are critical for the formation and progression of tumors.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Fundamental Cancer Signaling Cellular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132080</wp:posOffset>
            </wp:positionV>
            <wp:extent cx="2074545" cy="2057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7454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Deep Cyclic Inhibition of Cancer Signaling Pathways Challenges the Prevailing Chronic Ablation Approach</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of the programs in our pipeline of Deep Cyclic Inhibitors is designed to drive cyclical disruption of abnormal activation of the MAPK signaling pathway or other relevant core signaling pathways outside the MAPK pathway, with the goal of maximizing antitumor therapeutic effects while limiting drug-related toxicity and adaptive resistance.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Traditional targeted oncology drug development generally seeks to chronically sustain pathway inhibition, by prioritizing drugs with long to moderate half-lives and dosing them at intervals that maintain a sufficient level of drug, even at trough, to maintain target occupancy. This prevailing chronic ablation approach can cause on-target drug-related toxicity and limit clinical durability as a result of extended drug holidays, treatment discontinuation, and/or adaptive resistance. By contrast, our differentiated approach, based on counterintuitive insights derived from our translational bioinformatics platform, is to design novel drugs with at least three key aims: (1) achieve a manyfold higher C</w:t>
      </w:r>
      <w:r>
        <w:rPr>
          <w:rFonts w:ascii="Times New Roman" w:cs="Times New Roman" w:eastAsia="Times New Roman" w:hAnsi="Times New Roman"/>
          <w:sz w:val="23"/>
          <w:szCs w:val="23"/>
          <w:color w:val="auto"/>
          <w:vertAlign w:val="subscript"/>
        </w:rPr>
        <w:t>Max</w:t>
      </w:r>
      <w:r>
        <w:rPr>
          <w:rFonts w:ascii="Times New Roman" w:cs="Times New Roman" w:eastAsia="Times New Roman" w:hAnsi="Times New Roman"/>
          <w:sz w:val="18"/>
          <w:szCs w:val="18"/>
          <w:color w:val="auto"/>
        </w:rPr>
        <w:t>, (2) display a short plasma drug half-life, and (3) endow drugs with the ability to block feedback loops that would otherwise be susceptible to pathway reactivation. This design aims to provide enhanced mechanistic control of the target of interest and break tumor addiction, to prevent tumors from indefinitely self-replicating, metastasizing and evading the host’s immune system, among other capabilities. By cyclically disrupting these core oncogenic signaling pathways in cancer cells (i.e., imposing normalized signaling dynamics), we believe we can create novel therapeutics that maximize therapeutic activity in broad patient populations while providing an improved tolerability profile and improved durability through reduced pressure stemming from adaptive resistance. We believe we are pioneers in this unique approach of therapeutically leveraging signaling dynamics against tumor addiction.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Atebimetinib</w:t>
      </w:r>
      <w:r>
        <w:rPr>
          <w:rFonts w:ascii="Times New Roman" w:cs="Times New Roman" w:eastAsia="Times New Roman" w:hAnsi="Times New Roman"/>
          <w:sz w:val="18"/>
          <w:szCs w:val="18"/>
          <w:b w:val="1"/>
          <w:bCs w:val="1"/>
          <w:color w:val="000000"/>
        </w:rPr>
        <w:t>’s Deep Cyclic Inhibition of MEK is Designed to Improve Tolerability and Broaden Activity vs. Chronic Inhibition of 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396875</wp:posOffset>
            </wp:positionV>
            <wp:extent cx="5657850" cy="2811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Wholly-Owned Deep Cyclic Inhibitor Pipeline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Deep Cyclic Inhibitor programs target clinically validated pathways while seeking to improve patient outcomes across a wide range of solid tumor types through our differentiated programs. Our current pipeline of product candidates and discovery programs is depicted below.</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506095</wp:posOffset>
            </wp:positionV>
            <wp:extent cx="5657850" cy="4997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499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Lead Clinical Program: Atebimetinib (IMM-1-104)</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lead product candidate, atebimetinib, is an oral, once-daily Deep Cyclic Inhibitor of MEK, designed to improve durability and tolerability across many cancer indications, including MAPK pathway-driven tumors such as pancreatic cancer.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color w:val="auto"/>
        </w:rPr>
        <w:t xml:space="preserve"> is designed to achieve a unique pharmacokinetic ("PK") profile: it aims for a manyfold higher C</w:t>
      </w:r>
      <w:r>
        <w:rPr>
          <w:rFonts w:ascii="Times New Roman" w:cs="Times New Roman" w:eastAsia="Times New Roman" w:hAnsi="Times New Roman"/>
          <w:sz w:val="23"/>
          <w:szCs w:val="23"/>
          <w:color w:val="auto"/>
          <w:vertAlign w:val="subscript"/>
        </w:rPr>
        <w:t>Max</w:t>
      </w:r>
      <w:r>
        <w:rPr>
          <w:rFonts w:ascii="Times New Roman" w:cs="Times New Roman" w:eastAsia="Times New Roman" w:hAnsi="Times New Roman"/>
          <w:sz w:val="18"/>
          <w:szCs w:val="18"/>
          <w:color w:val="auto"/>
        </w:rPr>
        <w:t xml:space="preserve"> to provide stronger inhibition of the MAPK pathway than has been observed with first and second generation MEK inhibitors, followed by a complete release of the MAPK pathway through a near-zero drug trough. We believe this deep cyclic inhibition may enable broad activity with improved tolerability and limit the development of adaptive resistance.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0A0A0A"/>
        </w:rPr>
        <w:t xml:space="preserve">Atebimetinib </w:t>
      </w:r>
      <w:r>
        <w:rPr>
          <w:rFonts w:ascii="Times New Roman" w:cs="Times New Roman" w:eastAsia="Times New Roman" w:hAnsi="Times New Roman"/>
          <w:sz w:val="18"/>
          <w:szCs w:val="18"/>
          <w:color w:val="000000"/>
        </w:rPr>
        <w:t>was observed to bind to MEK and acts as a highly selective inhibitor of mitogen-activated protein kinase kinase kinase ("ERK") activation</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(i.e., phosphorylation), with a “Dual MEK” function that is designed to block the CRAF-bypass feedback to prevent MAPK pathway reactivation.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color w:val="000000"/>
        </w:rPr>
        <w:t xml:space="preserve"> is designed with a short plasma half-life that reduces sustained pathway inhibition (as depicted above).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color w:val="000000"/>
        </w:rPr>
        <w:t xml:space="preserve"> is also designed to prevent RAF-mediated activation of MEK, such as CRAF-bypass, by engagement of the RAF activation loop on MEK, and at elevated levels further disrupt the kinase suppressor of RAS 1 and 2 ("KSR"). We believe this innovative method of pathway inhibition has the ability to normalize cancer cell signaling dynamics and limits unnecessary harm to normal healthy cells. Collectively, we believe these qualities differentiate atebimetinib from other treatment options for RAS or RAF mutant and other MAPK-addicted tumors, as well as from known MEK inhibitors, by potentially enabling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color w:val="000000"/>
        </w:rPr>
        <w:t xml:space="preserve"> to reduce drug resistance while improving tolerability.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preclinical studies, we observed that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color w:val="auto"/>
        </w:rPr>
        <w:t xml:space="preserve"> inhibited MEK and ERK across a wide range of human and murine solid tumor models, including those with activating mutations in KRAS, NRAS, HRAS, and BRAF. In addition, in head-to-head preclinical studies, we evaluated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color w:val="auto"/>
        </w:rPr>
        <w:t xml:space="preserve"> in murine-based KRAS, NRAS, and BRAF mutant solid tumor models representing lung, colon, pancreas, and skin cancer, and observed tumor stasis or regression with insignificant body weight loss ("BWL") when compared to certain FDA-approved MEK inhibitors at reported human dose equivalent dose and schedules. Given the data observed in these preclinical studies, we believe that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color w:val="auto"/>
        </w:rPr>
        <w:t xml:space="preserve"> has the potential to deliver clinical benefit for patients across many cancer indications, including MAPK pathway-driven tumors such as pancreatic cancer. who currently have limited treatment options.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we commenced dosing in our ongoing Phase 1/2a clinical trial for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color w:val="auto"/>
        </w:rPr>
        <w:t xml:space="preserve"> in patients with advanced solid tumors. </w:t>
      </w:r>
      <w:r>
        <w:rPr>
          <w:rFonts w:ascii="Times New Roman" w:cs="Times New Roman" w:eastAsia="Times New Roman" w:hAnsi="Times New Roman"/>
          <w:sz w:val="18"/>
          <w:szCs w:val="18"/>
          <w:color w:val="0A0A0A"/>
        </w:rPr>
        <w:t>The ongoing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Phase 1/2a clinical trial is designed to assess the safety, tolerability, PK, pharmacodynamic ("PD"), and preliminary anti-tumor activity of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0A0A0A"/>
        </w:rPr>
        <w:t>tebimetinib, alone or in combination with other agents.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February 2024, </w:t>
      </w:r>
      <w:r>
        <w:rPr>
          <w:rFonts w:ascii="Times New Roman" w:cs="Times New Roman" w:eastAsia="Times New Roman" w:hAnsi="Times New Roman"/>
          <w:sz w:val="18"/>
          <w:szCs w:val="18"/>
          <w:color w:val="0A0A0A"/>
        </w:rPr>
        <w:t>July 2024 and December 2024, respectively,</w:t>
      </w:r>
      <w:r>
        <w:rPr>
          <w:rFonts w:ascii="Times New Roman" w:cs="Times New Roman" w:eastAsia="Times New Roman" w:hAnsi="Times New Roman"/>
          <w:sz w:val="18"/>
          <w:szCs w:val="18"/>
          <w:color w:val="auto"/>
        </w:rPr>
        <w:t xml:space="preserve"> we announced that the FDA granted Fast Track designation for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color w:val="auto"/>
        </w:rPr>
        <w:t xml:space="preserve"> for the treatment of patients: with PDAC who have failed one line of treatment; with PDAC in the </w:t>
      </w:r>
      <w:r>
        <w:rPr>
          <w:rFonts w:ascii="Times New Roman" w:cs="Times New Roman" w:eastAsia="Times New Roman" w:hAnsi="Times New Roman"/>
          <w:sz w:val="18"/>
          <w:szCs w:val="18"/>
          <w:color w:val="0A0A0A"/>
        </w:rPr>
        <w:t>first-line setting; and with unresectable or metastatic NRAS-mutant melanoma who have progressed on or are intolerant to PD-1/PD-L1 based immune checkpoint inhibitors</w:t>
      </w:r>
      <w:r>
        <w:rPr>
          <w:rFonts w:ascii="Times New Roman" w:cs="Times New Roman" w:eastAsia="Times New Roman" w:hAnsi="Times New Roman"/>
          <w:sz w:val="18"/>
          <w:szCs w:val="18"/>
          <w:color w:val="000000"/>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In October 2024, we announced that the FDA granted orphan drug designation for atebimetinib for the treatment of pancreatic cancer.</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A0A0A"/>
        </w:rPr>
        <w:t>In January 2025, we announced positive interim response and safety data from multiple Phase 2a pancreatic cancer arms of our ongoing Phase 1/2a clinical trial of atebimetnib, including:</w:t>
      </w:r>
    </w:p>
    <w:p>
      <w:pPr>
        <w:spacing w:after="0" w:line="119" w:lineRule="exact"/>
        <w:rPr>
          <w:sz w:val="20"/>
          <w:szCs w:val="20"/>
          <w:color w:val="auto"/>
        </w:rPr>
      </w:pPr>
    </w:p>
    <w:p>
      <w:pPr>
        <w:jc w:val="both"/>
        <w:ind w:left="660" w:hanging="328"/>
        <w:spacing w:after="0" w:line="257" w:lineRule="auto"/>
        <w:tabs>
          <w:tab w:leader="none" w:pos="655" w:val="left"/>
        </w:tabs>
        <w:numPr>
          <w:ilvl w:val="0"/>
          <w:numId w:val="7"/>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i w:val="1"/>
          <w:iCs w:val="1"/>
          <w:color w:val="0A0A0A"/>
        </w:rPr>
        <w:t>Atebimetinib in combination with modified FOLFIRINOX ("mFFX")</w:t>
      </w:r>
      <w:r>
        <w:rPr>
          <w:rFonts w:ascii="Times New Roman" w:cs="Times New Roman" w:eastAsia="Times New Roman" w:hAnsi="Times New Roman"/>
          <w:sz w:val="18"/>
          <w:szCs w:val="18"/>
          <w:color w:val="0A0A0A"/>
        </w:rPr>
        <w:t>: as of January 6, 2025, of the six evaluable patients in the ongoing Phase 2a</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arm evaluating atebimetinib with mFFX in first-line pancreatic cancer, three patients achieved a partial response (one unconfirmed) and three patients achieved stable disease, collectively representing an interim 50% (3/6) overall response rate ("ORR"), in each case as measured by the Response Evaluation Criteria in Solid Tumors ("RECIST"). The three patients that achieved partial responses, and one of the patients that achieved stable disease, remained on treatment as of the cutoff date. We also announced that, as of January 6, 2025, atebimetinib in combination with mFFX was observed to be generally well tolerated.</w:t>
      </w:r>
    </w:p>
    <w:p>
      <w:pPr>
        <w:spacing w:after="0" w:line="141" w:lineRule="exact"/>
        <w:rPr>
          <w:rFonts w:ascii="Times New Roman" w:cs="Times New Roman" w:eastAsia="Times New Roman" w:hAnsi="Times New Roman"/>
          <w:sz w:val="18"/>
          <w:szCs w:val="18"/>
          <w:color w:val="0A0A0A"/>
        </w:rPr>
      </w:pPr>
    </w:p>
    <w:p>
      <w:pPr>
        <w:jc w:val="both"/>
        <w:ind w:left="660" w:hanging="328"/>
        <w:spacing w:after="0" w:line="255" w:lineRule="auto"/>
        <w:tabs>
          <w:tab w:leader="none" w:pos="655" w:val="left"/>
        </w:tabs>
        <w:numPr>
          <w:ilvl w:val="0"/>
          <w:numId w:val="7"/>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i w:val="1"/>
          <w:iCs w:val="1"/>
          <w:color w:val="0A0A0A"/>
        </w:rPr>
        <w:t>Atebimetinib Monotherapy</w:t>
      </w:r>
      <w:r>
        <w:rPr>
          <w:rFonts w:ascii="Times New Roman" w:cs="Times New Roman" w:eastAsia="Times New Roman" w:hAnsi="Times New Roman"/>
          <w:sz w:val="18"/>
          <w:szCs w:val="18"/>
          <w:color w:val="0A0A0A"/>
        </w:rPr>
        <w:t>: as of December 5, 2024, of the twenty-one evaluable patients in the ongoing Phase 2a arm evaluating atebimetinib</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monotherapy in second-line pancreatic cancer, eleven patients achieved disease control, including one patient that achieved a partial response with a sixty-seven percent (67%) target lesion reduction, in each case as measured by RECIST. The patient that achieved the forementioned partial response, and eight of the patients that achieved stable disease, remained on treatment as of the cutoff date. We also announced that, as of December 5, 2024, atebimetinib monotherapy was observed to be very well tolerated. As of December 5, 2024, treatment-related adverse events ("TRAEs") observed in ten-percent (10%) or greater of evaluable patients dosed with atebimetinib at 320mg (n=21) were mostly Grade 1 events, with some Grade 2 events observed, including for: Rash (1 patient or 5%), Diarrhea (2 patients or 10%), Fatigue (1 patient or 5%) and Blurred Vision (1 patient or 5%); no Grade 3, Grade 4 or Grade 5 TRAEs were observed in this subset of the patient population.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A0A0A"/>
        </w:rPr>
        <w:t>In February 2025, we announced entry into a clinical supply agreement with Regeneron Pharmaceuticals for its anti-PD-1 therapy, Libtayo® (cemiplimab), which intends to support the evaluation of atebimetinib in combination with Libtayo in a planned clinical trial of patients with unresectable or metastatic RAS-mutant non-small cell lung cancer. We expect to dose the first patient in this planned clinical trial in the second half of 2026.</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A0A0A"/>
        </w:rPr>
        <w:t>In June 2025 and again in September 2025, we announced positive interim response and safety data from our ongoing Phase 2a clinical trial arm evaluating atebimetinib in combination with mGnP in first-line pancreatic cancer patients.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A0A0A"/>
        </w:rPr>
        <w:t>In August 2025, we announced a clinical supply agreement with Eli Lilly and Company for its second-generation KRAS G12C inhibitor, olomorasib (LY3537982), which intends to support the evaluation of atebimetinib in combination with olomorasib in a planned clinical trial of patients with locally advanced or metastatic KRAS G12C-mutant non-small cell lung cancer who have progressed on prior therapy.</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0A0A0A"/>
        </w:rPr>
        <w:t>In January 2026, we announced further updated positive interim data from our ongoing Phase 2a clinical trial arm evaluating atebimetinib in combination with mGnP in first-line pancreatic cancer patients. As of a cutoff date of December 15, 2025 (the “Cutoff Date”), 64% overall survival (“OS”) at 12 months (with median follow-up time of 13.4 months) was observed in the initial intent-to-treat population of 34 patients dosed at the 320 mg once-daily dose level of atebimetinib in combination with mGnP (the “320 mg ITT Population”). The standard of care (described below) reported a 35% OS at twelve months. As of the Cutoff Date, the median OS of the 320 mg ITT Population had not been reached and the median progression free survival ("PFS") was 8.5 months. Also as of the Cutoff Date, 94% OS and 83% OS were observed in the 320 mg ITT Population at six months and at nine months, respectively. The standard of care (described below) reported a 67% OS at six months; estimates of standard of care (described below) suggest a ~47% OS at nine months. As of the Cutoff Date, atebimetinib in combination with mGnP continued to be generally well tolerated. As of the Cutoff Date, Grade ≥ 3 treatment-emergent adverse events (“TEAEs”) observed in 10% or greater of patients in the 320 mg ITT Population consisted of Anemia (six patients or 18%) and Neutropenia (six patients or 18%). Grade ≥ 3 TEAEs observed in less than 10% of patients in the 320 mg ITT Population included Fatigue (6%), Leukopenia (3%), Vomiting (3%), Febrile Neutropenia (3%), Hypokalemia (3%) and Nausea (3%). No Grade 5 TEAEs were observed in this patient population and no new safety signals were identified.</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0A0A0A"/>
        </w:rPr>
        <w:t>The estimates of (and other references to) standard of care set forth above with respect to the six month and twelve month follow-up data were reported out directly from the publicly available third-party MPACT pivotal trial data for gemcitabine/nab-paclitaxel. The estimates of (and other references to) standard of care set forth above with respect to the nine month follow-up data were extrapolated and reconstructed by us based on the publicly available third-party MPACT pivotal trial data for gemcitabine/nab-paclitaxel. Our Phase 1/2a clinical trial of atebimetinib does not include a head-to-head comparison against any other agents, and caution should be exercised when comparing data across trials.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0A0A0A"/>
        </w:rPr>
        <w:t>We are currently in the process of initiating a Phase 3 clinical trial of atebimetinib, which we call the MAPKeeper 301 trial, to evaluate atebimetinib in combination with mGnP in first-line pancreatic cancer patients. MAPKeeper 301 is designed as a global Phase 3 registrational trial that will evaluate atebimetinib (320 mg QD) in combination with mGnP, compared to standard of care GnP alone, in first-line metastatic PDAC. The primary endpoint of MAPKeeper 301 is OS, and secondary endpoints include PFS, ORR, disease control rate, and quality of life measurements. We plan to enroll a total of approximately 510 patients in MAPKeeper 301, divided equally across the two arms. We expect to dose the first patient in the MAPKeeper 301 trial in mid-2026.</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0A0A0A"/>
        </w:rPr>
        <w:t xml:space="preserve">Additionally, we </w:t>
      </w:r>
      <w:r>
        <w:rPr>
          <w:rFonts w:ascii="Times New Roman" w:cs="Times New Roman" w:eastAsia="Times New Roman" w:hAnsi="Times New Roman"/>
          <w:sz w:val="18"/>
          <w:szCs w:val="18"/>
          <w:color w:val="000000"/>
        </w:rPr>
        <w:t>expect the other following near-term milestones related to atebimetinib: presenting further updated circulating tumor DNA data on</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acquired alterations from cancer patients treated with atebimetinib at a major scientific meeting, in the second quarter of 2026; announcing further updated survival data from over 50 first-line pancreatic cancer patients treated with atebimetinib in combination with mGnP in our ongoing Phase 1/2a clinical trial, in the first half of 2026; and dosing the first patient in a planned clinical trial of atebimetinib in combination with Libtayo in non-small cell lung cancer patients, in the second half of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Second Clinical Stage Program: Envometinib (IMM-6-415)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second program is focused on developing innovative allosteric MEK inhibitors that drive deep cyclic inhibition of the MAPK pathway, designed with unique drug-like properties including a shorter plasma half-life for an accelerated pharmacokinetic cadence dosed twice-daily in humans. Our product candidate for this program is designated as envometinib, and is designed to target MEK in a way that disrupts the MAPK pathway at ERK through reduction of MEK activation. We designed envometinib to have a unique PK and PD profile that may be optimized for distinct solid tumors, potentially including a broad range of MAPK-driven tumors as a monotherapy, as well as for a variety of combination approaches.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0A0A0A"/>
        </w:rPr>
        <w:t>n March 2024,</w:t>
      </w:r>
      <w:r>
        <w:rPr>
          <w:rFonts w:ascii="Times New Roman" w:cs="Times New Roman" w:eastAsia="Times New Roman" w:hAnsi="Times New Roman"/>
          <w:sz w:val="18"/>
          <w:szCs w:val="18"/>
          <w:color w:val="auto"/>
        </w:rPr>
        <w:t xml:space="preserve"> we commenced dosing </w:t>
      </w:r>
      <w:r>
        <w:rPr>
          <w:rFonts w:ascii="Times New Roman" w:cs="Times New Roman" w:eastAsia="Times New Roman" w:hAnsi="Times New Roman"/>
          <w:sz w:val="18"/>
          <w:szCs w:val="18"/>
          <w:color w:val="0A0A0A"/>
        </w:rPr>
        <w:t>in a Phase 1/2a clinical trial of envometinib for the treatment of patients with advanced solid tumors harboring RAF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or RAS mutations. The Phase 1/2a clinical trial was designed to assess the safety, tolerability, PK, PD, and preliminary anti-tumor activity of envometinib. The Phase 1 portion of the clinical trial included dose escalation and dose exploration for envometinib, using a Bayesian modified toxicity probability interval ("mTPI-2") statistical design to establish an optimized recommended Phase 2 dose ("RP2D") in solid tumor patients with evidence of any RAF or RAS mutation. The Phase 2a portion included evaluating envometinib in multiple dose expansion arms at the candidate RP2D.</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0A0A0A"/>
        </w:rPr>
        <w:t>In January 2025, we announced initial interim PK, PD and safety data from the monotherapy Phase 1 portion of the envometinib clinical trial. As of December 23, 2024, seventeen patients dosed orally with envometinib twice daily were evaluable for PK and PD analyses (as depicted in the image below). Of these patients, the Company dosed three patients at 40 mg (the first dose level), three patients at 80 mg (the second dose level), three patients at 120 mg (the third dose level), and eight patients at 160 mg (the fourth dose level). The majority of patients dosed at the second, third and fourth dose levels achieved significant PK Cmax levels, which is the plasma concentration of therapy in a specific area of the body, with envometinib of over 1,000 ng/mL or approximately 100 nM drug free-fraction. In addition, up to 72%, 76% and 77% PD inhibition of phosphorylated extracellular signal-regulated kinase ("pERK") was observed, as compared to pre-treatment baseline for patients dosed with envometinib at the second, third and fourth dose levels, respectively. The majority of patients dosed at the first, second and third dose levels showed a return to favorably low PK Ctrough levels, with envometinib of less than approximately 200 ng/mL or approximately 20 nM drug free-fraction. We also announced that, as of December 23, 2024, envometinib monotherapy was observed to be generally well tolerated at all tested dose levels, with no dose limiting toxicities or serious adverse events observed.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0A0A0A"/>
        </w:rPr>
        <w:t>Envometinib Phase 1: Monotherapy PK/PD Summary Analyses as of December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130175</wp:posOffset>
            </wp:positionV>
            <wp:extent cx="5657850" cy="2734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A0A0A"/>
        </w:rPr>
        <w:t>In February 2025, we paused further patient enrollment in the envometinib Phase 1/2a clinical trial in order to evaluate the data from patients being treated at the 120 mg dose level and determine next steps for the program. In April 2025, we made the strategic decision to pause further internal advancement of envometinib and focus resources on our lead product candidate atebimetinib. We are pursuing partnership opportunities and considering other potential developmental paths for envometinib.</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Deep Cyclic Inhibitor Discovery Research Programs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leveraging our platform to continue expanding our Deep Cyclic Inhibitor pipeline by targeting core signaling pathways outside the MAPK pathway, representing critical tumor-addicted pathways in novel ways. We also continue to evaluate and prioritize our pipeline, including our earlier stage discovery pipeline. We currently have multiple additional programs at various stages of drug discovery focused on targeting these pathways through novel pharmacological approaches.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were founded in 2008 by our Chief Executive Officer and President, Benjamin J. Zeskind, Ph.D., and Robert J. Carpenter, a current member of our Board of Directors (the "Board") and its former Chairperson, with the goal of leveraging translational bioinformatics to generate insights into the mechanisms that cause certain patients to respond to specific medicines across multiple therapeutic areas, and then seeking to make responses happen in a much broader population of patients. Our multi-disciplinary research and development ("R&amp;D") team is led by our Chief Scientific Officer, Dr. Brett Hall, who was the translational lead for Sylvant® (siltuximab) and Imbruvica® (ibrutinib) throughout clinical development. Our clinical team is led by our Chief Medical Officer, Igor Matushansky, M.D., Ph.D., who has extensive oncology drug development expertise, including overseeing the completion of NAPOLI-3 leading to the approval of NALIRIFOX for first-line pancreatic cancer, and decades of experience in the clinical treatment of cancer patients. Our leadership team brings together expertise across translational bioinformatics, preclinical and clinical development, and pharmaceutical business operations in oncology and includes individuals with extensive experience at some of the leading pharmaceutical and biotechnology companies, including Johnson &amp; Johnson, Merck, Regeneron, AstraZeneca, Ipsen Pharmaceuticals, Daiichi Sankyo, Novartis and Immunomedics (acquired by Gilead Sciences).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company is built on more than a decade of experience in translational bioinformatics. Since our founding in 2008, we have utilized this experience to generate insights into the mechanisms that cause certain patients to respond to specific medicines across therapeutic areas, and then sought to apply these insights to create medicines aimed at larger groups of patients. Our prior computational biology services business, which we have since ceased, helped us to better understand how translational bioinformatics can contribute to each stage of drug development, from early drug discovery to clinical development and through commercialization. However, we recognized the limitations of applying translational bioinformatics in isolation to specific stages of the drug development process and realized that bioinformatics could be even more helpful if applied continuously throughout the drug development process. Over time, we have developed a proprietary technology platform to facilitate that process and, in early 2018, we began applying the extensive counterintuitive insights from and capabilities of our platform and approach to create a wholly owned pipeline of novel small molecule drug programs, initially focusing on oncology.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a late-stage clinical oncology company </w:t>
      </w:r>
      <w:r>
        <w:rPr>
          <w:rFonts w:ascii="Times New Roman" w:cs="Times New Roman" w:eastAsia="Times New Roman" w:hAnsi="Times New Roman"/>
          <w:sz w:val="18"/>
          <w:szCs w:val="18"/>
          <w:color w:val="0A0A0A"/>
        </w:rPr>
        <w:t>focused on keeping cancer patients alive and helping them thrive. We are developing and seeking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commercialize an entirely new category of anti-cancer medicines, Deep Cyclic Inhibitors, which we believe have the potential to be more effective and better tolerated therapies. </w:t>
      </w:r>
      <w:r>
        <w:rPr>
          <w:rFonts w:ascii="Times New Roman" w:cs="Times New Roman" w:eastAsia="Times New Roman" w:hAnsi="Times New Roman"/>
          <w:sz w:val="18"/>
          <w:szCs w:val="18"/>
          <w:color w:val="000000"/>
        </w:rPr>
        <w:t>Our platform is designed to leverage human biological data to generate insights that are not constrained by the inherent</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limitations of conventional approaches or prevailing scientific views. To achieve our mission, we are executing a near-term strategy with the following key elements:</w:t>
      </w:r>
    </w:p>
    <w:p>
      <w:pPr>
        <w:spacing w:after="0" w:line="139" w:lineRule="exact"/>
        <w:rPr>
          <w:sz w:val="20"/>
          <w:szCs w:val="20"/>
          <w:color w:val="auto"/>
        </w:rPr>
      </w:pPr>
    </w:p>
    <w:p>
      <w:pPr>
        <w:jc w:val="both"/>
        <w:ind w:left="740" w:hanging="327"/>
        <w:spacing w:after="0" w:line="255"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Apply Our Deep Expertise of the MAPK Pathway to Develop Novel Therapies that Achieve Durable Outcomes and Improve Quality of Life Across a Range of Cancers. </w:t>
      </w:r>
      <w:r>
        <w:rPr>
          <w:rFonts w:ascii="Times New Roman" w:cs="Times New Roman" w:eastAsia="Times New Roman" w:hAnsi="Times New Roman"/>
          <w:sz w:val="18"/>
          <w:szCs w:val="18"/>
          <w:color w:val="231F20"/>
        </w:rPr>
        <w:t>We believe that our lead product candidate,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31F20"/>
        </w:rPr>
        <w:t>has the potential to treat broad populations of solid tumor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31F20"/>
        </w:rPr>
        <w:t>patients, specifically those with inappropriate activation of the MAPK pathway.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color w:val="231F20"/>
        </w:rPr>
        <w:t xml:space="preserve"> has been specifically designed to provide Deep Cyclic Inhibition of the MAPK pathway at the level of MEK, with a once-daily oral dosing cadence.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color w:val="231F20"/>
        </w:rPr>
        <w:t xml:space="preserve"> was designed to overcome MAPK-feedback loops and to have an intentionally short plasma half-life, with the goal of providing Deep Cyclic Inhibition. Collectively, we believe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color w:val="231F20"/>
        </w:rPr>
        <w:t xml:space="preserve"> has potential as both a monotherapy and in combination with other therapeutic agents to provide broader therapeutic activity and an improved tolerability profile relative to known MEK inhibitors, and that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231F20"/>
        </w:rPr>
        <w:t xml:space="preserve"> has the potential to target patients with </w:t>
      </w:r>
      <w:r>
        <w:rPr>
          <w:rFonts w:ascii="Times New Roman" w:cs="Times New Roman" w:eastAsia="Times New Roman" w:hAnsi="Times New Roman"/>
          <w:sz w:val="18"/>
          <w:szCs w:val="18"/>
          <w:color w:val="0A0A0A"/>
        </w:rPr>
        <w:t>solid tumors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A0A0A"/>
        </w:rPr>
        <w:t>driven by any mutation in KRAS, NRAS, HRAS, or BRAF</w:t>
      </w:r>
      <w:r>
        <w:rPr>
          <w:rFonts w:ascii="Times New Roman" w:cs="Times New Roman" w:eastAsia="Times New Roman" w:hAnsi="Times New Roman"/>
          <w:sz w:val="18"/>
          <w:szCs w:val="18"/>
          <w:color w:val="231F20"/>
        </w:rPr>
        <w:t>.</w:t>
      </w:r>
    </w:p>
    <w:p>
      <w:pPr>
        <w:spacing w:after="0" w:line="157" w:lineRule="exact"/>
        <w:rPr>
          <w:rFonts w:ascii="Times New Roman" w:cs="Times New Roman" w:eastAsia="Times New Roman" w:hAnsi="Times New Roman"/>
          <w:sz w:val="18"/>
          <w:szCs w:val="18"/>
          <w:color w:val="auto"/>
        </w:rPr>
      </w:pPr>
    </w:p>
    <w:p>
      <w:pPr>
        <w:jc w:val="both"/>
        <w:ind w:left="740" w:hanging="327"/>
        <w:spacing w:after="0" w:line="262" w:lineRule="auto"/>
        <w:tabs>
          <w:tab w:leader="none" w:pos="73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Advance Atebimetinib Through Late-stage Clinical Development for the Treatment of Pancreatic Cancer. </w:t>
      </w:r>
      <w:r>
        <w:rPr>
          <w:rFonts w:ascii="Times New Roman" w:cs="Times New Roman" w:eastAsia="Times New Roman" w:hAnsi="Times New Roman"/>
          <w:sz w:val="18"/>
          <w:szCs w:val="18"/>
          <w:color w:val="231F20"/>
        </w:rPr>
        <w:t>We are evaluating a</w:t>
      </w:r>
      <w:r>
        <w:rPr>
          <w:rFonts w:ascii="Times New Roman" w:cs="Times New Roman" w:eastAsia="Times New Roman" w:hAnsi="Times New Roman"/>
          <w:sz w:val="18"/>
          <w:szCs w:val="18"/>
          <w:color w:val="0A0A0A"/>
        </w:rPr>
        <w:t>tebimetinib</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in an</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 xml:space="preserve">ongoing Phase 1/2a clinical trial in patients with advanced solid tumors, including those harboring RAS or RAF mutations, and </w:t>
      </w:r>
      <w:r>
        <w:rPr>
          <w:rFonts w:ascii="Times New Roman" w:cs="Times New Roman" w:eastAsia="Times New Roman" w:hAnsi="Times New Roman"/>
          <w:sz w:val="18"/>
          <w:szCs w:val="18"/>
          <w:color w:val="0A0A0A"/>
        </w:rPr>
        <w:t>in the process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A0A0A"/>
        </w:rPr>
        <w:t>initiating our MAPKeeper 301 Phase 3 clinical trial to evaluate atebimetinib in combination with mGnP in first-line pancreatic cancer patients. We expect to dose the first patient in the MAPKeeper 301 trial in mid-2026.</w:t>
      </w:r>
    </w:p>
    <w:p>
      <w:pPr>
        <w:spacing w:after="0" w:line="135" w:lineRule="exact"/>
        <w:rPr>
          <w:rFonts w:ascii="Times New Roman" w:cs="Times New Roman" w:eastAsia="Times New Roman" w:hAnsi="Times New Roman"/>
          <w:sz w:val="18"/>
          <w:szCs w:val="18"/>
          <w:color w:val="231F20"/>
        </w:rPr>
      </w:pPr>
    </w:p>
    <w:p>
      <w:pPr>
        <w:ind w:left="740" w:hanging="327"/>
        <w:spacing w:after="0" w:line="286" w:lineRule="auto"/>
        <w:tabs>
          <w:tab w:leader="none" w:pos="735" w:val="left"/>
        </w:tabs>
        <w:numPr>
          <w:ilvl w:val="0"/>
          <w:numId w:val="8"/>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b w:val="1"/>
          <w:bCs w:val="1"/>
          <w:i w:val="1"/>
          <w:iCs w:val="1"/>
          <w:color w:val="0A0A0A"/>
        </w:rPr>
        <w:t>Advance Atebimetinib through clinical development for lung cancer and other tumor types</w:t>
      </w:r>
      <w:r>
        <w:rPr>
          <w:rFonts w:ascii="Times New Roman" w:cs="Times New Roman" w:eastAsia="Times New Roman" w:hAnsi="Times New Roman"/>
          <w:sz w:val="18"/>
          <w:szCs w:val="18"/>
          <w:b w:val="1"/>
          <w:bCs w:val="1"/>
          <w:color w:val="0A0A0A"/>
        </w:rPr>
        <w:t>.</w:t>
      </w:r>
      <w:r>
        <w:rPr>
          <w:rFonts w:ascii="Times New Roman" w:cs="Times New Roman" w:eastAsia="Times New Roman" w:hAnsi="Times New Roman"/>
          <w:sz w:val="18"/>
          <w:szCs w:val="18"/>
          <w:b w:val="1"/>
          <w:bCs w:val="1"/>
          <w:i w:val="1"/>
          <w:iCs w:val="1"/>
          <w:color w:val="0A0A0A"/>
        </w:rPr>
        <w:t xml:space="preserve"> </w:t>
      </w:r>
      <w:r>
        <w:rPr>
          <w:rFonts w:ascii="Times New Roman" w:cs="Times New Roman" w:eastAsia="Times New Roman" w:hAnsi="Times New Roman"/>
          <w:sz w:val="18"/>
          <w:szCs w:val="18"/>
          <w:color w:val="0A0A0A"/>
        </w:rPr>
        <w:t>I</w:t>
      </w:r>
      <w:r>
        <w:rPr>
          <w:rFonts w:ascii="Times New Roman" w:cs="Times New Roman" w:eastAsia="Times New Roman" w:hAnsi="Times New Roman"/>
          <w:sz w:val="18"/>
          <w:szCs w:val="18"/>
          <w:color w:val="000000"/>
        </w:rPr>
        <w:t>n the second half of 2026,</w:t>
      </w:r>
      <w:r>
        <w:rPr>
          <w:rFonts w:ascii="Times New Roman" w:cs="Times New Roman" w:eastAsia="Times New Roman" w:hAnsi="Times New Roman"/>
          <w:sz w:val="18"/>
          <w:szCs w:val="18"/>
          <w:b w:val="1"/>
          <w:bCs w:val="1"/>
          <w:i w:val="1"/>
          <w:iCs w:val="1"/>
          <w:color w:val="0A0A0A"/>
        </w:rPr>
        <w:t xml:space="preserve"> </w:t>
      </w:r>
      <w:r>
        <w:rPr>
          <w:rFonts w:ascii="Times New Roman" w:cs="Times New Roman" w:eastAsia="Times New Roman" w:hAnsi="Times New Roman"/>
          <w:sz w:val="18"/>
          <w:szCs w:val="18"/>
          <w:color w:val="0A0A0A"/>
        </w:rPr>
        <w:t>we expect to</w:t>
      </w:r>
      <w:r>
        <w:rPr>
          <w:rFonts w:ascii="Times New Roman" w:cs="Times New Roman" w:eastAsia="Times New Roman" w:hAnsi="Times New Roman"/>
          <w:sz w:val="18"/>
          <w:szCs w:val="18"/>
          <w:b w:val="1"/>
          <w:bCs w:val="1"/>
          <w:i w:val="1"/>
          <w:iCs w:val="1"/>
          <w:color w:val="0A0A0A"/>
        </w:rPr>
        <w:t xml:space="preserve"> </w:t>
      </w:r>
      <w:r>
        <w:rPr>
          <w:rFonts w:ascii="Times New Roman" w:cs="Times New Roman" w:eastAsia="Times New Roman" w:hAnsi="Times New Roman"/>
          <w:sz w:val="18"/>
          <w:szCs w:val="18"/>
          <w:color w:val="000000"/>
        </w:rPr>
        <w:t>dose the</w:t>
      </w:r>
      <w:r>
        <w:rPr>
          <w:rFonts w:ascii="Times New Roman" w:cs="Times New Roman" w:eastAsia="Times New Roman" w:hAnsi="Times New Roman"/>
          <w:sz w:val="18"/>
          <w:szCs w:val="18"/>
          <w:b w:val="1"/>
          <w:bCs w:val="1"/>
          <w:i w:val="1"/>
          <w:iCs w:val="1"/>
          <w:color w:val="0A0A0A"/>
        </w:rPr>
        <w:t xml:space="preserve"> </w:t>
      </w:r>
      <w:r>
        <w:rPr>
          <w:rFonts w:ascii="Times New Roman" w:cs="Times New Roman" w:eastAsia="Times New Roman" w:hAnsi="Times New Roman"/>
          <w:sz w:val="18"/>
          <w:szCs w:val="18"/>
          <w:color w:val="000000"/>
        </w:rPr>
        <w:t>first patient in a planned clinical trial of atebimetinib in combination with Libtayo® in non-small cell lung cancer patients.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740" w:hanging="327"/>
        <w:spacing w:after="0" w:line="268"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Progress Our DCI Pipeline to IND-Enabling Studies</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Other key programs in our DCI pipeline leverage our deep understanding of core cancer</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signaling pathways, and are grounded in translational bioinformatics and signaling dynamics. We also actively apply our platform to other relevant pathways as new opportunities arise that may strengthen our pipeline.</w:t>
      </w:r>
    </w:p>
    <w:p>
      <w:pPr>
        <w:spacing w:after="0" w:line="143" w:lineRule="exact"/>
        <w:rPr>
          <w:rFonts w:ascii="Times New Roman" w:cs="Times New Roman" w:eastAsia="Times New Roman" w:hAnsi="Times New Roman"/>
          <w:sz w:val="18"/>
          <w:szCs w:val="18"/>
          <w:color w:val="auto"/>
        </w:rPr>
      </w:pPr>
    </w:p>
    <w:p>
      <w:pPr>
        <w:jc w:val="both"/>
        <w:ind w:left="740" w:hanging="327"/>
        <w:spacing w:after="0" w:line="255"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Continue to Expand and Advance Our Platform and Portfolio of Product Candidates</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We have built a late-stage clinical oncology company</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that fully integrates bioinformatics and translational planning across all aspects of our drug discovery and development activities. We currently utilize our bioinformatics platform for our drug discovery efforts in oncology. These efforts are translationally guided by our proprietary, human-aligned 3D tumor models, and as we advance our product candidates into and through the clinic, we plan to utilize data and insights from our bioinformatics platform and proprietary humanized 3D tumor models to not only guide future clinical development but to also provide key learnings back to our earlier stage programs. Lastly, we continue to iterate on our existing technology and processes, and develop new technologies for our platform, all aimed at creating the most efficient process for the development of product candidates that we believe have the potential to optimize both safety and efficacy in broad patient populations of cancer patients with high unmet medical needs.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Bioinformatics Approach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Leveraging our history in translational bioinformatics, we have built a late-stage clinical oncology company that incorporates our expertise into every step of our process to discover and develop novel product candidates. Our goal is to meaningfully improve patient outcomes as compared to drugs developed through traditional drug discovery approaches. Our product candidate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is currently being evaluated in an ongoing Phase 1/2a clinical trial, and our planned Phase 3 clinical trial of atebimetinib in combination with mGnP in first-line pancreatic cancer patients is expected to begin dosing in mid-2026. The rest of our programs are in earlier stages of development or discovery. We have expanded our team of experts, including drug discovery and clinical development experts, to develop a pipeline of product candidates by leveraging our translational bioinformatics expertise.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Cancer Overview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Cancer is the second most common cause of death worldwide with approximately 10 million deaths annually and an incidence of approximately 20 million new cases in 2022. Cancer is defined as a collection of diseases in which abnormal cells divide uncontrollably and can invade nearby and distant tissues. The uncontrollable division of abnormal cells typically results in a malignant tumor (i.e., cancerous) or benign tumor (i.e., non-cancerous). There are two main categories of cancer: hematologic (i.e., blood) cancers and solid tumor cancers. Hematologic cancers are cancers of the blood cells, and include leukemia, lymphoma and multiple myeloma. Solid tumor cancers are cancers of any of the body’s other organs or tissues, including the pancreas, skin, lung and colon. Core tumor capabilities seen in cancer patients include the ability to indefinitely self-replicate, develop new blood vessels (i.e., angiogenesis), evade cell death (i.e., apoptosis), sustain self-sufficient growth, invade other tissues (i.e., metastasis), alter signaling pathways, evade immune system responses and modify metabolism. Tumor survival is dependent on certain of these capabilities (i.e., tumor addiction).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Pancreatic Ductal Adenocarcinoma (PDAC)</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 67,000 new cases of PDAC were diagnosed in the U.S., and over 51,000 deaths were reported, per the 2025 cancer census (Siegel 2025). While the 5-year OS for all patients with pancreatic cancer has improved from below 6% in the 20th century to above 10% in the 21st century, the 5-year OS of patients with metastatic pancreatic cancer remains unchanged at just 3%.</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Metastatic pancreatic cancer remains one of the most aggressive and highly lethal malignancies. Although it constitutes only about 3% of all cancers in the US, it is the fourth leading cause of cancer deaths in both men and women and is responsible for 8% of all cancer-related deaths for both men and women (Khalaf 2021, Siegel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MAPK Pathway and Beyond</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all cells, signaling pathways govern how cells regulate themselves as well as direct activities in relation to other cells in the body. One of the most commonly altered signaling pathways in cancer is the MAPK pathway, which consists of the RAS-RAF-MEK-ERK signaling cascade. RAS is a family of related oncogenes found upstream in the MAPK pathway that codes for four highly related protein isoforms, HRAS, NRAS, KRAS4A and KRAS4B. In many solid tumors, the MAPK pathway is inappropriately activated, often through mutations in the key members of the pathway, including RAS. When RAS is switched “on” through the activation of the membrane-bound receptor tyrosine kinase ("RTK"), the MAPK pathway functions to drive cell proliferation, differentiation, survival and a variety of other cellular functions that are critical for the formation of tumors.</w:t>
      </w:r>
    </w:p>
    <w:p>
      <w:pPr>
        <w:spacing w:after="0" w:line="1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Through widespread adaptation of molecular profiling, we now recognize that up to one in two cancer patients harbor tumors which are inappropriately activated through the MAPK pathway. Many of these patients display tumors with activation mutations in RAS or RAF, which lie upstream of MEK and ERK. Because inappropriate activation of the MAPK pathway supports many of the core tumor capabilities described above, efforts to create new therapeutics to target this pathway have been a high priority in cancer drug research. However, to date nearly all therapeutics that target the MAPK pathway have been limited to narrow patient subpopulations and have struggled to balance tolerability, durability of response, and efficacy. Nearly all targeted therapeutics against the MAPK pathway have been designed for sustained pathway suppression, which has resulted in on-target drug-related toxicities that limit clinical durability and potential drug-drug combinations. Furthermore, sustained irreversible covalent inhibition of these pathways may lead to treatment resistance, as highlighted in a study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(N Engl J Med 2021; 384:2382-2393). The study focused on patients treated with adagrasib, an irreversible covalent inhibitor of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and reported that 45% of patients (17 patients out of 38) in the study receiving adagrasib monotherapy developed resistance. Of these patients, many resistance mechanisms were observed involving non-G12C variations in KRAS, variations in NRAS or BRAF, or other resistance mechanisms related to the MAPK pathway. A second study published in Nature (November 10, 2021) evaluated 43 patients treated with sotorasib, an irreversible covalent inhibitor of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and reported 27 patients with multiple treatment-emergent resistance alterations. Of these, 70% (19 out of 27) patients reported resistance mechanisms involving RAS/RAF mutations (Nature 2021; 599:679-683). A third study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(N Engl J Med 2023; 389:710-721) also described acquired alterations that may confer resistance to divarasib (another irreversible covalent inhibitor of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including many alterations in KRAS, BRAF, NRAS, and other elements of the MAPK pathway.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Developing novel therapeutics to effectively, broadly and safely target this pathway may provide clinical benefit in large patient populations with significant unmet needs. In addition, although this pathway represents one of the most active areas in cancer drug discovery and development, targeted therapeutics that more effectively and safely normalize, but not chronically ablate, ERK signaling may uncouple drug activity and tolerability, while optimizing both. Our pipeline is designed to disrupt molecular pathways in a pulsatile way that undermines tumor addiction while limiting drug-related toxicity of normal healthy cells that are less reliant on a sustained high level of signaling along these pathways.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 xml:space="preserve">Atebimetinib </w:t>
      </w:r>
      <w:r>
        <w:rPr>
          <w:rFonts w:ascii="Times New Roman" w:cs="Times New Roman" w:eastAsia="Times New Roman" w:hAnsi="Times New Roman"/>
          <w:sz w:val="18"/>
          <w:szCs w:val="18"/>
          <w:b w:val="1"/>
          <w:bCs w:val="1"/>
          <w:color w:val="000000"/>
        </w:rPr>
        <w:t>Design and Preclinical Overview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of MEK Inhibitors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Activating mutations of RAS and/or RAF in the MAPK pathway are observed in approximately 30% of all cancer patients, and inappropriate activation of this pathway is observed in up to 50% of all tumors and represents one of the most highly utilized signaling pathways in oncology. In aggressive solid tumors of the pancreas, skin, lungs and colon, mutations in RAS and/or RAF are even more common. For example, approximately 40% of lung cancers and approximately 90% of pancreatic cancers are due to RAS and/or RAF mutations. In turn MEK, which is downstream in the cellular signaling cascade, represents a compelling area for treatment and has previously been validated as a therapeutic target. However, to date, FDA-approved MEK inhibitors have been ineffective at treating RAS mutant tumors when compared to BRAF mutant tumors because of a well-known mechanism of resistance, CRAF-mediated MEK reactivation, also known as CRAF-bypass. In addition, a well-known limitation of current FDA approved MEK inhibitors are high rates of serious drug-related adverse events ("SAE’s"), often observed in over 50% of treated patients, which leads to drug intolerability. The longer half-life of these drugs (e.g., up to 2 to 4 days) with once per day or less frequent dosing, or moderate half-life (e.g., 3 to 6 hours) with increased dosing frequency, contributes to high rates of adverse events because typically these drugs chronically and systemically circulate for an extended period of time and harm healthy normal cells, which also rely on the MAPK pathway for functionality and survival. Our goal in developing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is to address these shortcomings and potentially provide patients with better outcomes, improved tolerability, durability and expanded drug-drug combination opportunities (as depicted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A</w:t>
      </w:r>
      <w:r>
        <w:rPr>
          <w:rFonts w:ascii="Times New Roman" w:cs="Times New Roman" w:eastAsia="Times New Roman" w:hAnsi="Times New Roman"/>
          <w:sz w:val="18"/>
          <w:szCs w:val="18"/>
          <w:b w:val="1"/>
          <w:bCs w:val="1"/>
          <w:i w:val="1"/>
          <w:iCs w:val="1"/>
          <w:color w:val="0A0A0A"/>
        </w:rPr>
        <w:t>tebimetinib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405765</wp:posOffset>
            </wp:positionV>
            <wp:extent cx="4114800" cy="1800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148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leveraged our platform to develop our lead product candidate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which is designed to be a highly selective dual-MEK inhibitor and to promote additional scaffold-related disruption of KSR at elevated drug levels. We are currently developing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as a potential treatment for patients with cancer, including pancreatic and non-small cell lung cancer ("NSCLC") caused by mutations of RAS or RAF. In order to overcome MAPK-feedback and CRAF-mediated MEK activation, a well-known limitation of some current FDA-approved MEK inhibitors, we developed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to allosterically inhibit MEK by targeting the site lying adjacent to the binding pocket of adenosine triphosphate ("ATP"), which would result in downstream inhibition of ERK. In addition, unlike some current FDA-approved MEK inhibitors,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is designed to prevent MEK activation through a unique target engagement to prevent RAF or KSR-mediated activation of MEK. We believe that bypassing pathway reactivating drug resistance mechanisms would provide for better patient outcomes by enhancing therapeutic activity throughout the course of treatment. By reducing or eliminating steady state drug trough levels, we also designed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to limit or reduce high rates of serious drug-related adverse events that have been observed in current FDA-approved MEK inhibitors (e.g., which can range from 45% to 69%), most often given in combination with a RAF inhibitor, which contributes to discontinuation rates of up to 10% to 15%.</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With a goal of improving tolerability, we designed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to have a short plasma half-life, to result in a near-zero steady state drug trough concentration to enable deep, cyclic inhibition of the MAPK pathway. We believe this method of drug cadence-driven pathway inhibition has the potential to normalize cancer cell signaling dynamics and prevent further damage to normal healthy cells. Collectively, we believe these dosing attributes may differentiate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from known MEK inhibitors by potentially allowing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to reduce drug resistance while improving tolerability due to its design to allosterically inhibit MEK, be uniquely resistant to MAPK pathway reactivation and to enable deep, cyclic inhibition stemming from a short plasma half-life.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Overview of A</w:t>
      </w:r>
      <w:r>
        <w:rPr>
          <w:rFonts w:ascii="Times New Roman" w:cs="Times New Roman" w:eastAsia="Times New Roman" w:hAnsi="Times New Roman"/>
          <w:sz w:val="18"/>
          <w:szCs w:val="18"/>
          <w:b w:val="1"/>
          <w:bCs w:val="1"/>
          <w:i w:val="1"/>
          <w:iCs w:val="1"/>
          <w:color w:val="0A0A0A"/>
        </w:rPr>
        <w:t>tebimetinib</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multiple preclinical studies, we observed that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inhibited activation of MEK (i.e., pMEK) as well as activation of ERK (i.e., pERK) across a wide range of murine and humanized 3D solid tumor models, including those with MAPK pathway activating mutations in KRAS, NRAS, HRAS and BRAF. In addition, in head-to-head preclinical studies, we evaluated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in murine-based KRAS, NRAS, and BRAF mutant solid tumor models representing lung (i.e., A549), colon (i.e., Colon-26), pancreas (i.e., MIA PaCa-2. CAPAN-2) and skin cancer (i.e., A375 and SK-MEL-2), and observed superior antitumor activity with insignificant BWL when compared to certain FDA-approved MEK inhibitors and superior or non-inferior antitumor activity when compared to certain FDA-approved KRAS-G12C and BRAF inhibitors, at reported human dose equivalent dose and schedules. Given the data observed in our previously conducted preclinical studies, we believe that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has the potential to deliver clinical benefit as monotherapy and in select drug combinations for patients with RAS or RAF mutant solid tumors who currently have limited treatment options.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Maximum Tolerated Dose and Therapeutic Effect Data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our early maximum tolerated dose ("MTD") studies, we observed that oral administration of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twice a day of up to 150 mg/kg/dose was well-tolerated in mice. In other preclinical studies, we observed that the maximum therapeutic effect of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was reached when administered orally twice a day between 100 and 150 mg/kg/dose. These dosing studies provided the basis of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’s dosing schedule in subsequent preclinical studies.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Pharmacogenomics Data</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 pharmacogenomics study utilizing a colorectal KRAS</w:t>
      </w:r>
      <w:r>
        <w:rPr>
          <w:rFonts w:ascii="Times New Roman" w:cs="Times New Roman" w:eastAsia="Times New Roman" w:hAnsi="Times New Roman"/>
          <w:sz w:val="23"/>
          <w:szCs w:val="23"/>
          <w:color w:val="auto"/>
          <w:vertAlign w:val="superscript"/>
        </w:rPr>
        <w:t>G12D</w:t>
      </w:r>
      <w:r>
        <w:rPr>
          <w:rFonts w:ascii="Times New Roman" w:cs="Times New Roman" w:eastAsia="Times New Roman" w:hAnsi="Times New Roman"/>
          <w:sz w:val="18"/>
          <w:szCs w:val="18"/>
          <w:color w:val="auto"/>
        </w:rPr>
        <w:t xml:space="preserve"> tumor model in BALB/c mice, we evaluated downstream ERK inhibition of the MAPK pathway after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treatment. We orally administered vehicle, selumetinib and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twice a day at 100 mg/kg/dose, then harvested the tumors after 18 days of chronic treatment at 2 and 12 hours following the last drug dose to evaluate RNAseq changes. The tumors were collected across distinct BALB/c mice and RNAseq changes were evaluated using statistical analysis software. Consistent with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’s designed short plasma half-life, we observed deep, cyclic inhibition of most of the top genes in the ERK transcriptome, as noted by the differences of the dark and light blue bars in the figure below, which we believe suggests the potential for improved tolerability by allowing healthy normal cells to regenerate before the next dose is administered. For example, </w:t>
      </w:r>
      <w:r>
        <w:rPr>
          <w:rFonts w:ascii="Times New Roman" w:cs="Times New Roman" w:eastAsia="Times New Roman" w:hAnsi="Times New Roman"/>
          <w:sz w:val="18"/>
          <w:szCs w:val="18"/>
          <w:i w:val="1"/>
          <w:iCs w:val="1"/>
          <w:color w:val="auto"/>
        </w:rPr>
        <w:t>Erg1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Spry4</w:t>
      </w:r>
      <w:r>
        <w:rPr>
          <w:rFonts w:ascii="Times New Roman" w:cs="Times New Roman" w:eastAsia="Times New Roman" w:hAnsi="Times New Roman"/>
          <w:sz w:val="18"/>
          <w:szCs w:val="18"/>
          <w:color w:val="auto"/>
        </w:rPr>
        <w:t xml:space="preserve"> were both downregulated over 16-fold at 2 hours after receiving the first dose on day 18 of the study, and at 12 hours after the first dose, which was prior to the second dose, both genes were approaching their baseline state when compared to vehicle treated tumors (as depicted below). In contrast to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we did not observe deep cyclic inhibition by selumetinib, but rather observed sustained MAPK pathway suppression versus vehicle groups between the two timepoints on day 18 (as depicted below). The top 20 genes were a subset of a 52-gene signature for ERK signaling.</w:t>
      </w:r>
    </w:p>
    <w:p>
      <w:pPr>
        <w:spacing w:after="0" w:line="1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A</w:t>
      </w:r>
      <w:r>
        <w:rPr>
          <w:rFonts w:ascii="Times New Roman" w:cs="Times New Roman" w:eastAsia="Times New Roman" w:hAnsi="Times New Roman"/>
          <w:sz w:val="18"/>
          <w:szCs w:val="18"/>
          <w:b w:val="1"/>
          <w:bCs w:val="1"/>
          <w:color w:val="0A0A0A"/>
        </w:rPr>
        <w:t>tebimetinib</w:t>
      </w:r>
      <w:r>
        <w:rPr>
          <w:rFonts w:ascii="Times New Roman" w:cs="Times New Roman" w:eastAsia="Times New Roman" w:hAnsi="Times New Roman"/>
          <w:sz w:val="18"/>
          <w:szCs w:val="18"/>
          <w:b w:val="1"/>
          <w:bCs w:val="1"/>
          <w:color w:val="auto"/>
        </w:rPr>
        <w:t xml:space="preserve"> Against Selumetinib Using a Colon-26 Syngeneic Tumor Model: Deep Cyclic Inhibition of the ERK Transcriptome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86995</wp:posOffset>
            </wp:positionV>
            <wp:extent cx="4286250" cy="2143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862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120" w:hanging="134"/>
        <w:spacing w:after="0"/>
        <w:tabs>
          <w:tab w:leader="none" w:pos="21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p-value &lt; 0.05, for each treatment versus vehicle (n = 3-4 independent tumors per group)</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18" w:lineRule="exact"/>
        <w:rPr>
          <w:rFonts w:ascii="Times New Roman" w:cs="Times New Roman" w:eastAsia="Times New Roman" w:hAnsi="Times New Roman"/>
          <w:sz w:val="18"/>
          <w:szCs w:val="18"/>
          <w:i w:val="1"/>
          <w:iCs w:val="1"/>
          <w:color w:val="auto"/>
        </w:rPr>
      </w:pPr>
    </w:p>
    <w:p>
      <w:pPr>
        <w:ind w:left="55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Resistance to CRAF-bypass Observed</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evaluated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head-to-head against four FDA-approved MEK inhibitors for CRAF-bypass resistance in a KRAS mutant NSCLC tumor model. We exposed the tumor cells with 100 nM of each drug for 2 hours and evaluated MEK and ERK activation levels. We observed that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reduced overall activity of the MAPK pathway at ERK and pathway reactivation at MEK through a decrease in MEK and ERK activation, resulting in CRAF-bypass resistance. In contrast, we observed that all four FDA-approved MEK inhibitors displayed an increase in activated MEK, resulting in CRAF-bypass (as depicted below).</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A</w:t>
      </w:r>
      <w:r>
        <w:rPr>
          <w:rFonts w:ascii="Times New Roman" w:cs="Times New Roman" w:eastAsia="Times New Roman" w:hAnsi="Times New Roman"/>
          <w:sz w:val="18"/>
          <w:szCs w:val="18"/>
          <w:b w:val="1"/>
          <w:bCs w:val="1"/>
          <w:color w:val="0A0A0A"/>
        </w:rPr>
        <w:t>tebimetinib</w:t>
      </w:r>
      <w:r>
        <w:rPr>
          <w:rFonts w:ascii="Times New Roman" w:cs="Times New Roman" w:eastAsia="Times New Roman" w:hAnsi="Times New Roman"/>
          <w:sz w:val="18"/>
          <w:szCs w:val="18"/>
          <w:b w:val="1"/>
          <w:bCs w:val="1"/>
          <w:color w:val="auto"/>
        </w:rPr>
        <w:t xml:space="preserve"> against Four FDA-Approved MEK Inhibitors Using a A549 Xenograft Tumor Model: Prevented Downstream Activation of ERK (↓ pERK) and Inhibited Activation of MEK (↓ pMEK)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86995</wp:posOffset>
            </wp:positionV>
            <wp:extent cx="4114800" cy="2143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148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We evaluated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head-to-head against binimetinib monotherapy and in combination with encorafenib in the KRAS</w:t>
      </w:r>
      <w:r>
        <w:rPr>
          <w:rFonts w:ascii="Times New Roman" w:cs="Times New Roman" w:eastAsia="Times New Roman" w:hAnsi="Times New Roman"/>
          <w:sz w:val="23"/>
          <w:szCs w:val="23"/>
          <w:color w:val="auto"/>
          <w:vertAlign w:val="superscript"/>
        </w:rPr>
        <w:t>G12S</w:t>
      </w:r>
      <w:r>
        <w:rPr>
          <w:rFonts w:ascii="Times New Roman" w:cs="Times New Roman" w:eastAsia="Times New Roman" w:hAnsi="Times New Roman"/>
          <w:sz w:val="18"/>
          <w:szCs w:val="18"/>
          <w:color w:val="auto"/>
        </w:rPr>
        <w:t xml:space="preserve"> human NSCLC xenograft tumor model (i.e., A549). When comparing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to binimetinib monotherapy, we observed that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had greater tumor growth inhibition (as depicted below). The observations of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head-to-head against binimetinib alone and in combination with encorafenib, which was not considered relevant for a KRAS mutant, RAF wild-type tumor model, has been included in the figure below for comparison purposes.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Head-to-Head Comparison of A</w:t>
      </w:r>
      <w:r>
        <w:rPr>
          <w:rFonts w:ascii="Times New Roman" w:cs="Times New Roman" w:eastAsia="Times New Roman" w:hAnsi="Times New Roman"/>
          <w:sz w:val="18"/>
          <w:szCs w:val="18"/>
          <w:b w:val="1"/>
          <w:bCs w:val="1"/>
          <w:color w:val="0A0A0A"/>
        </w:rPr>
        <w:t>tebimetinib</w:t>
      </w:r>
      <w:r>
        <w:rPr>
          <w:rFonts w:ascii="Times New Roman" w:cs="Times New Roman" w:eastAsia="Times New Roman" w:hAnsi="Times New Roman"/>
          <w:sz w:val="18"/>
          <w:szCs w:val="18"/>
          <w:b w:val="1"/>
          <w:bCs w:val="1"/>
          <w:color w:val="auto"/>
        </w:rPr>
        <w:t xml:space="preserve"> Against Binimetinib +/- Encorafenib Using a A549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131445</wp:posOffset>
            </wp:positionV>
            <wp:extent cx="4800600" cy="2400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006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also evaluated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head-to-head against binimetinib and encorafenib monotherapy and the combination of binimetinib with encorafenib in a BRAF</w:t>
      </w:r>
      <w:r>
        <w:rPr>
          <w:rFonts w:ascii="Times New Roman" w:cs="Times New Roman" w:eastAsia="Times New Roman" w:hAnsi="Times New Roman"/>
          <w:sz w:val="23"/>
          <w:szCs w:val="23"/>
          <w:color w:val="auto"/>
          <w:vertAlign w:val="superscript"/>
        </w:rPr>
        <w:t>V600E</w:t>
      </w:r>
      <w:r>
        <w:rPr>
          <w:rFonts w:ascii="Times New Roman" w:cs="Times New Roman" w:eastAsia="Times New Roman" w:hAnsi="Times New Roman"/>
          <w:sz w:val="18"/>
          <w:szCs w:val="18"/>
          <w:color w:val="auto"/>
        </w:rPr>
        <w:t xml:space="preserve"> human melanoma xenograft model. It should be noted that the administered combination of binimetinib and encorafenib for BRAF mutant melanoma, such as BRAF</w:t>
      </w:r>
      <w:r>
        <w:rPr>
          <w:rFonts w:ascii="Times New Roman" w:cs="Times New Roman" w:eastAsia="Times New Roman" w:hAnsi="Times New Roman"/>
          <w:sz w:val="23"/>
          <w:szCs w:val="23"/>
          <w:color w:val="auto"/>
          <w:vertAlign w:val="superscript"/>
        </w:rPr>
        <w:t>V600E/K</w:t>
      </w:r>
      <w:r>
        <w:rPr>
          <w:rFonts w:ascii="Times New Roman" w:cs="Times New Roman" w:eastAsia="Times New Roman" w:hAnsi="Times New Roman"/>
          <w:sz w:val="18"/>
          <w:szCs w:val="18"/>
          <w:color w:val="auto"/>
        </w:rPr>
        <w:t xml:space="preserve">, is an FDA-approved combination. As expected, when comparing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alone to binimetinib in combination with encorafenib, we observed that the combination therapy had greater tumor growth inhibition (as depicted below). However, when we compared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to binimetinib monotherapy, we observed that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had greater tumor growth inhibition (as depicted below). In addition to the monotherapy potential for RAS mutant disease, we believe the greater single agent MEK inhibitor activity observed with our deep cyclic inhibition approach demonstrates the potential of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(and/or envometinib, which has an accelerated cadence of deep cyclic inhibition) in drug-drug combinations with other MAPK pathway inhibitors, such as encorafenib, to treat RAF mutant cancers, such as BRAF</w:t>
      </w:r>
      <w:r>
        <w:rPr>
          <w:rFonts w:ascii="Times New Roman" w:cs="Times New Roman" w:eastAsia="Times New Roman" w:hAnsi="Times New Roman"/>
          <w:sz w:val="23"/>
          <w:szCs w:val="23"/>
          <w:color w:val="auto"/>
          <w:vertAlign w:val="superscript"/>
        </w:rPr>
        <w:t>V600E/K</w:t>
      </w:r>
      <w:r>
        <w:rPr>
          <w:rFonts w:ascii="Times New Roman" w:cs="Times New Roman" w:eastAsia="Times New Roman" w:hAnsi="Times New Roman"/>
          <w:sz w:val="18"/>
          <w:szCs w:val="18"/>
          <w:color w:val="auto"/>
        </w:rPr>
        <w:t>, among other MAPK pathway mutations.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Head-to-Head Comparison of A</w:t>
      </w:r>
      <w:r>
        <w:rPr>
          <w:rFonts w:ascii="Times New Roman" w:cs="Times New Roman" w:eastAsia="Times New Roman" w:hAnsi="Times New Roman"/>
          <w:sz w:val="18"/>
          <w:szCs w:val="18"/>
          <w:b w:val="1"/>
          <w:bCs w:val="1"/>
          <w:color w:val="0A0A0A"/>
        </w:rPr>
        <w:t>tebimetinib</w:t>
      </w:r>
      <w:r>
        <w:rPr>
          <w:rFonts w:ascii="Times New Roman" w:cs="Times New Roman" w:eastAsia="Times New Roman" w:hAnsi="Times New Roman"/>
          <w:sz w:val="18"/>
          <w:szCs w:val="18"/>
          <w:b w:val="1"/>
          <w:bCs w:val="1"/>
          <w:color w:val="auto"/>
        </w:rPr>
        <w:t xml:space="preserve"> Against Binimetinib +/- Encorafenib Using a A375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131445</wp:posOffset>
            </wp:positionV>
            <wp:extent cx="4800600" cy="2400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006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In a further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based on humanized 3D tumor model data, we evaluated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head-to-head against sotorasib (AMG-510) and gemcitabine alone, and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in combination with sotorasib, for 21 days in the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xenograft model (i.e., MIA PaCa-2). In a previous study conducted by a third-party, sotorasib demonstrated sensitivity to this pancreatic tumor model. Comparing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alone, against sotorasib and in combination with sotorasib, we observed tumor regressions with insignificant median BWL (i.e., within 3% of baseline), which we believe indicates activity, durability and tolerability of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against a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mutant pancreatic cancer model (as depicted below).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3D Tumor Growth Models</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3D tumor growth models mimic the tumor microenvironment ("TME") more closely than 2D culture models, and we believe humanized 3D models more accurately reflect human tumor biology and complexity when translating pharmacological data of MAPK pathway inhibition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We have established and evaluated over 190 humanized 3D tumor models, a majority of which display activating mutations in the RAS isoforms, amongst other altered MAPK pathway targets, including BRAF, CRAF, NF1 and ERK, to evaluate their sensitivities to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In general, we observed that tumor models with KRAS or NRAS mutations and certain molecular profiles were sensitive to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including tumor models displaying BRAF mutations. For example,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0"/>
          <w:szCs w:val="10"/>
          <w:color w:val="auto"/>
        </w:rPr>
        <w:t>0</w:t>
      </w:r>
      <w:r>
        <w:rPr>
          <w:rFonts w:ascii="Times New Roman" w:cs="Times New Roman" w:eastAsia="Times New Roman" w:hAnsi="Times New Roman"/>
          <w:sz w:val="18"/>
          <w:szCs w:val="18"/>
          <w:color w:val="auto"/>
        </w:rPr>
        <w:t xml:space="preserve"> dose-response values in 3D assays as low as 23.7 nM were observed in tumor models that expressed NRAS mutants such as Q61L, Q61R, G12D, Q61K, among others. Similarly, KRAS mutant tumor models were sensitive to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treatment, with IC</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8"/>
          <w:szCs w:val="18"/>
          <w:color w:val="auto"/>
        </w:rPr>
        <w:t xml:space="preserve"> dose responses as low as 66.7 nM when displaying mutations including Q61H, G12C, G12V, G13D, G12D, G12R, among others. Certain tumor models with BRAF mutations were also found to be sensitive to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with IC</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8"/>
          <w:szCs w:val="18"/>
          <w:color w:val="auto"/>
        </w:rPr>
        <w:t xml:space="preserve"> dose responses in 3D assays as low as 54.2 nM for V600E (class 1) and G464E (class 2) mutations. A clear driver mutation in RAS or RAF was generally predictive of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response, but a smaller number of RAS or RAF mutant models displaying certain oncogenic mutation profiles were found to be insensitive to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and displayed IC</w:t>
      </w:r>
      <w:r>
        <w:rPr>
          <w:rFonts w:ascii="Times New Roman" w:cs="Times New Roman" w:eastAsia="Times New Roman" w:hAnsi="Times New Roman"/>
          <w:sz w:val="23"/>
          <w:szCs w:val="23"/>
          <w:color w:val="auto"/>
          <w:vertAlign w:val="subscript"/>
        </w:rPr>
        <w:t>50</w:t>
      </w:r>
      <w:r>
        <w:rPr>
          <w:rFonts w:ascii="Times New Roman" w:cs="Times New Roman" w:eastAsia="Times New Roman" w:hAnsi="Times New Roman"/>
          <w:sz w:val="18"/>
          <w:szCs w:val="18"/>
          <w:color w:val="auto"/>
        </w:rPr>
        <w:t xml:space="preserve"> dose response values of over 10,000 nM.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observed that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displays broad activity with additional responses in MAPK pathway addicted tumors.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Envometinib (IMM-6-415) Design and Preclinical Overview</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second program is focused on developing innovative allosteric MEK inhibitors that drive deep cyclic inhibition of the MAPK pathway, designed with unique drug-like properties including a shorter plasma half-life for an accelerated pharmacokinetic cadence dosed twice-daily in humans. Our product candidate for this program is designated as envometinib (IMM-6-415). Envometinib is designed to target MEK in a way that disrupts the MAPK pathway at ERK through reduction of MEK activation. We designed envometinib to have a unique PK and PD profile that may be optimized for distinct solid tumors, potentially including a broad range of MAPK-driven tumors as a monotherapy, as well as for a variety of combination therapy approaches. </w:t>
      </w:r>
      <w:r>
        <w:rPr>
          <w:rFonts w:ascii="Times New Roman" w:cs="Times New Roman" w:eastAsia="Times New Roman" w:hAnsi="Times New Roman"/>
          <w:sz w:val="18"/>
          <w:szCs w:val="18"/>
          <w:color w:val="0A0A0A"/>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evaluated </w:t>
      </w:r>
      <w:r>
        <w:rPr>
          <w:rFonts w:ascii="Times New Roman" w:cs="Times New Roman" w:eastAsia="Times New Roman" w:hAnsi="Times New Roman"/>
          <w:sz w:val="18"/>
          <w:szCs w:val="18"/>
          <w:color w:val="000000"/>
        </w:rPr>
        <w:t>envometinib</w:t>
      </w:r>
      <w:r>
        <w:rPr>
          <w:rFonts w:ascii="Times New Roman" w:cs="Times New Roman" w:eastAsia="Times New Roman" w:hAnsi="Times New Roman"/>
          <w:sz w:val="18"/>
          <w:szCs w:val="18"/>
          <w:color w:val="0A0A0A"/>
        </w:rPr>
        <w:t xml:space="preserve"> in a Phase 1/2a clinical trial for the potential treatment of patients with advanced solid tumors. In April 2025, we made the strategic decision to pause further internal advancement of envometinib and focus resources on our lead product candidate atebimetinib. We are pursuing partnership opportunities and considering other potential developmental paths for envometinib.</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Overview of Envometinib</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in a scientific poster presented at the Society for Immunotherapy of Cancer Annual Meeting, we presented preclinical data demonstrating that envometinib inhibited the growth of RAF and RAS mutant tumors as a monotherapy across multiple human and murine solid tumor models and could be administered in combination with select immune modulators (e.g., checkpoint inhibitors) for the treatment of certain solid tumors, which are often poorly immunologically accessible.</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we presented preclinical data at the AACR-NCI-EORTC Conference in which envometinib in combination with encorafenib demonstrated better tumor growth inhibition and improved durability when compared head-to-head with binimetinib plus encorafenib in animal models of RAF mutant melanoma and colorectal cancer, and envometinib as a single agent demonstrated high sensitivity in a wide range of MAPK-driven tumor types, including models of RAS or RAF mutant disease.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Maximum Tolerated Dose and Therapeutic Effect Data</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our early MTD studies, we observed that oral administration of envometinib twice a day of up to 175 to 180 mg/kg/dose was well-tolerated in mice (middle and right panels in figure above). In other preclinical studies, we observed that the maximum therapeutic effect of envometinib was reached when administered orally twice a day between 150 and 180 mg/kg/dose. These dosing studies provided the basis of envometinib’s dosing schedule in subsequent preclinical studies (as depicted in figures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Tumor Regression and Body Weight Loss Data</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We evaluated envometinib against vehicle and historic responses from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in an aggressive murine colorectal tumor model (i.e., Colon-26), which expresses mutant KRAS</w:t>
      </w:r>
      <w:r>
        <w:rPr>
          <w:rFonts w:ascii="Times New Roman" w:cs="Times New Roman" w:eastAsia="Times New Roman" w:hAnsi="Times New Roman"/>
          <w:sz w:val="23"/>
          <w:szCs w:val="23"/>
          <w:color w:val="auto"/>
          <w:vertAlign w:val="superscript"/>
        </w:rPr>
        <w:t>G12D</w:t>
      </w:r>
      <w:r>
        <w:rPr>
          <w:rFonts w:ascii="Times New Roman" w:cs="Times New Roman" w:eastAsia="Times New Roman" w:hAnsi="Times New Roman"/>
          <w:sz w:val="18"/>
          <w:szCs w:val="18"/>
          <w:color w:val="auto"/>
        </w:rPr>
        <w:t xml:space="preserve">. We observed that envometinib demonstrated robust tumor growth inhibition at top effective doses of 150 and 175 mg/kg BID p.o., with multiple mice experiencing tumor regression during the first 7 days of dosing (as depicted below), with good tolerability, and evidenced limited (-8.61% to +3.34% vs. vehicle group) changes in median BWL at doses in the range of 25 to 175 mg/kg BID p.o. While envometinib displayed a plasma half-life in mice of only a 0.3 to 0.4 hours (0.5 to 0.7 in non-human primates), envometinib led to comparable tumor growth inhibition of that observed with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a molecule that has been observed to have a 1.3 hour half-life in mice (i.e., 3 to 4 times longer than envometinib in the same species), which was previously observed to be superior in a head-to-head comparison against binimetinib and selumetinib in the same model.</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Envometinib as Compared to Vehicle Using a Colon 26 Syngeneic Rodent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139700</wp:posOffset>
            </wp:positionV>
            <wp:extent cx="4114800" cy="2143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148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40"/>
        <w:spacing w:after="0" w:line="231" w:lineRule="auto"/>
        <w:rPr>
          <w:sz w:val="20"/>
          <w:szCs w:val="20"/>
          <w:color w:val="auto"/>
        </w:rPr>
      </w:pPr>
      <w:r>
        <w:rPr>
          <w:rFonts w:ascii="Times New Roman" w:cs="Times New Roman" w:eastAsia="Times New Roman" w:hAnsi="Times New Roman"/>
          <w:sz w:val="16"/>
          <w:szCs w:val="16"/>
          <w:i w:val="1"/>
          <w:iCs w:val="1"/>
          <w:color w:val="auto"/>
        </w:rPr>
        <w:t>Colon 26 (KRAS</w:t>
      </w:r>
      <w:r>
        <w:rPr>
          <w:rFonts w:ascii="Times New Roman" w:cs="Times New Roman" w:eastAsia="Times New Roman" w:hAnsi="Times New Roman"/>
          <w:sz w:val="21"/>
          <w:szCs w:val="21"/>
          <w:i w:val="1"/>
          <w:iCs w:val="1"/>
          <w:color w:val="auto"/>
          <w:vertAlign w:val="superscript"/>
        </w:rPr>
        <w:t>G12D</w:t>
      </w:r>
      <w:r>
        <w:rPr>
          <w:rFonts w:ascii="Times New Roman" w:cs="Times New Roman" w:eastAsia="Times New Roman" w:hAnsi="Times New Roman"/>
          <w:sz w:val="16"/>
          <w:szCs w:val="16"/>
          <w:i w:val="1"/>
          <w:iCs w:val="1"/>
          <w:color w:val="auto"/>
        </w:rPr>
        <w:t>) syngeneic colorectal tumor model in immune competent BALB/c mice. Tumor Growth Inhibition (TGI) % = [1 – (Ti – T0)/(Ci – C0)]x100%; Maximum Antitumor Effective Dose Range for Envometinib in mice is 150 mg/kg to 175-180 mg/kg BID p.o.</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a further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based on the positive and negative impact of MAPK pathway activation in antitumor responses, we evaluated envometinib head-to-head against PD1 and CTLA4 checkpoint inhibitors alone, and envometinib in combination with each, for 28 days in the KRAS</w:t>
      </w:r>
      <w:r>
        <w:rPr>
          <w:rFonts w:ascii="Times New Roman" w:cs="Times New Roman" w:eastAsia="Times New Roman" w:hAnsi="Times New Roman"/>
          <w:sz w:val="23"/>
          <w:szCs w:val="23"/>
          <w:color w:val="auto"/>
          <w:vertAlign w:val="superscript"/>
        </w:rPr>
        <w:t>G12D</w:t>
      </w:r>
      <w:r>
        <w:rPr>
          <w:rFonts w:ascii="Times New Roman" w:cs="Times New Roman" w:eastAsia="Times New Roman" w:hAnsi="Times New Roman"/>
          <w:sz w:val="18"/>
          <w:szCs w:val="18"/>
          <w:color w:val="auto"/>
        </w:rPr>
        <w:t xml:space="preserve"> mutant syngeneic tumor model (i.e., CT-26). Historically, this KRAS mutant colorectal tumor mouse model has demonstrated greater sensitivity to CTLA4 over PD1/PDL1 checkpoint inhibition. Comparing envometinib alone at moderated doses below the maximum cytoreductive levels described above, against anti-PD-1 or anti-CTLA4 treatments and in each combination with envometinib (e.g., QD, BID at multiple dose levels), we observed superior survival through 28 days with insignificant median BWL (i.e., median body weight gain observed in all groups), which we believe indicates the potential for activity, durability and tolerability of envometinib against a KRAS</w:t>
      </w:r>
      <w:r>
        <w:rPr>
          <w:rFonts w:ascii="Times New Roman" w:cs="Times New Roman" w:eastAsia="Times New Roman" w:hAnsi="Times New Roman"/>
          <w:sz w:val="23"/>
          <w:szCs w:val="23"/>
          <w:color w:val="auto"/>
          <w:vertAlign w:val="superscript"/>
        </w:rPr>
        <w:t>G12D</w:t>
      </w:r>
      <w:r>
        <w:rPr>
          <w:rFonts w:ascii="Times New Roman" w:cs="Times New Roman" w:eastAsia="Times New Roman" w:hAnsi="Times New Roman"/>
          <w:sz w:val="18"/>
          <w:szCs w:val="18"/>
          <w:color w:val="auto"/>
        </w:rPr>
        <w:t xml:space="preserve"> mutant colorectal cancer model in immune competent rodents (as depicted below).</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Envometinib +/- anti-PD-1 and anti-CTLA4 Using a CT-26 Syngeneic Tumor Model: Probability of Survival Based on Tumor Volume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86995</wp:posOffset>
            </wp:positionV>
            <wp:extent cx="4286250" cy="1714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CT-26 (KRAS</w:t>
      </w:r>
      <w:r>
        <w:rPr>
          <w:rFonts w:ascii="Times New Roman" w:cs="Times New Roman" w:eastAsia="Times New Roman" w:hAnsi="Times New Roman"/>
          <w:sz w:val="21"/>
          <w:szCs w:val="21"/>
          <w:i w:val="1"/>
          <w:iCs w:val="1"/>
          <w:color w:val="auto"/>
          <w:vertAlign w:val="superscript"/>
        </w:rPr>
        <w:t>G12D</w:t>
      </w:r>
      <w:r>
        <w:rPr>
          <w:rFonts w:ascii="Times New Roman" w:cs="Times New Roman" w:eastAsia="Times New Roman" w:hAnsi="Times New Roman"/>
          <w:sz w:val="16"/>
          <w:szCs w:val="16"/>
          <w:i w:val="1"/>
          <w:iCs w:val="1"/>
          <w:color w:val="auto"/>
        </w:rPr>
        <w:t>) syngeneic colorectal tumor model in immune competent BALB/</w:t>
      </w:r>
      <w:r>
        <w:rPr>
          <w:rFonts w:ascii="Times New Roman" w:cs="Times New Roman" w:eastAsia="Times New Roman" w:hAnsi="Times New Roman"/>
          <w:sz w:val="17"/>
          <w:szCs w:val="17"/>
          <w:i w:val="1"/>
          <w:iCs w:val="1"/>
          <w:color w:val="auto"/>
        </w:rPr>
        <w:t>c</w:t>
      </w:r>
      <w:r>
        <w:rPr>
          <w:rFonts w:ascii="Times New Roman" w:cs="Times New Roman" w:eastAsia="Times New Roman" w:hAnsi="Times New Roman"/>
          <w:sz w:val="16"/>
          <w:szCs w:val="16"/>
          <w:i w:val="1"/>
          <w:iCs w:val="1"/>
          <w:color w:val="auto"/>
        </w:rPr>
        <w:t xml:space="preserve"> mice (note: monotherapy and combinations were inactive in athymic nude CT-26 model</w:t>
      </w:r>
    </w:p>
    <w:p>
      <w:pPr>
        <w:ind w:left="5020"/>
        <w:spacing w:after="0"/>
        <w:rPr>
          <w:sz w:val="20"/>
          <w:szCs w:val="20"/>
          <w:color w:val="auto"/>
        </w:rPr>
      </w:pPr>
      <w:r>
        <w:rPr>
          <w:rFonts w:ascii="Times New Roman" w:cs="Times New Roman" w:eastAsia="Times New Roman" w:hAnsi="Times New Roman"/>
          <w:sz w:val="16"/>
          <w:szCs w:val="16"/>
          <w:i w:val="1"/>
          <w:iCs w:val="1"/>
          <w:color w:val="auto"/>
        </w:rPr>
        <w:t>– data not shown).</w:t>
      </w:r>
    </w:p>
    <w:p>
      <w:pPr>
        <w:spacing w:after="0" w:line="200" w:lineRule="exact"/>
        <w:rPr>
          <w:sz w:val="20"/>
          <w:szCs w:val="20"/>
          <w:color w:val="auto"/>
        </w:rPr>
      </w:pPr>
    </w:p>
    <w:p>
      <w:pPr>
        <w:spacing w:after="0" w:line="3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also evaluated envometinib alone and in combination with encorafenib head-to-head against binimetinib and encorafenib monotherapy and the combination of binimetinib with encorafenib in a BRAF</w:t>
      </w:r>
      <w:r>
        <w:rPr>
          <w:rFonts w:ascii="Times New Roman" w:cs="Times New Roman" w:eastAsia="Times New Roman" w:hAnsi="Times New Roman"/>
          <w:sz w:val="23"/>
          <w:szCs w:val="23"/>
          <w:color w:val="auto"/>
          <w:vertAlign w:val="superscript"/>
        </w:rPr>
        <w:t>V600E</w:t>
      </w:r>
      <w:r>
        <w:rPr>
          <w:rFonts w:ascii="Times New Roman" w:cs="Times New Roman" w:eastAsia="Times New Roman" w:hAnsi="Times New Roman"/>
          <w:sz w:val="18"/>
          <w:szCs w:val="18"/>
          <w:color w:val="auto"/>
        </w:rPr>
        <w:t xml:space="preserve"> human melanoma xenograft model. It should be noted that the administered combination of binimetinib and encorafenib for BRAF mutant melanoma, such as BRAF</w:t>
      </w:r>
      <w:r>
        <w:rPr>
          <w:rFonts w:ascii="Times New Roman" w:cs="Times New Roman" w:eastAsia="Times New Roman" w:hAnsi="Times New Roman"/>
          <w:sz w:val="23"/>
          <w:szCs w:val="23"/>
          <w:color w:val="auto"/>
          <w:vertAlign w:val="superscript"/>
        </w:rPr>
        <w:t>V600E/K</w:t>
      </w:r>
      <w:r>
        <w:rPr>
          <w:rFonts w:ascii="Times New Roman" w:cs="Times New Roman" w:eastAsia="Times New Roman" w:hAnsi="Times New Roman"/>
          <w:sz w:val="18"/>
          <w:szCs w:val="18"/>
          <w:color w:val="auto"/>
        </w:rPr>
        <w:t>, is an FDA-approved combination. As expected, when comparing envometinib alone to binimetinib in combination with encorafenib, we observed that the combination therapy had greater tumor growth inhibition (as depicted below). However, when we compared envometinib to binimetinib monotherapy, we observed that envometinib had greater tumor growth inhibition (as depicted below). When we compared the MEKi plus BRAFi combinations of envometinib plus encorafenib head-to-head versus binimetinib plus encorafenib, the deep cyclic inhibition approach of MEKi with envometinib combinations proved superior to the binimetinib-containing combinations (as depicted below).</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Envometinib +/- Encorafenib Against Binimetinib +/- Encorafenib Using a A375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86995</wp:posOffset>
            </wp:positionV>
            <wp:extent cx="5657850" cy="2957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Early Discovery Drug Programs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discovery programs described above, we are also pursuing drug discovery efforts towards undisclosed but validated oncology targets. We continue to periodically evaluate our drug discovery efforts and are focused on developing and advancing our early pipeline by addressing validated oncology targets in new ways that may better address unmet clinical needs. Our proprietary and we believe, innovative, platforms are central to our discovery and translational efforts, and we continue to prioritize and de-prioritize early discovery drug programs that demonstrate (or fail to demonstrate) clear, targetable patterns of oncogenic addiction that are therapeutically responsive to deep, cyclic target inhibition. This approach ensures that we advance drug programs with potential for broad activity and improved overall tolerability.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our approach of weaving bioinformatics and computational biology into every stage of the drug development process, we have developed a proprietary disease-agnostic platform that allows us to leverage human biological data to generate insights that are not constrained by the inherent limitations of conventional approaches or prevailing scientific views. We are developing novel product candidates that aim to optimize both safety and efficacy for diseases with high unmet medical needs and suboptimal treatment options. Key elements of our platform include:</w:t>
      </w:r>
    </w:p>
    <w:p>
      <w:pPr>
        <w:spacing w:after="0" w:line="135" w:lineRule="exact"/>
        <w:rPr>
          <w:sz w:val="20"/>
          <w:szCs w:val="20"/>
          <w:color w:val="auto"/>
        </w:rPr>
      </w:pPr>
    </w:p>
    <w:p>
      <w:pPr>
        <w:ind w:left="740" w:right="20" w:hanging="327"/>
        <w:spacing w:after="0" w:line="286"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Insights from Human Data. </w:t>
      </w:r>
      <w:r>
        <w:rPr>
          <w:rFonts w:ascii="Times New Roman" w:cs="Times New Roman" w:eastAsia="Times New Roman" w:hAnsi="Times New Roman"/>
          <w:sz w:val="18"/>
          <w:szCs w:val="18"/>
          <w:color w:val="auto"/>
        </w:rPr>
        <w:t>Compare distinct groups of individuals who differ in a certain aspect of disease or response to a particular therapy,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identify new patient subsets.</w:t>
      </w:r>
    </w:p>
    <w:p>
      <w:pPr>
        <w:spacing w:after="0" w:line="127" w:lineRule="exact"/>
        <w:rPr>
          <w:rFonts w:ascii="Times New Roman" w:cs="Times New Roman" w:eastAsia="Times New Roman" w:hAnsi="Times New Roman"/>
          <w:sz w:val="18"/>
          <w:szCs w:val="18"/>
          <w:color w:val="auto"/>
        </w:rPr>
      </w:pPr>
    </w:p>
    <w:p>
      <w:pPr>
        <w:ind w:left="740" w:hanging="327"/>
        <w:spacing w:after="0" w:line="286"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Biology. </w:t>
      </w:r>
      <w:r>
        <w:rPr>
          <w:rFonts w:ascii="Times New Roman" w:cs="Times New Roman" w:eastAsia="Times New Roman" w:hAnsi="Times New Roman"/>
          <w:sz w:val="18"/>
          <w:szCs w:val="18"/>
          <w:color w:val="auto"/>
        </w:rPr>
        <w:t>Identify potential novel targets and new ways to drug existing targets including by using our Disease Cancelling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("DCT") and/or our insights into mechanisms of response.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40" w:hanging="327"/>
        <w:spacing w:after="0" w:line="286"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Chemistry. </w:t>
      </w:r>
      <w:r>
        <w:rPr>
          <w:rFonts w:ascii="Times New Roman" w:cs="Times New Roman" w:eastAsia="Times New Roman" w:hAnsi="Times New Roman"/>
          <w:sz w:val="18"/>
          <w:szCs w:val="18"/>
          <w:color w:val="auto"/>
        </w:rPr>
        <w:t>Identify small molecules that selectively bind to a target of interest including by using our proprietary technology, and/or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 PK to achieve optimal signaling dynamics.</w:t>
      </w:r>
    </w:p>
    <w:p>
      <w:pPr>
        <w:spacing w:after="0" w:line="127" w:lineRule="exact"/>
        <w:rPr>
          <w:rFonts w:ascii="Times New Roman" w:cs="Times New Roman" w:eastAsia="Times New Roman" w:hAnsi="Times New Roman"/>
          <w:sz w:val="18"/>
          <w:szCs w:val="18"/>
          <w:color w:val="auto"/>
        </w:rPr>
      </w:pPr>
    </w:p>
    <w:p>
      <w:pPr>
        <w:ind w:left="740" w:hanging="327"/>
        <w:spacing w:after="0" w:line="286"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Translational Planning. </w:t>
      </w:r>
      <w:r>
        <w:rPr>
          <w:rFonts w:ascii="Times New Roman" w:cs="Times New Roman" w:eastAsia="Times New Roman" w:hAnsi="Times New Roman"/>
          <w:sz w:val="18"/>
          <w:szCs w:val="18"/>
          <w:color w:val="auto"/>
        </w:rPr>
        <w:t>Use proprietary, humanized 3D preclinical models and bioinformatics to prioritize indications and identify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sensitive subpopulations.</w:t>
      </w:r>
    </w:p>
    <w:p>
      <w:pPr>
        <w:spacing w:after="0" w:line="114" w:lineRule="exact"/>
        <w:rPr>
          <w:rFonts w:ascii="Times New Roman" w:cs="Times New Roman" w:eastAsia="Times New Roman" w:hAnsi="Times New Roman"/>
          <w:sz w:val="18"/>
          <w:szCs w:val="18"/>
          <w:color w:val="auto"/>
        </w:rPr>
      </w:pPr>
    </w:p>
    <w:p>
      <w:pPr>
        <w:ind w:left="740" w:hanging="327"/>
        <w:spacing w:after="0" w:line="286"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Clinical Data Analysis. </w:t>
      </w:r>
      <w:r>
        <w:rPr>
          <w:rFonts w:ascii="Times New Roman" w:cs="Times New Roman" w:eastAsia="Times New Roman" w:hAnsi="Times New Roman"/>
          <w:sz w:val="18"/>
          <w:szCs w:val="18"/>
          <w:color w:val="auto"/>
        </w:rPr>
        <w:t>We have developed proprietary software and methods to view, analyze, and interpret clinical data to inform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decision-making, enhance translational studies, and inform future analyses.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Underlying each of these elements is our rigorous quality control and ability to analyze complex biological datasets. We are one of the few biopharmaceutical companies that has been involved in defining best practices for robustly analyzing bioinformatics data, as evidenced by co-authorship on journal articles together with regulators as well as writing invited reviews to educate the scientific community on this topic. This attention to rigorous quality control pervades all of our analyses, and we believe this enables us to extract meaningful information from a variety of databases of human data, including GENIE and The Cancer Genome Atlas Program ("TCGA").</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platform is not limited to a single aspect or pathology; rather, it is disease-agnostic, which we believe enables us to identify, develop and evaluate product candidates across multiple disease areas simultaneously, with our current focus in oncology. While we currently have an emphasis on transcriptomic data, our platform is not limited to a single data type and thus we believe it will be able to evolve as new datasets emerge. Our platform enabled the initiation, discovery and development of our product candidates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and envometinib, and has led us to identify additional potential product candidates with novel compositions of matter by leveraging our platform and drug discovery process. Moreover, our platform has previously been applied extensively in successful partnerships with large pharmaceutical and biotechnology companies, and through our internal drug discovery and development.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Insights from Human Data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analyses often begin by comparing existing transcriptomic data from two groups of patients (e.g., from those whose tumors have metastasized versus those whose tumors have not) to help elucidate the biological mechanisms underlying a particular aspect of disease which we seek to counteract. As another example, we may analyze existing data from patients with differences in response to an existing therapy, in order to better understand what is happening in responders versus non-responders. We may also analyze existing data from patients with a disease to identify novel subsets of patients. Our platform has enabled us to conduct multiple projects that involve stratifying patients into novel subsets. We associate transcriptomic profiles with each subset, which can then be directly inputted into DCT to identify novel targets specific to a given patient subset.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Biology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Cancelling Technology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developed DCT to identify targets that reverse a disease signal across multiple relevant genes with the potential to yield product candidates with differentiated mechanisms that are less likely to be discovered by traditional drug discovery methods. Additional biologic context is derived from quantifying the extent to which different time points, concentrations and perturbations (e.g., inhibition and overexpression) may cancel a disease signal more effectively than existing drug targets. DCT ranks target perturbations by the extent to which they generate signals that counteract disease-associated gene expression changes observed in patient data. Thus, we believe DCT enables hypothesis-free, data-driven identification of novel targets and new ways to drug existing targets.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DCT leverages gene expression data derived from human patient samples to identify targets that may rescue abnormal gene expression and restore pathway homeostasis. In addition, DCT identifies biology relevant to attenuating a disease by quantifying the similarity of genome-wide signatures of specific aspects of the disease to signatures of target induced gene expression changes using a mathematical similarity metric. Uniquely, DCT quantifies the per-gene contribution to overall disease amplification or cancellation. An example of a typical analysis begins by running DCT to identify an unwanted, disease-specific gene expression pattern. The ideal input to DCT is focused on a specific aspect of a disease, such as tumors that have metastasized versus those that have not, rather than comparing diseased versus healthy states. DCT identifies target candidates by screening a disease differential expression signature and comparing it to thousands of target gene expression signatures.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DCT is able to rapidly compare disease state signatures against vast numbers of target signatures. DCT ranks signatures resulting from the modulation of specific targets by the extent to which they oppose disease signatures (as depicted below). Unlike some algorithms or artificial intelligence ("AI") approaches, the results originating from DCT are designed to be interpretable from a computational and biological perspective. This platform uses gene expression from patient datasets and does not rely on literature. Together with the target, DCT provides a specific list of testable genes associated with the target of interest, relevant drug concentrations and temporal dynamic information driving the result. Thus, we believe DCT can identify new targets and readily detect dynamic relevant biology relating to modulating a target in a better way.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workflow for DCT’s novel target identification can be described as follows:</w:t>
      </w:r>
    </w:p>
    <w:p>
      <w:pPr>
        <w:spacing w:after="0" w:line="185" w:lineRule="exact"/>
        <w:rPr>
          <w:sz w:val="20"/>
          <w:szCs w:val="20"/>
          <w:color w:val="auto"/>
        </w:rPr>
      </w:pPr>
    </w:p>
    <w:p>
      <w:pPr>
        <w:ind w:left="74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Carefully curated and quality-controlled human transcriptomic data representing a specific aspect of disease, or Input 1, is input and vectorized for processing (as depicted below).</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carefully curated and quality-controlled library of gene expression signals associated with perturbing specific targets at specific time points and concentrations, or Input 2, is input and vectorized for processing (as depicted below). This library can potentially include clustered regularly interspaced short palindromic repeats ("CRISPR"), RNA interference, tool compounds, screening library compounds and existing drugs.</w:t>
      </w:r>
    </w:p>
    <w:p>
      <w:pPr>
        <w:spacing w:after="0" w:line="14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disease signal cancellation is measured between Input 1 and every target signature in Input 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Disease Cancelling Technology Summary Workflow for Target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131445</wp:posOffset>
            </wp:positionV>
            <wp:extent cx="3000375" cy="2743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0037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second filtration step selects target candidates for which multiple biological pathways are restored in the proper direction compared to the disease signal. DCT includes a method to compute a per pathway contribution to disease canceling in terms of percent contribution to overall disease reversal for cases when a specific pathway is particularly relevant. DCT is designed to have many capabilities in addition to identifying novel targets or novel ways to drug existing targets. To enable rapid translation to experimental validation, DCT can suggest ideal concentrations, temporal dynamics and marker genes to monitor. DCT is also capable of predicting target combinations for a given disease or an ideal target for combination with an existing therapy. For expanded utility, DCT has a graphical user interface that enables our biologists to interact with, sort, modify, query and run results along with producing visualizations of results.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believe DCT has several advantages over other target identification technologies. The platform uses patient data as a starting point, rather than artificial 2D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models. We have presented data at American Association for Cancer Research and other conferences demonstrating how cell lines fail to capture the heterogeneity of patient tumors, and our discovery team’s experience in the 3D tumor modeling field has also highlighted the limitations of 2D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data. Moreover, working closely with several FDA-approved drugs, we have found that transcriptomic data was most frequently and dynamically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linked to drug activity. Thus, our core insights are derived from transcriptomic data (RNA), while some of our competitor’s platforms may focus on sequencing data (DNA), imaging data from phenotypic screens and/or literature.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DCT is focused on identifying novel targets or novel ways to modulate existing targets, with the goal of generating novel therapeutics with improved clinical activity. We have not in-licensed external drugs and we do not focus on “drug repurposing” activities. Our pipeline is composed of programs with potentially novel pharmacological effects.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Biological Mechanisms of Response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identify novel biology by applying translational bioinformatics to analyze the biological mechanisms of response of existing therapies. This may include comparing the transcriptional profiles induced by a drug at different timepoints in order to highlight biological feedback loops that we then seek to counteract.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Signaling Dynamics (PK-Driven)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Transcriptomic data has proven critical to these analyses because it provides an understanding of the extent to which specific genes are expressed at any given time, capturing temporal changes in pathway activation. Signaling networks differ between cell types, and we leverage this to modulate targets in such a way that certain cell types will be more impacted than others. Our platform enables us to assess the signaling dynamics of product candidates, which we believe allows us to optimize the chemistry of our product candidate programs to achieve broad therapeutic activity against diseased cells while sparing healthy normal cells. Modulation of these signaling networks impacts cell fate decisions in many cell types, including cancerous cells. Our computational biology expertise enables us to analyze transcriptomic data that closely reflects spatiotemporal dynamics of biological signaling networks.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Translational Planning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Humanized 3D Tumor Models</w:t>
      </w:r>
      <w:r>
        <w:rPr>
          <w:rFonts w:ascii="Times New Roman" w:cs="Times New Roman" w:eastAsia="Times New Roman" w:hAnsi="Times New Roman"/>
          <w:sz w:val="18"/>
          <w:szCs w:val="18"/>
          <w:b w:val="1"/>
          <w:bCs w:val="1"/>
          <w:i w:val="1"/>
          <w:iCs w:val="1"/>
          <w:color w:val="auto"/>
        </w:rPr>
        <w: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oncology, we are deeply experienced in advanced, humanized 3D-based tumor growth models, which based on peer reviewed research by members of our team and others, more accurately predict drug response in animal models, and we believe in patients, compared to standard models. Unlike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approaches, the 3D tumor growth models reflect the complexity of tumor biology given their alignment with the TME. Thus, we believe our deep expertise in 3D tumor models enables us to more accurately stratify patients likely to benefit from our potential product candidates.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3D-TGA Background and Utility</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two-dimensional ("2D") tissue culture has dominated cell-based preclinical oncology research for over 70 years, successful translation and regulatory approval of new oncology drugs are amongst the lowest of all therapeutic areas. Innovations in cell-based platform technologies, such as matrix-based humanized 3D Tumor Growth Assay ("3D-TGA") tumor models, offer the promise to enrich preclinical drug discovery and improve overall clinical translational success. Our company and leadership have a strong history in research and translation of drug response using patient-derived tumor models (e.g., patient-derived xenografts and 3D ex vivo models) and translational bioinformatics using public and internal patient data. Our team has built on previous ex vivo tumor modeling experience and patient-alignment model selection approaches to identify models that better reflect molecular profiles of target patient populations. We believe this effort will help improve translational success of our pipeline and help ensure that established 3D-TGA models perform well as a core platform for innovative oncology drug R&amp;D. By leveraging over two decades of humanized modeling expertise, our translational and discovery teams have built, characterized, and interrogated a large set of 3D-TGA tumor models from commonly used human tumor cell lines (i.e., currently at over 130 tumor models). The cohort of 3D-TGA tumor models span at least 12 major tumor types, including: breast, colorectal, lung, pancreas, melanoma, ovary, liver, stomach, prostate, neuroblastoma, rhabdomyosarcoma, and thyroid. Over time, additional 3D-TGA models may be developed to add new indications or expand existing indications to better test emerging discovery or translational hypotheses. A large, proprietary 3D-TGA collection ensures that new drug candidates, identified as active in one cohort, could be quickly tested for broader tumor activity in additional tumor types. The established collection of 3D-TGA tumor models can also be used to perform novel drug screens and develop novel chemical entities (NCE’s) that demonstrate drug activity.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Prioritize Indications and Identify Sensitive Subpopulations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able to leverage bioinformatics to analyze genomic data from large patient databases of primary tumor data to identify specific indications where first line patients are likely to have characteristics that align with our more reflective humanized models and identify biological mechanisms and biomarkers that enable us to identify subpopulations that are more likely to be sensitive based on their similarity to our translational approaches.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Analyze Clinical Data</w:t>
      </w:r>
    </w:p>
    <w:p>
      <w:pPr>
        <w:spacing w:after="0" w:line="200" w:lineRule="exact"/>
        <w:rPr>
          <w:sz w:val="20"/>
          <w:szCs w:val="20"/>
          <w:color w:val="auto"/>
        </w:rPr>
      </w:pPr>
    </w:p>
    <w:p>
      <w:pPr>
        <w:ind w:right="1060"/>
        <w:spacing w:after="0" w:line="453" w:lineRule="auto"/>
        <w:rPr>
          <w:sz w:val="20"/>
          <w:szCs w:val="20"/>
          <w:color w:val="auto"/>
        </w:rPr>
      </w:pPr>
      <w:r>
        <w:rPr>
          <w:rFonts w:ascii="Times New Roman" w:cs="Times New Roman" w:eastAsia="Times New Roman" w:hAnsi="Times New Roman"/>
          <w:sz w:val="18"/>
          <w:szCs w:val="18"/>
          <w:color w:val="auto"/>
        </w:rPr>
        <w:t xml:space="preserve">We have developed proprietary software that we believe enables us to view, analyze, and interpret clinical data in new and more robust ways. </w:t>
      </w:r>
      <w:r>
        <w:rPr>
          <w:rFonts w:ascii="Times New Roman" w:cs="Times New Roman" w:eastAsia="Times New Roman" w:hAnsi="Times New Roman"/>
          <w:sz w:val="18"/>
          <w:szCs w:val="18"/>
          <w:b w:val="1"/>
          <w:bCs w:val="1"/>
          <w:color w:val="auto"/>
        </w:rPr>
        <w:t>Commercialization Plan</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retain significant development and commercialization rights to our product candidates in major markets and, if marketing approval is obtained, to commercialize our product candidates on our own, or potentially in select regions with a partner. We currently have no sales, marketing or commercial product distribution capabilities. We intend to build the necessary infrastructure and capabilities over time for the United States, and potentially other regions, in connection with the advancement of our product candidates. Clinical data, addressable patient population, commercial infrastructure and manufacturing needs, and the status of our pipeline, may, without limitation, all influence or alter our development and commercialization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 advancement of novel technologies, significant competition and a strong defense of intellectual property rights. While we believe that our proprietary platform and scientific expertise provides us with competitive advantages, we face competition from multiple sources, including larger and better-funded pharmaceutical and biotechnology companies, academic institutions, governmental agencies and public and private research institutions. Any product candidates that we successfully develop and, if approved, commercialize will compete with currently approved therapies and new therapies that may become available in the future. Key factors that would affect our ability to effectively compete with other therapeutics include, without limitation: safety, efficacy, ease of administration, pricing, brand recognition and availability of reimbursement and coverage by third party payors.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Programs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FDA-approved treatment options that target MAPK pathway cancers generally are either MEK inhibitors limited by their high rates of serious drug-related adverse events that result in drug intolerability and drug resistance through MAPK-feedback loops, or KRAS inhibitors limited to patients with specific KRAS mutations. We expect that our oncology programs targeting the MAPK pathway may compete with current FDA-approved therapies or clinical programs targeting RAS or RAF mutant tumors that are being advanced by certain pharmaceutical and biotechnology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obtain and maintain intellectual property protection for our products and technology is fundamental to the long-term success of our business. We rely on a combination of intellectual property protection strategies, including patents, trademarks, copyrights, trade secrets, license agreements, confidentiality policies and procedures, non-disclosure agreements, invention assignment agreements and technical measures designed to protect the intellectual property and confidential information and data used in our business.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February 2, 2026, we had: three issued U.S. patents; nine issued patents outside the U.S.; nine pending U.S. patent applications; thirty-seven pending patent applications outside the U.S.; three U.S. provisional applications; and three Patent Cooperation Treaty ("PCT") applications that have not entered national stage. These patents and patent applications relate to various subject matter, including: our product candidate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our product candidate envometinib, and our DCT. Excluding any possible patent term adjustments or extensions and assuming payment of all appropriate maintenance, renewal, annuity or other governmental fees, as applicable, our owned issued U.S. patent and any patents that may issue from our owned pending U.S. patent applications are expected to expire between February 2039 and January 2046 any patents that may issue from our owned pending foreign patent applications are expected to expire between January 2041 and January 2046.</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With respect to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as of February 2, 2026, we had: one issued U.S. patent; ten issued patents outside the U.S.; three pending PCT applications; five pending U.S. patent applications; one U.S. provisional application; and sixteen pending patent applications outside the U.S. The issued claims in our issued U.S. patent are directed to protecting atebimetinib and related compounds. The issued claims in these patents outside the U.S. are directed to protecting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xml:space="preserve">, related compounds, pharmaceutical compositions, and methods of use. The pending U.S. patent applications, and these pending patent applications outside the U.S., include claims directed to compounds, pharmaceutical compositions, and methods of use. Any patent that may issue, based upon these pending applications related to </w:t>
      </w:r>
      <w:r>
        <w:rPr>
          <w:rFonts w:ascii="Times New Roman" w:cs="Times New Roman" w:eastAsia="Times New Roman" w:hAnsi="Times New Roman"/>
          <w:sz w:val="18"/>
          <w:szCs w:val="18"/>
          <w:color w:val="0A0A0A"/>
        </w:rPr>
        <w:t>atebimetinib</w:t>
      </w:r>
      <w:r>
        <w:rPr>
          <w:rFonts w:ascii="Times New Roman" w:cs="Times New Roman" w:eastAsia="Times New Roman" w:hAnsi="Times New Roman"/>
          <w:sz w:val="18"/>
          <w:szCs w:val="18"/>
          <w:color w:val="auto"/>
        </w:rPr>
        <w:t>, is expected to expire between January 2041 and September 2045, excluding any possible patent term adjustments or extensions and assuming payment of all appropriate maintenance, renewal, annuity or other governmental fees, as applicable.</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envometinib, as of February 2, 2026, we had: two pending PCT applications; three pending U.S. patent applications; and twenty-one pending patent applications outside the U.S. Any patent that may issue based upon the pending PCT applications is expected to expire between November 2043 and January 2046, excluding any possible patent term adjustments or extensions and assuming payment of all appropriate maintenance, renewal, annuity or other governmental fees, as applicable.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DCT, as of February 2, 2026, we had: two issued U.S. patents. The issued claims of these U.S. patents are directed to methods (processes) and systems. Our issued U.S. patents related to our DCT are expected to expire in April 2039, excluding any possible patent term extensions and assuming payment of all appropriate maintenance, renewal, annuity or other governmental fees, as applicable.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("USPTO") in examining and granting a patent, or may be shortened if a patent is terminally disclaimed over a commonly owned patent or a patent naming a common inventor and having an earlier expiration date. We cannot be sure that our pending patent applications that we have filed or may file in the future will result in issued patents, and we can give no assurance that any patents that have issued or might issue in the future will protect our current or future product candidates or (if approved) products, will provide us with any competitive advantage, and will not be challenged, invalidated, or circumvented.</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 patent term of a patent that claims an FDA-approved drug or biologic may also be eligible for patent term extension, which permits patent term restoration as compensation for the patent term lost during FDA regulatory review process. The Hatch-Waxman Act permits a patent term extension of up to five years beyond the expiration of the patent. The length of the patent term extension is related to the length of time that the drug or biologic is under regulatory review. Patent term extension cannot extend the remaining term of a patent beyond a total of 14 years from the date of product approval and only one patent applicable to an approved drug or biologic may be extended. Similar provisions are available in the EU and certain other foreign jurisdictions to extend the term of a patent that covers an approved drug or biologic. In the future, if product candidates that we may develop receive FDA approval, we expect to apply for patent term extensions where applicable on patents covering those drugs. We plan to seek patent term extensions to any of our future issued patents in any jurisdiction where these are available. However, there is no guarantee that the applicable authorities, including the FDA in the United States, will agree with our assessment of whether these extensions should be granted, and if granted, the length of these extensions.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Our ability to stop third parties from making, using or commercializing any of our patented inventions will depend in part on our success in obtaining, defending and enforcing patent claims that cover our technology, inventions, and improvements. With respect to our intellectual property, we cannot provide any assurance that any of our current or future patent applications will result in the issuance of patents in any particular jurisdiction, or that any of our current or future issued patents will effectively protect any of our product candidates, products (if approved) or technology from infringement or prevent others from commercializing infringing products or technology.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reliance on patent protection for our inventions, product candidates, products (if approved), and technologies, we also seek to protect our brand through the procurement of trademark rights. As of February 2, 2026, we held certain trademark registrations and pending applications for trademark registration for the marks DEEP CYCLIC INHIBITION, FLUENCY, DISEASE CANCELLING and IMMUNEERING in the United States. Furthermore, we rely on trade secrets, know-how, unpatented technology and other proprietary information, to strengthen our competitive position. We have determined that certain technologies, including some of our software, are better protected as trade secrets. To mitigate the possibility of trade secret misappropriation, we typically enter into non-disclosure and confidentiality agreements with parties who have access to our trade secrets, such as our employees, consultants, advisors and other third parties. We also typically enter into invention assignment agreements with our employees and consultants that obligate them to assign to us any inventions they develop while working for us. We generally control access to our proprietary and confidential information through the use of internal and external controls that are subject to periodic review. Although we take steps to protect our proprietary information and trade secrets,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“Risk Factors—Risks Related to Our Intellectual Property.”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Among others, the FDA, U.S. Department of Health and Human Services Office of Inspector General, the Centers for Medicare and Medicaid Services and comparable regulatory authorities in state and local jurisdictions and in other countries impose substantial and burdensome requirements upon companies involved in the preclinical and clinical development, manufacture, marketing and distribution of potential drugs such as those we are developing. These agencies and other federal, state and local entities regulate, among other things, the research and development, testing, manufacture, quality control, safety, effectiveness, labeling, packaging, storage, record keeping, approval, sales, commercialization, marketing, advertising and promotion, distribution, post-approval monitoring and reporting, sampling and export and import of our product candidates. Any product candidates that we develop must be approved by the FDA before they may be legally marketed in the United States and by the appropriate foreign regulatory agency before they may be legally marketed in those foreign countries. Generally, our activities in other countries will be subject to regulation that is similar in nature and scope as that imposed in the United States, although there can be important differences. Additionally, some significant aspects of regulation in the European Union ("EU") are addressed in a centralized way, but country-specific regulation remains essential in many respects.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(the "FDCA"), and its implementing regulations. The process required by the FDA before a drug may be marketed in the United States generally involves the following:</w:t>
      </w:r>
    </w:p>
    <w:p>
      <w:pPr>
        <w:spacing w:after="0" w:line="121" w:lineRule="exact"/>
        <w:rPr>
          <w:sz w:val="20"/>
          <w:szCs w:val="20"/>
          <w:color w:val="auto"/>
        </w:rPr>
      </w:pPr>
    </w:p>
    <w:p>
      <w:pPr>
        <w:ind w:left="740" w:right="20" w:hanging="327"/>
        <w:spacing w:after="0" w:line="282"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completion of preclinical laboratory tests, animal studies and formulation studies in accordance with FDA’s good laboratory practice requirements and other applicable regulations;</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submission to the FDA of an IND which must become effective before human clinical trials may begin;</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approval by an independent institutional review board ("IRB") or ethics committee at each clinical site before each trial may be initiated;</w:t>
      </w:r>
    </w:p>
    <w:p>
      <w:pPr>
        <w:spacing w:after="0" w:line="184"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performance of adequate and well-controlled human clinical trials in accordance with good clinical practice ("GCP") requirements to establish the safety and efficacy of the proposed drug for its intended use;</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submission to the FDA of a NDA after completion of all pivotal trials;</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payment of user fees associated with an NDA;</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determination by the FDA within 60 days of its receipt of an NDA to file the NDA for review;</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satisfactory completion of an FDA advisory committee review, if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740" w:hanging="327"/>
        <w:spacing w:after="0" w:line="266"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of selected clinical investigation sites to assess compliance with GCPs;</w:t>
      </w:r>
    </w:p>
    <w:p>
      <w:pPr>
        <w:spacing w:after="0" w:line="14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FDA audit of the preclinical and/or clinical trial sites that generated the data in support of the NDA; and</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FDA review and approval of the NDA to permit commercial marketing of the product for particular indications for use in the United States.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Some preclinical testing may continue even after the IND is submitted. The IND also includes results of animal and in vitro studies assessing the toxicology, PK, pharmacology, and 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among other things,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Similarly, an IRB can suspend or terminate approval of a clinical trial at its institution if the clinical trial is not being conducted in accordance with the IRB’s requirements or if the product candidate has been associated with unexpected serious harm to patients. Some studies also include oversight by an independent group of qualified experts organized by the clinical study sponsor, known as a data safety monitoring board, which (depending on its charter) may provide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under certain timelines, of ongoing clinical studies and clinical study results to public registries, specifically the clinicaltrials.gov website managed by the National Institutes of Health ("NIH").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85" w:lineRule="exact"/>
        <w:rPr>
          <w:sz w:val="20"/>
          <w:szCs w:val="20"/>
          <w:color w:val="auto"/>
        </w:rPr>
      </w:pPr>
    </w:p>
    <w:p>
      <w:pPr>
        <w:jc w:val="both"/>
        <w:ind w:left="740" w:hanging="327"/>
        <w:spacing w:after="0" w:line="258"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Phase 1: The product candidate is initially introduced into healthy human subjects or patients with the target disease or condition. These studies are designed to test the initial safety, dosage tolerance, absorption, metabolism and distribution of the investigational product candidate in humans, the side effects associated with increasing doses, and, if possible, to gain early evidence on effectiveness. In the case of some product candidates for severe or life-threatening diseases, such as cancer, especially when the product candidate may be too inherently toxic to ethically administer to healthy volunteers, the initial human testing is often conducted in patients.</w:t>
      </w:r>
    </w:p>
    <w:p>
      <w:pPr>
        <w:spacing w:after="0" w:line="156"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Phase 2: The product candidate is administered to a limited patient population with a specified disease or condition to evaluate the preliminary efficacy, optimal dosages, dose tolerance and dosing schedule and to identify possible adverse side effects and safety risks.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740" w:hanging="327"/>
        <w:spacing w:after="0" w:line="261"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candidate and to provide an adequate basis for regulatory approval.</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initial marketing approval (if any). These trials are used to gain additional experience from the treatment of patients in the approved indication. In certain instances, such as with accelerated approval drugs, the FDA may mandate the performance of Phase 4 trials as a condition of approval of an NDA.</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trial under an IND. When a foreign clinical trial is conducted under an IND, all IND requirements must be met unless waived. When the foreign clinical trial is not conducted under an IND, the sponsor must ensure that the study complies with certain FDA regulatory requirements in order to use the trial as support for an IND or application for marketing approval. Specifically, the FDA has promulgated regulations governing the acceptance of foreign clinical trials not conducted under an IND, establishing that such trials will be accepted as support for an IND or application for marketing approval if conducted in accordance with GCP, including review and approval by an independent ethics committee ("IEC") and use of proper procedures for obtaining informed consent from subjects, and the FDA is able to validate the data from the trial through an on-site inspection if the FDA deems such inspection necessary.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IND trials. If a marketing application is based solely on foreign clinical data, the FDA requires that the foreign data be applicable to the U.S. population and U.S. medical practice; the trials must have been performed by clinical investigators of recognized competence; and the FDA must be able to validate the data through an on-site inspection or other appropriate means, if the FDA deems such an inspection to be necessary.</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development process, sponsors are given opportunities to meet with the FDA at certain points. These points are generally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to obtain the FDA’s feedback on the next phase of development. Sponsors typically use the meetings at the end of the Phase 2 trial to discuss Phase 2 clinical results and present plans for the pivotal Phase 3 clinical trials that they believe will support approval of the product candidate.</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potential drug. In addition, appropriate packaging must be selected and tested, and stability studies must be conducted to demonstrate that the product candidate does not undergo unacceptable deterioration over its shelf life.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While the IND is active,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testing suggesting a significant risk to humans, and any clinically important increased incidence of a serious suspected adverse reaction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that listed in the protocol or investigator brochure.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including results from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candidate.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candidate to the satisfaction of the FDA. The submission of an NDA is subject to the payment of substantial user fees; a waiver of such fees may be obtained under certain limited circumstances. Additionally, no user fees are assessed on NDAs for product candidates designated as orphan drugs, unless the product application also includes a non-orphan indication.</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a product candidate is safe and effective for its intended use and whether its manufacturing is cGMP-compliant to assure and preserve the product candidate’s identity, strength, quality and purity. Under the Prescription Drug User Fee Act (the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candidate is granted, such approval will be granted for particular indications and may contain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post-market studies and surveillance to further assess and monitor the product’s safety and effectiveness after commercialization, and may limit further marketing of the product based on the results of these post-marketing studies.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Pediatric Research Equity Act (the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the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approved indication or use within such rare disease or condition for seven years, except in limited circumstances, such as a showing of clinical superiority to the product with orphan exclusivity within the relevant indication (i.e., greater safety, greater efficacy, or a major contribution to patient care) or inability to manufacture the product in sufficient quantities to meet the needs for the indication or use protected by orphan exclusivity. The designation of such drug also entitles a party to financial incentives such as opportunities for grant funding towards clinical trial costs, tax advantages and user-fee waivers. Competitors, however, may receive approval of different products for the indication or use for which the orphan product has exclusivity or obtain approval for the same product but for a different indication or use for which the orphan product has exclusivity. If an orphan designated product receives marketing approval for a disease or condition broader than what is designated, it may not be entitled to orphan exclusivity. In addition, exclusive marketing rights in the United States may be lost if the FDA later determines that the request for designation was materially defective or if the manufacturer is unable to assure sufficient quantities of the product to meet the needs relating to the approved indication or use of patients with the applicable rare disease or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and/or review of product candidates that meet certain criteria. Sponsors may request that the FDA allow the use of one or more of these programs. For example, product candidates are eligible for fast track designation if they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review team during product development, and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a fast track designation or breakthrough therapy designation, may also be eligible for other types of FDA programs intended to expedite development and review, such as priority review and accelerated approval. An NDA for a product candidate is eligible for priority review if it has the potential to provide significant improvement in treatment, diagnosis or prevention of a serious disease or condition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depending on the design of the applicable clinical trials, a product candidate may be eligible for accelerated approval. Drug product candidates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to verify and describe the anticipated clinical benefit. The FDA may withdraw accelerated approval if, among other things, the confirmatory study fails to verify clinical benefit; the applicant fails to perform required confirmatory studies with due diligence; postmarketing use demonstrates that postmarketing restrictions are inadequate to assure safe use; the applicant fails to adhere to agreed-upon postmarketing restrictions; promotional materials are false or misleading; or other evidence demonstrates that the product is not shown to be safe or effective under its conditions of use. In addition, the FDA generally requires pre-approval of promotional materials as a condition for accelerated approval, which could adversely impact the timing of the commercial launch of the product candidate.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43" w:lineRule="exact"/>
        <w:rPr>
          <w:sz w:val="20"/>
          <w:szCs w:val="20"/>
          <w:color w:val="auto"/>
        </w:rPr>
      </w:pPr>
    </w:p>
    <w:p>
      <w:pPr>
        <w:ind w:left="740" w:hanging="327"/>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hanging="327"/>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1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98"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exclusivity, whether patent or non-patent, if a sponsor conducts clinical trials in children in response to a written request from the FDA. The issuance of a written request does not require the sponsor to undertake the described clinical trials.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market any product outside of the United States, we would need to comply with numerous and varying regulatory requirements of other countries governing, among other things, pre-clinical studies, clinical trials, marketing authorization, manufacturing, commercial sales and distribution of drugs.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Whether or not we obtain FDA approval for a product candidate, we must obtain the requisite approvals from regulatory authorities in foreign countries prior to the commencement of clinical trials or marketing of the product candidates in those countries. The requirements and process governing the conduct of clinical trials, product licensing, pricing and reimbursement vary from country to country. Regulatory approval in one country does not ensure regulatory approval in another, but a failure or delay in obtaining regulatory approval in one country may negatively impact the regulatory process in others.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Clinical Trials</w:t>
      </w:r>
    </w:p>
    <w:p>
      <w:pPr>
        <w:spacing w:after="0" w:line="2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Similar to the United States, the various phases of non-clinical and clinical research in other jurisdictions, for example in the EU, are subject to significant regulatory controls.</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Practice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(ICH), Good Clinical Practice ("GCP") guidelines,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with a three-year transition period.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CTR provides for a centralized process and only requires the submission of a single application for multi-center trials. The CTR allows sponsors to make a single clinical trial application ("CTA")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CTR transition period ended on January 31, 2025, and all clinical trials (and related applications) are now fully subject to the provisions of the CTR.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GMP. Other national and EU-wide regulatory requirements may also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order to market our product candidates in the EU and many other foreign jurisdictions, we must obtain separate regulatory approvals. Specifically in the EU, medicinal product candidates can only be commercialized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w:t>
      </w:r>
    </w:p>
    <w:p>
      <w:pPr>
        <w:spacing w:after="0" w:line="218" w:lineRule="exact"/>
        <w:rPr>
          <w:sz w:val="20"/>
          <w:szCs w:val="20"/>
          <w:color w:val="auto"/>
        </w:rPr>
      </w:pPr>
    </w:p>
    <w:p>
      <w:pPr>
        <w:jc w:val="both"/>
        <w:ind w:left="660" w:hanging="328"/>
        <w:spacing w:after="0" w:line="24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European Commission through the centralized procedure based on the opinion of the Committee for Medicinal Products for Human Use ("CHMP") of the European Medicines Agency ("EMA"), and are valid throughout the EU. The centralized procedure is compulsory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cancer, HIV/AIDS,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Under the centralized procedure, the maximum timeframe for the evaluation of an MAA by the EMA is 210 days, excluding clock stops.</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 described above.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The timeframe to obtain national MAs varies depending on the concerned procedure. In order to grant the MA, the EMA or the competent authorities of the EU member states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the EU, new products authorized for marketing (i.e., reference products) generally receive eight years of data exclusivity and an additional two years of market exclusivity upon receipt of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11 years if, during the first 8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Medicinal Products</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5 in 10,000 persons in the EU when the application is made, or (b) the product, without the benefits derived from the orphan status, would not generate sufficient return in the EU to justify the necessary investment for its development; and (3) there exists no satisfactory method of diagnosis, prevention or treatment of the condition in question that has been authorized for marketing in the EU or, if such method exists, the product will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orphan exclusivity period may be reduced to six years if, at the end of the fifth year, it is established that the product no longer meets the criteria for which it received orphan destination,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All new MAA must include a risk management plan (“RMP”) describing the risk management system that we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and the implementation of the Windsor Framework (described further, below) on January 1, 2025, the United Kingdom ("UK") has not been directly subject to EU laws with respect to medicinal products. The EU laws that have been transposed into UK law through secondary legislation remain applicable in the UK, but new legislation such as the (EU) CTR is not applicable in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Since January 1, 2021, the Medicines and Healthcare products Regulatory Agency ("MHRA") has been the UK’s standalone medicines and medical devices regulator. As a result of the Northern Ireland Protocol, different rules applied in Northern Ireland than in Great Britain (comprising England, Scotland and Wales, "GB"); broadly, Northern Ireland continued to follow the EU regulatory regime. However, on January 1, 2025, a new arrangement called the “Windsor Framework” came into effect and reintegrated Northern Ireland under the regulatory authority of the MHRA with respect to medicinal products. The Windsor Framework removes EU licensing processes, and EU labelling and serialization requirements in relation to Northern Ireland, and introduces a UK-wide licensing process for medicinal products.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Since January 1, 2024, an international recognition procedure has been in place whereby the MHRA has been able to conduct targeted assessments of an MAA by recognizing approvals from trusted partner agencies such as the EMA.</w:t>
      </w:r>
    </w:p>
    <w:p>
      <w:pPr>
        <w:spacing w:after="0" w:line="22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With respect to the framework in relation to clinical trials, on April 28, 2025, the UK government adopted the Medicines for Human Use (Clinical Trials) Amendment Regulations 2024 (becoming fully effective on April 28, 2026), which aims to provide a more flexible regime to make it easier to conduct clinical trials in the UK, increase the transparency of clinical trials conducted in the UK and make clinical trials more patient centered.</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is no pre-marketing authorization orphan designation in the UK. Instead, the MHRA reviews applications for orphan designation in parallel to the corresponding MAA. The criteria are essentially the same as in the EU, but have been tailored for the market; for example, the prevalence of the condition in the UK, rather than the EU, must not be more than five in 10,000. If an orphan designation is granted, the period of market exclusivity will be set from the date of first approval of the product in the UK.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Pharmaceutical companies like us are subject to additional healthcare regulation and enforcement by the federal government and by authorities in the states and foreign jurisdictions in which they conduct their business. Such regulation may constrain the financial arrangements and relationships through which we research, develop, and ultimately, sell, market and distribute any products for which we obtain marketing approval. Such laws include, without limitation, foreign, federal and state anti-kickback, fraud and abuse, and false claims laws, such as the federal Anti-Kickback Statute and the federal Civil False Claims Act, as well as foreign, federal and state transparency laws and regulations with respect to drug pricing and payments and other transfers of value made by pharmaceutical manufacturers to physicians and other healthcare providers, such as the federal Physician Payment Sunshine Act.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 Violations of any of such laws or any other governmental regulations that apply may result in significant penalties, including, without limitation, administrative, civil and criminal penalties, damages, fines, disgorgement, the curtailment or restructuring of operations, integrity oversight and reporting obligations to resolve allegations of noncompliance, exclusion from participation in foreign, federal and state healthcare programs, such as Medicare and Medicaid, and imprisonment.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coverage and reimbursement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as a condition of participating in, and having products covered under, certain federal healthcare programs, such as Medicare and Medicaid, we may become subject to federal laws and regulations that require pharmaceutical manufacturers to calculate and report certain price reporting metrics to the government, such as Medicaid Average Manufacturer Price ("AMP") and Best Price, Medicare Average Sales Price, the 340B Ceiling Price, and Non-Federal Average Manufacturer Price reported to the Department of Veteran Affairs, and with respect to Medicaid, pay statutory rebates on utilization of manufacturers’ products by Medicaid beneficiaries. Compliance with such laws and regulations will require significant resources and may have a material adverse effect on our revenues.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in many foreign countries the proposed pricing for a drug must be approved before it may be lawfully marketed. The requirements governing drug pricing and reimbursement vary widely from country to country. In the EU, governments influence the price of pharmaceutical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 candidates or products, if approved.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139" w:lineRule="exact"/>
        <w:rPr>
          <w:sz w:val="20"/>
          <w:szCs w:val="20"/>
          <w:color w:val="auto"/>
        </w:rPr>
      </w:pPr>
    </w:p>
    <w:p>
      <w:pPr>
        <w:ind w:left="740" w:hanging="327"/>
        <w:spacing w:after="0" w:line="282" w:lineRule="auto"/>
        <w:tabs>
          <w:tab w:leader="none" w:pos="7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 name drugs from 15.1% to 23.1% of the average manufacturer price;</w:t>
      </w:r>
    </w:p>
    <w:p>
      <w:pPr>
        <w:spacing w:after="0" w:line="13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184"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beneficiary eligibility criteria for Medicaid programs by, among other things, allowing states to offer Medicaid coverage to certain individuals with income at or below 138% of the federal poverty level, thereby potentially increasing manufacturers’ Medicaid rebate liability;</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Pricing Program;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hanging="327"/>
        <w:spacing w:after="0" w:line="282" w:lineRule="auto"/>
        <w:tabs>
          <w:tab w:leader="none" w:pos="7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and biologic agents apportioned among these entities according to their market share in certain federal government programs;</w:t>
      </w:r>
    </w:p>
    <w:p>
      <w:pPr>
        <w:spacing w:after="0" w:line="134"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Center for Medicare and Medicaid Innovation within the Centers for Medicare and Medicaid Services (“CMS”) to test innovative payment and service delivery models to lower Medicare and Medicaid spending, potentially including prescription drug spending;</w:t>
      </w:r>
    </w:p>
    <w:p>
      <w:pPr>
        <w:spacing w:after="0" w:line="12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the Patient-Centered Outcomes Research Institute to oversee, identify priorities in, and conduct comparative clinical effectiveness research, along with funding for such research; and</w:t>
      </w:r>
    </w:p>
    <w:p>
      <w:pPr>
        <w:spacing w:after="0" w:line="12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annual reporting of certain information regarding drug samples that manufacturers and distributors provide to licensed practitioners.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On June 17, 2021, the U.S. Supreme Court dismissed a judicial challenge to the ACA brought by several states without specifically ruling on the constitutionality of the ACA.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which went into effect on April 1, 2013 and, due to subsequent legislative amendments to the statute, will stay in effect through 2032, with the exception of a temporary suspension from May 1, 2020 through March 31, 2022, unless additional action is taken by Congress. In addition, the American Rescue Plan, effective January 1, 2024, eliminates the statutory cap on rebate amounts owed by drug manufacturers under the Medicaid Drug Rebate Program (the "MDRP"), which was previously capped at 100% of the AMP for a covered outpatient drug.</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(the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CMS published the negotiated prices for the initial ten drugs, which went into effect in 2026, and the subsequent 15 drugs effective in 2027, as well as the next set of 15 drugs that will be subject to negotiation, although the drug price negotiation program is currently subject to legal challenges. For that and other reasons, it is currently unclear how the IRA will be effectuated.</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the One Big Beautiful Bill Act (the “OBBBA”) was enacted, which imposes significant reductions in the funding of the Medicaid program and restrictions for certain groups to access the ACA Marketplace. These changes are expected to decrease the number of persons enrolled in Medicaid and reduce the services covered by Medicaid, and may result in an increase in the number of individuals who are unable to access health insurance benefits and medical care, either of which could adversely affect our sales of any product candidate that we potentially commercialize.</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Trump administration has pursued a two-fold strategy to reduce drug costs in the U.S. The administration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The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among policymakers, and it is possible that Congress could enact additional laws that negatively affect the pharmaceutical industry generally and our business specifically.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Similar reform considerations exist outside of the United States. At the EU level for example, in 2011 Directive 2011/24/EU was adopted. This Directive establishes a voluntary network of national authorities or bodies responsible for Health Technology Assessment (“HTA”) in the individual EU member states. The network facilitates and supports the exchange of scientific information concerning HTAs. Further to this, on December 13, 2021, Regulation No 2021/2282 on HTA, amending Directive 2011/24/EU, was adopted. The Regulation entered into force in January 2022 and has been applicable since January 2025, with phased implementation based on the type of product, for example oncology and advanced therapy medicinal products as of 2025, orphan medicinal products as of 2028, and all other new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any of which could impact the amounts that federal and state governments and other third-party payors will pay for healthcare products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may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for example the European Union's General Data Protection Regulation ("GDPR"), govern the privacy and security of personal data, including health-related data, in applicable jurisdictions. All such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53 full-time employees, 37 of whom were dedicated to research and development, and 20 of whom held doctorate degrees (i.e., Ph.D. or M.D.). None of our employees are represented by labor unions or covered by collective bargaining agreements. We consider our relationship with our employees to be good.</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much of our success is rooted in our commitment to inclusion. We value skills and experience at all levels and focus on extending our inclusion and belonging initiatives across our entire workforce.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Our Corporate Information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333333"/>
        </w:rPr>
        <w:t>We were incorporated under the laws of the state of Delaware in February 2008. Our principal executive offices are located at 245 Main Street, Second Floor, Cambridge, MA 02142 and our telephone number is (617) 500-8080.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333333"/>
        </w:rPr>
        <w:t xml:space="preserve">Our corporate website address is </w:t>
      </w:r>
      <w:r>
        <w:rPr>
          <w:rFonts w:ascii="Times New Roman" w:cs="Times New Roman" w:eastAsia="Times New Roman" w:hAnsi="Times New Roman"/>
          <w:sz w:val="18"/>
          <w:szCs w:val="18"/>
          <w:i w:val="1"/>
          <w:iCs w:val="1"/>
          <w:color w:val="333333"/>
        </w:rPr>
        <w:t>www.immuneering.com</w:t>
      </w:r>
      <w:r>
        <w:rPr>
          <w:rFonts w:ascii="Times New Roman" w:cs="Times New Roman" w:eastAsia="Times New Roman" w:hAnsi="Times New Roman"/>
          <w:sz w:val="18"/>
          <w:szCs w:val="18"/>
          <w:color w:val="333333"/>
        </w:rPr>
        <w:t>. The information contained in, or accessible through, our website is not incorporated by reference into this Annual Report and you should not consider information on our website to be a part of this Annual Report. We have included our website address in this Annual Report solely as an inactive textual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33333"/>
        </w:rPr>
        <w:t>Where you can find more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33333"/>
        </w:rPr>
        <w:t xml:space="preserve">We are subject to the information requirements of the Securities Exchange Act of 1934, as amended. The United States Securities and Exchange Commission (the "SEC") maintains an internet site that contains reports, proxy and information statements, and other information regarding issuers that file electronically, such as ourselves, with the SEC at </w:t>
      </w:r>
      <w:r>
        <w:rPr>
          <w:rFonts w:ascii="Times New Roman" w:cs="Times New Roman" w:eastAsia="Times New Roman" w:hAnsi="Times New Roman"/>
          <w:sz w:val="18"/>
          <w:szCs w:val="18"/>
          <w:u w:val="single" w:color="auto"/>
          <w:color w:val="000000"/>
        </w:rPr>
        <w:t>http://www.sec.gov</w:t>
      </w:r>
      <w:r>
        <w:rPr>
          <w:rFonts w:ascii="Times New Roman" w:cs="Times New Roman" w:eastAsia="Times New Roman" w:hAnsi="Times New Roman"/>
          <w:sz w:val="18"/>
          <w:szCs w:val="18"/>
          <w:color w:val="333333"/>
          <w:highlight w:val="white"/>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late-stage clinical oncology company with a limited operating history in developing pharmaceutical products, have not completed any registrational clinical trials and have no products approved for commercial sale, which may make it difficult for you to evaluate our current business and predict our future success and viability.</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Pharmaceutical product development is a highly speculative undertaking and involves a substantial degree of risk. We are a late-stage clinical oncology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and clinical trials of our product candidates, including our ongoing Phase 1/2a clinical trial of atebimetinib (also referred to as IMM-1-104) for the treatment of advanced solid tumors. We have not yet demonstrated our ability to successfully complete any registrational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for the past several years and we expect to continue to incur significant net losses for the foreseeable future and may never obtain profitability.</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incurred net losses in each reporting period for the past several years, have not generated any revenue from product sales to date and have financed our operations principally through our historical computational biology services to pharmaceutical and biotechnology companies (which have since ceased), the issuance of convertible debt and the sale of our convertible preferred stock, Class A common stock and warrants exercisable for common stock. We have incurred net losses of approximately $56.0 million and $61.0 million for the years ended December 31, 2025 and 2024, respectively. As of December 31, 2025, we had an accumulated deficit of approximately $280.3 million. Our losses have resulted principally from expenses incurred in research and development of our product candidates, from management and administrative costs and from other expenses that we have incurred while building our business infrastructure. We are currently conducting an ongoing Phase 1/2a clinical trial for our product candidate atebimetinib for the treatment of advanced solid tumors and plan to dose the first patient in our MAPKeeper 301 registrational trial in mid-2026. Our other product candidates are in earlier stages of drug development.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substantially if and as we:</w:t>
      </w:r>
    </w:p>
    <w:p>
      <w:pPr>
        <w:spacing w:after="0" w:line="185" w:lineRule="exact"/>
        <w:rPr>
          <w:sz w:val="20"/>
          <w:szCs w:val="20"/>
          <w:color w:val="auto"/>
        </w:rPr>
      </w:pPr>
    </w:p>
    <w:p>
      <w:pPr>
        <w:ind w:left="140" w:hanging="132"/>
        <w:spacing w:after="0" w:line="282" w:lineRule="auto"/>
        <w:tabs>
          <w:tab w:leader="none" w:pos="1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our current and future product candidates, including atebimetinib, through preclinical and clinical development, and, if approved by the FDA or other comparable foreign regulatory authorities, commercialization;</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manufacturing costs for our product candidates;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research and development activities to identify and develop new product candidates;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measures to protect and expand our intellectual property;</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we may obtain marketing approval and intend to commercialize;</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in connection with capital raising activities and potential business restructuring activities, if required;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manufacturing and develop our commercialization efforts, if any; and</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 candidates that generate significant revenue. This will require us to be successful in a range of challenging activities, including completing preclinical studies and clinical trials of our product candidates, discovering additional product candidates, obtaining regulatory approval for these product candidates, manufacturing, marketing and selling any products for which we may obtain regulatory approval, achieving market acceptance of any such approved products and receiving reimbursements in amounts above our costs. We are only in the preliminary stages of most of these activities. We may never succeed in these activities and, even if we do, we may never generate revenue that is significant enough to achieve profitability. Because of the numerous risks and uncertainties associated with pharmaceutical product candidate development, we are unable to accurately predict the timing or amount of increased expenses or when, or if, we will be able to achieve profitability. If we are required by the FDA or other regulatory authorities to perform preclinical studies or clinical trials in addition to those currently expected, or if there are any delays in completing our ongoing preclinical studies or clinical trials or the development of any of our product candidates, our expenses could increase and revenue could be further delayed. 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spacing w:after="0" w:line="14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preclinical studies and clinical trials, including any registrational trials,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current and anticipated clinical trials are highly uncertain, we cannot reasonably estimate the actual amounts necessary to successfully complete the development and commercialization of any product candidate we develop. We also expect to continue to incur the costs associated with operating as a public company. Accordingly, we will need to obtain substantial additional funding in order to maintain our continuing operations in the future.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$217.0 million in cash, cash equivalents, and marketable securities. Based on our current business plans, we believe that our existing cash, cash equivalents, and marketable securities will be sufficient to fund our development activities and other operations into 2029. 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98" w:lineRule="exact"/>
        <w:rPr>
          <w:sz w:val="20"/>
          <w:szCs w:val="20"/>
          <w:color w:val="auto"/>
        </w:rPr>
      </w:pPr>
    </w:p>
    <w:p>
      <w:pPr>
        <w:ind w:left="140" w:hanging="132"/>
        <w:spacing w:after="0" w:line="282" w:lineRule="auto"/>
        <w:tabs>
          <w:tab w:leader="none" w:pos="1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timeline, cost and results of our clinical trials for our product candidates, including our planned registrational trial of atebimetinib in combination with mGnP in first-line pancreatic cancer;</w:t>
      </w:r>
    </w:p>
    <w:p>
      <w:pPr>
        <w:spacing w:after="0" w:line="121"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timeline, cost and results of additional research and/or preclinical studies related to pipeline development and other research programs we initiate in the future;</w:t>
      </w:r>
    </w:p>
    <w:p>
      <w:pPr>
        <w:spacing w:after="0" w:line="121"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activities as we advance our product candidates through preclinical and clinical development, and possible commercialization;</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expansion of our current development programs to seek new indications;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impact of widespread adverse economic or health events (including due to military conflict or pandemics) on our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comparable foreign regulatory authorities;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patent claims and other intellectual property rights, in-licensed or otherwise;</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licensing fees, potential royalty payments and potential milestone payments;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general operating expenses;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 if any;</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operating as a public company.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Advancing the development of our product candidates will require a significant amount of capital. Our existing cash, cash equivalents, and marketable securities will not be sufficient to fund all of the activities that are necessary to complete the development and potential commercialization of our product candidates.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For example in the past, due to macroeconomic conditions including inflation and higher interest rates, the stock price of biotech companies, including ours, generally declined, making fundraising in our industry more difficult and on less favorable terms. Furthermore, additional fundraising efforts may divert our management from their day-to-day activities, which may adversely affect our ability to develop and potentially commercialize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In that event, we may have to delay, scale back, or eliminate some or all of our operations, sell assets and/or seek other strategic alternatives.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cash equivalents, and marketable securities in accounts with major U.S. and multi-national financial institutions, and our deposits at certain of these institutions exceed insured limits. Market conditions have in the past impacted and may in the future impact the viability of these institutions. In the event of failure of any of the financial institutions where we maintain our cash, cash equivalents, and marketable securities, there can be no assurance that we would be able to access uninsured funds in a timely manner or at all. Any inability to access or delay in accessing these funds could adversely affect our business and financial position.</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offerings, debt financings or other sources, including up-front payments and milestone payments from strategic collaborations. To the extent that we raise additional capital through the sale of equity or convertible debt or equity securities, for example as we did in August and September 2025, your ownership interest may be diluted, and the terms may include liquidation or other preferences that adversely affect your rights as a stockholder. In addition to dilution, such financings may result in the imposition of debt covenants, increased fixed payment obligations, other restrictions (including operating restrictions) or other obligations (for example, providing registration or other information rights to certain investors, as we did in connection with private placements of equity securities in 2025)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other tax attributes may be limited.</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we had approximately $174.8 million of federal and $56.7 million of state net operating loss carryforwards ("NOLs"), available to offset future taxable income. Under Sections 382 and 383 of the U.S. Internal Revenue Code of 1986, as amended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Regulatory Approval and Commercialization</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regulatory authorities are lengthy, time consuming and inherently unpredictable with respect to outcomes.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Foreign regulatory authorities, such as the EMA,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EMA and 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or be delayed in receiving, regulatory approval for many reasons, including the following:</w:t>
      </w:r>
    </w:p>
    <w:p>
      <w:pPr>
        <w:spacing w:after="0" w:line="185" w:lineRule="exact"/>
        <w:rPr>
          <w:sz w:val="20"/>
          <w:szCs w:val="20"/>
          <w:color w:val="auto"/>
        </w:rPr>
      </w:pPr>
    </w:p>
    <w:p>
      <w:pPr>
        <w:ind w:left="140" w:right="20" w:hanging="132"/>
        <w:spacing w:after="0" w:line="282" w:lineRule="auto"/>
        <w:tabs>
          <w:tab w:leader="none" w:pos="1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disagree with the design, implementation or results of our clinical trials, including without limitation with respect to the appropriate dosing in patients or the use of our product candidates as potential combination therapies;</w:t>
      </w:r>
    </w:p>
    <w:p>
      <w:pPr>
        <w:spacing w:after="0" w:line="134"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determine that our product candidates are not safe and/or not effective, only moderately effective or have undesirable or unintended side effects, toxicities or other characteristics that preclude our obtaining marketing approval or prevent or limit commercial use;</w:t>
      </w:r>
    </w:p>
    <w:p>
      <w:pPr>
        <w:spacing w:after="0" w:line="135"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a clinical trial may not be sufficiently broad or representative to assure efficacy and safety in the full population for which we seek approval;</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disagree with our interpretation of data from preclinical studies or clinical trials;</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NDA or other submission or to obtain regulatory approval in the United States, European Union or elsewhere;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hanging="132"/>
        <w:spacing w:after="0" w:line="282" w:lineRule="auto"/>
        <w:tabs>
          <w:tab w:leader="none" w:pos="1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EMA or other comparable foreign regulatory authorities that a product candidate’s risk-benefit ratio for its proposed indication is acceptable;</w:t>
      </w:r>
    </w:p>
    <w:p>
      <w:pPr>
        <w:spacing w:after="0" w:line="13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21"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EMA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submit additional INDs or IND amendments or comparable documents in foreign jurisdictions to commence additional clinical trials on the timelines we expect, and even if we are able to, the FDA may not permit us to proceed.</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submit additional INDs, IND amendments or comparable documents for atebimetinib, for which an IND was previously submitted, or for our other current or potential product candidates on the timelines we expect.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designing clinical trials and may experience delays or unexpected difficulties in obtaining regulatory approval for our current and future product candidates.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limited experience in designing clinical trials and may be unable to design and execute a clinical trial to support marketing approval, including, for example, our planned registrational trial of atebimetinib in combination with mGnP in first-line pancreatic cancer. We cannot be certain that our ongoing or planned clinical trials or any future clinical trials will be successful. For example, in April 2025 we paused further internal advancement of envometinib (IMM-6-415) and the related Phase 1/2a clinical trial. Further, it is possible that the FDA may refuse to accept, or be delayed in accepting,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applications in foreign jurisdictions with comparable regulatory agencies, including without limitation the EMA.</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completing, or ultimately be unable to complete, the development and commercialization of our product candidates.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Before obtaining marketing approval from the FDA, EMA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spacing w:after="0" w:line="135" w:lineRule="exact"/>
        <w:rPr>
          <w:sz w:val="20"/>
          <w:szCs w:val="20"/>
          <w:color w:val="auto"/>
        </w:rPr>
      </w:pPr>
    </w:p>
    <w:p>
      <w:pPr>
        <w:jc w:val="both"/>
        <w:ind w:left="140" w:hanging="132"/>
        <w:spacing w:after="0" w:line="266" w:lineRule="auto"/>
        <w:tabs>
          <w:tab w:leader="none" w:pos="1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disagreeing as to the design, implementation or results of our clinical trials, including without limitation with respect to the appropriate or proper escalation of dosing in patients or the use of our product candidates as potential combination therapies;</w:t>
      </w:r>
    </w:p>
    <w:p>
      <w:pPr>
        <w:spacing w:after="0" w:line="13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trial or reaching a consensus with regulatory authorities on trial design;</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IRBs;</w:t>
      </w:r>
    </w:p>
    <w:p>
      <w:pPr>
        <w:spacing w:after="0" w:line="184"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refusing to approve, suspending or terminating the trial at an investigational site, precluding enrollment of additional subjects, or withdrawing their approval of the trial;</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enrollment due to travel or quarantine policies, or other factors related to current or future pandemics or other events outside our control;</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candidates or obtaining sufficient quantities of combination therapies for use in clinical trials;</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 at the rate, with the tumor types, and/or at the stage(s) of disease that we expect, or failing to return for post-treatment follow-up;</w:t>
      </w:r>
    </w:p>
    <w:p>
      <w:pPr>
        <w:spacing w:after="0" w:line="121"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 for which we are developing our product candidates, or participating in competing clinical trials;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40" w:hanging="132"/>
        <w:spacing w:after="0" w:line="266" w:lineRule="auto"/>
        <w:tabs>
          <w:tab w:leader="none" w:pos="1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EMA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4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GCP, or other regulatory or contractual requirements;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or</w:t>
      </w:r>
    </w:p>
    <w:p>
      <w:pPr>
        <w:spacing w:after="0" w:line="198"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EMA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occurrence of any public health crisis or similar global events, such as a future pandemic and its variants,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by a Data Safety Monitoring Board for such trial or by the FDA, EMA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including with respect to healthcare, cybersecurity and data privacy matters, as well as political and economic risks or military conflicts relevant to such foreign countries.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serious adverse events associated with our product candidates, we may:</w:t>
      </w:r>
    </w:p>
    <w:p>
      <w:pPr>
        <w:spacing w:after="0" w:line="121" w:lineRule="exact"/>
        <w:rPr>
          <w:sz w:val="20"/>
          <w:szCs w:val="20"/>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if at all;</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preclinical studies or clinical trials to support approval or be subject to additional post-marketing testing requirements;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 in the form of a modified REMS;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candidates. Regulatory agencies such as the FDA and EMA have substantial discretion in the review and approval process and may disagree that our data support the claims we propose.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EMA or comparable foreign regulatory authorities. The FDA, EMA or comparable foreign regulatory authorities may conclude that a financial relationship between us and a principal investigator has created a conflict of interest or otherwise affected interpretation of the study. The FDA, EMA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EMA or comparable foreign regulatory authorities, as the case may be, and may ultimately lead to the denial of marketing approval of one or more of our product candidates.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studies and earlier clinical trials may not be predictive of the success of later clinical trials, and the results of our clinical trials may not satisfy the requirements of the FDA or other comparable foreign regulatory authorities.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such as our planned registrational trial of atebimetinib in combination with mGnP in first-line pancreatic cancer, will be successful. We do not know whether any of our product candidates will perform in current or future clinical trials as they have performed in preclinical studies or prior clinical trials. Product candidates in later-stage clinical trials may fail to demonstrate sufficient safety and efficacy to the satisfaction of the FDA, EMA or other comparable foreign regulatory authorities despite having progressed through preclinical studies and early-stage clinical trials.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Additionally, any safety concerns observed in any one of our clinical trials in our targeted indications could limit the prospects for regulatory approval of our product candidates in those and other indications, which could seriously harm our business. Most product candidates that begin clinical trials are never approved by regulatory authorities for commercialization.</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EMA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EMA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For example, we disclosed updated interim safety and efficacy data from the Phase 2a portion of our ongoing Phase 1/2a clinical trial of atebimetinib in January 2026.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and/or interim data and final data could significantly harm our business prospects. Further, disclosure of interim data by us or by our competitors could result in volatility in the trading price of our Class A common stock.</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potentially commercialize, our product candidates may be harmed, which could harm our business, results of operations, prospects or financial condition. Moreover, such disclosure could adversely affect the trading price of our Class A common stock.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EMA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Patients in our clinical trials may in the future suffer significant drug-related adverse events or other side effects, including those not observed in our preclinical studies or previous clinical trials. Some of our product candidates may be used as chronic therapies or be used in pediatric populations, for which safety concerns may be particularly scrutinized by regulatory agencies. In addition, our product candidates, when used in combination with other therapies, may exacerbate adverse events associated with the therapy. Patients treated with our product candidates may also be undergoing surgical, radiation, chemotherapy or other aggressive treatments, which can cause side effects or adverse events that are unrelated to our product candidate, but may still negatively impact the success of our clinical trials. Similarly, already critically ill patients that we enroll in our clinical trials have in the past and may in the future experience adverse medical events due to the general gravity or advanced stage of such patients’ illnesses, in each case which could adversely affect our clinical trials even though such outcomes are not related or attributable to our product candidates.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significant drug-related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spacing w:after="0" w:line="148" w:lineRule="exact"/>
        <w:rPr>
          <w:sz w:val="20"/>
          <w:szCs w:val="20"/>
          <w:color w:val="auto"/>
        </w:rPr>
      </w:pPr>
    </w:p>
    <w:p>
      <w:pPr>
        <w:ind w:left="120" w:hanging="112"/>
        <w:spacing w:after="0"/>
        <w:tabs>
          <w:tab w:leader="none" w:pos="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be forced to or decide to remove the product form the marketplace;</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that product in one or more countries;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hanging="132"/>
        <w:spacing w:after="0" w:line="282" w:lineRule="auto"/>
        <w:tabs>
          <w:tab w:leader="none" w:pos="1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product for patients, or to conduct post-marketing studies;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to be sued and held liable for harm caused to subjects or patients; and</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52"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Additionally, our clinical trials will compete with other clinical trials for product candidates that focus on the same therapeutic targets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149" w:lineRule="exact"/>
        <w:rPr>
          <w:sz w:val="20"/>
          <w:szCs w:val="20"/>
          <w:color w:val="auto"/>
        </w:rPr>
      </w:pPr>
    </w:p>
    <w:p>
      <w:pPr>
        <w:ind w:left="120" w:hanging="112"/>
        <w:spacing w:after="0"/>
        <w:tabs>
          <w:tab w:leader="none" w:pos="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other developmental or approved drugs for the disease under investigation;</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w:t>
      </w:r>
    </w:p>
    <w:p>
      <w:pPr>
        <w:spacing w:after="0" w:line="184"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or will not survive the full terms of the clinical trials (including without limitation because they may be late-stage cancer patients);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delays or difficulties in enrollment and completion of studies due to ongoing and future pandemics, or other widespread adverse health events.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149" w:lineRule="exact"/>
        <w:rPr>
          <w:sz w:val="20"/>
          <w:szCs w:val="20"/>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 compared to alternative treatments;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98"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as well as pricing, by third-party payors, including government authorities;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the approved product candidate for use as a combination therapy;</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products or product candidates or similar approved products or product candidates in development by third parties; and</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approvals and, as a result, may be unable to commercialize our product candidates.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conducted, managed or completed large-scale or pivotal clinical trials nor completed the regulatory approval process with the FDA, EMA or any other regulatory authority. The time required to obtain approvals from the FDA, EMA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applicable regulatory authority policy during the period of drug development, clinical trials and regulatory review.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processes described above, as well as risks attributable to the satisfaction of local regulations in foreign jurisdictions. Moreover, the time required to obtain approval may differ from that required to obtain FDA or EMA approval.</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unproven, and we may not be successful in our efforts to use and expand our DCT platform and capabilities to build a pipeline of product candidates with commercial value.</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preclinical and clinical development of atebimetinib and other product candidates,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only generated interim data from the ongoing Phase 1/2a trial of atebimetinib, and otherwise our data for this product candidate is limited to animal models and preclinical cell lines, the results of which may not translate into humans. As a result, it is possible that safety or other adverse events or concerns could negatively affect the development of atebimetinib or our other current or future product candidates, including adversely affecting patient enrollment among the patient populations that we intend to treat.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Given the novelty of our technologies, we intend to work closely with the FDA, EMA and comparable foreign regulatory authorities to perform the requisite scientific analyses and evaluation of our methods to obtain regulatory approval for our product candidates; however, due to a lack of comparable experiences, the regulatory pathway with the FDA, EMA and comparable regulatory authorities may be more complex and time-consuming relative to other more well-known therapeutics. Even if we obtain human data to support our product candidates, the FDA, EMA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EMA and other comparable foreign regulatory authorities. We cannot be certain that our approach will lead to the development of approvable or marketable products, alone or in combination with other therapies.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EMA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certain of our current product candidates in combination with other therapies, and may develop our future product candidates in combination with other therapies, which exposes us to additional risks.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develop atebimetinib as a potential biologic/drug combination product, and we may also develop other current or future product candidates as biologic/drug combination products. Additional time may be required to obtain regulatory approval for any of our current or future product candidates if or when they are developed as potential combination products. Any of our product candidates that may be biologic/drug combination products will require coordination within the FDA, EMA and other comparable foreign regulatory authorities for review of their biologic and drug components. Although the FDA, EMA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even if any product candidate we develop were to receive marketing approval or be commercialized for use in combination with other existing therapies, we would continue to be subject to the risks that the FDA, EMA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EMA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may choose to evaluate our current product candidates or any other future product candidates in combination with one or more therapies that have not yet been approved for marketing by the FDA, EMA or comparable foreign regulatory authorities. We will not be able to market and sell our product candidates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EMA or other regulatory approval.</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FDA, EMA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EMA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considerations exist with respect to the potential use of accelerated approval pathways in other jurisdictions outside of the United States.</w:t>
      </w:r>
    </w:p>
    <w:p>
      <w:pPr>
        <w:spacing w:after="0" w:line="1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pacing w:after="0" w:line="13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with product candidates or products targeting the MAPK pathway may produce negative preclinical or clinical data which may adversely affect public perception of our product candidates, and may negatively impact regulatory approval of, or demand for, our potential products.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our product candidates, including atebimetinib, are based on the DCI of the MAPK pathway as a model of therapeutic intervention. Our DCI approach may not be viewed as distinct from other existing therapies targeting the MAPK pathway, and negative third party data from preclinical studies and/or clinical trials using other MAPK-targeted therapies could negatively impact the perception of the therapeutic use of such product candidates or products on the whole. This could, among other things, negatively impact our ability to enroll patients in clinical trials. The clinical and commercial success of our product candidates will depend in part on the public’s and clinical community’s acceptance of the use of DCI therapies. Moreover, our success depends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 Adverse events in our clinical trials, or those of our competitors or of academic researchers utilizing MAPK-targeted therapies, even if not ultimately similar or attributable to our DCI product candidates, and the resulting publicity, could result in increased governmental regulation, unfavorable public perception, increased volatility in our stock price, potential regulatory delays in the testing or approval of our potential product candidates, stricter labeling requirements for our product candidates that are approved, if any, and a decrease in demand for any such products, if approved.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that we seek to treat with our product candidates, and ultimately commercialize any product candidates we develop, or experience significant delays in doing so, our business will be materially harmed.</w:t>
      </w:r>
    </w:p>
    <w:p>
      <w:pPr>
        <w:spacing w:after="0" w:line="14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are early in our development efforts and we have not yet completed our Phase 1/2a clinical trial for our lead product candidate atebimetinib. Further, we have only disclosed interim data for atebimetinib, and in April 2025 we paused further internal advancement of envometinib and the related Phase 1/2a clinical trial. Our other product candidates are in earlier stages of drug development. We have invested substantially all of our efforts and financial resources in the identification of targets, preclinical and clinical development of small molecules targeting the MAPK and other pathways in cancer therapy.</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our current and future product candidates will depend on several factors, including without limitation the following:</w:t>
      </w:r>
    </w:p>
    <w:p>
      <w:pPr>
        <w:spacing w:after="0" w:line="185" w:lineRule="exact"/>
        <w:rPr>
          <w:sz w:val="20"/>
          <w:szCs w:val="20"/>
          <w:color w:val="auto"/>
        </w:rPr>
      </w:pPr>
    </w:p>
    <w:p>
      <w:pPr>
        <w:ind w:left="120" w:hanging="112"/>
        <w:spacing w:after="0"/>
        <w:tabs>
          <w:tab w:leader="none" w:pos="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completion of additional preclinical studies;</w:t>
      </w:r>
    </w:p>
    <w:p>
      <w:pPr>
        <w:spacing w:after="0" w:line="198"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patient enrollment and completion on a timely basis of our ongoing and any future clinical trials (including our planned registrational trial of atebimetinib in combination with mGnP in pancreatic cancer), despite any delays including those arising out of ongoing or future pandemics, or other widespread adverse health events;</w:t>
      </w:r>
    </w:p>
    <w:p>
      <w:pPr>
        <w:spacing w:after="0" w:line="13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CROs and clinical sites for clinical development, both in the United States and internationally;</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in the clinical trials;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profiles that are satisfactory to the FDA, EMA or any comparable foreign regulatory authority for marketing approval;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marketing approvals from applicable regulatory authorities;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hanging="132"/>
        <w:spacing w:after="0" w:line="282" w:lineRule="auto"/>
        <w:tabs>
          <w:tab w:leader="none" w:pos="1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supply arrangements with third-party drug product suppliers and manufacturers for clinical development;</w:t>
      </w:r>
    </w:p>
    <w:p>
      <w:pPr>
        <w:spacing w:after="0" w:line="13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trade secret protection and regulatory exclusivity, both in the United States and internationally;</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rights in our intellectual property portfolio;</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launch of commercial sales following any marketing approval;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atebimetinib or any other product candidate we develop, we may not be able to continue our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our platform, including our proprietary technologies, which are supported by our information technology systems.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of these or other elements of our platform will materially harm our business.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our platform, including our proprietary technologies,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results of operations are dependent on our ability to successfully discover, develop, obtain regulatory approval for and commercialize product candidates beyond those we currently have in preclinical studies and early stage clinical trial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earlier clinical trials of a product candidate may not be predictive of the results that will be obtained in later stage clinical trials of the product candidate.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the product candidates we have or may develop will depend on many factors, including without limitation the following:</w:t>
      </w:r>
    </w:p>
    <w:p>
      <w:pPr>
        <w:spacing w:after="0" w:line="185" w:lineRule="exact"/>
        <w:rPr>
          <w:sz w:val="20"/>
          <w:szCs w:val="20"/>
          <w:color w:val="auto"/>
        </w:rPr>
      </w:pPr>
    </w:p>
    <w:p>
      <w:pPr>
        <w:ind w:left="120" w:hanging="112"/>
        <w:spacing w:after="0"/>
        <w:tabs>
          <w:tab w:leader="none" w:pos="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methodology in identifying potential indications or product candidates;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product candidate for use in clinical trials;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the clinical trials; and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interruptions or delays resulting from factors related to ongoing or future pandemics, or other widespread adverse health events.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pacing w:after="0" w:line="1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We will have to develop our own sales, marketing and supply organization or outsource some or all of these activities to a third party to commercialize our products. If we decide to license our product candidates to others, we may need to rely on the marketing assistance and guidance of those collaborators.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at all. If we are unable to build our own distribution and marketing capabilities or to find suitable partners for the commercialization of our product candidates, we may not generate revenues from them or be able to reach or sustain profitability.</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technologies or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Our product candidates and programs for oncology will compete with products or programs being advanced by certain of these pharmaceutical and biotechnology companies, organizations and institutions. We also compete with these organizations to recruit management, scientists and clinical development and other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obtained marketing approval for a product candidate and we may be unable to obtain, or may be delayed in obtaining, marketing approval for any product candidate.</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If the FDA does not accept or approve our NDAs for our product candidates, it may require that we conduct additional clinical trials,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even if performed and completed, may not be considered sufficient by the FDA to approve our NDAs. Similar considerations exist with respect to potentially obtaining marketing approvals in other jurisdictions outside of the United States.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delay in obtaining, or an inability to obtain, marketing approvals, whether in the United States or internationally,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and regional economic, political and health conditions could adversely affect our business, financial condition or results of operations.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could be adversely affected by global or regional economic, political and / or health conditions. For example, various macroeconomic factors could adversely affect our business, financial condition and results of operations, including changes in inflation, interest rates and overall economic conditions and uncertainties, such as those resulting from political instability (such as workforce uncertainty), trade disputes between nations, and the current and future conditions in the global financial markets. For example, the imposition of tariffs by the U.S. government and any retaliatory tariffs imposed in response have created significant uncertainty, including in the amount, applicability and duration of such tariffs. Tariffs impacting the availability or price of resources used to manufacture our current or future product candidates could adversely affect our preclinical studies and clinical trials and, if in the future any of our product candidates are approved, tariffs may also adversely impact the price and / or demand for such approved products. Moreover third-party vendors, including CROs and CMOs upon which we rely, may suffer disruptions in their businesses or experience significant increases in the cost of their goods or services sold (which they may pass through, in part or in whole, to us) due to factors beyond their control, including tariffs. Additionally, if sustained high rates of inflation or other factors were to significantly increase our business costs, we may be unable to manage such increased expenses or pass through price increases. A global financial crisis or global or regional political and economic instability, wars, terrorism, civil unrest, outbreaks of disease, and other unexpected events, such as supply chain constraints or disruptions, could cause extreme volatility in the capital and credit markets and disrupt our business. Business disruptions could include, among others, disruptions to our research or clinical activities, including due to supply chain or distribution constraints or challenges, clinical enrollment, clinical site availability, patient accessibility, and conduct of our clinical trials, as well as temporary closures of the facilities of suppliers or contract manufacturers in the biotechnology supply chain. In addition, during certain crises and events, patients may prioritize other items over certain or all of their treatments and/or medications, which could have a negative impact on our clinical trials A severe or prolonged economic downturn, political disruption and / or adverse health conditions could result in a variety of risks to our business, including our ability to raise capital when needed on acceptable terms, if at all. Any of the foregoing could harm our business and we cannot anticipate all of the ways in which political, economic, health and / or financial market conditions could adversely impact our business.</w:t>
      </w:r>
    </w:p>
    <w:p>
      <w:pPr>
        <w:spacing w:after="0" w:line="1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and potential future pandemics could adversely impact our business, including our current and future clinical trials, supply chain and business development activities.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effects of government actions, our own policies or those of third parties to address ongoing pandemics and any future pandemic may negatively impact productivity and slow down or delay our future clinical trials, preclinical studies and research and development activities, and may cause disruptions to our supply chain and impair our ability to execute our business development strategy. We may also experience delays in receiving approval from regulatory authorities to initiate or conduct our ongoing or planned clinical trials and delays in regulatory review or approval of any NDA or similar foreign filing we may submit following positive results, if any, in a pivotal study for any of our drug candidates. We may also experience operational delays such as delays or difficulties in enrolling patients in our clinical trials; 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 and changes in local regulations as part of a response to ongoing or future pandemics, which may require us to change the ways in which our clinical trials are conducted and result in unexpected costs, or to discontinue such clinical trials altogether..</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ongoing or future pandemics is difficult to assess or predict, there has in the past been (for example, because of COVID-19 and its variants) and could further be a significant disruption of global financial markets due to a pandemic, that may reduce our ability to access capital and negatively affect our liquidity and financial position. In addition, the trading prices for our Company and other biopharmaceutical companies have in the past been volatile due in part to pandemic, and the same may occur in the future.</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and other disruptions in our operations and the global economy, due to ongoing or future pandemics or any other widespread public health crisis, could negatively impact our business, results of operations and financial condition.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Dependence on Third Parties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substantially rely, and expect to continue to rely, on third parties, including independent clinical investigators and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substantially rely, and expect to continue to rely, on third parties, including independent clinical investigators and third-party CROs, to conduct certain aspects of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investigational drug substance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may take to limit the spread of disease from ongoing or future pandemics,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CROs generally have the right to terminate their agreements with us in the event of an uncured material breach. In addition, some of our CROs may also have an ability to terminate their respective agreements with us for other reasons, including without limitation if it can be reasonably demonstrated that the safety of the subjects participating in our clinical trials warrants such termination, if we make a general assignment for the benefit of our creditors or if we are liquidated.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at a commercially reasonable cost or at all,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establish new collaborations in the future, but are not able to establish those collaborations on a timely basis, on commercially reasonable terms, or at all, we may have to alter our development and commercialization plans.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seek to selectively form collaborations to, among other things,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147" w:lineRule="exact"/>
        <w:rPr>
          <w:sz w:val="20"/>
          <w:szCs w:val="20"/>
          <w:color w:val="auto"/>
        </w:rPr>
      </w:pPr>
    </w:p>
    <w:p>
      <w:pPr>
        <w:ind w:left="140" w:hanging="132"/>
        <w:spacing w:after="0" w:line="282" w:lineRule="auto"/>
        <w:tabs>
          <w:tab w:leader="none" w:pos="1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121" w:lineRule="exact"/>
        <w:rPr>
          <w:rFonts w:ascii="Times New Roman" w:cs="Times New Roman" w:eastAsia="Times New Roman" w:hAnsi="Times New Roman"/>
          <w:sz w:val="18"/>
          <w:szCs w:val="18"/>
          <w:color w:val="auto"/>
        </w:rPr>
      </w:pPr>
    </w:p>
    <w:p>
      <w:pPr>
        <w:jc w:val="both"/>
        <w:ind w:left="140" w:hanging="132"/>
        <w:spacing w:after="0" w:line="261" w:lineRule="auto"/>
        <w:tabs>
          <w:tab w:leader="none" w:pos="1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52"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21"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for example, the collaborators believe that such competitive products are more likely to be successfully developed or can be commercialized under terms that are more economically attractive than ours;</w:t>
      </w:r>
    </w:p>
    <w:p>
      <w:pPr>
        <w:spacing w:after="0" w:line="135"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134"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35"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21"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were to be involved in a business combination, the continued pursuit and emphasis on our drug development or commercialization program could be delayed, diminished or terminated.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EMA or other comparable regulatory authority regulations, provide accurate information to such regulators, comply with international,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Manufacturing drugs, especially in large quantities, is complex and may require the use of innovative technologies. Each lot of an approved drug product must undergo thorough testing for identity, strength, quality, purity and potency.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(if applicable) as a result of these challenges, or otherwise, our development and commercialization efforts would be impaired, which would have an adverse effect on our business, financial condition, results of operations and growth prospects.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including contract manufacturing organizations and consultants,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be able to acquire such quantities at an acceptable cost, which could delay, prevent or impair our development or commercialization efforts.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rely on third-party manufacturers for the commercial supply of any of our product candidates for which we may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35" w:lineRule="exact"/>
        <w:rPr>
          <w:sz w:val="20"/>
          <w:szCs w:val="20"/>
          <w:color w:val="auto"/>
        </w:rPr>
      </w:pPr>
    </w:p>
    <w:p>
      <w:pPr>
        <w:jc w:val="both"/>
        <w:ind w:left="140" w:hanging="132"/>
        <w:spacing w:after="0" w:line="266" w:lineRule="auto"/>
        <w:tabs>
          <w:tab w:leader="none" w:pos="1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4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or placebo not being properly identified;</w:t>
      </w:r>
    </w:p>
    <w:p>
      <w:pPr>
        <w:spacing w:after="0" w:line="134"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ongoing or future pandemics,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or a third-party’s, failure to execute on our manufacturing requirements, to do so on commercially reasonable terms and timelines, or to comply with cGMP requirements could adversely affect our business in a number of ways, including without limitation:</w:t>
      </w:r>
    </w:p>
    <w:p>
      <w:pPr>
        <w:spacing w:after="0" w:line="121" w:lineRule="exact"/>
        <w:rPr>
          <w:sz w:val="20"/>
          <w:szCs w:val="20"/>
          <w:color w:val="auto"/>
        </w:rPr>
      </w:pPr>
    </w:p>
    <w:p>
      <w:pPr>
        <w:ind w:left="120" w:hanging="112"/>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initiate or continue clinical trials of our product candidates under development;</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regulatory applications, or receiving marketing approvals, for our product candidates, if at all;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commercialize any product candidates that receive marketing approval on a timely basis;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future collaborators;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if any, to additional inspections by regulatory authorities;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product candidates;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our product candidates, an inability to meet commercial demands for our product or any other future product candidates; and</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 margins.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studies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 party payors in connection with our current and future business activities may be subject to international,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international, federal and state healthcare laws and regulations include, among others, the following:</w:t>
      </w:r>
    </w:p>
    <w:p>
      <w:pPr>
        <w:spacing w:after="0" w:line="143" w:lineRule="exact"/>
        <w:rPr>
          <w:sz w:val="20"/>
          <w:szCs w:val="20"/>
          <w:color w:val="auto"/>
        </w:rPr>
      </w:pPr>
    </w:p>
    <w:p>
      <w:pPr>
        <w:jc w:val="both"/>
        <w:ind w:left="140" w:hanging="132"/>
        <w:spacing w:after="0" w:line="258" w:lineRule="auto"/>
        <w:tabs>
          <w:tab w:leader="none" w:pos="1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156" w:lineRule="exact"/>
        <w:rPr>
          <w:rFonts w:ascii="Times New Roman" w:cs="Times New Roman" w:eastAsia="Times New Roman" w:hAnsi="Times New Roman"/>
          <w:sz w:val="18"/>
          <w:szCs w:val="18"/>
          <w:color w:val="auto"/>
        </w:rPr>
      </w:pPr>
    </w:p>
    <w:p>
      <w:pPr>
        <w:jc w:val="both"/>
        <w:ind w:left="140" w:hanging="132"/>
        <w:spacing w:after="0" w:line="256" w:lineRule="auto"/>
        <w:tabs>
          <w:tab w:leader="none" w:pos="1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146" w:lineRule="exact"/>
        <w:rPr>
          <w:rFonts w:ascii="Times New Roman" w:cs="Times New Roman" w:eastAsia="Times New Roman" w:hAnsi="Times New Roman"/>
          <w:sz w:val="18"/>
          <w:szCs w:val="18"/>
          <w:color w:val="auto"/>
        </w:rPr>
      </w:pPr>
    </w:p>
    <w:p>
      <w:pPr>
        <w:jc w:val="both"/>
        <w:ind w:left="140" w:hanging="132"/>
        <w:spacing w:after="0" w:line="261" w:lineRule="auto"/>
        <w:tabs>
          <w:tab w:leader="none" w:pos="1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39" w:lineRule="exact"/>
        <w:rPr>
          <w:rFonts w:ascii="Times New Roman" w:cs="Times New Roman" w:eastAsia="Times New Roman" w:hAnsi="Times New Roman"/>
          <w:sz w:val="18"/>
          <w:szCs w:val="18"/>
          <w:color w:val="auto"/>
        </w:rPr>
      </w:pPr>
    </w:p>
    <w:p>
      <w:pPr>
        <w:jc w:val="both"/>
        <w:ind w:left="140" w:hanging="132"/>
        <w:spacing w:after="0" w:line="258" w:lineRule="auto"/>
        <w:tabs>
          <w:tab w:leader="none" w:pos="1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156"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35" w:lineRule="exact"/>
        <w:rPr>
          <w:rFonts w:ascii="Times New Roman" w:cs="Times New Roman" w:eastAsia="Times New Roman" w:hAnsi="Times New Roman"/>
          <w:sz w:val="18"/>
          <w:szCs w:val="18"/>
          <w:color w:val="auto"/>
        </w:rPr>
      </w:pPr>
    </w:p>
    <w:p>
      <w:pPr>
        <w:jc w:val="both"/>
        <w:ind w:left="140" w:hanging="132"/>
        <w:spacing w:after="0" w:line="256" w:lineRule="auto"/>
        <w:tabs>
          <w:tab w:leader="none" w:pos="1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("CMS") information regarding payments and other transfers of value to physicians (as defined by statute), certain non-physician providers including physician assistants and nurse practitioners, and teaching hospitals, as well as information regarding ownership and investment interests held by physicians and their immediate family members. The information reported is publicly available on a searchable website, with disclosure required annually;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40" w:hanging="132"/>
        <w:spacing w:after="0" w:line="258" w:lineRule="auto"/>
        <w:tabs>
          <w:tab w:leader="none" w:pos="1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156" w:lineRule="exact"/>
        <w:rPr>
          <w:rFonts w:ascii="Times New Roman" w:cs="Times New Roman" w:eastAsia="Times New Roman" w:hAnsi="Times New Roman"/>
          <w:sz w:val="18"/>
          <w:szCs w:val="18"/>
          <w:color w:val="auto"/>
        </w:rPr>
      </w:pPr>
    </w:p>
    <w:p>
      <w:pPr>
        <w:jc w:val="both"/>
        <w:ind w:left="140" w:hanging="132"/>
        <w:spacing w:after="0" w:line="261" w:lineRule="auto"/>
        <w:tabs>
          <w:tab w:leader="none" w:pos="1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had, have or may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(or analagous programs in jurisdictions outside the United States),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by the Health Information Technology for Economic and Clinical Health Act, and the regulations promulgated thereunder, or collectively, HIPAA.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or may become subject to rapidly evolving data protection laws, rules and regulations in foreign jurisdictions. For example, the EU GDPR governs certain collection and other processing activities involving personal data about individuals in the EEA. The GDPR imposes substantial fines for breaches and violations. The GDPR also confers a private right of action on data subjects and consumer associations to lodge complaints with supervisory authorities, seek judicial remedies and obtain compensation for damages resulting from violations of the GDPR. Further, since January 1, 2021, companies have to comply with the GDPR and also the UK GDPR, which, together with the amended UK Data Protection Act 2018, retains the GDPR in UK national law. The UK GDPR mirrors the fines under the GDPR.</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and UK GDPR regulate cross-border transfers of personal data out of the EEA and the UK respectively. Recent legal developments in Europe have created complexity and uncertainty regarding such transfers, including in relation to transfers to the United States. On July 16, 2020, the Court of Justice of the European Union or the CJEU invalidated the EU-US Privacy Shield Framework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Successor legislation and regulation to the Privacy Shield have not been, and may never be, widely adopted in practice for data transfers in the biotechnology field. As the enforcement landscape further develops, and supervisory authorities issue further guidance on international data transfers, we could suffer additional costs, complaints and/or regulatory investigations or fines; we may have to stop using certain tools and vendors and make other operational changes; and/or it could otherwise affect the manner in which we provide our services, and could also adversely affect our business, operations and financial condition.</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third-party CMOs, CROs or other contractors, consultants or agents fail to comply with applicable federal, state, local or foreign regulatory requirements, we could be subject to a range of regulatory actions that could affect our or any such third party’s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also give rise to liability, breaches of data security or reputational damage.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if at all, to protect us against losses caused by product liability claims that could have an adverse effect on our business and financial condition.</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become subject to unfavorable third-party coverage and reimbursement practices, as well as pricing regulations.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candidate that we may be able to commercialize and, if reimbursement is available, what the level of reimbursement will be.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including without limitation the EEA, the reimbursement for our products may be reduced compared with the United States and may be insufficient to generate commercially reasonable revenue and profits.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materials. Our operations may also produce hazardous waste products.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or other comparable foreign regulatory authorities may not accept data from trials conducted in locations outside of their jurisdiction.</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intend to conduct international clinical trials in the future.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other comparable foreign regulatory authority does not accept such data, it could result in the need for additional trials, which would be costly and time-consuming and delay aspects of our business plan, and which may result in our current or future product candidates not receiving approval for commercialization in the applicable jurisdiction.</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will be subject to significant post-marketing regulatory requirements and oversight.</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EMA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EMA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authority requirements may subject our company to administrative or judicially imposed sanctions, including without limitation:</w:t>
      </w:r>
    </w:p>
    <w:p>
      <w:pPr>
        <w:spacing w:after="0" w:line="155" w:lineRule="exact"/>
        <w:rPr>
          <w:sz w:val="20"/>
          <w:szCs w:val="20"/>
          <w:color w:val="auto"/>
        </w:rPr>
      </w:pPr>
    </w:p>
    <w:p>
      <w:pPr>
        <w:ind w:left="120" w:hanging="112"/>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FDA’s, EMA's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further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EMA and other regulatory agencies strictly regulate the promotional claims that may be made about prescription products, such as our product candidates, if approved. In particular, a product may not be promoted for uses that are not approved by the FDA, EMA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For example, the U.S. federal government has levied large civil and criminal fines against companies for alleged improper promotion of off-label use and has enjoined several companies from engaging in off-label promotion. The U.S.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including those caused by funding shortages, mandated personnel reductions, policy changes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of the FDA (as well as other U.S. agencies and analogous bodies outside the United States)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the FDA, SEC and other government agencies on which our operations may rely, including those that fund research and development activities, is subject to the political process, which is inherently fluid and unpredictable.</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whether domestic or in jurisdictions outside of the United States, may also slow the time necessary for new drugs to be reviewed and/or approved by necessary government agencies, which would adversely affect our business. For example, in recent years, the U.S. government shut down several times (including for an extended period beginning in October 2025) and certain regulatory agencies, such as the FDA and the SEC, had to furlough critical employees and stop critical activities. Similarly, incoming administrations have taken and may in the future take measures to reduce personnel at, and funding for, regulatory agencies including the FDA and the SEC. For example, the current administration has issued executive orders that may significantly reduce the federal workforce and could adversely affect the FDA’s ability to attract and retain qualified scientific reviewers, which could result in longer review times for our applications. If a prolonged government shut down, funding or personnel reduction, policy change, or other disruption at the FDA occurs, continues to occur and/or worsens,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Separately, initially in response to the global COVID-19 pandemic, the FDA implemented changes to its inspection activities to ensure the safety of its employees and those of the firms it regulates, and any resurgence or emergence of any pandemic or other widespread adverse health event may lead to further inspection delays. Regulatory authorities outside the United States have in the past and may in the future adopt similar restrictions or other policy measures in response to such events. If a prolonged government shutdown occurs or continues, or if global health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from the FDA (or similar designation from a comparable foreign regulatory authority), even when granted for any of our product candidates, may not lead to a faster development or regulatory review or approval process, and does not increase the likelihood that our product candidates will receive regulatory approval.</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2024, July 2024 and December 2024, respectively, we announced that the FDA granted fast track designation for atebimetinib for the treatment of patients: with PDAC who have failed one line of treatment; with PDAC in the first-line setting; and with unresectable or metastatic NRAS-mutant melanoma who have progressed on or are intolerant to PD-1/PD-L1 based immune checkpoint inhibitors. Depending on the data from our preclinical studies and clinical trials, we may decide to seek additional fast track designations for atebimetinib or for other product candidates. The fast track program is intended to expedite or facilitate the process for reviewing product candidates that meet certain criteria. Specifically, potential drugs are eligible for fast track designation if they are intended, alone or in combination with one or more other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may have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has broad discretion whether or not to grant this designation. Even if we believe a particular product candidate is eligible for this designation, we cannot assure you that the FDA would decide to grant it. Even where we have received fast track designation for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related clinical development program. Furthermore, such a designation does not increase the likelihood that atebimetinib or any other product candidate that may be granted fast track designation will receive regulatory approval in the U.S. Many product candidates that have received fast track designation have ultimately failed to obtain approval.</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Similar considerations as the foregoing exist with respect to any foreign regulatory authority that may grant a comparable designation to any product candidate.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a judicial challenge to the ACA brought by several states without specifically ruling on the constitutionality of the ACA.</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the American Rescue Plan Act of 2021, which eliminated the statutory Medicaid drug rebate cap, which was set at 100% of a drug’s average manufacturer price as of January 1, 2024.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August 16, 2022, the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CMS published the negotiated prices for the initial ten drugs, which went into effect in 2026, and the subsequent 15 drugs effective in 2027, as well as the next set of 15 drugs that will be subject to negotiation, although the drug price negotiation program is currently subject to legal challenges. For that and other reasons, it is currently unclear how the IRA will be 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the OBBBA was enacted, which imposes significant reductions in the funding of the Medicaid program and restrictions for certain groups to access the ACA Marketplace. These changes are expected to decrease the number of persons enrolled in Medicaid and reduce the services covered by Medicaid, and may result in an increase in the number of individuals who are unable to access health insurance benefits and medical care, either of which could adversely affect our sales of any product candidate that we potentially commercialize.</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Trump administration has pursued a two-fold strategy to reduce drug costs in the U.S. The administration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The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among policymakers, and it is possible that Congress could enact additional laws that negatively affect the pharmaceutical industry generally and our business specifically.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ongoing or new pandemics or to other widespread adverse health events.</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 UK Bribery Act 2010 (the "Bribery Act"), the U.S. Foreign Corrupt Practices Act of 1977, as amended (the "FCPA"), and other anti-corruption laws, as well as export control laws, import and customs laws, trade and economic sanctions laws and other laws governing our operations.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including our research and development, clinical trial, and (if any of our product candidates receives approval) commercial activities, whether conducted in the United States or internationally, may be subject to anti-corruption laws, including the Bribery Act, the FCPA, the U.S. domestic bribery statute contained in 18 U.S.C. §201, the U.S. Travel Act and other anti-corruption laws that apply in countries where we currently or may in the future do business. The Bribery Act, the FCPA and these other (or similar) laws generally prohibit us, our employees and our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partners may operate in jurisdictions that pose a high risk of potential Bribery Act or FCPA violations, and we may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 We may also be subject to other laws and regulations from time to time governing our international operations, including regulations administered by the governments of the United States, the United Kingdom or elsewhere and authorities in the European Union or elsewhere, including applicable export control regulations, economic sanctions and embargoes on certain countries and persons, anti-money laundering laws, import and customs requirements and currency exchange regulations, collectively referred to as the Trade Control laws. 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the United Kingdom, United States or other authorities could also have an adverse impact on our reputation, our business, results of operations and financial condition.</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various laws relating to foreign investment and the export of certain technologies, and our failure to comply with these laws or adequately monitor the compliance of our suppliers and others with which we do business with could subject us to substantial fines, penalties and injunctions, the imposition of which on us could have a material adverse effect on the success of our business.</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be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 to impose new export control restrictions on “emerging and foundational technologies” yet to be fully identified. Application of these laws, including as they are implemented through regulations being developed, may negatively impact our business in various ways, including without limitation by: restricting our access to capital and markets; limiting the collaborations we may pursue; regulating the export of our products, services, and technology from the United States and abroad; increasing our costs and the time necessary to obtain required authorizations and to ensure compliance; and threat of monetary fines and other penalties for non-compliance.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and/or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develop and commercialize our product candidates, products (if any) and technology may be impaired, and we may not be able to compete effectively in our market.</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As of February 2, 2026, we had granted and pending patent filings directed to our product candidates and platforms. With respect to atebimetinib, we had global patent filings providing patent protection for the compound expected into at least 2041 and in the United States until 2042, as well as other pending Patent Cooperation Treaty ("PCT") applications that have not yet entered the national phase providing the basis for additional national phase potential patent claims directed to methods of treatment and pharmaceutical compositions expected into at least 2045, if granted (excluding any possible patent term adjustments, extensions, or terminal disclaimers, and assuming payment of all appropriate maintenance, renewal, annuity or other governmental fees, as applicable). Further, patent prosecution with respect to our pending patent applications related to our product candidates is in many cases in the early stages. With respect to our platform technology, we have granted U.S. patents expiring in 2039 directed to our Disease Cancelling Technology platform (excluding any possible patent term adjustments or extensions and assuming payment of all appropriate maintenance, renewal, annuity or other governmental fees, as applicable). We filed patent applications related to our platform technology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In addition,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Composition of matter patents for pharmaceutical product candidates often provide a strong form of intellectual property protection for those types of products, as such patents may provide protection for any method of use. We cannot be certain that the claims in our pending patent applications related to composition of matter of our product candidates will be considered patentable by the USPTO or by patent offices in foreign countries, or that the claims in any of our issued patents will be considered valid and enforceable by courts in the United States or foreign countries. Method of use patents can protect the claimed uses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40" w:hanging="132"/>
        <w:spacing w:after="0" w:line="266" w:lineRule="auto"/>
        <w:tabs>
          <w:tab w:leader="none" w:pos="12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4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121"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pacing w:after="0" w:line="148"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21"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 is also possible that we may not identify, or that we may not timely file on identified,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("PGR"), and/or inter partes review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although we seek to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 Moreover, it is possible that we may not enter into non-disclosure and confidentiality agreements with such parties, thereby potentially compromising our confidential information or otherwise subjecting it to potential loss or misuse.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disputes may arise between us and any future licensors regarding intellectual property subject to a license agreement, including:</w:t>
      </w:r>
    </w:p>
    <w:p>
      <w:pPr>
        <w:spacing w:after="0" w:line="185" w:lineRule="exact"/>
        <w:rPr>
          <w:sz w:val="20"/>
          <w:szCs w:val="20"/>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and obligations imposed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intellectual property of the licensor that is not subject to the licensing agreement;</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if any, we owe to a potential licensor in respect of sublicense fees or income or in respect of backup product;</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84"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its affiliates and sublicensees and by us and our partners and sublicensees.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may be dependent on our future licensors and third parties.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 candidates, products (if approved)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third parties may obtain patents in the future and claim that use of our technologies infringes upon these patents. Any claims of patent infringement asserted by third parties would be time-consuming and could:</w:t>
      </w:r>
    </w:p>
    <w:p>
      <w:pPr>
        <w:spacing w:after="0" w:line="121" w:lineRule="exact"/>
        <w:rPr>
          <w:sz w:val="20"/>
          <w:szCs w:val="20"/>
          <w:color w:val="auto"/>
        </w:rPr>
      </w:pPr>
    </w:p>
    <w:p>
      <w:pPr>
        <w:ind w:left="120" w:hanging="112"/>
        <w:spacing w:after="0"/>
        <w:tabs>
          <w:tab w:leader="none" w:pos="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or unenforceable or not infringed in a court of law;</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right="20" w:hanging="132"/>
        <w:spacing w:after="0" w:line="282" w:lineRule="auto"/>
        <w:tabs>
          <w:tab w:leader="none" w:pos="12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to date,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2011, the Leahy-Smith America Invents Act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w:t>
      </w:r>
    </w:p>
    <w:p>
      <w:pPr>
        <w:spacing w:after="0" w:line="1" w:lineRule="exact"/>
        <w:rPr>
          <w:sz w:val="20"/>
          <w:szCs w:val="20"/>
          <w:color w:val="auto"/>
        </w:rPr>
      </w:pPr>
    </w:p>
    <w:p>
      <w:pPr>
        <w:jc w:val="both"/>
        <w:ind w:firstLine="8"/>
        <w:spacing w:after="0" w:line="255" w:lineRule="auto"/>
        <w:tabs>
          <w:tab w:leader="none" w:pos="2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is the case with many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Congress or other foreign legislative bodies may pass patent reform legislation that is unfavorable to us.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future licensors may be subject to claims challenging the inventorship or ownership of our or our future in-licensed patents and other intellectual property.</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advisors, consultants, contractors and other third parties, including certain service providers,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if any,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5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a widespread adverse health event,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each case which could materially harm our business.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prescribers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any name we have proposed to use with a product candidate in the United States must be approved by the FDA, regardless of whether we have registered it, or applied to register it, as a trademark. Similar requirements exist in Europe and other jurisdictions outside of the United States.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third-party open source software, which could negatively affect our ability to offer our solutions and subject us to litigation or other actions.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 make our systems more vulnerable to data breaches. In addition, the public availability of such software may make it easier for others to compromise our platform.</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cost,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such policies will be effective and that we have not incorporated open source software in our platform and solutions in a manner that is inconsistent with such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intellectual property rights is uncertain because intellectual property rights have limitations, and may not adequately protect our business or permit us to maintain our competitive advantage. For example and without limitation:</w:t>
      </w:r>
    </w:p>
    <w:p>
      <w:pPr>
        <w:spacing w:after="0" w:line="121" w:lineRule="exact"/>
        <w:rPr>
          <w:sz w:val="20"/>
          <w:szCs w:val="20"/>
          <w:color w:val="auto"/>
        </w:rPr>
      </w:pPr>
    </w:p>
    <w:p>
      <w:pPr>
        <w:ind w:left="140" w:hanging="132"/>
        <w:spacing w:after="0" w:line="282" w:lineRule="auto"/>
        <w:tabs>
          <w:tab w:leader="none" w:pos="1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but that are not covered by the claims of the patents that we may own or license;</w:t>
      </w:r>
    </w:p>
    <w:p>
      <w:pPr>
        <w:spacing w:after="0" w:line="13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potential future licensors might not have been the first to make the inventions covered by the issued patents or patent application that we may own or license;</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potential future licensors might not have been the first to file patent applications covering certain of our inventions;</w:t>
      </w:r>
    </w:p>
    <w:p>
      <w:pPr>
        <w:spacing w:after="0" w:line="184"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or our future licensors’, pending patent applications will not lead to issued patents;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issued patents that we own or license may be held invalid or unenforceable, as a result of legal challenges by our competitors;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may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may receive regulatory approval or any such commercialization may experience delays or limitations. Moreover, even if we do successfully enter such arrangements with third parties, any of those third parties may fail to perform in a satisfactory or timely manner, if at all.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and employees.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administrative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 We currently do not maintain "key person" insurance for any of our executive officers (other than our chief executive officer) or other employees, and such insurance, even if in place, may not be adequate.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(if approved) our product candidates will be limited and the potential for successfully growing our business will be harmed.</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had 53 full-time employees, including 37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 without limitation:</w:t>
      </w:r>
    </w:p>
    <w:p>
      <w:pPr>
        <w:spacing w:after="0" w:line="139" w:lineRule="exact"/>
        <w:rPr>
          <w:sz w:val="20"/>
          <w:szCs w:val="20"/>
          <w:color w:val="auto"/>
        </w:rPr>
      </w:pPr>
    </w:p>
    <w:p>
      <w:pPr>
        <w:ind w:left="120" w:hanging="112"/>
        <w:spacing w:after="0"/>
        <w:tabs>
          <w:tab w:leader="none" w:pos="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98"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EMA and other comparable foreign regulatory agencies’ review process of atebimetinib and any other product candidates that we develop, while complying with any contractual obligations to contractors and other third parties we may have; and</w:t>
      </w:r>
    </w:p>
    <w:p>
      <w:pPr>
        <w:spacing w:after="0" w:line="13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atebimetinib and any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atebimetinib and any other current or future product candidates and, accordingly, may not achieve our research, development and commercialization goals.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internationally could materially adversely affect our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plans incorporate potential international expansion, including the planned addition of international clinical trial sites, potential engagement with a collaborator based internationally, or if any of our product candidates receives regulatory approval. Doing business internationally involves a number of risks, including but not limited to:</w:t>
      </w:r>
    </w:p>
    <w:p>
      <w:pPr>
        <w:spacing w:after="0" w:line="149" w:lineRule="exact"/>
        <w:rPr>
          <w:sz w:val="20"/>
          <w:szCs w:val="20"/>
          <w:color w:val="auto"/>
        </w:rPr>
      </w:pPr>
    </w:p>
    <w:p>
      <w:pPr>
        <w:ind w:left="140" w:hanging="132"/>
        <w:spacing w:after="0" w:line="282" w:lineRule="auto"/>
        <w:tabs>
          <w:tab w:leader="none" w:pos="1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 candidates in various countries;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 rights;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w:t>
      </w:r>
    </w:p>
    <w:p>
      <w:pPr>
        <w:spacing w:after="0" w:line="121" w:lineRule="exact"/>
        <w:rPr>
          <w:rFonts w:ascii="Times New Roman" w:cs="Times New Roman" w:eastAsia="Times New Roman" w:hAnsi="Times New Roman"/>
          <w:sz w:val="18"/>
          <w:szCs w:val="18"/>
          <w:color w:val="auto"/>
        </w:rPr>
      </w:pPr>
    </w:p>
    <w:p>
      <w:pPr>
        <w:jc w:val="both"/>
        <w:ind w:left="140" w:hanging="132"/>
        <w:spacing w:after="0" w:line="266" w:lineRule="auto"/>
        <w:tabs>
          <w:tab w:leader="none" w:pos="1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(for example, the ongoing conflict between Russia and Ukraine, as well as in the Middle East), outbreak of disease (for example, COVID-19 and other pandemics), boycotts, curtailment of trade and other business restrictions;</w:t>
      </w:r>
    </w:p>
    <w:p>
      <w:pPr>
        <w:spacing w:after="0" w:line="148" w:lineRule="exact"/>
        <w:rPr>
          <w:rFonts w:ascii="Times New Roman" w:cs="Times New Roman" w:eastAsia="Times New Roman" w:hAnsi="Times New Roman"/>
          <w:sz w:val="18"/>
          <w:szCs w:val="18"/>
          <w:color w:val="auto"/>
        </w:rPr>
      </w:pPr>
    </w:p>
    <w:p>
      <w:pPr>
        <w:ind w:left="140" w:right="20" w:hanging="132"/>
        <w:spacing w:after="0" w:line="282" w:lineRule="auto"/>
        <w:tabs>
          <w:tab w:leader="none" w:pos="1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susceptibility to trade disputes between nations, including from the imposition of tariffs, which may adversely impact operations (such as conducting ex-U.S. clinical trials or sourcing materials internationally);</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(if any) and activities that may fall within the purview of the FCPA, its books and records provisions, its anti-bribery provisions or other anti-bribery and anti-corruption laws.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of these factors, among others, could significantly limit or harm our future international expansion and operations and, consequently, our results of operations.</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Acquisitions, joint ventures or other transactions involving third parties could disrupt our business, cause dilution to our stockholders and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in the past and may in the future acquire other businesses, products or technologies as well as pursue strategic alliances, joint ventures, licensing arrangements, supply agreements or investments in complementary businesses. We have limited or in some cases no experience in completing such transactions. Any of these transactions could be material to our financial condition and operating results and expose us to many risks, including without limitation:</w:t>
      </w:r>
    </w:p>
    <w:p>
      <w:pPr>
        <w:spacing w:after="0" w:line="154" w:lineRule="exact"/>
        <w:rPr>
          <w:sz w:val="20"/>
          <w:szCs w:val="20"/>
          <w:color w:val="auto"/>
        </w:rPr>
      </w:pPr>
    </w:p>
    <w:p>
      <w:pPr>
        <w:ind w:left="120" w:hanging="112"/>
        <w:spacing w:after="0"/>
        <w:tabs>
          <w:tab w:leader="none" w:pos="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future customers or with current or future distributors or suppliers as a result of such a transaction;</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or other collaboration challenges;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regarding intellectual property and/or the scope and interpretation of licensing terms; and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 sales force for any additional product candidates.</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Potential foreign transactions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20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Additionally, the anticipated benefit of any such transaction may not materialize. For example, future acquisitions or dispositions could result in potentially dilutive issuances of our equity securities, the incurrence of additional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reserves and may not use them effectively.</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them in ways that do not improve our results of operations or enhance value, for example by prioritizing the development of certain product candidates and / or medical indications over others that could have been more successful. The failure by our management to apply these funds effectively could result in financial losses that could have a material adverse effect on our business and/or delay the development of our product candidates. Additionally, pending their use, we may invest our cash reserves in a manner that does not produce income or that loses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an active, liquid and orderly trading market for our Class A common stock and, as a result, it may be difficult for you to sell your shares of our Class A common stock.</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value of our Class A common stock has in the past decreased from time to time, and may in the future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has been and may in the future be volatile, and you could lose all or part of your investment.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of our Class A common stock has in the past been, and in the future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Broad market and industry factors may negatively affect the market price of our Class A common stock, regardless of our actual operating performance. In addition to the factors discussed in this “Risk Factors” section, elsewhere in this filing, and in our other SEC filings, these factors include:</w:t>
      </w:r>
    </w:p>
    <w:p>
      <w:pPr>
        <w:spacing w:after="0" w:line="135" w:lineRule="exact"/>
        <w:rPr>
          <w:sz w:val="20"/>
          <w:szCs w:val="20"/>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of our product candidates or those of our competitors;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insiders or our other stockholders;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 and</w:t>
      </w:r>
    </w:p>
    <w:p>
      <w:pPr>
        <w:spacing w:after="0" w:line="184" w:lineRule="exact"/>
        <w:rPr>
          <w:rFonts w:ascii="Times New Roman" w:cs="Times New Roman" w:eastAsia="Times New Roman" w:hAnsi="Times New Roman"/>
          <w:sz w:val="18"/>
          <w:szCs w:val="18"/>
          <w:color w:val="auto"/>
        </w:rPr>
      </w:pPr>
    </w:p>
    <w:p>
      <w:pPr>
        <w:jc w:val="both"/>
        <w:ind w:left="140" w:right="20" w:hanging="132"/>
        <w:spacing w:after="0" w:line="266" w:lineRule="auto"/>
        <w:tabs>
          <w:tab w:leader="none" w:pos="1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effects of recession or slow economic growth in the U.S. and abroad, interest rates, tariffs, inflation, fuel prices, international currency fluctuations, corruption, political instability, acts of war, acts of terrorism, ongoing or future military conflicts, and ongoing or future pandemics or other public health crises.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(as has happened in the past), we could lose visibility in the financial markets, which in turn could cause our stock price or trading volume to decline.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holders of 5% or more of our capital stock and their respective affiliates beneficially own a significant percentage of our voting stock and these stockholders will be able to influence us through this ownership position. These stockholders, if they were to vote their shares in the same or a similar manner as one another,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and/or Class B common stock in the public market could cause our stock price to fall.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and shares of Class A common stock that have been or will be sold under any registration statement declared effective by the SEC are, or will be, as applicable, freely transferable without restrictions or further registration under the Securities Act, except for any shares acquired by our affiliates, as defined in Rule 144 under the Securities Act. The remaining shares of our Class A common stock that are outstanding are either unrestricted or restricted as a result of 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equity securities. We currently anticipate that we will retain future earnings, if any, for the development, operation and expansion of our business and do not anticipate declaring or paying any cash dividends for the foreseeable future, if ever. Any return to stockholders will therefore be limited to any appreciation in the value of our Class A common stock, which is not certain.</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135" w:lineRule="exact"/>
        <w:rPr>
          <w:sz w:val="20"/>
          <w:szCs w:val="20"/>
          <w:color w:val="auto"/>
        </w:rPr>
      </w:pPr>
    </w:p>
    <w:p>
      <w:pPr>
        <w:ind w:left="120" w:hanging="112"/>
        <w:spacing w:after="0"/>
        <w:tabs>
          <w:tab w:leader="none" w:pos="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so that not all members of our Board are elected at one time;</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to establish the number of directors and fill vacancies on the Board;</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unilaterally amend the bylaws (as, for example, the Board did in February 2024);</w:t>
      </w:r>
    </w:p>
    <w:p>
      <w:pPr>
        <w:spacing w:after="0" w:line="198"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1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our bylaws or Delaware or other applicable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a federal district court of the United States of America is the exclusive forum for the resolution of any complaint asserting a cause or causes of action against any defendant arising under the Securities Act. Such provision is intended to benefit and may be enforced by us, our officers, directors, employees and agents, including the underwriters and any other professional or entity who has prepared or certified any part of this filing or our other SEC filings. Nothing in our amended and restated certificate of incorporation or amended and restated bylaws preclude stockholders that assert claims under the Exchange Act from bringing such claims in state or federal court, subject to applicable law.</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agents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use of artificial intelligence, or those of any of our CROs, manufacturers, other contractors, consultants, collaborators or potential future collaborators, may fail or suffer security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information technology systems and those of our current and any future CROs, CMOs and other contractors, consultants, collaborators, agents and third-party service providers, are vulnerable to attack, interruption and damage from computer viruses (e.g. ransomware), cybersecurity threats, malicious code, unauthorized access, natural disasters, terrorism, war and telecommunication and electrical failure,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We have also outsourced elements of our information technology infrastructure, and as a result a number of third-party vendors may or could have access to our confidential information.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If we or our third-party vendors were to experience a significant 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or result in the unauthorized acquisition of or access to our trade secrets, health-related or other personal information or other proprietary or sensitive information, it could result in a material disruption of our drug discovery and development programs and our business operations, whether due to a loss of our trade secrets or other similar disruptions, and it may be necessary to notify individuals, governmental authorities, supervisory bodies, the media and other parties pursuant to data privacy and security laws. Notifications and follow-up actions related to a security breach could impact our reputation and cause us to incur significant costs, including legal expenses and remediation costs.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the loss of clinical trial data from past, present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potential commercialization of our product candidates could be delayed or halted, and we could be subject to significant fines or penalties for any noncompliance with certain state, federal, local and/or international privacy and security laws.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(and likely many of our third-party vendors, agents and other collaborators) are adopting and exploring the use of Artificial Intelligence ("AI") in our business. As an emerging and rapidly evolving technology, our (and, to the extent applicable, our third-party vendors', agents' and other collaborators') use of AI presents risks that could adversely affect our operations, information security and reputation. For example, AI systems may produce inaccurate or flawed outputs due to improper algorithms, or insufficient and/or erroneous training data. Reliance on flawed outputs could result in lower quality decision-making or prevent us from effectively utilizing AI in our business. We may also become vulnerable to operational disruptions if any AI technologies that we use experience downtimes or are compromised by cyberattacks. Moreover, if any of our confidential or proprietary information is integrated into public AI systems, whether purposefully or accidentally, it could result in the loss of confidentiality (including with respect to intellectual property) or other premature disclosure issues that negatively impact our business operations. If we (or our third-party agents and other collaborators) do not effectively implement guardrails and train staff on the safe and proper use of AI, or if staff fail to effectively adhere to established guardrails and training on the use of AI, we may experience adverse effects on our business, including without limitation data breaches, the loss of confidential information (including our intellectual property), unintentional disclosure of personal data, reputational harm, or other misuse of our proprietary information.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or ultimate disposition, could be costly and divert management attention.</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there can be no assurance that our cybersecurity risk management program and processes, including our policies, controls or procedures, will be fully implemented, complied with or effective in protecting our systems and information. See Part I. Item 1C. "Cybersecurity" contained in this Annual Report on Form 10-K for additional information.</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fire, severe weather conditions, power loss, telecommunications failure, terrorist activity, military conflict, future pandemics and other events beyond our control, which could harm our business.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geopolitical conflicts, military conflict, future pandemics, public health crises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35" w:lineRule="exact"/>
        <w:rPr>
          <w:sz w:val="20"/>
          <w:szCs w:val="20"/>
          <w:color w:val="auto"/>
        </w:rPr>
      </w:pPr>
    </w:p>
    <w:p>
      <w:pPr>
        <w:jc w:val="both"/>
        <w:ind w:left="140" w:hanging="132"/>
        <w:spacing w:after="0" w:line="266" w:lineRule="auto"/>
        <w:tabs>
          <w:tab w:leader="none" w:pos="12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financial statements, with correspondingly reduced “Management’s Discussion and Analysis of Financial Condition and Results of Operations” disclosure in this and other periodic reports;</w:t>
      </w:r>
    </w:p>
    <w:p>
      <w:pPr>
        <w:spacing w:after="0" w:line="13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(the "Sarbanes-Oxley Act");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hanging="132"/>
        <w:spacing w:after="0" w:line="282" w:lineRule="auto"/>
        <w:tabs>
          <w:tab w:leader="none" w:pos="1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84"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result in more litigation and divert management’s attention.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"Dodd-Frank Act"), the listing requirements of Nasdaq and other applicable securities laws, rules and regulations. Complying with these laws,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will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changing laws, rules, regulations and standards relating to corporate governance and public disclosure are creating uncertainty for public companies, increasing legal and financial compliance costs and making some activities more time consuming. These laws, rules,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rules, regulations and standards, and this investment may result in increased general and administrative expenses and a diversion of management’s time and attention from revenue-generating activities to compliance activities. If our efforts to comply with new laws, rules, regulations and standards differ from the activities intended by regulatory or governing bodies due to ambiguities related to their application and practice, regulatory or other governmental authorities may initiate legal proceedings against us and our business may be adversely affected.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disclosing information in this filing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or a non-accelerated filer (as defined under applicable SEC rules),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has been and may in the future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 may impact our results of operations and financial condition.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government has enacted, and may in the future enact further,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For example, the recently enacted Inflation Reduction Act, among other changes, introduced a 15% corporate minimum tax on certain United States corporations and a 1% excise tax on certain stock redemptions by United States corporations. Additionally, in July 2025, the Act to Provide for Reconciliation Pursuant to Title II of H. Con. Res. 14 was enacted, which for example (and among other things) extends certain tax cuts while eliminating certain others. The likelihood and / or potential impact of these or other further changes being enacted or implemented is unclear. We are currently unable to predict whether such changes will occur, and if they do occur, what their scope will be. If such changes were to be enacted or implemented, we are currently unable to predict the ultimate impact on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Risk Management and Strategy</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 There can be no assurance that our cybersecurity risk management program and processes, including our policies, controls or procedures, will be fully implemented, complied with or effective in protecting our systems and information.</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design and assess our cybersecurity risk management program based in part on the National Institute of Standards and Technology Cybersecurity Framework ("NIST CSF"). This does not, nor is it in any way intended to, imply that we currently or may in the future meet any particular technical standards, specifications, or requirements, only that we use the NIST CSF as a guide to help us identify, assess, and manage cybersecurity risks relevant to our business.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and/or financial risk areas.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85" w:lineRule="exact"/>
        <w:rPr>
          <w:sz w:val="20"/>
          <w:szCs w:val="20"/>
          <w:color w:val="auto"/>
        </w:rPr>
      </w:pPr>
    </w:p>
    <w:p>
      <w:pPr>
        <w:ind w:left="140" w:hanging="132"/>
        <w:spacing w:after="0" w:line="282" w:lineRule="auto"/>
        <w:tabs>
          <w:tab w:leader="none" w:pos="1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potential products, services, and our broader enterprise IT environment;</w:t>
      </w:r>
    </w:p>
    <w:p>
      <w:pPr>
        <w:spacing w:after="0" w:line="121" w:lineRule="exact"/>
        <w:rPr>
          <w:rFonts w:ascii="Times New Roman" w:cs="Times New Roman" w:eastAsia="Times New Roman" w:hAnsi="Times New Roman"/>
          <w:sz w:val="18"/>
          <w:szCs w:val="18"/>
          <w:color w:val="auto"/>
        </w:rPr>
      </w:pPr>
    </w:p>
    <w:p>
      <w:pPr>
        <w:ind w:left="140" w:hanging="132"/>
        <w:spacing w:after="0" w:line="282" w:lineRule="auto"/>
        <w:tabs>
          <w:tab w:leader="none" w:pos="1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security team principally responsible for managing (1) our cybersecurity risk assessment processes, (2) our security controls, and (3) our response to cybersecurity incidents;</w:t>
      </w:r>
    </w:p>
    <w:p>
      <w:pPr>
        <w:spacing w:after="0" w:line="13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as we believe appropriate, to assess, test or otherwise assist with aspects of our security controls;</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processes with respect to third party service providers, suppliers, and vendors.</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Governance</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receives periodic reports from management on our cybersecurity risks. In addition, management is tasked with updating the Audit Committee, if and as necessary, regarding any material cybersecurity incidents, as well as other incidents with lesser impact potential.</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Audit Committee periodically reports to the full Board of Directors regarding its activities, which may include those related to cybersecurity. The full Board of Directors may also from time to time receive briefings from management related to our cyber risk management program. Directors may receive presentations on cybersecurity topics from our management, internal cyber security / information technology staff, or external experts as part of continuing education on topics that impact public companies.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team, including our Executive Director of IT with supervision by our Chief Legal Officer, is responsible for assessing and managing our material risks from cybersecurity threats. The management team has primary responsibility for our overall cybersecurity risk management program and supervises both our internal cybersecurity personnel and external cybersecurity consultants. Our Executive Director of IT has previous experience managing information technology infrastructure and cybersecurity, as well as responding to cybersecurity incidents, at other biopharmaceutical companies.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office is located at 245 Main Street, Second Floor, Cambridge, Massachusetts 02142, where we lease approximately 100 square feet of office space under a service agreement that we last renewed to have a lease term commencing on December 1, 2025 and ending on November 30, 2026.</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lease a property in San Diego, California, with approximately 38,613 square feet of office and laboratory space under a lease that terminates on April 30, 2032.</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lease approximately 150 square feet of office space in New York, New York under a service agreement that currently runs through September 30, 2026.</w:t>
      </w:r>
    </w:p>
    <w:p>
      <w:pPr>
        <w:spacing w:after="0" w:line="135" w:lineRule="exact"/>
        <w:rPr>
          <w:sz w:val="20"/>
          <w:szCs w:val="20"/>
          <w:color w:val="auto"/>
        </w:rPr>
      </w:pPr>
    </w:p>
    <w:p>
      <w:pPr>
        <w:ind w:right="1100"/>
        <w:spacing w:after="0" w:line="453" w:lineRule="auto"/>
        <w:rPr>
          <w:sz w:val="20"/>
          <w:szCs w:val="20"/>
          <w:color w:val="auto"/>
        </w:rPr>
      </w:pPr>
      <w:r>
        <w:rPr>
          <w:rFonts w:ascii="Times New Roman" w:cs="Times New Roman" w:eastAsia="Times New Roman" w:hAnsi="Times New Roman"/>
          <w:sz w:val="18"/>
          <w:szCs w:val="18"/>
          <w:color w:val="auto"/>
        </w:rPr>
        <w:t xml:space="preserve">We believe that our facilities are sufficient to meet our current needs and that suitable additional space will be available as and when needed. </w:t>
      </w:r>
      <w:r>
        <w:rPr>
          <w:rFonts w:ascii="Times New Roman" w:cs="Times New Roman" w:eastAsia="Times New Roman" w:hAnsi="Times New Roman"/>
          <w:sz w:val="18"/>
          <w:szCs w:val="18"/>
          <w:b w:val="1"/>
          <w:bCs w:val="1"/>
          <w:color w:val="auto"/>
        </w:rPr>
        <w:t>Item 3. Legal Proceedings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1580"/>
        <w:spacing w:after="0" w:line="45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 Market Information for Common Stock</w:t>
      </w:r>
    </w:p>
    <w:p>
      <w:pPr>
        <w:spacing w:after="0"/>
        <w:rPr>
          <w:sz w:val="20"/>
          <w:szCs w:val="20"/>
          <w:color w:val="auto"/>
        </w:rPr>
      </w:pPr>
      <w:r>
        <w:rPr>
          <w:rFonts w:ascii="Times New Roman" w:cs="Times New Roman" w:eastAsia="Times New Roman" w:hAnsi="Times New Roman"/>
          <w:sz w:val="18"/>
          <w:szCs w:val="18"/>
          <w:color w:val="auto"/>
        </w:rPr>
        <w:t>Our common stock trades under the symbol “IMRX” on the Nasdaq Global Market.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1, 2026, there were approximately 60 registered holders of record of our common stock. The actual number of holders of our common stock is greater than this number of record holders and includes stockholders who are beneficial owners, but whose shares are held in “street name” by brokers or held by other “nominees”. The number of holders of record also does not include stockholders whose shares may be held in trust by other entities.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if ever.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12, Part III of this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sales previously reported in the Company’s Current Reports on Form 8-K filed with the SEC, the Company did not sell any unregistered securities during the period covered by this Annual Report on Form 10-K.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purchase any of our registered equity securities during the quarterly period ended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in Part II, Item 8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Part I, Item IA. ‘‘Risk Factors’’ of this Annual Report on Form 10-K, our actual results could differ materially from the results described in, or implied by, the forward-looking statements contained in the following discussion and analysis.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A0A0A"/>
        </w:rPr>
        <w:t>We are a late-stage clinical oncology company focused on keeping cancer patients alive and helping them thrive. We are developing and seeking to commercialize an entirely new category of anti-cancer medicines, Deep Cyclic Inhibitors, which we believe have the potential to be more effective and better tolerated targeted therapies.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A0A0A"/>
        </w:rPr>
        <w:t xml:space="preserve">Deep Cyclic Inhibition® ("DCI") is a novel mechanism that aims to deprive tumor cells of the sustained proliferative signaling required for rapid growth, while sparing healthy cells through a cadenced, normalized level of signaling. Our Deep Cyclic Inhibitors inhibit clinically-validated core signaling pathways, such as the MAPK pathway. Our novel approach is designed to improve durability and tolerability, and differentiates us from chronically targeted precision therapies, which are </w:t>
      </w:r>
      <w:r>
        <w:rPr>
          <w:rFonts w:ascii="Times New Roman" w:cs="Times New Roman" w:eastAsia="Times New Roman" w:hAnsi="Times New Roman"/>
          <w:sz w:val="18"/>
          <w:szCs w:val="18"/>
          <w:color w:val="000000"/>
        </w:rPr>
        <w:t>generally limited by toxicity, resistance and/or application to specific mutations only</w:t>
      </w:r>
      <w:r>
        <w:rPr>
          <w:rFonts w:ascii="Times New Roman" w:cs="Times New Roman" w:eastAsia="Times New Roman" w:hAnsi="Times New Roman"/>
          <w:sz w:val="18"/>
          <w:szCs w:val="18"/>
          <w:color w:val="0A0A0A"/>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A0A0A"/>
        </w:rPr>
        <w:t>Our lead product candidate, atebimetinib (IMM-1-104), is an oral, once-daily Deep Cyclic Inhibitor of MEK, designed to improve durability and tolerability across many cancer indications, including MAPK pathway-driven tumors such as pancreatic cancer. We are currently in the process of initiating a Phase 3 clinical trial of atebimetinib, which we call the MAPKeeper 301 trial, to evaluate atebimetinib in combination with mGnP in first-line pancreatic cancer patients. We expect to dose the first patient in the MAPKeeper 301 trial in mid-2026.</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A0A0A"/>
        </w:rPr>
        <w:t>MAPKeeper 301 is designed as a global Phase 3 registrational trial that will evaluate atebimetinib (320 mg QD) in combination with mGnP, compared to standard of care GnP alone, in first-line metastatic PDAC. The primary endpoint of MAPKeeper 301 is overall survival, and secondary endpoints include progression-free survival, overall response rate, disease control rate, and quality of life measurements. We plan to enroll a total of approximately 510 patients in MAPKeeper 301, divided equally across the two arms.</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0A0A0A"/>
        </w:rPr>
        <w:t xml:space="preserve">In January 2026, we announced positive interim response and safety data from our </w:t>
      </w:r>
      <w:r>
        <w:rPr>
          <w:rFonts w:ascii="Times New Roman" w:cs="Times New Roman" w:eastAsia="Times New Roman" w:hAnsi="Times New Roman"/>
          <w:sz w:val="18"/>
          <w:szCs w:val="18"/>
          <w:color w:val="000000"/>
        </w:rPr>
        <w:t>ongoing Phase 2a clinical trial arm evaluating atebimetinib in</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combination with mGnP in first-line pancreatic cancer patients, which is part of our ongoing Phase 1/2a clinical trial of atebimetinib in patients with advanced solid tumors. We also announced that we expect the following near-term milestones related to atebimetinib: presenting further updated circulating tumor DNA data on acquired alterations from cancer patients treated with atebimetinib at a major scientific meeting, in the second quarter of 2026; announcing further updated survival data from over 50 first-line pancreatic cancer patients treated with atebimetinib in combination with mGnP in our ongoing Phase 1/2a clinical trial, in the first half of 2026; and dosing the first patient in a planned clinical trial of atebimetinib in combination with Libtayo® in non-small cell lung cancer patients, in the second half of 2026.</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development pipeline also includes our additional clinical-stage product candidate envometinib </w:t>
      </w:r>
      <w:r>
        <w:rPr>
          <w:rFonts w:ascii="Times New Roman" w:cs="Times New Roman" w:eastAsia="Times New Roman" w:hAnsi="Times New Roman"/>
          <w:sz w:val="18"/>
          <w:szCs w:val="18"/>
          <w:color w:val="0A0A0A"/>
        </w:rPr>
        <w:t>(IMM-6-415) and</w:t>
      </w:r>
      <w:r>
        <w:rPr>
          <w:rFonts w:ascii="Times New Roman" w:cs="Times New Roman" w:eastAsia="Times New Roman" w:hAnsi="Times New Roman"/>
          <w:sz w:val="18"/>
          <w:szCs w:val="18"/>
          <w:color w:val="auto"/>
        </w:rPr>
        <w:t xml:space="preserve"> other early-stage research programs, including research focused on validated core cancer-signaling pathways outside of the MAPK pathway.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period from inception through 2017, we devoted substantially all of our efforts to business planning, service revenue generation, developing tools to aid in drug discovery, and recruiting management and technical staff. Since 2018, we have focused significant effort on our own internal research and development programs, and since December 2022 have exclusively focused our efforts on such programs. We have financed our operations through service revenues (which have since ceased), the issuance of convertible debt and the sale of convertible preferred stock, common stock and warrants exercisable for common stock.</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22, 2021, we completed the acquisition of all outstanding shares of capital stock of BioArkive, Inc., a California corporation (“BioArkive”), for a market value of $8.75 million. BioArkive was a San Diego based contract research organization that previously provided preclinical research services and biosample storage to us and other biotechnology companies. BioArkive was fully integrated into our operations following the acquisition and now exclusively supports our internal preclinical research activities for our oncology pipeline. In connection with the acquisition, we assumed BioArkive’s lease agreement obligations.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sold 5,164,159 shares of common stock under our 2022 ATM Program (as defined below), at a weighted average price per share of $3.03, for aggregate gross proceeds of $15.6 million ($15.0 million net of offering expenses) during the year ended December 31, 2025. We did not sell any shares of common stock under our 2022 ATM Program during the three months ended December 31, 2025. We also did not sell any shares of common stock under our 2025 ATM Program (as defined below) during the three months or year ended December 31, 2025.</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21, 2025, we entered into a Securities Purchase Agreement (the "August 2025 Purchase Agreement") with the purchasers party thereto, pursuant to which we agreed to sell securities to such purchasers in a private placement (the “August 2025 Private Placement”). The August 2025 Purchase Agreement provided for the sale and issuance by us to the purchasers of: (i) an aggregate of 5,251,349 shares of our common stock at a purchase price of $3.95 per share, (ii) for certain purchasers, in lieu of common stock, an aggregate of 1,077,764 pre-funded warrants (the “Pre-Funded Warrants”) to purchase up to the same number of shares of our common stock, and (iii) an aggregate of 2,848,096 warrants (the “Purchase Warrants”) to purchase up to the same number of shares of our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following the October 2025 Cashless Exercise (as defined below), no Pre-Funded Warrants remained issued and outstanding. The Purchase Warrants were issued with an exercise price of $5.50 per share; as of December 31, 2025, no Purchase Warrants had been exercised. As of December 31, 2025, we had received aggregate net proceeds of $23.4 million from the August 2025 Private Placement, after deducting placement expenses of $1.6 million. The August 2025 Private Placement closed on August 26, 2025.</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24, 2025, we entered into a Securities Purchase Agreement (the "September 2025 Purchase Agreement") with Aventis Inc. ("Aventis"), a wholly owned subsidiary of Sanofi, a French société anonyme ("Sanofi"), pursuant to which we agreed to sell securities to Aventis in a private placement (the “September 2025 Private Placement”). The September 2025 Purchase Agreement provided for the sale and issuance by us to Aventis of an aggregate of 2,708,559 shares of our common stock at a purchase price of $9.23 per share. We received aggregate net proceeds of $23.4 million from the September 2025 Private Placement, after deducting placement agent discounts and commissions of $1.5 million and placement costs of $0.1 million. The September 2025 Private Placement closed on September 26,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2025, we completed an underwritten follow-on equity offering, pursuant to which we issued and sold 18,959,914 shares of our common stock at an offering price of $9.23 per share (the "September 2025 Offering"), with Leerink Partners LLC and Oppenheimer &amp; Co. Inc. acting as underwriters. The aggregate net proceeds received by us from the September 2025 Offering were $164.1 million, after deducting underwriting discounts and commissions, as well as offering costs of $0.4 million.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we have had significant annual operating losses. Our net loss was approximately $56.0 million and $61.0 million for the years ended December 31, 2025 and 2024, respectively. As of December 31, 2025, we had an accumulated deficit of approximately $280.3 million and approximately $217.0 million in cash, cash equivalents, and marketable securities.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had any internally developed products approved for sale. We do not expect to generate any product sales unless and until we successfully complete development of, obtain regulatory approval for, and successfully bring to market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without limitation, potential collaborations, licenses or similar arrangements.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our current business plans, we believe that our existing cash, cash equivalents, and marketable securities as of December 31, 2025 will enable us to fund our development activities and other operations into 2029. We have based this estimate on assumptions that may prove to be wrong, and we could exhaust our available capital resources sooner than we expect. To finance our operations beyond that point we will need to raise additional capital, which cannot be assured.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some or all planned activities to reduce costs.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6, 2026, the issuance date of the consolidated financial statements for the year ended December 31, 2025 in this Annual Report on Form 10-K, based on our recurring losses from operations incurred since inception, expectation of continuing operating losses for the foreseeable future and the need to raise additional capital to finance future operations, we believe that our existing cash, cash equivalents, and marketable securities will enable us to fund our development activities and other operations into 2029.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total operating expenses. Our research and development expenses consist primarily of direct and indirect costs incurred in connection with the development of our research platform, product candidates, discovery efforts and preclinical and clinical activities related to our program pipeline.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 costs include:</w:t>
      </w:r>
    </w:p>
    <w:p>
      <w:pPr>
        <w:spacing w:after="0" w:line="185" w:lineRule="exact"/>
        <w:rPr>
          <w:sz w:val="20"/>
          <w:szCs w:val="20"/>
          <w:color w:val="auto"/>
        </w:rPr>
      </w:pPr>
    </w:p>
    <w:p>
      <w:pPr>
        <w:ind w:left="1060" w:right="20" w:hanging="323"/>
        <w:spacing w:after="0" w:line="282" w:lineRule="auto"/>
        <w:tabs>
          <w:tab w:leader="none" w:pos="10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specific expenses incurred under agreements with third-party CROs and other vendors that conduct our preclinical and clinical activities on our behalf, including clinical trial sites that conduct research and development activities on our behalf;</w:t>
      </w:r>
    </w:p>
    <w:p>
      <w:pPr>
        <w:spacing w:after="0" w:line="53"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expenses related to the execution of discovery programs, preclinical studies and clinical trials; and</w:t>
      </w:r>
    </w:p>
    <w:p>
      <w:pPr>
        <w:spacing w:after="0" w:line="11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and preclinical materials, including fees paid to contract manufacturers.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indirect costs include:</w:t>
      </w:r>
    </w:p>
    <w:p>
      <w:pPr>
        <w:spacing w:after="0" w:line="185" w:lineRule="exact"/>
        <w:rPr>
          <w:sz w:val="20"/>
          <w:szCs w:val="20"/>
          <w:color w:val="auto"/>
        </w:rPr>
      </w:pPr>
    </w:p>
    <w:p>
      <w:pPr>
        <w:ind w:left="1060" w:right="20" w:hanging="323"/>
        <w:spacing w:after="0" w:line="282" w:lineRule="auto"/>
        <w:tabs>
          <w:tab w:leader="none" w:pos="10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consisting of employee salaries, bonuses, benefits and stock-based compensation expense, and recruiting costs for personnel engaged in research and development activities;</w:t>
      </w:r>
    </w:p>
    <w:p>
      <w:pPr>
        <w:spacing w:after="0" w:line="53"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and consulting fees related to the preparation and ongoing support of clinical trials; and</w:t>
      </w:r>
    </w:p>
    <w:p>
      <w:pPr>
        <w:spacing w:after="0" w:line="117"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and equipment related expenses, consisting of indirect and allocated expenses for rent, depreciation and amortization, maintenance of facilities, insurance, and other supplies.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direct research and development expenses consist of external costs and fees paid to consultants, contractors, CMOs and CROs in connection with our preclinical and clinical development and manufacturing activities. Such program costs also include the external costs of laboratory and consumable materials and costs of raw materials that are directly attributable to and incurred for any single program. We do not allocate employee costs, contractor/consultant fees, costs associated with our platform development and discovery efforts, payments made under third-party licensing agreements, costs of laboratory supplies and consumable materials that are not directly attributable to any single program, and facilities expenses, including rent, depreciation/amortization, and other indirect costs, to specific product development programs because these costs are deployed across multiple programs and our platform technology and, as such, are not separately classified.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preclinical studies and clinical trials and development of our product candidates will depend on a variety of factors, such as, without limitation:</w:t>
      </w:r>
    </w:p>
    <w:p>
      <w:pPr>
        <w:spacing w:after="0" w:line="121" w:lineRule="exact"/>
        <w:rPr>
          <w:sz w:val="20"/>
          <w:szCs w:val="20"/>
          <w:color w:val="auto"/>
        </w:rPr>
      </w:pPr>
    </w:p>
    <w:p>
      <w:pPr>
        <w:ind w:left="1060" w:hanging="323"/>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initiation of clinical trials for future product candidates;</w:t>
      </w:r>
    </w:p>
    <w:p>
      <w:pPr>
        <w:spacing w:after="0" w:line="19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for our current product candidates;</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programs that support an acceptable risk-benefit profile of our product candidates in the intended patient populations;</w:t>
      </w:r>
    </w:p>
    <w:p>
      <w:pPr>
        <w:spacing w:after="0" w:line="184"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or other applicable regulatory agencies of IND applications and amendments, clinical trial applications and/or other regulatory filings for our product candidates;</w:t>
      </w:r>
    </w:p>
    <w:p>
      <w:pPr>
        <w:spacing w:after="0" w:line="13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maintenance of a workforce of experienced scientists and others to continue to develop our product candidates;</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intellectual property protection and regulatory exclusivity for our product candidates;</w:t>
      </w:r>
    </w:p>
    <w:p>
      <w:pPr>
        <w:spacing w:after="0" w:line="19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of arrangements with contract manufacturing organizations for, or establishment of, commercial manufacturing capabilities;</w:t>
      </w:r>
    </w:p>
    <w:p>
      <w:pPr>
        <w:spacing w:after="0" w:line="184"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 candidates, if and when approved, whether alone or in collaboration with others;</w:t>
      </w:r>
    </w:p>
    <w:p>
      <w:pPr>
        <w:spacing w:after="0" w:line="12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9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184"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spacing w:after="0" w:line="12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enforcement, defense and protection of our rights in our intellectual property portfolio;</w:t>
      </w:r>
    </w:p>
    <w:p>
      <w:pPr>
        <w:spacing w:after="0" w:line="19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 intellectual property or proprietary rights; and</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 candidates following receipt of marketing approvals, if any.</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process of conducting the necessary preclinical and clinical research to obtain regulatory approval is costly and time-consuming. The actual probability of success for our product candidates may be affected by a variety of factors.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EMA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advancement of preclinical and clinical development.</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that our research and development expenses will substantially increase for the foreseeable future as we continue to implement our business strategy, which includes: advancing our product candidates through clinical development (including atebimetinib in our MAPKeeper 301 Phase 3 clinical trial),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Annual Report on Form 10-K, we cannot reasonably determine or accurately project total program-specific expenses through commercialization, if such was to occur.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general and administrative expenses will increase for the foreseeable future if and as we continue to increase our general and administrative headcount to support our continued research and development activities and, if any product candidates receive marketing approval, commercialization activities, as well as to support our operations generally. We also expect to continue to incur increased expenses associated with operating as a public company, including costs related to accounting, audit, legal, regulatory, and tax-related services associated with maintaining compliance with exchange listing and rules and regulations of the Securities and Exchange Commission (“SEC”), Sarbanes-Oxley Act, director and officer insurance costs, and investor and public relations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 relates to the technology acquired in the BioArkive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marketable securities balances. The primary objective of our investment policy is capital preservation.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consists of the accretion of discounts related to our marketable securities.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66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6"/>
                <w:szCs w:val="16"/>
                <w:color w:val="auto"/>
              </w:rPr>
            </w:pPr>
          </w:p>
        </w:tc>
      </w:tr>
      <w:tr>
        <w:trPr>
          <w:trHeight w:val="282"/>
        </w:trPr>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9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6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0"/>
        </w:trPr>
        <w:tc>
          <w:tcPr>
            <w:tcW w:w="4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29"/>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(56,024)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5,013</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08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64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8"/>
        </w:trPr>
        <w:tc>
          <w:tcPr>
            <w:tcW w:w="5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2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Pr>
          <w:p>
            <w:pPr>
              <w:spacing w:after="0"/>
              <w:rPr>
                <w:sz w:val="16"/>
                <w:szCs w:val="16"/>
                <w:color w:val="auto"/>
              </w:rPr>
            </w:pPr>
          </w:p>
        </w:tc>
      </w:tr>
      <w:tr>
        <w:trPr>
          <w:trHeight w:val="284"/>
        </w:trPr>
        <w:tc>
          <w:tcPr>
            <w:tcW w:w="5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Atebimetinib (IMM-1-104)</w:t>
            </w:r>
          </w:p>
        </w:tc>
        <w:tc>
          <w:tcPr>
            <w:tcW w:w="88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17,639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Envometinib (IMM-6-415)</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programs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Employee-related costs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11,988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Facilities and other expenses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Depreciation/amortization</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0"/>
        </w:trPr>
        <w:tc>
          <w:tcPr>
            <w:tcW w:w="502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8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42,048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878"/>
        </w:trPr>
        <w:tc>
          <w:tcPr>
            <w:tcW w:w="502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113</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decreased by approximately $5.9 million, or 12.3%, to approximately $42.0 million for the year ended December 31, 2025 as compared to approximately $48.0 million for the year ended December 31, 2024. The decrease of approximately $5.9 million was primarily due to a decrease of approximately $5.0 million related to direct research and development expenses, consisting of: an approximately $0.5 million decrease in expenses related to the atebimetinib program, primarily driven by a decrease in certain chemistry, tablet and safety study costs, offset by increased costs related to Phase 3 clinical trial initiation; an approximately $4.3 million decrease in expenses related to the paused envometinib program; and an approximately $0.2 million decrease in expenses for earlier stage programs, as compared to the same prior year period. The overall decrease in research and development expenses was additionally driven by a decrease in indirect research and development costs of approximately $1.0 million, primarily driven by decreased employee-related costs of approximately $0.9 million, and decreased facilities and other allocated expenses of approximately $0.1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general and administrative expenses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44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8"/>
        </w:trPr>
        <w:tc>
          <w:tcPr>
            <w:tcW w:w="4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20" w:type="dxa"/>
            <w:vAlign w:val="bottom"/>
            <w:gridSpan w:val="7"/>
          </w:tcPr>
          <w:p>
            <w:pPr>
              <w:ind w:left="60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Pr>
          <w:p>
            <w:pPr>
              <w:spacing w:after="0"/>
              <w:rPr>
                <w:sz w:val="16"/>
                <w:szCs w:val="16"/>
                <w:color w:val="auto"/>
              </w:rPr>
            </w:pPr>
          </w:p>
        </w:tc>
      </w:tr>
      <w:tr>
        <w:trPr>
          <w:trHeight w:val="284"/>
        </w:trPr>
        <w:tc>
          <w:tcPr>
            <w:tcW w:w="4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70"/>
        </w:trPr>
        <w:tc>
          <w:tcPr>
            <w:tcW w:w="498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17,298</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16,078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$1.2 million, or 7.6%, to approximately $17.3 million for the year ended December 31, 2025 compared to approximately $16.1 million for the year ended December 31, 2024. The increase of approximately $1.2 million was primarily due to: increased employee-related costs of approximately $0.7 million; increased professional fees incurred for accounting, auditing, legal, public relations and tax services of approximately $0.5 million; and increased other expenses (primarily consisting of offering costs associated with various financing efforts) of approximately $0.3 million, offset by a decrease in stock-based compensation of approximately $0.2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 was $29 thousand for the years ended December 31, 2025 and 2024. This amortization is related to the technology acquired from the BioArkive acquisition completed in December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from the interest earned on our cash, cash equivalents and marketable securities balances increased by approximately $0.4 million, driven by a higher total cash balance resulting from various financing events, in the year ended December 31, 2025 as compared to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was approximately $0.3 million in the year ended December 31, 2025, compared to $0.4 million in the year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were primarily a result of the accretion of premiums related to our marketable securities.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finance our operations through the issuance of convertible notes payable, convertible preferred stock, common stock, warrants exercisable for common stock and the exercise of stock options. As of December 31, 2025, we had an accumulated deficit of $280.3 million and $217.0 million in cash, cash equivalents and marketable securities. Cash, cash equivalents and marketable securities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approximately $56.0 million and $61.0 million for the years ended December 31, 2025 and 2024, respectively. We have not yet commercialized any of our product candidates, and we do not expect to generate revenue from sales of any product candidates for the next several years, if at all. To date, our operations have been financed primarily by service revenues (which have since ceased) and proceeds from sales of our debt and equity securities.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10, 2022, we filed a Registration Statement on Form S-3 (File No. 333-266738) (the “2022 Shelf Registration Statement”) with the SEC in relation to the registration of our common stock, preferred stock, debt securities, warrants and/or units or any combination thereof in the aggregate amount of up to $200 million for a period of up to three years from the date of its effectiveness on August 19, 2022.</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Also on August 10, 2022, we entered into an Equity Distribution Agreement (the "2022 Sales Agreement") with Piper Sandler &amp; Co (the "Sales Agent"), to sell shares of our common stock with aggregate gross proceeds of up to $50 million, from time to time, through an "at the market" equity offering program (the "2022 ATM Program") under the 2022 Shelf Registration Statement. We sold 5,164,159 shares of common stock under the 2022 ATM Program, at an weighted average price per share of $3.03, for aggregate gross proceeds of $15.6 million ($15.0 million net of offering expenses) during the year ended December 31, 2025. We sold 1,318,752 shares of common stock under the 2022 ATM program, at a weighted average price per share of $3.38, for aggregate gross proceeds of $4.5 million ($4.2 million net of offering expenses) during the year ended December 31, 2024. We did not sell any shares of common stock under the 2022 ATM Program during the three months ended December 31, 2025 or December 31, 2024, respectively. In August 2025, the 2022 Shelf Registration Statement and the 2022 ATM Program expired, and the 2022 Sales Agreement was terminated.</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13, 2025, we filed a Registration Statement on Form S-3 (File No. 333-289589) (the “2025 Shelf Registration Statement”) with the SEC in relation to the registration of our common stock, preferred stock, debt securities, warrants and/or units or any combination thereof in the aggregate amount of up to $300 million for a period of up to three years from the date of its effectiveness on August 20, 2025.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Also on August 13, 2025, we entered into an Equity Distribution Agreement (the "2025 Sales Agreement") with the Sales Agent, to sell shares of our common stock with aggregate gross proceeds of up to $100 million, from time to time, through an "at the market" equity offering program (the "2025 ATM Program") under the 2025 Shelf Registration Statement. In connection with the September 2025 Offering, we: (i) reduced the maximum aggregate offering price for sales of shares of common stock pursuant to at-the-market transactions under the 2025 ATM Program by $1,250,007 (the "Reduced Amount"), resulting in a new maximum aggregate offering price of up to $98,749,993 under the 2025 ATM Program, and (ii) suspended the 2025 ATM Program and terminated the continuous offering under the 2025 ATM Program, in each case, as to the Reduced Amount. We did not sell any shares of common stock under the 2025 ATM Program during the three and twelve months ended December 31, 2025 or December 31, 2024,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21, 2025, we entered into the August 2025 Purchase Agreement with the purchasers party thereto, pursuant to which we agreed to sell securities to such purchasers in the August 2025 Private Placement. The August 2025 Purchase Agreement provided for the sale and issuance by us to the purchasers of: (i) an aggregate of 5,251,349 shares of our common stock at a purchase price of $3.95 per share, (ii) for certain purchasers, in lieu of common stock, an aggregate of 1,077,764 Pre-Funded Warrants to purchase up to the same number of shares of our common stock, and (iii) an aggregate of 2,848,096 Purchase Warrants to purchase up to the same number of shares of our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On October 6, 2025, certain purchasers from the August 2025 Private Placement exercised an aggregate of 1,077,764 Pre-Funded Warrants previously issued to them pursuant to the August 2025 Purchase Agreement. Each such exercise was made pursuant to the cashless exercise provision of the applicable Pre-Funded Warrant, such that an aggregate of 166 shares of common stock were withheld in lieu of cash payment of the $0.001 exercise price for each Pre-Funded Warrant share, and the exercising purchasers were issued an aggregate of 1,077,598 shares of common stock (the "October 2025 Cashless Exercise"). Following the October 2025 Cashless Exercise, no Pre-Funded Warrants remained issued and outstanding. The Purchase Warrants were issued with an exercise price of $5.50 per share; as of December 31, 2025, no Purchase Warrants had been exercised. As of December 31, 2025, we had received aggregate net proceeds of $23.4 million from the August 2025 Private Placement, after deducting placement expenses of $1.6 million. The August 2025 Private Placement closed on August 26, 2025.</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Also on August 21, 2025, in connection with the August 2025 Purchase Agreement, we entered into a Registration Rights Agreement (the “Registration Rights Agreement”) with the purchasers in the August 2025 Private Placement. Pursuant to the Registration Rights Agreement, we agreed to prepare and file a registration statement with the SEC for purposes of registering the resale of the common stock and the shares of common stock issuable upon exercise of the Pre-Funded Warrants and Purchase Warrants (collectively, the “Warrant Shares”) purchased by the purchasers in the August 2025 Private Placement, and any shares of common stock issued as a dividend or other distribution with respect to, in exchange for or in replacement of such common stock or Warrant Shares. On September 3, 2025, we filed a Registration Statement on Form S-3 (File No. 333-289997) (the “2025 Resale Registration Statement”) with the SEC in relation to the registration for re-sale of the common stock and Warrant Shares from the August 2025 Private Placement. The SEC declared the 2025 Resale Registration Statement effective on September 8, 2025.</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and other related summaries contained herein do not purport to be complete and are qualified in their entirety by reference to the August 2025 Purchase Agreement, the Registration Rights Agreement, the Pre-Funded Warrants and the Purchase Warrants, which are filed as Exhibits 10.18, 10.19, 4.4 and 4.5, respectively, to this Annual Report on Form 10-K.</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24, 2025, we entered into the September 2025 Purchase Agreement with Aventis, a wholly owned subsidiary of Sanofi, pursuant to which we agreed to sell securities to Aventis in the September 2025 Private Placement. The September 2025 Purchase Agreement provided for the sale and issuance by us to Aventis of an aggregate of 2,708,559 shares of our common stock at a purchase price of $9.23 per share. We received aggregate net proceeds $23.4 million from the September 2025 Private Placement, after deducting placement agent discounts and commissions of $1.5 million and placement costs of $0.1 million. The September 2025 Private Placement closed on September 26, 2025.</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September 2025 Purchase Agreement, we also agreed to (i) notify Aventis within three business days of us engaging in discussions with any third party regarding, or the board of directors authorizing us to pursue or initiate a process to pursue, any transaction that would be reasonably expected to result in a change of control of the Company or an affiliate of the Company (a “Change of Control”) or any other license, sale, assignment, transfer, grant or other disposition of the Company’s or an affiliate of the Company’s rights to research, develop, manufacture, commercialize, or otherwise exploit atebimetinib (a “Covered Transaction” and, collectively, a “Strategic Transaction Process”), (ii) provide Aventis the opportunity to participate in such Strategic Transaction Process subject to customary confidentiality and other undertakings on substantially the same procedural terms and timeframe as other participants, and (iii) for a period of 120 days following the date of the September 2025 Purchase Agreement, not enter into any Covered Transaction or commence, continue, or otherwise engage in any discussions, or negotiate with any third party, to enter into any Covered Transaction (provided that this provision shall not limit the entry by us into, or any engagement in discussion or negotiations with any third party regarding, a Change of Control transaction). These provisions contain customary confidentiality restrictions and limitations on disclosure obligations, and will terminate upon the earlier of: (a) such time as Aventis and its affiliates no longer hold at least 50% of the securities purchased from the Company pursuant to the September 2025 Purchase Agreement, (b) 90 days after the public release of the topline results of the overall survival of the Phase 3 clinical trial of atebimetinib in pancreatic cancer, (c) the liquidation, dissolution or winding-up of the affairs of the Company, or the consummation of any Change of Control or any other deemed liquidation event of the Company and (d) such time as all development activities with respect to atebimetinib have been terminated.</w:t>
      </w:r>
    </w:p>
    <w:p>
      <w:pPr>
        <w:spacing w:after="0" w:line="2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pursuant to the September 2025 Purchase Agreement, Aventis agreed (i) until the date that is six months after the closing date of the September 2025 Private Placement, to be subject to customary lock-up restrictions with respect to sales of shares of our common stock (or similar transactions with the same economic effect), subject to certain customary exceptions, (ii) until the first anniversary of the closing date of the September 2025 Private Placement, to be subject to stand-still restrictions with respect to acquisitions of shares of the our common stock and similar activities, subject to certain customary exceptions and fall-away provisions, and (iii) until the first anniversary of the closing date of the September 2025 Private Placement or such earlier time as the stand-still restrictions shall have fallen away, vote with respect to all voting securities of the Company as to which it is entitled to vote in accordance with the recommendation of a majority of our board of directors.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and other related summaries contained herein do not purport to be complete and are qualified in their entirety by reference to the September 2025 Purchase Agreement, which is filed as Exhibit 10.20 to this Annual Report on Form 10-K.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2025, we completed the September 2025 Offering, pursuant to which we issued and sold 18,959,914 shares of our Class A common stock at an offering price of $9.23 per share, with Leerink Partners LLC and Oppenheimer &amp; Co. Inc. acting as underwriters. The aggregate net proceeds received by us from the September 2025 Offering $164.1 million, after deducting underwriting discounts and commissions, as well as offering costs of $0.4 million.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had contractual obligations related to various leases of $0.8 million for 2026, $0.8 million for 2027, $0.8 million for 2028, $0.8 million for 2029, $0.9 million for 2030 and $1.2 million for the periods thereafter.</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candidate. Our net losses may fluctuate significantly from quarter-to-quarter and year-to-year, depending on the timing of our clinical trials and our expenditures on other research and development activities.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our current business plans, we believe that our existing cash, cash equivalents, and marketable securities as of December 31, 2025 will enable us to fund our development activities and other operations into 2029. We have based this estimate on assumptions that may prove to be wrong, and we could exhaust our available capital resources sooner than we expect. To finance our operations beyond that point we will need to raise additional capital, which cannot be assured.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some or all planned activities to reduce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Assessment</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considered whether or not there are conditions or events, in the aggregate, that raise substantial doubt about the entity’s ability to continue as a going concern, and concluded that there are none as it estimates that the entity's cash, cash equivalents and marketable securities will be sufficient to fund its operating expenses and capital expenditure requirements for at least one year from the date of issuance of the financial statements appearing within this Annual Report on Form 10-K.</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r>
      <w:tr>
        <w:trPr>
          <w:trHeight w:val="270"/>
        </w:trPr>
        <w:tc>
          <w:tcPr>
            <w:tcW w:w="81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(23,261)</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operating activities used approximately $45.3 million of cash, primarily resulting from our net loss of approximately $56.0 million and net amortization of premium (accretion of discount) on marketable securities of $0.2 million, partially offset by stock-based compensation expense of approximately $6.3 million, changes in our operating assets and liabilities of $3.8 million, and $0.7 million for the reduction in carrying amount of right-of-use assets and depreciation and amortization.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approximately $55.0 million of cash, primarily resulting from our net loss of approximately $61.0 million, changes in our operating assets and liabilities of $0.9 million, and net amortization of premium (accretion of discount) on marketable securities of $0.3 million, partially offset by stock-based compensation expense of approximately $6.5 million and $0.7 million for the reduction in carrying amount of right-of-use assets and depreciation and amortization.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cash used from investing activities was approximately $88.7 million, primarily related to purchases of marketable securities of $88.6 million and $0.1 million for purchases of property and equipment.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 December 31, 2024, cash provided from investing activities was approximately $26.4 million, primarily related to maturities of marketable securities of $31.9 million, offset by purchases of marketable securities of $5.4 million and $0.1 million for purchases of property and equipment.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financing activities was approximately $226.6 million, primarily driven by proceeds of approximately: $15.0 million from the sale of common stock under our 2022 ATM program, net of commissions; $0.4 million from the sale of common stock pursuant to our employee stock purchase plan; $0.4 million from the exercise of stock options; $25.0 million from the sale of common stock, Pre-Funded Warrants and Purchase Warrants in the August 2025 Private Placement; $25.0 million from the sale of common stock in the September 2025 Private Placement; and $164.5 million from the sale of common stock in the September 2025 Offering, net of underwriting commissions. The above were partially offset by aggregate payments of offering and placement expenses, as applicable, of $3.7 million.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was approximately $5.3 million, primarily driven by proceeds of approximately $4.2 million from the sale of common stock under our 2022 ATM program, net of offering expenses, in addition to $0.7 million from the exercise of stock options and approximately $0.4 million from our employee stock purchase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spacing w:after="0" w:line="121" w:lineRule="exact"/>
        <w:rPr>
          <w:sz w:val="20"/>
          <w:szCs w:val="20"/>
          <w:color w:val="auto"/>
        </w:rPr>
      </w:pPr>
    </w:p>
    <w:p>
      <w:pPr>
        <w:ind w:left="1060" w:right="20" w:hanging="323"/>
        <w:spacing w:after="0" w:line="282" w:lineRule="auto"/>
        <w:tabs>
          <w:tab w:leader="none" w:pos="10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results of our ongoing clinical trial for atebimetinib, our planned registrational trial of atebimetinib in combination with mGnP in first-line pancreatic cancer, and potential future clinical trials for atebimetinib and our other product candidates;</w:t>
      </w:r>
    </w:p>
    <w:p>
      <w:pPr>
        <w:spacing w:after="0" w:line="121"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research, preclinical development, laboratory testing and clinical trials for our other product candidates;</w:t>
      </w:r>
    </w:p>
    <w:p>
      <w:pPr>
        <w:spacing w:after="0" w:line="13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active pharmaceutical ingredient ("API"), and manufacture of our product candidates and the terms of such arrangements;</w:t>
      </w:r>
    </w:p>
    <w:p>
      <w:pPr>
        <w:spacing w:after="0" w:line="12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and receipt of other collaboration-based revenues, if any;</w:t>
      </w:r>
    </w:p>
    <w:p>
      <w:pPr>
        <w:spacing w:after="0" w:line="198"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if any, including product manufacturing, sales, marketing and distribution, for any of our product candidates for which we may receive marketing approval;</w:t>
      </w:r>
    </w:p>
    <w:p>
      <w:pPr>
        <w:spacing w:after="0" w:line="121"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21" w:lineRule="exact"/>
        <w:rPr>
          <w:rFonts w:ascii="Times New Roman" w:cs="Times New Roman" w:eastAsia="Times New Roman" w:hAnsi="Times New Roman"/>
          <w:sz w:val="18"/>
          <w:szCs w:val="18"/>
          <w:color w:val="auto"/>
        </w:rPr>
      </w:pPr>
    </w:p>
    <w:p>
      <w:pPr>
        <w:ind w:left="1060" w:hanging="323"/>
        <w:spacing w:after="0" w:line="282" w:lineRule="auto"/>
        <w:tabs>
          <w:tab w:leader="none" w:pos="10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 related claims;</w:t>
      </w:r>
    </w:p>
    <w:p>
      <w:pPr>
        <w:spacing w:after="0" w:line="13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private and public capital markets or to obtain financing at commercially reasonable rate;</w:t>
      </w:r>
    </w:p>
    <w:p>
      <w:pPr>
        <w:spacing w:after="0" w:line="19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84"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ongoing or future pandemics, or other widespread adverse health events.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our currently forecasted operating plan, we believe that our existing cash, cash equivalents, and marketable securities as of December 31, 2025 will enable us to fund our operating expenses and capital expenditure requirements into 2029. Therefore, based on our recurring losses from operations incurred since inception, expectation of continuing operating losses for the foreseeable future and the need to raise additional capital to finance future operations, as of March 6, 2026, the issuance date of the consolidated financial statements for the year ended December 31, 2025 included elsewhere in this Annual Report on Form 10-K, management considered whether or not there are conditions or events, in the aggregate, that raise substantial doubt about the entity’s ability to continue as a going concern, and concluded that there are none as it estimates that its cash, cash equivalents and marketable securities will be sufficient to fund its operating expenses and capital expenditure requirements for at least 12 months from the issuance date of these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("GAAP"). The preparation of our consolidated financial statements and related disclosures requires us to make estimates, assumptions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in this Annual Report on Form 10-K, we believe that the following accounting policies are those most critical to the judgments and estimates used in the preparation of our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incur substantial expenses associated with manufacturing and clinical trials. Accounting for clinical trials relating to activities performed by CROs and other external vendors requires management to exercise significant estimates in regard to the timing and accounting for these expenses. We estimate costs of research and development activities conducted by service providers, which include the conduct of sponsored research, preclinical studies and contract manufacturing activities. The diverse nature of services being provided under CRO and other arrangements, the different compensation arrangements that exist for each type of service and the lack of timely information related to certain clinical activities complicates the estimation of accruals for services rendered by CROs and other vendors in connection with clinical trials. Because payments of research and development activities do not always line up with the provision of such services, the balance sheet may reflect either an accrued or prepaid position. In estimating the duration of a clinical trial, we evaluate the start-up, treatment and wrap up periods, compensation arrangements and services rendered attributable to each clinical trial and fluctuations are regularly tested against payment plans and trial completion assumptions.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these costs based on factors such as estimates of the work completed and budget provided and in accordance with agreements established with our collaboration partners and third-party service providers. We make significant judgments and estimates in determining the accrued liabilities and prepaid expense balances in each reporting period. As actual costs become known, we adjust our accrued liabilities or prepaid expenses. We have not experienced any material differences between accrued costs and actual costs incurred since our inception.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received and efforts expended pursuant to contracts with multiple research institutions and CROs that are used to conduct and manage clinical trials on our behalf. We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on the date of grant for restricted stock awards. Compensation expense for those awards is recognized over the requisite service period, which is generally the vesting period of the award for employees and directors and the period during which services are performed for non-employees. We use the straight-line method to record the expense of awards with service-based vesting conditions.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Black-Scholes option-pricing model uses as inputs: the fair value of our common stock, the assumptions we make for the volatility of our common stock, the expected term of our stock options, the risk-free interest rate for a period that approximates the expected term of our stock options, and our expected dividend yield.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in the rules and regulations of the SEC.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consolidated financial statements appearing in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emerging growth company ("EGC") under the Jumpstart Our Business Startups Act of 2012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qualify as an EGC until December 31, 2026, which is the end of the fiscal year following the fifth anniversary of our IPO, although if the market value of our common stock that is held by non-affiliates exceeds $700 million as of June 30 of any year before that time, or if we have annual gross revenues of $1.235 billion or more in any fiscal year, we will cease to be an EGC as of December 31 of the applicable year. We also will cease to be an EGC if we issue more than $1.0 billion of non-convertible debt over a three-year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we are not required to provide this information.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23"/>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400" w:type="dxa"/>
            <w:vAlign w:val="bottom"/>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49)</w:t>
            </w:r>
          </w:p>
        </w:tc>
        <w:tc>
          <w:tcPr>
            <w:tcW w:w="8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123</w:t>
            </w: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6180" w:type="dxa"/>
            <w:vAlign w:val="bottom"/>
            <w:tcBorders>
              <w:top w:val="single" w:sz="8" w:color="CCEEFF"/>
            </w:tcBorders>
            <w:gridSpan w:val="2"/>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4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125</w:t>
            </w:r>
          </w:p>
        </w:tc>
      </w:tr>
      <w:tr>
        <w:trPr>
          <w:trHeight w:val="189"/>
        </w:trPr>
        <w:tc>
          <w:tcPr>
            <w:tcW w:w="20" w:type="dxa"/>
            <w:vAlign w:val="bottom"/>
            <w:tcBorders>
              <w:top w:val="single" w:sz="8" w:color="CCEEFF"/>
            </w:tcBorders>
          </w:tcPr>
          <w:p>
            <w:pPr>
              <w:spacing w:after="0"/>
              <w:rPr>
                <w:sz w:val="16"/>
                <w:szCs w:val="16"/>
                <w:color w:val="auto"/>
              </w:rPr>
            </w:pPr>
          </w:p>
        </w:tc>
        <w:tc>
          <w:tcPr>
            <w:tcW w:w="468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7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126</w:t>
            </w: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520" w:type="dxa"/>
            <w:vAlign w:val="bottom"/>
            <w:tcBorders>
              <w:bottom w:val="single" w:sz="8" w:color="CCEEFF"/>
            </w:tcBorders>
            <w:gridSpan w:val="5"/>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127</w:t>
            </w:r>
          </w:p>
        </w:tc>
      </w:tr>
      <w:tr>
        <w:trPr>
          <w:trHeight w:val="189"/>
        </w:trPr>
        <w:tc>
          <w:tcPr>
            <w:tcW w:w="20" w:type="dxa"/>
            <w:vAlign w:val="bottom"/>
          </w:tcPr>
          <w:p>
            <w:pPr>
              <w:spacing w:after="0"/>
              <w:rPr>
                <w:sz w:val="16"/>
                <w:szCs w:val="16"/>
                <w:color w:val="auto"/>
              </w:rPr>
            </w:pPr>
          </w:p>
        </w:tc>
        <w:tc>
          <w:tcPr>
            <w:tcW w:w="3160" w:type="dxa"/>
            <w:vAlign w:val="bottom"/>
            <w:tcBorders>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40" w:type="dxa"/>
            <w:vAlign w:val="bottom"/>
            <w:gridSpan w:val="4"/>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128</w:t>
            </w:r>
          </w:p>
        </w:tc>
      </w:tr>
      <w:tr>
        <w:trPr>
          <w:trHeight w:val="925"/>
        </w:trPr>
        <w:tc>
          <w:tcPr>
            <w:tcW w:w="10420" w:type="dxa"/>
            <w:vAlign w:val="bottom"/>
            <w:gridSpan w:val="8"/>
          </w:tcPr>
          <w:p>
            <w:pPr>
              <w:jc w:val="right"/>
              <w:ind w:right="4660"/>
              <w:spacing w:after="0"/>
              <w:rPr>
                <w:sz w:val="20"/>
                <w:szCs w:val="20"/>
                <w:color w:val="auto"/>
              </w:rPr>
            </w:pPr>
            <w:r>
              <w:rPr>
                <w:rFonts w:ascii="Times New Roman" w:cs="Times New Roman" w:eastAsia="Times New Roman" w:hAnsi="Times New Roman"/>
                <w:sz w:val="18"/>
                <w:szCs w:val="18"/>
                <w:color w:val="auto"/>
              </w:rPr>
              <w:t>122</w:t>
            </w:r>
          </w:p>
        </w:tc>
        <w:tc>
          <w:tcPr>
            <w:tcW w:w="8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Immuneering Corporation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Immuneering Corporation and its subsidiaries (the Company) as of December 31, 2025 and 2024, the related consolidated statements of operations and comprehensive loss,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2026</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128,645,025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36,144,720</w:t>
            </w: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 current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44,186,244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3,414,685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3,442,849</w:t>
            </w:r>
          </w:p>
        </w:tc>
        <w:tc>
          <w:tcPr>
            <w:tcW w:w="0" w:type="dxa"/>
            <w:vAlign w:val="bottom"/>
          </w:tcPr>
          <w:p>
            <w:pPr>
              <w:spacing w:after="0"/>
              <w:rPr>
                <w:sz w:val="1"/>
                <w:szCs w:val="1"/>
                <w:color w:val="auto"/>
              </w:rPr>
            </w:pPr>
          </w:p>
        </w:tc>
      </w:tr>
      <w:tr>
        <w:trPr>
          <w:trHeight w:val="189"/>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176,245,954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39,587,569</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 non-current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44,183,186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938,481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1,122,865</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6,690,431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6,690,431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350,413</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net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3,322,249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3,667,352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283,562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1,295,783</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231,985,010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52,714,413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1,542,737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1,958,536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7,842,367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4,973,129</w:t>
            </w: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233,665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397,104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338,438</w:t>
            </w:r>
          </w:p>
        </w:tc>
        <w:tc>
          <w:tcPr>
            <w:tcW w:w="0" w:type="dxa"/>
            <w:vAlign w:val="bottom"/>
          </w:tcPr>
          <w:p>
            <w:pPr>
              <w:spacing w:after="0"/>
              <w:rPr>
                <w:sz w:val="1"/>
                <w:szCs w:val="1"/>
                <w:color w:val="auto"/>
              </w:rPr>
            </w:pPr>
          </w:p>
        </w:tc>
      </w:tr>
      <w:tr>
        <w:trPr>
          <w:trHeight w:val="189"/>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10,073,721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7,503,768</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liabilities, net of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3,427,321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3,824,419</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13,501,042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11,328,187</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stock, $0.001 par value; 10,000,000 shares authorized at December 31, 2025 and December 31, 2024; 0 shares issued or</w:t>
            </w:r>
          </w:p>
        </w:tc>
        <w:tc>
          <w:tcPr>
            <w:tcW w:w="12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 and December 31, 2024</w:t>
            </w:r>
          </w:p>
        </w:tc>
        <w:tc>
          <w:tcPr>
            <w:tcW w:w="12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A common stock, $0.001 par value, 200,000,000 shares authorized at December 31, 2025 and December 31, 2024; 64,648,230 and</w:t>
            </w:r>
          </w:p>
        </w:tc>
        <w:tc>
          <w:tcPr>
            <w:tcW w:w="12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64,648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31,050</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31,050,448 shares issued and outstanding at December 31, 2025 and December 31, 2024, respectively</w:t>
            </w: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B common stock, $0.001 par value, 20,000,000 shares authorized at December 31, 2025 and December 31, 2024; 0 shares issued and</w:t>
            </w:r>
          </w:p>
        </w:tc>
        <w:tc>
          <w:tcPr>
            <w:tcW w:w="12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 and December 31, 2024</w:t>
            </w:r>
          </w:p>
        </w:tc>
        <w:tc>
          <w:tcPr>
            <w:tcW w:w="12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498,658,072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265,650,362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(280,320,084)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(224,295,186)</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218,483,968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41,386,226</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231,985,010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52,714,413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18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42,048,461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47,964,388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17,298,241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16,077,746</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29,267</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59,375,969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64,071,401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(59,375,969)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(64,071,401)</w:t>
            </w:r>
          </w:p>
        </w:tc>
      </w:tr>
      <w:tr>
        <w:trPr>
          <w:trHeight w:val="270"/>
        </w:trPr>
        <w:tc>
          <w:tcPr>
            <w:tcW w:w="8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2,593,300</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441,493</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(56,024,898)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(61,036,608)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44,011,830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29,981,565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from marketable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(55,943,566)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(61,035,830)</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 AND 2024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020" w:type="dxa"/>
            <w:vAlign w:val="bottom"/>
          </w:tcPr>
          <w:p>
            <w:pPr>
              <w:spacing w:after="0"/>
              <w:rPr>
                <w:sz w:val="12"/>
                <w:szCs w:val="12"/>
                <w:color w:val="auto"/>
              </w:rPr>
            </w:pPr>
          </w:p>
        </w:tc>
        <w:tc>
          <w:tcPr>
            <w:tcW w:w="156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154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100" w:type="dxa"/>
            <w:vAlign w:val="bottom"/>
          </w:tcPr>
          <w:p>
            <w:pPr>
              <w:spacing w:after="0"/>
              <w:rPr>
                <w:sz w:val="4"/>
                <w:szCs w:val="4"/>
                <w:color w:val="auto"/>
              </w:rPr>
            </w:pPr>
          </w:p>
        </w:tc>
        <w:tc>
          <w:tcPr>
            <w:tcW w:w="1160" w:type="dxa"/>
            <w:vAlign w:val="bottom"/>
            <w:gridSpan w:val="2"/>
            <w:vMerge w:val="restart"/>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100" w:type="dxa"/>
            <w:vAlign w:val="bottom"/>
          </w:tcPr>
          <w:p>
            <w:pPr>
              <w:spacing w:after="0"/>
              <w:rPr>
                <w:sz w:val="4"/>
                <w:szCs w:val="4"/>
                <w:color w:val="auto"/>
              </w:rPr>
            </w:pPr>
          </w:p>
        </w:tc>
        <w:tc>
          <w:tcPr>
            <w:tcW w:w="840" w:type="dxa"/>
            <w:vAlign w:val="bottom"/>
            <w:gridSpan w:val="2"/>
            <w:vMerge w:val="restart"/>
          </w:tcPr>
          <w:p>
            <w:pPr>
              <w:spacing w:after="0" w:line="95"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20" w:type="dxa"/>
            <w:vAlign w:val="bottom"/>
          </w:tcPr>
          <w:p>
            <w:pPr>
              <w:spacing w:after="0"/>
              <w:rPr>
                <w:sz w:val="4"/>
                <w:szCs w:val="4"/>
                <w:color w:val="auto"/>
              </w:rPr>
            </w:pPr>
          </w:p>
        </w:tc>
        <w:tc>
          <w:tcPr>
            <w:tcW w:w="860" w:type="dxa"/>
            <w:vAlign w:val="bottom"/>
            <w:vMerge w:val="restart"/>
          </w:tcPr>
          <w:p>
            <w:pPr>
              <w:jc w:val="center"/>
              <w:ind w:right="42"/>
              <w:spacing w:after="0" w:line="95"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line="20" w:lineRule="exact"/>
              <w:rPr>
                <w:sz w:val="1"/>
                <w:szCs w:val="1"/>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line="20" w:lineRule="exact"/>
              <w:rPr>
                <w:sz w:val="1"/>
                <w:szCs w:val="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0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Paid-In Capital</w:t>
            </w:r>
          </w:p>
        </w:tc>
        <w:tc>
          <w:tcPr>
            <w:tcW w:w="10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10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3"/>
                <w:szCs w:val="13"/>
                <w:color w:val="auto"/>
              </w:rPr>
            </w:pPr>
          </w:p>
        </w:tc>
        <w:tc>
          <w:tcPr>
            <w:tcW w:w="860" w:type="dxa"/>
            <w:vAlign w:val="bottom"/>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45"/>
        </w:trPr>
        <w:tc>
          <w:tcPr>
            <w:tcW w:w="40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29,271,629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29,272</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253,806,267</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(163,258,578)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90,576,183</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exercise of stock options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229,299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229</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732,229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732,458</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02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Issuance of common stock under at-the-market offering, net of commissions,</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1,318,752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1,319</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4,236,078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4,237,397</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underwriting discounts and $0.1 million issuance costs</w:t>
            </w: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through employee stock purchase plan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230,768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230</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374,422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374,652</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6,501,366</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6,501,366</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(61,036,608)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(61,036,608)</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778</w:t>
            </w:r>
          </w:p>
        </w:tc>
        <w:tc>
          <w:tcPr>
            <w:tcW w:w="0" w:type="dxa"/>
            <w:vAlign w:val="bottom"/>
          </w:tcPr>
          <w:p>
            <w:pPr>
              <w:spacing w:after="0"/>
              <w:rPr>
                <w:sz w:val="1"/>
                <w:szCs w:val="1"/>
                <w:color w:val="auto"/>
              </w:rPr>
            </w:pPr>
          </w:p>
        </w:tc>
      </w:tr>
      <w:tr>
        <w:trPr>
          <w:trHeight w:val="149"/>
        </w:trPr>
        <w:tc>
          <w:tcPr>
            <w:tcW w:w="40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31,050,448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31,050</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265,650,362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(224,295,186)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41,386,226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exercise of stock options</w:t>
            </w:r>
          </w:p>
        </w:tc>
        <w:tc>
          <w:tcPr>
            <w:tcW w:w="7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136,060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136</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368,396</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368,532</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02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Issuance of common stock under at-the-market offering, net of commissions,</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5,164,159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5,164</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15,014,882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15,020,046</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underwriting discounts and $0.2 million issuance costs</w:t>
            </w: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through employee stock purchase plan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300,143</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421,610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421,910</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02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Issuance of common stock, pre-funded warrants, and common stock warrants</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5,251,349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5,251</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23,388,923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23,394,174</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through private placement, net of $1.6 million in placement costs</w:t>
            </w: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Cashless exercise of prefunded warrants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1,077,598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1,078</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02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Issuance of common stock through public offering, net of underwriting discounts</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18,959,914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18,960</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164,119,551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164,138,511</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$0.4 million in offering costs</w:t>
            </w: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02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w w:val="99"/>
              </w:rPr>
              <w:t>Issuance of common stock through private placement with Aventis Inc., net of $1.6</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2,708,559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2,709</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23,384,291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23,387,000</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million in placement agent discounts and placement costs</w:t>
            </w: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6,311,135</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6,311,135</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(56,024,898)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(56,024,898)</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81,332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81,332</w:t>
            </w:r>
          </w:p>
        </w:tc>
        <w:tc>
          <w:tcPr>
            <w:tcW w:w="0" w:type="dxa"/>
            <w:vAlign w:val="bottom"/>
          </w:tcPr>
          <w:p>
            <w:pPr>
              <w:spacing w:after="0"/>
              <w:rPr>
                <w:sz w:val="1"/>
                <w:szCs w:val="1"/>
                <w:color w:val="auto"/>
              </w:rPr>
            </w:pPr>
          </w:p>
        </w:tc>
      </w:tr>
      <w:tr>
        <w:trPr>
          <w:trHeight w:val="148"/>
        </w:trPr>
        <w:tc>
          <w:tcPr>
            <w:tcW w:w="40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64,648,230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64,648</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498,658,072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81,332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(280,320,084)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218,483,968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18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(56,024,898)</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(61,036,608)</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to reconcile to net loss to net cash used in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355,807</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 in carrying amount of right-of-use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328,377</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29,267</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6,311,135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6,501,366</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accretion of discount on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(259,181)</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(24,865)</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1,114,245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(261,337)</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(112,143)</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2,899,237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(200,831)</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Lease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(300,102)</w:t>
            </w: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57,848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(26,105)</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(45,344,595)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(54,999,571)</w:t>
            </w: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(84,875)</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(88,596,021)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(5,410,170)</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31,930,000</w:t>
            </w: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(88,738,247)</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26,434,955</w:t>
            </w: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offering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(3,726,266)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(40,988)</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732,458</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ATM, net of offering expenses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15,020,046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4,237,397</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374,652</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public offering, net of commissions and underwriting discounts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164,500,006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private placement with Aventis Inc.</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sale of common stock, prefunded warrants and common stock warrants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24,998,919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226,583,147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5,303,519</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92,500,305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(23,261,097)</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36,144,720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59,405,817</w:t>
            </w: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128,645,025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36,144,720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information: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offering costs in accounts payable/accrued expenses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Cashless exercise of prefunded warrants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Nature of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Immuneering Corporation, a Delaware corporation (“Immuneering” or the “Company”), was incorporated in 2008. Immuneering is a late-stage clinical oncology company developing medicines for broad populations of cancer patients, with an initial aim to therapeutically address patients harboring RAS and/or RAF mutations. The Company aims to achieve broad activity through Deep Cyclic Inhibition® ("DCI") of the mitogen-activated protein kinase ("MAPK") pathway, impacting cancer cells while sparing healthy cells. Immuneering’s lead product candidate, atebimetinib (IMM-1-104), is currently in a Phase 1/2a clinical trial in patients with advanced solid tumors harboring RAS/RAF mutations. The Company is developing </w:t>
      </w:r>
      <w:r>
        <w:rPr>
          <w:rFonts w:ascii="Times New Roman" w:cs="Times New Roman" w:eastAsia="Times New Roman" w:hAnsi="Times New Roman"/>
          <w:sz w:val="18"/>
          <w:szCs w:val="18"/>
          <w:color w:val="0A0A0A"/>
        </w:rPr>
        <w:t>atebimetinib as a once-daily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oral therapy, aiming for activity through DCI of the MAPK pathway at the level of mitogen-activated protein kinase kinase ("MEK"). </w:t>
      </w:r>
      <w:r>
        <w:rPr>
          <w:rFonts w:ascii="Times New Roman" w:cs="Times New Roman" w:eastAsia="Times New Roman" w:hAnsi="Times New Roman"/>
          <w:sz w:val="18"/>
          <w:szCs w:val="18"/>
          <w:color w:val="000000"/>
        </w:rPr>
        <w:t>The Company’s</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development pipeline also includes several early-stage programs.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2019, Immuneering formed a wholly owned subsidiary, Immuneering Securities Corporation (“ISC”), a Massachusetts securities corporation, for the sole purpose of buying, selling and holding securities on the Company’s behalf.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22, 2021, the Company acquired all outstanding shares of capital stock of BioArkive, Inc. (“BioArkive”), a California corporation, which as a result became a wholly owned subsidiary.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Immuneering, ISC and BioArkive are collectively referred to as the “Company” throughout these consolidated financial statements.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programs will be successful. In addition, the Company operates in an environment of rapid technological change and is largely dependent on the services of its employees, advisors, and consultants.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10, 2022, the Company entered into an Equity Distribution Agreement (the "2022 Sales Agreement") with Piper Sandler &amp; Co (the "Sales Agent"), to sell shares of its common stock with aggregate gross proceeds of up to $50 million, from time to time, through an “at the market” equity offering program (the "2022 ATM Program"). The Company sold 5,164,159 shares of common stock under the 2022 ATM Program, at a weighted average price per share of $3.03, for aggregate gross proceeds of $15.6 million ($15.0 million net of offering expenses) during the year ended December, 2025. The Company sold 1,318,752 shares of common stock under the 2022 ATM Program, at a weighted average price per share of $3.38, for aggregate gross proceeds of $4.5 million ($4.2 million net of offering expenses) during the year ended December 31, 2024. The Company did not sell any shares of common stock under the 2022 ATM Program during the three months ended December 31, 2025 or December 31, 2024, respectively.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20, 2023, the Company completed an underwritten follow-on equity offering, pursuant to which it issued and sold 2,727,273 shares of its Class A common stock $0.001 par value per share at an offering price of $11.00 per share. The aggregate net proceeds received by the Company from the offering were $28,200,003, after deducting underwriting discounts and commissions, but before deducting offering costs payable by the Company of $203,768.</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13, 2025, the Company entered into an Equity Distribution Agreement (the "2025 Sales Agreement") with the Sales Agent, to sell shares of its common stock with aggregate gross proceeds of up to $100 million, from time to time, through an “at the market” equity offering program (the "2025 ATM Program"). In connection with the September 2025 Offering (as defined below), the Company: (i) reduced the maximum aggregate offering price for sales of shares of common stock pursuant to at-the-market transactions under the 2025 ATM Program by $1,250,007 (the "Reduced Amount"), resulting in a new maximum aggregate offering price of up to $98,749,993 under the 2025 ATM Program, and (ii) suspended the 2025 ATM Program and terminated the continuous offering under the 2025 ATM Program, in each case, as to the Reduced Amount. The Company did not sell any shares of common stock under the 2025 ATM Program during the three months or year ended December 31, 2025 or December 31, 2024,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21, 2025, the Company entered into a Securities Purchase Agreement (the "August 2025 Purchase Agreement") with the purchasers party thereto, pursuant to which the Company agreed to sell securities to such purchasers in a private placement (the “August 2025 Private Placement”). The August 2025 Purchase Agreement provided for the sale and issuance by the Company to the purchasers of: (i) an aggregate of 5,251,349 shares of its common stock at a purchase price of $3.95 per share, (ii) for certain purchasers, in lieu of common stock, an aggregate of 1,077,764 pre-funded warrants (the “Pre-Funded Warrants”) to purchase up to the same number of shares of its common stock, and (iii) an aggregate of 2,848,096 warrants (the “Purchase Warrants”) to purchase up to the same number of shares of its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On October 6, 2025, certain purchasers from the August 2025 Private Placement exercised an aggregate of 1,077,764 Pre-Funded Warrants previously issued to them pursuant to the August 2025 Purchase Agreement. Each such exercise was made pursuant to the cashless exercise provision of the applicable Pre-Funded Warrant, such that an aggregate of 166 shares of common stock were withheld in lieu of cash payment of the $0.001 exercise price for each Pre-Funded Warrant share, and the exercising purchasers were issued an aggregate of 1,077,598 shares of common stock (the "October 2025 Cashless Exercise"). Following the October 2025 Cashless Exercise, no Pre-Funded Warrants remained issued and outstanding. The Purchase Warrants were issued with an exercise price of $5.50 per share; as of December 31, 2025, no Purchase Warrants had been exercised. As of December 31, 2025, the Company had received aggregate net proceeds of $23.4 million from the August 2025 Private Placement, after deducting placement expenses of $1.6 million. The August 2025 Private Placement closed on August 26, 2025.</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24, 2025, the Company entered into a Securities Purchase Agreement (the "September 2025 Purchase Agreement") with Aventis Inc. ("Aventis"), a wholly owned subsidiary of Sanofi, a French société anonyme ("Sanofi"), pursuant to which the Company agreed to sell securities to Aventis in a private placement (the “September 2025 Private Placement”). The September 2025 Purchase Agreement provided for the sale and issuance by the Company to Aventis of an aggregate of 2,708,559 shares of its common stock at a purchase price of $9.23 per share. The Company received aggregate net proceeds of $23.4 million from the September 2025 Private Placement, after deducting placement agent discounts and commissions of $1.5 million and placement costs of $0.1 million. The September 2025 Private Placement closed on September 26, 2025.</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2025, the Company completed an underwritten follow-on equity offering, pursuant to which it issued and sold 18,959,914 shares of its Class A common stock at an offering price of $9.23 per share (the "September 2025 Offering"), with Leerink Partners LLC and Oppenheimer &amp; Co. Inc. acting as underwriters. The aggregate net proceeds received by the Company from the September 2025 Offering were $164.1 million, after deducting underwriting discounts and commissions, as well as offering costs of $0.4 million.</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the Company has primarily funded its operations with proceeds from the sale of its capital stock, warrants to purchase stock, and convertible notes. The Company has incurred recurring losses over the past several years and as of December 31, 2025, the Company had an accumulated deficit of $280.3 million.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considered whether or not there are conditions or events, in the aggregate, that raise substantial doubt about the entity’s ability to continue as a going concern, and concluded that there are none as it estimates that its cash, cash equivalents and marketable securities will be sufficient to fund its operating expenses and capital expenditure requirements for at least 12 months from the issuance date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standards set by the Financial Accounting Standards Board (“FASB”). The FASB sets generally accepted accounting principles (“GAAP”) to ensure the consolidated financial statements are consistently reported. References to GAAP issued by the FASB in these footnotes are to the FASB Accounting Standards Codification (“ASC”). The consolidated financial statements include the accounts of the Company and its wholly owned subsidiaries. All intercompany balances and transactions have been eliminated in consolidation.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believed to be reasonable under the circumstances, the results of which form the basis for making judgments about the carrying values of assets, liabilities and the recording of expenses that are not readily apparent from other sources. Significant estimates reflected in these consolidated financial statements include but are not limited to: the accrued research and development expenses, the determination of fair value of stock-based awards, and the impairment of goodwill and intangible assets. Actual results may differ materially and adversely from these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deposits at major financial banking institutions and highly liquid investments with an original maturity of three months or less at the date of purchase.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marketable securities are classified as available-for-sale pursuant to ASC 320, Investments – Debt and Equity Securities and are recorded at fair value. Unrealized gains/(losses) are included as a component of accumulated other comprehensive loss in the consolidated balance sheets and statements of stockholders’ equity and a component of total comprehensive loss in the consolidated statements of comprehensive loss, until realized.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review marketable securities for impairment whenever the fair value of a marketable security is less than the amortized cost and evidence indicates that a marketable security’s carrying amount is not recoverable. Unrealized losses are evaluated for impairment under ASC 326, Financial Instruments - Credit Losses, to determine if the impairment is credit-related or noncredit-related. Credit-related impairment is recognized as an allowance on the balance sheet with a corresponding adjustment to earnings, and noncredit-related impairment is recognized in other comprehensive (loss) income, net of taxes. Evidence considered in this assessment includes reasons for the impairment, compliance with our investment policy, the severity of the impairment, collectability of the security, and any adverse conditions specifically related to the security, an industry, or geographic area.</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impairments of the Company’s available-for-sale marketable securities measured and carried at fair value during the year ended December 31, 2025. Realized gains and losses are included in other income, net on a specific-identification basis. There were no realized gains or losses on marketable securities for the years ended December 31, 2025 and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cash equivalents and marketable securities at fair value. ASC 820, Fair Value Measurements and Disclosures,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assets and liabilities in active markets, quoted prices in markets that are not active, or inputs which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for substantially the full term of the asset or liability.</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reflect our own assumptions about the assumptions market participants would use in pricing the asset or liability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there is little, if any, market activity for the asset or liability at the measurement date.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assets, which include cash equivalents and marketable securities, have been initially valued at the transaction price, and subsequently revalued at the end of each reporting period, utilizing third-party pricing services or other observable market data. The pricing services utilize industry standard valuation models, including both income and market based approaches, and observable market inputs to determine value. After completing our validation procedures, we did not adjust or override any fair value measurements provided by the pricing services as of December 31, 2025. Fair value information for these assets, including their classification in the fair value hierarchy is included in Note 4 Fair Value Measurements</w:t>
      </w:r>
      <w:r>
        <w:rPr>
          <w:rFonts w:ascii="Times New Roman" w:cs="Times New Roman" w:eastAsia="Times New Roman" w:hAnsi="Times New Roman"/>
          <w:sz w:val="18"/>
          <w:szCs w:val="18"/>
          <w:b w:val="1"/>
          <w:bCs w:val="1"/>
          <w:color w:val="auto"/>
        </w:rPr>
        <w:t>.</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valuation methods during the year ended December 31, 2025. We evaluate transfers between levels at the end of each reporting period.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cash, accounts receivable, accounts payable and accrued expenses approximate their respective fair values because of the short-term maturity of those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Financial instruments which potentially subject us to credit risk consist primarily of cash, cash equivalents, and marketable securities. We hold these investments in highly rated financial institutions, and, by policy, limit the amount of credit exposure at any one financial institution. These investments at times exceed federally insured limits. We have not experienced any credit losses in such accounts and do not believe we are exposed to any significant credit risk on the funds. We have no off-balance sheet concentrations of credit risk, such as foreign currency exchange contracts, option contracts, or other hedging arrangements.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and amortization. Expenditures for major replacements and improvements are capitalized, while expenditures for general repairs and maintenance are expensed as incurred. Upon retirements or disposition of property and equipment, the related cost and accumulated depreciation and amortization are removed from the consolidated balance sheet and any resulting gain or loss is recorded in the consolidated statement of operations. Depreciation and amortization are calculated using the straight-line method once assets are placed in service.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6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9640" w:type="dxa"/>
            <w:vAlign w:val="bottom"/>
            <w:gridSpan w:val="2"/>
            <w:vMerge w:val="continue"/>
          </w:tcPr>
          <w:p>
            <w:pPr>
              <w:spacing w:after="0"/>
              <w:rPr>
                <w:sz w:val="16"/>
                <w:szCs w:val="16"/>
                <w:color w:val="auto"/>
              </w:rPr>
            </w:pPr>
          </w:p>
        </w:tc>
        <w:tc>
          <w:tcPr>
            <w:tcW w:w="16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28"/>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0"/>
        </w:trPr>
        <w:tc>
          <w:tcPr>
            <w:tcW w:w="9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34"/>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years</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Periodically, the Company evaluates its long-lived assets, which consist primarily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occurred.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provides for leases in accordance with ASC Topic 842, Leases. The Company determines if an arrangement is a lease at contract inception. Right-of-use assets represent the Company’s right to use an underlying asset for the lease term and lease liabilities represent its obligation to make lease payments arising from the lease. Right-of-use assets and lease liabilities are recognized at the commencement date of the lease based upon the present value of future lease payments over the expected lease term. When determining the lease term, the Company includes options to extend or terminate the lease when it is reasonably certain that the Company will exercise that option. As most of the Company’s leases do not provide an implicit interest rate, the Company uses its incremental borrowing rate, which is based on rates that would be incurred to borrow on a collateralized basis over a term equal to the lease payments in a similar economic environment, in determining the present value of lease payments.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elected not to separate lease and non-lease components as a single lease component. The Company’s leases are reflected in right-of-use assets and lease liabilities (current and non-current) in the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in accordance with ASC Topic 740, Income Taxes. The Company accounts for income taxes under the asset and liability method, which requires the recognition of deferred tax assets and liabilities for the future tax consequences attributable to temporary differences between the financial statement carrying amounts of existing assets and liabilities and their respective tax bases. The Company measures deferred tax assets and liabilities using the enacted tax rates for the years and jurisdictions in which the temporary differences are expected to be recovered. A change to the tax rates used to measure the Company’s deferred taxes is recognized in income during the period in which the new rate(s) were enacted.</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the Company’s assets are more likely than not to be realized. In making such a determination, the Company considers all available positive and negative evidence, including the future reversals of existing taxable temporary differences, projected future taxable income exclusive of reversing temporary differences and carryforwards, tax-planning strategies, taxable income in prior carryback years if permitted under tax law, and the results from prior years. If the Company determines it is more likely than not, that all or a portion of a deferred tax asset will not be realized a valuation allowance is recorded with a charge to income tax expense. Alternatively, if the Company determines that all or a portion of a deferred tax asset previously not meeting the more likely than not threshold will be realized, the Company reduces its valuation allowance and recognizes a benefit in income tax expense.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and measure uncertain tax benefits in accordance with ASC 740 based on a two-step process in which (1) the Company determines whether it is more likely than not that the tax position will be sustained based on the technical merits of the position, and (2) for those tax positions that meet the more-likely-than-not recognition threshold, the Company recognizes the largest amount of tax benefit that is more than fifty percent likely to be realized upon ultimate settlement with the related tax authority. The Company's policy is to recognize interest and penalties related to uncertain tax positions, if any, in income tax expense.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As of December 31, 2025 and 2024, the Company had uncertain tax positions of $1,493,736 and $1,136,528, respectively. The Company has classified the unrecognized tax benefits as reductions of its tax credit carryforwards.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expenses incurred in performing research and development activities, including salaries and benefits, materials and supplies, preclinical expenses, stock-based compensation expense, depreciation of equipment, contract services, and other outside expenses. The Company also incurs costs to develop software programs for internal use in identifying potential human drug targets which may then lead to the development of human drug candidates. To date the software programs have primarily been used for internal research and development activities and the costs incurred have been expensed as research and development.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Manufacturing Contract Costs and Accruals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research, development and manufacturing contracts with research institutions and other companies inside and outside of the United States. These agreements are generally cancellable, and related costs are recorded as research and development expenses as incurred. The Company records accruals for estimated ongoing research, development and manufacturing costs.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Patent </w:t>
      </w:r>
      <w:r>
        <w:rPr>
          <w:rFonts w:ascii="Times New Roman" w:cs="Times New Roman" w:eastAsia="Times New Roman" w:hAnsi="Times New Roman"/>
          <w:sz w:val="18"/>
          <w:szCs w:val="18"/>
          <w:b w:val="1"/>
          <w:bCs w:val="1"/>
          <w:color w:val="000000"/>
        </w:rPr>
        <w:t>Costs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w:t>
      </w:r>
      <w:r>
        <w:rPr>
          <w:rFonts w:ascii="Times New Roman" w:cs="Times New Roman" w:eastAsia="Times New Roman" w:hAnsi="Times New Roman"/>
          <w:sz w:val="18"/>
          <w:szCs w:val="18"/>
          <w:b w:val="1"/>
          <w:bCs w:val="1"/>
          <w:color w:val="000000"/>
        </w:rPr>
        <w:t>prehensive Income (Loss)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Comprehensive income (loss) includes net loss as well as other changes in stockholders’ equity (deficit) that result from transactions and economic events other than those with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capitalizes certain legal, professional, and other third-party charges related to ongoing equity financings as deferred offering costs until fully consummated. These costs are to be recorded as a reduction of the offering’s proceeds which are recorded to additional paid-in capital within stockholders’ equity. Should the Company choose not to initiate such financing, the deferred offering costs would be immediately expensed as operating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as a separable unit in connection with sale of common stock as either liability or equity in accordance with ASC 480-10, Accounting for Certain Financial Instruments with Characteristics of both Liabilities and Equity (“ASC 480-10”) or ASC 815-40, Accounting for Derivative Financial Instruments Indexed to, and Potentially Settled in, a Company’s Own Stock (“ASC 815-40”). Under ASC 480-10, warrants are considered liabilities if they are mandatorily redeemable and they require settlement in cash or other assets, or a variable number of shares. If warrants do not meet liability classification under ASC 480-10, the Company considers the requirements of ASC 815-40 to determine whether the warrants should be classified as liability or equity. If warrants do not require liability classification under ASC 815-40 or other applicable generally accepted accounting principles in the United States of America, the warrants should be classified as equity.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Net Income (Loss) per Share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only has one class of shares outstanding and basic net income (loss) per common share is computed by dividing the net income (loss) by the weighted average number of shares of common stock and pre-funded warrants outstanding for the period. Diluted net income (loss) per common share is computed by dividing net income (loss) by the weighted average number of shares of common stock and pre-funded warrants outstanding for the period, including potential dilutive common shares assuming the dilutive effect of outstanding stock awards. The pre-funded warrants are included as outstanding shares in the computation as the exercise price is negligible and the pre-funded warrants are fully vested and exercisable. For periods in which the Company reports a net loss, diluted net loss per common share is the same as basic net loss per common share, since dilutive common shares are not assumed to have been issued if their effect is anti-dilutive. The Company reported a net loss attributable to common stockholders for each of the years ended December 31, 2025 and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issues stock-based awards to employees and nonemployees in the form of stock options. The Company accounts for stock-based awards in accordance with ASC 718, Compensation — Stock Compensation (“ASC 718”), which requires all stock-based payments to employees and non-employees, including grants of employee stock options and modifications to existing stock options, to be recognized in the consolidated statement of operations based on their fair values.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options is estimated on the grant date using the Black-Scholes option-pricing model (“Black-Scholes”). Black-Scholes requires the Company to make assumptions and judgments about the variables used in the calculation including the expected term of its stock option, the volatility of the Company’s common stock, and an assumed risk-free interest rate. The Company uses the simplified calculation of expected life and volatility, which is based on an average of the historical volatility of a group of publicly traded companies in a similar industry that the Company believes would be considered a peer group had it been a publicly held company for the duration of the expected life of the award. The risk-free rate is based on the U.S. Treasury yield curve in effect at the time of grant for periods corresponding with the expected life of the option. Forfeitures are recognized as they occur. No dividend yield was assumed as the Company does not pay, and does not expect to pay, dividends on its common stock. The assumptions underlying these valuations represent management’s best estimates, which involve inherent uncertainties and the application of management’s judgment.</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estimates, which involved inherent uncertainties and the application of management’s judgment. As a result, if the Company had used different assumptions or estimates, the fair value of its common stock and its stock-based compensation expense could be materially different.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fair value of the acquiree over the recognized bases of the net identifiable assets acquired and includes the future economic benefits from other assets that could not be individually identified and separately recognized. Goodwill is not amortized, but instead is periodically reviewed for impairment and an impairment charge is recorded in the periods in which the recorded carrying value of goodwill exceeds its fair value.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quarterly basis, the Company performs a review of its business to determine if events or changes in circumstances have occurred which could have a material adverse effect on the fair value of the Company and its goodwill. If such events or changes in circumstances were deemed to have occurred, the Company would perform an impairment test of goodwill as of the end of the quarter and record any noted impairment loss.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test is performed at least annually, or more frequently if events or changes in circumstances indicate that the asset might be impaired.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performs its annual impairment test during the fourth quarter of each fiscal year. There were no impairments during the years ended December 31, 2025 or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recognized at fair value, as an asset apart from goodwill if the asset (i) arises from contractual or other legal rights, or (ii) is separable.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principally representing technology acquired, are capitalized and amortized on the straight-line method over their expected useful lives.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(including amortizable intangible assets), other than goodwill, when events or changes in circumstances occur that indicate that the carrying value of the asset may not be recoverable.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But Not Yet Adopted Accounting Pronouncements and Legislation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the Company will not be required to adopt certain new or revised accounting standards on the relevant dates on which adoption of such standards is required for other public companies.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No. 2024-03, Income Statement—Reporting Comprehensive Income— Expense Disaggregation Disclosures (Subtopic 220-40) (“ASU 2024-03”). The guidance in ASU 2024-03 aims to improve disclosures around an entity's expenses. Upon adoption, companies will be required to disclose in the notes to the financial statements a disaggregation of certain expense categories included within the expense captions on the face of the income statement. The standard is effective for fiscal years beginning after December 15, 2026 and interim periods in fiscal years beginning after December 15, 2027, with early adoption permitted. The Company is currently evaluating this standard's potential impact on its consolidated financial statements and related disclosures.</w:t>
      </w:r>
    </w:p>
    <w:p>
      <w:pPr>
        <w:spacing w:after="0" w:line="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One Big Beautiful Bill Act ("OBBBA") was enacted on July 4, 2025. The Company has evaluated whether OBBBA has a material impact on its 2025 financial statements. The only provision of OBBBA that impacts the Company’s income tax accounting under ASC740 is the new IRC. Sec. 174A, which permanently allows taxpayers to fully expense domestic research or experimental ("R&amp;E") expenditures paid or incurred in taxable years beginning after Dec. 31, 2024. The requirement to capitalize foreign Sec. 174 expenses over 15 years has not changed. On August 28, 2025, the IRS released procedural guidance (Rev. Proc. 2025-28) for implementing Section 174A and related elections for domestic research or experimental. Transition rules provide taxpayers with options to account for any remaining unamortized domestic R&amp;E expenditures paid or incurred in taxable years beginning after December 31, 2021, and before January 1, 2025. Taxpayers may continue to amortize such unamortized amounts over the remaining five-year period; alternatively, they may elect to deduct any remaining unamortized domestic R&amp;E expenditures either entirely in the first tax year beginning after December 31, 2024, or ratably over two taxable years (e.g., 2025 or ratably in 2025 and 2026). The Company has decided it will elect to continue to amortize previously capitalized and unamortized domestic R&amp;E expenditures over the remaining five-year period. As of December 31, 2024, the company had approximately $77.8 million of remaining unamortized domestic R&amp;E expenditures, representing approximately $17.1 million of its gross deferred tax asset. As of December 31, 2025, the company had approximately $54.7 million of remaining unamortized domestic R&amp;E expenditures, representing approximately $12.0 million of its gross deferred tax asset.</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December 2025, the FASB issued Update ASU 2025-11, "Interim Reporting (Topic 270): Narrow-Scope Improvements". This ASU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The amendments in this Update are effective for interim reporting periods within annual reporting periods beginning after December 15, 2027, with early adoption permitted. We are currently evaluating the effect of adopting this pronouncement on our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Marketable Securities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05"/>
        </w:trPr>
        <w:tc>
          <w:tcPr>
            <w:tcW w:w="6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Marketable securities consisted of the following as of December 31, 2025:</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5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2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6,495,181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6,500,685</w:t>
            </w: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7,943,758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7,948,500</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7,628,117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7,628,554</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22,102,080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22,108,505</w:t>
            </w:r>
          </w:p>
        </w:tc>
      </w:tr>
      <w:tr>
        <w:trPr>
          <w:trHeight w:val="223"/>
        </w:trPr>
        <w:tc>
          <w:tcPr>
            <w:tcW w:w="50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44,169,136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44,186,244</w:t>
            </w:r>
          </w:p>
        </w:tc>
      </w:tr>
      <w:tr>
        <w:trPr>
          <w:trHeight w:val="270"/>
        </w:trPr>
        <w:tc>
          <w:tcPr>
            <w:tcW w:w="5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37,717,598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37,776,280</w:t>
            </w:r>
          </w:p>
        </w:tc>
      </w:tr>
      <w:tr>
        <w:trPr>
          <w:trHeight w:val="229"/>
        </w:trPr>
        <w:tc>
          <w:tcPr>
            <w:tcW w:w="5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3,998,584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3,997,040</w:t>
            </w:r>
          </w:p>
        </w:tc>
      </w:tr>
      <w:tr>
        <w:trPr>
          <w:trHeight w:val="229"/>
        </w:trPr>
        <w:tc>
          <w:tcPr>
            <w:tcW w:w="5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2,406,640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2,409,866</w:t>
            </w:r>
          </w:p>
        </w:tc>
      </w:tr>
      <w:tr>
        <w:trPr>
          <w:trHeight w:val="223"/>
        </w:trPr>
        <w:tc>
          <w:tcPr>
            <w:tcW w:w="50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Non-current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44,122,822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61,908</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44,183,186</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88,291,958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79,075</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88,369,430</w:t>
            </w: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marketable securities as of December 31, 2024.</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marketable securities are classified as available-for-sale pursuant to ASC 320, Investments – Debt and Equity Securities and are recorded at fair value. Unrealized gains (losses) are included as a component of accumulated other comprehensive loss in the consolidated balance sheets and statements of stockholders’ equity and a component of total comprehensive loss in the consolidated statements of comprehensive loss, until realized. The Company assesses its available-for-sale marketable securities for impairment on a quarterly basis. There were no impairments of the Company’s available-for-sale marketable securities measured and carried at fair value during the years ended December 31, 2025 and 2024. Realized gains and losses are included in other income (expense).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marketable securities portfolio contains investments in U.S. Treasury, other U.S. government-backed securities, and commercial paper. The Company reviews its portfolio based on the underlying risk profile of the securities and does not expect there to be a loss on these investments. The Company also regularly reviews the securities in an unrealized loss position and evaluates the current expected credit loss by considering factors such as historical experience, market data, issuer-specific factors, and current economic conditions.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no year-to-date credit loss related to its short-term investments, and had no allowance for credit loss recorded as of December 31, 2025 and 2024.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equivalents and marketable securities measured at fair value on a recurring basis as of December 31,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105,330,208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105,330,208</w:t>
            </w: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1,992,340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1,992,340</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9,222,990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9,222,990</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11,827,667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11,827,667</w:t>
            </w: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107,322,548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21,050,657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128,373,205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44,276,965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44,276,965</w:t>
            </w: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11,945,540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11,945,540</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securities</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10,038,420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10,038,420</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22,108,505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22,108,505</w:t>
            </w:r>
          </w:p>
        </w:tc>
      </w:tr>
      <w:tr>
        <w:trPr>
          <w:trHeight w:val="223"/>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44,276,965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44,092,465</w:t>
            </w:r>
          </w:p>
        </w:tc>
        <w:tc>
          <w:tcPr>
            <w:tcW w:w="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88,369,430</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151,599,513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65,143,122</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216,742,635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35,865,754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35,865,754</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35,865,754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35,865,754</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and the Company had no financial assets or liabilities that were classified as Level 3 at any point during the years ended December 31,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5"/>
        </w:trPr>
        <w:tc>
          <w:tcPr>
            <w:tcW w:w="8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570,778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1,236,233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2,341,056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2,204,580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(1,081,715)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938,481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1,122,865</w:t>
            </w: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totaled $324,517 and $355,807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Accrued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5"/>
        </w:trPr>
        <w:tc>
          <w:tcPr>
            <w:tcW w:w="8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193,646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expenses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4,245,563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3,583,649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1,106,872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 expenses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88,962</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4,973,129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200,000,000 authorized shares of Class A common stock, $0.001 par value per share, as of December 31, 2025 and December 31, 2024, of which 64,648,230 and 31,050,448 shares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20,000,000 authorized shares of Class B common stock, $0.001 par value per share, as of December 31, 2025 and December 31, 2024,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Shelf Registration Statement &amp; 2022 ATM Program</w:t>
      </w:r>
    </w:p>
    <w:p>
      <w:pPr>
        <w:spacing w:after="0" w:line="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August 10, 2022, the Company filed a Registration Statement on Form S-3 (File No. 333-266738) (the “2022 Shelf Registration Statement”) with the SEC in relation to the registration of common stock, preferred stock, debt securities, warrants and/or units or any combination thereof in the aggregate amount of up to $200 million for a period of up to three years from the date of its effectiveness on August 19, 2022.</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August 10, 2022, the Company also entered into the 2022 Sales Agreement with the Sales Agent to sell shares of the Company’s Class A common stock, par value $0.001 per share, with aggregate gross sales proceeds of up to $50 million, from time to time, through the 2022 ATM Program under the 2022 Shelf Registration Statement. Subject to the terms and conditions of the 2022 Sales Agreement, the Sales Agent may sell the shares by methods deemed to be an “at the market offering” as defined in Rule 415 promulgated under the Securities Act, including sales made through the Nasdaq Global Market, on any other existing trading market for the common stock, to or through a market maker, or, if expressly authorized by the Company, in privately negotiated transactions. The Company or Sales Agent could terminate the 2022 Sales Agreement upon notice to the other party and subject to other conditions. The Company paid the Sales Agent a commission equal to 3.0% of the gross proceeds of any Common Stock sold through the Sales Agent under the 2022 Sales Agreement and provided the Sales Agent with customary indemnification rights. The Company sold 5,164,159 shares of common stock under the 2022 ATM program, at a weighted average price per share of $3.03, for aggregate gross proceeds of $15.6 million ($15.0 million net of offering expenses) during the year ended December 31, 2025. The Company sold 1,318,752 shares of common stock under the 2022 ATM Program, at a weighted average price per share of $3.38, for aggregate gross proceeds of $4.5 million ($4.2 million net of offering expenses) during the year ended December 31, 2024. The Company did not sell any shares of common stock under the 2022 ATM Program during the three months ended December 31, 2025 or December 31, 2024, respectively.</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Issuance costs incurred related to the 2022 Sales Agreement were recorded as deferred offering costs and classified as long-term assets on the balance sheet. The Company had approximately $0.5 million of deferred offering costs as of December 31, 2024 associated with the 2022 Sales Agreement. The deferred offering costs for the 2022 ATM Program were written off in August 2025, after the 2022 Shelf Registration Statement and the 2022 ATM Program expired, the 2022 Sales Agreement was terminated, and the Company entered into the 2025 Sales Agreement related to the 2025 ATM Program (in each case as defined herein).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Shelf Registration Statement &amp; 2025 ATM Program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13, 2025, the Company filed a Registration Statement on Form S-3 (File No. 333-289589) (the “2025 Shelf Registration Statement”) with the SEC in relation to the registration of common stock, preferred stock, debt securities, warrants and/or units or any combination thereof in the aggregate amount of up to $300 million for a period of up to three years from the date of its effectiveness on August 20, 2025.</w:t>
      </w:r>
    </w:p>
    <w:p>
      <w:pPr>
        <w:spacing w:after="0" w:line="19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August 13, 2025, the Company also entered into the 2025 Sales Agreement with the Sales Agent to sell shares of the Company’s Class A common stock, par value $0.001 per share, with aggregate gross sales proceeds of up to $100 million, from time to time, through the 2025 ATM Program under the 2025 Shelf Registration Statement. Subject to the terms and conditions of the 2025 Sales Agreement, the Sales Agent may sell the shares by methods deemed to be an “at the market offering” as defined in Rule 415 promulgated under the Securities Act, including sales made through the Nasdaq Global Market, on any other existing trading market for the common stock, to or through a market maker, or, if expressly authorized by the Company, in privately negotiated transactions. The Company or Sales Agent may terminate the 2025 Sales Agreement upon notice to the other party and subject to other conditions. The Company will pay the Sales Agent a commission up to 3.0% of the gross proceeds of any Common Stock sold through the Sales Agent under the 2025 Sales Agreement and has provided the Sales Agent with customary indemnification rights. The Company did not sell any shares of common stock under the 2025 ATM Program during the three months or year ended December 31, 2025 or December 31, 2024, respectively. In connection with the September 2025 Offering, the Company: (i) reduced the maximum aggregate offering price for sales of shares of common stock pursuant to at-the-market transactions under the 2025 ATM Program by $1,250,007 (or the Reduced Amount, as defined above), resulting in a new maximum aggregate offering price of up to $98,749,993 under the 2025 ATM Program, and (ii) suspended the 2025 ATM Program and terminated the continuous offering under the 2025 ATM Program, in each case, as to the Reduced Amount. As of December 31, 2025, the Company had aggregate gross sales proceeds capacity of $98.7 million remaining under the 2025 ATM Program.</w:t>
      </w:r>
    </w:p>
    <w:p>
      <w:pPr>
        <w:spacing w:after="0" w:line="22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Issuance costs incurred related to the 2025 Sales Agreement are recorded as deferred offering costs and are classified as long-term assets on the balance sheet at December 31, 2025. The Company had approximately $0.2 million of deferred offering costs as of December 31, 2025 associated with the 2025 Sales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August 2025 Private Placement</w:t>
      </w:r>
    </w:p>
    <w:p>
      <w:pPr>
        <w:spacing w:after="0" w:line="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August 21, 2025, the Company entered into the August 2025 Purchase Agreement with the purchasers party thereto, pursuant to which the Company agreed to sell securities to such purchasers in the August 2025 Private Placement. The August 2025 Purchase Agreement provided for the sale and issuance by the Company to the purchasers of: (i) an aggregate of 5,251,349 shares of its common stock at a purchase price of $3.95 per share, (ii) for certain purchasers, in lieu of common stock, an aggregate of 1,077,764 Pre-Funded Warrants to purchase up to the same number of shares of its common stock, and (iii) an aggregate of 2,848,096 Purchase Warrants to purchase up to the same number of shares of its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October 6, 2025, certain purchasers from the August 2025 Private Placement exercised an aggregate of 1,077,764 Pre-Funded Warrants previously issued to them pursuant to the August 2025 Purchase Agreement. Each such exercise was made pursuant to the cashless exercise provision of the applicable Pre-Funded Warrant, such that an aggregate of 166 shares of common stock were withheld in lieu of a cash payment of the $0.001 exercise price for each Pre-Funded Warrant, and the exercising purchasers were issued an aggregate of 1,077,598 shares of common stock. The Purchase Warrants were issued with an exercise price of $5.50 per share; as of December 31, 2025, no Purchase Warrants had been exercised. As of December 31, 2025, the Company had received aggregate net proceeds of $23.4 million from the August 2025 Private Placement, after deducting placement expenses of $1.6 million. The August 2025 Private Placement closed on August 26, 2025.</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Also on August 21, 2025, in connection with the August 2025 Purchase Agreement, the Company entered into a Registration Rights Agreement (the “Registration Rights Agreement”) with the purchasers in the August 2025 Private Placement. Pursuant to the Registration Rights Agreement, the Company agreed to prepare and file a registration statement with the SEC for purposes of registering the resale of the common stock and the shares of common stock issuable upon exercise of the Pre-Funded Warrants and Purchase Warrants (collectively, the “Warrant Shares”) purchased by the purchasers in the August 2025 Private Placement, and any shares of common stock issued as a dividend or other distribution with respect to, in exchange for or in replacement of such common stock or Warrant Shares. On September 3, 2025, the Company filed a Registration Statement on Form S-3 (File No. 333-289997) (the “2025 Resale Registration Statement”) with the SEC in relation to the registration for re-sale of the common stock and Warrant Shares from the August 2025 Private Placement. The SEC declared the 2025 Resale Registration Statement effective on September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Purchase Warrants have an exercise price of $5.50 per share of common stock, are exercisable immediately following their issuance, and will expire on September 8, 2030. The Purchase Warrants contain standard adjustments to the exercise price including for stock splits, stock dividends or distributions, certain other dividends or distributions and certain reorganizations. The Purchase Warrants also include certain rights upon the occurrence of a “fundamental transaction” (as described in the Purchase Warrants).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and other related summaries contained herein do not purport to be complete and are qualified in their entirety by reference to the August 2025 Purchase Agreement, the Registration Rights Agreement, the Pre-Funded Warrants and the Purchase Warrants, which are filed as Exhibits 10.18, 10.19, 4.4 and 4.5, respectively, to this Annual Report on Form 10-K.</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proceeds received from the sale of equity classified warrants and shares of common stock in a bundled transaction are allocated based on the relative fair values of warrants and shares of common stock with no changes in fair value of warrants recognized after the issuance date.</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Purchase Warrants and Pre-Funded Warrants were classified as a component of stockholders’ equity within additional paid-in-capital and were recorded at the issuance date using a relative fair value allocation method. The Purchase Warrants and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Purchase Warrants do not provide any guarantee of value or return. The Company valued the Purchase Warrants at issuance using the Black-Scholes valuation model and allocated proceeds from the sale proportionately to the common stock and Purchase Warrants, of which approximately $3.7 million was allocated to the Purchase Warrants and recorded as a component of additional paid-in-capital.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2,848,096 Purchase Warrants issued and outstanding at an exercise price of $5.50 per share to purchase shares of the Company's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2025 Aventis (Sanofi) Private Placement</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September 24, 2025, the Company entered into the September 2025 Purchase Agreement with Aventis, a wholly owned subsidiary of Sanofi, pursuant to which the Company agreed to sell securities to Aventis in the September 2025 Private Placement. The September 2025 Purchase Agreement provided for the sale and issuance by the Company to Aventis of an aggregate of 2,708,559 shares of its common stock at a purchase price of $9.23 per share. The Company received aggregate net proceeds of $23.4 million from the September 2025 Private Placement, after deducting placement agent discounts and commissions of $1.5 million, and placement costs of $0.1 million. The September 2025 Private Placement closed on September 26,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2025 Offering</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26, 2025, the Company completed the September 2025 Offering, pursuant to which it issued and sold 18,959,914 shares of its Class A common stock at an offering price of $9.23 per share, with Leerink Partners LLC and Oppenheimer &amp; Co. Inc. acting as underwriters. The aggregate net proceeds received by the Company from the September 2025 Offering were $164.1 million, after deducting underwriting discounts and commissions, as well as offering costs of $0.4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Net Loss Per Share Attributable to Common Stockholders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at December 31, 2025 and December 31, 2024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(56,024,898)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(61,036,608)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 basic and diluted: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44,011,830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29,981,565</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potentially dilutive securities that have been excluded from the calculation of diluted net loss per share because to include them would be anti-dilutive (in common stock equivalent shares) at December 31, 2025 and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8,250,958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6,382,149</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2,848,096</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equivalents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11,099,054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6,382,149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As of December 31, 2025, the maximum number of shares available for issuance under the Incentive Plan was 2,825,173 shares. Upon the effectiveness of the Company’s 2021 Incentive Award Plan (the “2021 Plan”), the Company ceased granting awards under the Incentive Plan. However, the Incentive Plan continues to govern awards outstanding thereunder.</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23, 2021, the Company’s Board of Directors adopted, and on July 23, 2021 its stockholders approved,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December 31, 2025, there were 957,941 shares available for future issuance under the 2021 Plan.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December 31, 2025, there were 849,697 shares of common stock reserved for future issuance under the 2021 ESPP and 530,911 shares had been granted or purchased under the 2021 ESPP.</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21, 2024 (the “Effective Date”), based upon the recommendation of the Compensation Committee of the Company's Board of Directors, the Board of Directors approved an option repricing, in accordance with the 2021 Plan, which repricing was effected on the Effective Date. The repricing applied to options to purchase shares of the Company’s Class A common stock with an exercise price per share greater than $3.01 that were held by then current employees and certain non-employee service providers under the 2021 Plan (the “Eligible Options”), including E.B. Brakewood, the Company’s Chief Business Officer, and Michael Bookman, the Company's Chief Legal Officer.</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held by Benjamin Zeskind, Ph.D., the Company’s President and Chief Executive Officer, Brett Hall, Ph.D., the Company's Chief Scientific Officer and the non-employee members of the Board were not eligible for the repricing.</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a result of the option repricing, as of the Effective Date, the exercise price of all Eligible Options was reduced to $3.01 per share, which represented approximately two times the closing trading price of the Company’s Class A common stock on the Nasdaq Global Market on the Effective Date; however, the exercise price for repriced options would revert to the original exercise price for any exercise occurring prior to June 30, 2025 (the "Retention Period"), unless there was a change of control of the Company or the option holder’s employment has been terminated (i) by the Company without cause or (ii) by reason of death or disability. The repriced options otherwise remain subject to their existing terms and conditions as set forth in the 2021 Plan and applicable award agreements.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Effective Date, outstanding options to purchase 2,986,354 shares were deemed Eligible Options and were repriced such that the exercise price per share for such outstanding options was reduced to $3.01 per share. There were no changes to the number of shares, the vesting schedule or the expiration date of the Eligible Options.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effect of the option repricing resulted in a total incremental non-cash stock-based compensation expense of $0.6 million, which was calculated using the Black-Scholes option-pricing model, of which $0.2 million of the incremental non-cash stock-based compensation expense is associated with vested repriced options and will be recognized on a straight-line basis through the 13-month Retention Period. The remaining $0.4 million of the incremental non-cash stock-based compensation expense is associated with unvested repriced options and will be recognized as follows: (a) if the Retention Period is greater than the remaining original vesting period of the repriced option, the incremental cost will be amortized on a straight-line basis through the Retention Period end date or (b) if the Retention Period is less than the remaining original vesting term of the repriced option, the incremental cost will be amortized on a straight-line basis over the remaining original vesting period.</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twelve months ended December 31, 2025 and December 31, 2024, the Company recognized incremental stock-based compensation expense $0.2 million and $0.2 million, respectively, associated with the option repricing which is included in general and administrative and research and development expense in the consolidated statement of operations and comprehensive loss.</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December 31, 2024, the Company recognized stock-based compensation expense of $6.3 million and $6.5 million, respectively. As of December 31, 2025, compensation expense remaining to be recognized for outstanding stock options was $6.4 million and to be recognized over a weighted-average period of 2.31 years.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20, 2025, the Company’s Board of Directors adopted the Immuneering Corporation 2025 Employment Inducement Award Plan (the "Inducement Award Plan"), without stockholder approval pursuant to Rule 5635(c)(4) of the Nasdaq Stock Market LLC listing rules. The Inducement Award Plan provides for the grant of non-qualified stock options, stock appreciation rights, restricted stock awards, restricted stock units, and other stock-based awards. The number of shares reserved for issuance under the Inducement Award Plan was initially equal to 500,000 shares. Shares issued under the Inducement Award Plan may be authorized but unissued shares, shares purchased on the open market or treasury shares. If an award under the Inducement Award Plan expires, lapses or is terminated, exchanged for or settled in cash, surrendered, repurchased, cancelled without having been fully exercised/settled or forfeited, any unused shares subject to the award will, as applicable, become or again be available for new grants under the Inducement Award Plan. As of December 31, 2025, there were 382,000 shares available for future issuance under the Inducement Award Plan.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options granted is calculated on the grant date using the Black-Scholes option valuation model. Prior to the Company's IPO on August 3, 2021, the Company was a private company and thus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publicly traded stock price. For the year ended December 31, 2025, the Company granted 2,374,294 shares of stock options at a weighted-average grant date fair value of $2.01. For the year ended December 31, 2024, the Company granted 1,555,445 shares at a weighted-average grant date fair value of $3.67.</w:t>
      </w:r>
    </w:p>
    <w:p>
      <w:pPr>
        <w:spacing w:after="0" w:line="1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used the following assumptions in its application of the Black-Scholes option pricing model for grants during the year ended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6"/>
          </w:tcPr>
          <w:p>
            <w:pPr>
              <w:jc w:val="right"/>
              <w:ind w:right="99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center"/>
              <w:ind w:right="83"/>
              <w:spacing w:after="0"/>
              <w:rPr>
                <w:sz w:val="20"/>
                <w:szCs w:val="20"/>
                <w:color w:val="auto"/>
              </w:rPr>
            </w:pPr>
            <w:r>
              <w:rPr>
                <w:rFonts w:ascii="Times New Roman" w:cs="Times New Roman" w:eastAsia="Times New Roman" w:hAnsi="Times New Roman"/>
                <w:sz w:val="18"/>
                <w:szCs w:val="18"/>
                <w:color w:val="auto"/>
                <w:w w:val="99"/>
              </w:rPr>
              <w:t>3.76% - 4.55%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center"/>
              <w:ind w:right="178"/>
              <w:spacing w:after="0"/>
              <w:rPr>
                <w:sz w:val="20"/>
                <w:szCs w:val="20"/>
                <w:color w:val="auto"/>
              </w:rPr>
            </w:pPr>
            <w:r>
              <w:rPr>
                <w:rFonts w:ascii="Times New Roman" w:cs="Times New Roman" w:eastAsia="Times New Roman" w:hAnsi="Times New Roman"/>
                <w:sz w:val="18"/>
                <w:szCs w:val="18"/>
                <w:color w:val="auto"/>
                <w:w w:val="99"/>
              </w:rPr>
              <w:t>3.93% - 4.82%</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tcPr>
          <w:p>
            <w:pPr>
              <w:jc w:val="center"/>
              <w:ind w:right="103"/>
              <w:spacing w:after="0"/>
              <w:rPr>
                <w:sz w:val="20"/>
                <w:szCs w:val="20"/>
                <w:color w:val="auto"/>
              </w:rPr>
            </w:pPr>
            <w:r>
              <w:rPr>
                <w:rFonts w:ascii="Times New Roman" w:cs="Times New Roman" w:eastAsia="Times New Roman" w:hAnsi="Times New Roman"/>
                <w:sz w:val="18"/>
                <w:szCs w:val="18"/>
                <w:color w:val="auto"/>
                <w:w w:val="98"/>
              </w:rPr>
              <w:t>5.51 - 10.00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378"/>
              <w:spacing w:after="0"/>
              <w:rPr>
                <w:sz w:val="20"/>
                <w:szCs w:val="20"/>
                <w:color w:val="auto"/>
              </w:rPr>
            </w:pPr>
            <w:r>
              <w:rPr>
                <w:rFonts w:ascii="Times New Roman" w:cs="Times New Roman" w:eastAsia="Times New Roman" w:hAnsi="Times New Roman"/>
                <w:sz w:val="18"/>
                <w:szCs w:val="18"/>
                <w:color w:val="auto"/>
                <w:w w:val="98"/>
              </w:rPr>
              <w:t>5.00 - 10.00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583"/>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398"/>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center"/>
              <w:ind w:right="103"/>
              <w:spacing w:after="0"/>
              <w:rPr>
                <w:sz w:val="20"/>
                <w:szCs w:val="20"/>
                <w:color w:val="auto"/>
              </w:rPr>
            </w:pPr>
            <w:r>
              <w:rPr>
                <w:rFonts w:ascii="Times New Roman" w:cs="Times New Roman" w:eastAsia="Times New Roman" w:hAnsi="Times New Roman"/>
                <w:sz w:val="18"/>
                <w:szCs w:val="18"/>
                <w:color w:val="auto"/>
                <w:w w:val="99"/>
              </w:rPr>
              <w:t>65.86% - 69.48%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center"/>
              <w:ind w:right="158"/>
              <w:spacing w:after="0"/>
              <w:rPr>
                <w:sz w:val="20"/>
                <w:szCs w:val="20"/>
                <w:color w:val="auto"/>
              </w:rPr>
            </w:pPr>
            <w:r>
              <w:rPr>
                <w:rFonts w:ascii="Times New Roman" w:cs="Times New Roman" w:eastAsia="Times New Roman" w:hAnsi="Times New Roman"/>
                <w:sz w:val="18"/>
                <w:szCs w:val="18"/>
                <w:color w:val="auto"/>
                <w:w w:val="99"/>
              </w:rPr>
              <w:t>66.08% - 69.85%</w:t>
            </w:r>
          </w:p>
        </w:tc>
        <w:tc>
          <w:tcPr>
            <w:tcW w:w="0" w:type="dxa"/>
            <w:vAlign w:val="bottom"/>
          </w:tcPr>
          <w:p>
            <w:pPr>
              <w:spacing w:after="0"/>
              <w:rPr>
                <w:sz w:val="1"/>
                <w:szCs w:val="1"/>
                <w:color w:val="auto"/>
              </w:rPr>
            </w:pPr>
          </w:p>
        </w:tc>
      </w:tr>
      <w:tr>
        <w:trPr>
          <w:trHeight w:val="481"/>
        </w:trPr>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year ended December 31, 2025: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5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80" w:type="dxa"/>
            <w:vAlign w:val="bottom"/>
            <w:gridSpan w:val="2"/>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5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7"/>
                <w:szCs w:val="17"/>
                <w:color w:val="auto"/>
              </w:rPr>
            </w:pPr>
          </w:p>
        </w:tc>
        <w:tc>
          <w:tcPr>
            <w:tcW w:w="1080" w:type="dxa"/>
            <w:vAlign w:val="bottom"/>
            <w:tcBorders>
              <w:bottom w:val="single" w:sz="8" w:color="auto"/>
            </w:tcBorders>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6,382,149</w:t>
            </w:r>
          </w:p>
        </w:tc>
        <w:tc>
          <w:tcPr>
            <w:tcW w:w="98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2,374,294</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(369,425)</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2.90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December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8,250,958</w:t>
            </w:r>
          </w:p>
        </w:tc>
        <w:tc>
          <w:tcPr>
            <w:tcW w:w="98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3.83</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26,144,586</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5,326,522</w:t>
            </w:r>
          </w:p>
        </w:tc>
        <w:tc>
          <w:tcPr>
            <w:tcW w:w="98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4.42</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14,889,780</w:t>
            </w:r>
          </w:p>
        </w:tc>
        <w:tc>
          <w:tcPr>
            <w:tcW w:w="0" w:type="dxa"/>
            <w:vAlign w:val="bottom"/>
          </w:tcPr>
          <w:p>
            <w:pPr>
              <w:spacing w:after="0"/>
              <w:rPr>
                <w:sz w:val="1"/>
                <w:szCs w:val="1"/>
                <w:color w:val="auto"/>
              </w:rPr>
            </w:pPr>
          </w:p>
        </w:tc>
      </w:tr>
      <w:tr>
        <w:trPr>
          <w:trHeight w:val="905"/>
        </w:trPr>
        <w:tc>
          <w:tcPr>
            <w:tcW w:w="5020" w:type="dxa"/>
            <w:vAlign w:val="bottom"/>
          </w:tcPr>
          <w:p>
            <w:pPr>
              <w:spacing w:after="0"/>
              <w:rPr>
                <w:sz w:val="24"/>
                <w:szCs w:val="24"/>
                <w:color w:val="auto"/>
              </w:rPr>
            </w:pPr>
          </w:p>
        </w:tc>
        <w:tc>
          <w:tcPr>
            <w:tcW w:w="150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recognized share-based compensation expense on the accompanying consolidated statements of operations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8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2,800,891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2,754,981</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3,510,244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3,746,385</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6,501,366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periods ended December 31, 2025 and 2024 were 0% and 0%, respectively. For the each of the periods ended December 31, 2025 and December 31, 2024, the primary drivers of the variance from the statutory rate were state taxes, research and development tax credits, and valuation allowance.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our effective income tax rate to the statutory federal income tax rate for the year ended December 31, 2025 in accordance with the guidance in ASU 2023-09:</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tcPr>
          <w:p>
            <w:pPr>
              <w:spacing w:after="0"/>
              <w:rPr>
                <w:sz w:val="16"/>
                <w:szCs w:val="16"/>
                <w:color w:val="auto"/>
              </w:rPr>
            </w:pPr>
          </w:p>
        </w:tc>
      </w:tr>
      <w:tr>
        <w:trPr>
          <w:trHeight w:val="203"/>
        </w:trPr>
        <w:tc>
          <w:tcPr>
            <w:tcW w:w="8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3"/>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3"/>
        </w:trPr>
        <w:tc>
          <w:tcPr>
            <w:tcW w:w="8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(11,765,229)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(2,281,572)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differences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14,383,714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our effective income tax rate to the statutory federal income tax rate for the year ended December 31, 2024 in accordance with the guidance prior to the adoption of ASU 2023-09: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698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5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6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6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differences</w:t>
            </w: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26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260" w:type="dxa"/>
            <w:vAlign w:val="bottom"/>
            <w:vMerge w:val="restart"/>
          </w:tcPr>
          <w:p>
            <w:pPr>
              <w:jc w:val="right"/>
              <w:ind w:right="3672"/>
              <w:spacing w:after="0"/>
              <w:rPr>
                <w:sz w:val="20"/>
                <w:szCs w:val="20"/>
                <w:color w:val="auto"/>
              </w:rPr>
            </w:pPr>
            <w:r>
              <w:rPr>
                <w:rFonts w:ascii="Times New Roman" w:cs="Times New Roman" w:eastAsia="Times New Roman" w:hAnsi="Times New Roman"/>
                <w:sz w:val="18"/>
                <w:szCs w:val="18"/>
                <w:color w:val="auto"/>
              </w:rPr>
              <w:t>144</w:t>
            </w: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6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components and tax effects of each type of item that gave rise to the net deferred tax assets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2,341,582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855,125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22,286,355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668,229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credit carryforward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13,443,643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10,228,771</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NOL carryforward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40,134,991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25,300,681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73,691,947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59,339,161</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(73,378,421)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(58,994,707)</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344,454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deducted for tax</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(108,976)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depreciation in excess of book</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(95,742)</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Gain/Loss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(344,454)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Federal net operating losses (“NOL”) generated in tax years ended after December 31, 2017 are limited to 80% of taxable income, only carried forward and carried forward indefinitely under the Internal Revenue Code of 1986, as amended (the “IRC”). There was no income tax expense or benefit in 2025. The Company has provided a valuation allowance for the full amount of the net deferred tax assets as, based on all available evidence, it is considered more likely than not that all the recorded deferred tax assets will not be realized in a future period. For the period ended December 31, 2025, the Company's federal, state post-apportioned, and foreign net operating loss carryforwards are approximately $174.8 million, $56.7 million, and $0, respectively. Of the federal amount, $174.8 million is expected to have an indefinite carryforward period. Of the state post-apportioned amount, $56.7 million is expected to have a limited carryforward period that will begin to expire in 2038 For the period ended December 31, 2025, the Company's federal, state, and foreign tax credit carryforwards are approximately $12.0 million, $3.7 million, and $0, respectively. All tax credits are expected to have a limited carryforward period that will begin to expire in 2038.</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accordance with Section 382 and Section 383 of the IRC, utilization of the NOL and tax credit carryforwards may be subject to limitations based on prior or future ownership changes. Additionally, after weighing all available positive and negative evidence for the period ended December 31, 2025, the Company has recorded a valuation allowance of approximately $73.4 million.</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Company has not yet achieved profitable operations, management believes the tax benefits as of December 31, 2025 did not satisfy the realization criteria set forth in ASC Topic 740, Income Taxes and, therefore, has recorded a full valuation allowance for the entire deferred tax asset. The valuation allowance increased in 2025 by $14.4 million due to the increase in the deferred tax assets by approximately the same amount, primarily due to NOL and research and development expenses.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Utilization of the U.S. net operating loss carryforwards and research and development tax credit carryforwards may be subject to a substantial annual limitation under Section 382 of the IRC,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by the Company and any limitation is known, no amounts are being presented as an uncertain tax position.</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 in multiple jurisdictions, including federal, state, and city jurisdictions. The Company has federal, state, and city income tax returns that are open to examination from 2023, 2024, and 2025 forward, respectively. In addition, the utilization of tax carryforwards from periods prior to those previously mentioned may also be audited by taxing authorities once utilized.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the Company continuously monitors its current and prior filing positions in order to determine if any unrecognized tax positions need to be recorded. The analysis involves considerable judgment and is based on the information available to the Company.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December 31, 2024, the Company had uncertain tax positions of $1.5 million and $1.1 million, respectively. The Company has classified the unrecognized tax benefits as reductions of its tax carryforwards. The Company has elected to recognize interest and penalties related to income tax matters as a component of income tax expense, of which no interest or penalties were recorded for the years ended December 31, 2025 and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December 31, 2024, unrecognized tax benefits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699,527</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due to current year tax position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437,001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accrued any interest expense or penalties related to the unrecognized tax benefits for the periods ended December 31, 2025 and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calculated interest and penalties to be immaterial since no NOLs or federal tax credits have been utilized.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tax returns in the United States including without limitation in: California, New York, Florida, New Jersey and Massachusetts. All tax years from 2018 to 2024 remain open to examination by the major taxing jurisdictions to which the Company is subject, as carryforward attributes generated in years past may still be adjusted upon examination by the Internal Revenue Service (“IRS”) or other authorities if they have or will be used in a future period. The Company is not to its knowledge currently under examination by the IRS or in any other jurisdictions for any tax years.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made no income tax payments and received no income tax refunds during the year ended December 31, 2025. All payments made to taxing authorities were for non-income based tax liabilities and were outside the scope of ASC 740.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38,613 square feet of office and laboratory space in San Diego, California, under a lease that terminates on April 30, 2032. As of December 31, 2025, the right-of-use asset balance associated with this lease was $3,322,249.</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also leases office space in Cambridge, Massachusetts and New York, New York, pursuant to short-term arrangements. In September 2025, the Company executed a one year lease for its existing office space in Cambridge with a term that commenced on December 1, 2025 and ends on November 30, 2026. The New York lease was most recently renewed on October 1, 2025 to extend the lease term through September 30, 2026. These lease agreements include or included payments for lease and non-lease components. The Company has elected to not separate such components and these payments were recognized as rent expense.</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total future minimum lease payments for its short-term leases in Cambridge, Massachusetts and New York, New York were $140,136 due in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or remaining terms in excess of one year at December 31, 2025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761,877</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784,737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808,278</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832,527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857,496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1,184,208</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5,229,123</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(1,404,698)</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3,824,425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 lease liabilities</w:t>
            </w: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397,104</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3,427,321</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3,824,425</w:t>
            </w:r>
          </w:p>
        </w:tc>
        <w:tc>
          <w:tcPr>
            <w:tcW w:w="0" w:type="dxa"/>
            <w:vAlign w:val="bottom"/>
          </w:tcPr>
          <w:p>
            <w:pPr>
              <w:spacing w:after="0"/>
              <w:rPr>
                <w:sz w:val="1"/>
                <w:szCs w:val="1"/>
                <w:color w:val="auto"/>
              </w:rPr>
            </w:pPr>
          </w:p>
        </w:tc>
      </w:tr>
      <w:tr>
        <w:trPr>
          <w:trHeight w:val="21"/>
        </w:trPr>
        <w:tc>
          <w:tcPr>
            <w:tcW w:w="96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Quantitative information regarding the Company’s leases for the year ended December 31, 2025 and 2024 is as follows:</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96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746,360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760,822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146,422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145,070</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(19,200)</w:t>
            </w:r>
          </w:p>
        </w:tc>
        <w:tc>
          <w:tcPr>
            <w:tcW w:w="0" w:type="dxa"/>
            <w:vAlign w:val="bottom"/>
          </w:tcPr>
          <w:p>
            <w:pPr>
              <w:spacing w:after="0"/>
              <w:rPr>
                <w:sz w:val="1"/>
                <w:szCs w:val="1"/>
                <w:color w:val="auto"/>
              </w:rPr>
            </w:pPr>
          </w:p>
        </w:tc>
      </w:tr>
      <w:tr>
        <w:trPr>
          <w:trHeight w:val="248"/>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892,782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886,692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739,689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732,546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146,422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145,070</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886,111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877,616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6.33 years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7.33 years</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and may be exposed to litigation in connection with its product candidates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judgment is required to determine both probability and estimated amount. The Company is not aware of any material legal matters.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Research Contracts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enter into contracts in the normal course of business with contract research organizations for clinical trials, with contract manufacturing organizations for clinical supplies, and with other vendors for preclinical studies, supplies and other services for the Company's operating purposes. These contracts generally provide for termination with a 30-day notice.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An operating segment is identified as a component of an enterprise about which separate discrete financial information is available for evaluation by the Chief Operating Decision Maker ("CODM") in making decisions, including regarding resource allocation and assessing performance. The Company’s Chief Executive Officer is its CODM.</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CODM uses consolidated single-segment (one) financial information for purposes of: allocating resources, evaluating performance, making operating decisions, setting incentive targets, and planning and forecasting for future periods. The Company's CODM makes such decisions based on consolidated net loss. This measure is used to monitor budget versus actual results to evaluate the performance of the segment. Managing and allocating resources on a consolidated basis enables the CODM to assess the overall level of resources available and how to deploy these resources across functions and operations (including research and development) that align with the Company’s strategic goals. All of the Company’s long-lived assets are held in the United States.</w:t>
      </w:r>
    </w:p>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representative of the significant expense categories regularly provided to the CODM when managing the Company’s single reporting segment.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4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40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Program expenses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Atebimetinib (IMM-1-104)</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17,639,073</w:t>
            </w:r>
          </w:p>
        </w:tc>
        <w:tc>
          <w:tcPr>
            <w:tcW w:w="16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18,099,437</w:t>
            </w:r>
          </w:p>
        </w:tc>
      </w:tr>
      <w:tr>
        <w:trPr>
          <w:trHeight w:val="23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Envometinib (IMM-6-415)</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2,203,828</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6,521,249</w:t>
            </w:r>
          </w:p>
        </w:tc>
      </w:tr>
      <w:tr>
        <w:trPr>
          <w:trHeight w:val="229"/>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programs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5,847,842</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6,031,280</w:t>
            </w:r>
          </w:p>
        </w:tc>
      </w:tr>
      <w:tr>
        <w:trPr>
          <w:trHeight w:val="230"/>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Non-program expenses</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6,133,986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5,397,079</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20,913,494</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21,165,183</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6,311,135</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6,501,366</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Depreciation/amortization</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324,517</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355,807</w:t>
            </w:r>
          </w:p>
        </w:tc>
      </w:tr>
      <w:tr>
        <w:trPr>
          <w:trHeight w:val="230"/>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(3)</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(3,348,977)</w:t>
            </w:r>
          </w:p>
        </w:tc>
        <w:tc>
          <w:tcPr>
            <w:tcW w:w="1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(3,034,793)</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56,024,898</w:t>
            </w: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61,036,608</w:t>
            </w:r>
          </w:p>
        </w:tc>
      </w:tr>
      <w:tr>
        <w:trPr>
          <w:trHeight w:val="20"/>
        </w:trPr>
        <w:tc>
          <w:tcPr>
            <w:tcW w:w="7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direct research and development expenses.</w:t>
      </w:r>
    </w:p>
    <w:p>
      <w:pPr>
        <w:spacing w:after="0" w:line="15" w:lineRule="exact"/>
        <w:rPr>
          <w:rFonts w:ascii="Times New Roman" w:cs="Times New Roman" w:eastAsia="Times New Roman" w:hAnsi="Times New Roman"/>
          <w:sz w:val="18"/>
          <w:szCs w:val="18"/>
          <w:color w:val="auto"/>
        </w:rPr>
      </w:pPr>
    </w:p>
    <w:p>
      <w:pPr>
        <w:ind w:left="260" w:hanging="252"/>
        <w:spacing w:after="0" w:line="234" w:lineRule="auto"/>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general and administrative expenses, in addition to facilities and other research and development expenses.</w:t>
      </w: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income and other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our SVP Finance, Chief Accounting Officer and Treasurer (who serves as our principal financial officer), evaluated the effectiveness of our disclosure controls and procedures (as defined in Rules 13a-15(e) and 15d-15(e) under the Exchange Act) as of December 31, 2025. Based on this evaluation, our Chief Executive Officer and Chief Accounting Officer and Treasurer concluded that, as of December 31, 2025, our disclosure controls and procedures were effective at the reasonable assurance level.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Rules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2025, our internal control over financial reporting was effective. As an "emerging growth company" as defined in the JOBS Act and a non-accelerated filer, we are not required to comply with the auditor attestation requirement of Section 404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fourth quarter of 2025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8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Except as set forth in the table below, during the three months ended December 31, 2025, no director or “officer” (as defined in Rule 16a-1(f) under the Exchange Act) of the Company adopted or terminated a “Rule 10b5-1 trading arrangement” and / or “non-Rule 10b5-1 trading arrangement”, as each term is defined in Item 408 of Regulation S-K.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9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Aggregate Number of</w:t>
            </w:r>
          </w:p>
        </w:tc>
        <w:tc>
          <w:tcPr>
            <w:tcW w:w="1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7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Character of Trading</w:t>
            </w:r>
          </w:p>
        </w:tc>
        <w:tc>
          <w:tcPr>
            <w:tcW w:w="19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Name / Title</w:t>
            </w:r>
          </w:p>
        </w:tc>
        <w:tc>
          <w:tcPr>
            <w:tcW w:w="14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1740" w:type="dxa"/>
            <w:vAlign w:val="bottom"/>
            <w:vMerge w:val="continue"/>
          </w:tcPr>
          <w:p>
            <w:pPr>
              <w:spacing w:after="0"/>
              <w:rPr>
                <w:sz w:val="12"/>
                <w:szCs w:val="12"/>
                <w:color w:val="auto"/>
              </w:rPr>
            </w:pPr>
          </w:p>
        </w:tc>
        <w:tc>
          <w:tcPr>
            <w:tcW w:w="1900" w:type="dxa"/>
            <w:vAlign w:val="bottom"/>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to be Sold Pursuant to</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18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Other Material Terms</w:t>
            </w:r>
          </w:p>
        </w:tc>
        <w:tc>
          <w:tcPr>
            <w:tcW w:w="16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Date Terminated</w:t>
            </w:r>
          </w:p>
        </w:tc>
        <w:tc>
          <w:tcPr>
            <w:tcW w:w="0" w:type="dxa"/>
            <w:vAlign w:val="bottom"/>
          </w:tcPr>
          <w:p>
            <w:pPr>
              <w:spacing w:after="0"/>
              <w:rPr>
                <w:sz w:val="1"/>
                <w:szCs w:val="1"/>
                <w:color w:val="auto"/>
              </w:rPr>
            </w:pPr>
          </w:p>
        </w:tc>
      </w:tr>
      <w:tr>
        <w:trPr>
          <w:trHeight w:val="203"/>
        </w:trPr>
        <w:tc>
          <w:tcPr>
            <w:tcW w:w="16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740" w:type="dxa"/>
            <w:vAlign w:val="bottom"/>
          </w:tcPr>
          <w:p>
            <w:pPr>
              <w:ind w:left="560"/>
              <w:spacing w:after="0" w:line="202" w:lineRule="exact"/>
              <w:rPr>
                <w:sz w:val="20"/>
                <w:szCs w:val="20"/>
                <w:color w:val="auto"/>
              </w:rPr>
            </w:pPr>
            <w:r>
              <w:rPr>
                <w:rFonts w:ascii="Times New Roman" w:cs="Times New Roman" w:eastAsia="Times New Roman" w:hAnsi="Times New Roman"/>
                <w:sz w:val="14"/>
                <w:szCs w:val="14"/>
                <w:b w:val="1"/>
                <w:bCs w:val="1"/>
                <w:color w:val="auto"/>
              </w:rPr>
              <w:t>Arrangement</w:t>
            </w:r>
            <w:r>
              <w:rPr>
                <w:rFonts w:ascii="Times New Roman" w:cs="Times New Roman" w:eastAsia="Times New Roman" w:hAnsi="Times New Roman"/>
                <w:sz w:val="18"/>
                <w:szCs w:val="18"/>
                <w:b w:val="1"/>
                <w:bCs w:val="1"/>
                <w:color w:val="auto"/>
                <w:vertAlign w:val="superscript"/>
              </w:rPr>
              <w:t>1</w:t>
            </w:r>
          </w:p>
        </w:tc>
        <w:tc>
          <w:tcPr>
            <w:tcW w:w="19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Trading Arrangement</w:t>
            </w:r>
          </w:p>
        </w:tc>
        <w:tc>
          <w:tcPr>
            <w:tcW w:w="112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Michael Bookman, Chief</w:t>
            </w:r>
          </w:p>
        </w:tc>
        <w:tc>
          <w:tcPr>
            <w:tcW w:w="1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November 17, 2025</w:t>
            </w:r>
          </w:p>
        </w:tc>
        <w:tc>
          <w:tcPr>
            <w:tcW w:w="17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Rule 10b5-1 Trading</w:t>
            </w:r>
          </w:p>
        </w:tc>
        <w:tc>
          <w:tcPr>
            <w:tcW w:w="1900" w:type="dxa"/>
            <w:vAlign w:val="bottom"/>
            <w:vMerge w:val="restart"/>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( 2 )</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( 3 )</w:t>
            </w:r>
          </w:p>
        </w:tc>
        <w:tc>
          <w:tcPr>
            <w:tcW w:w="18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Not applicable</w:t>
            </w: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98"/>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Officer &amp; Secretary</w:t>
            </w:r>
          </w:p>
        </w:tc>
        <w:tc>
          <w:tcPr>
            <w:tcW w:w="1420" w:type="dxa"/>
            <w:vAlign w:val="bottom"/>
            <w:vMerge w:val="continue"/>
            <w:shd w:val="clear" w:color="auto" w:fill="CCEEFF"/>
          </w:tcPr>
          <w:p>
            <w:pPr>
              <w:spacing w:after="0"/>
              <w:rPr>
                <w:sz w:val="17"/>
                <w:szCs w:val="17"/>
                <w:color w:val="auto"/>
              </w:rPr>
            </w:pPr>
          </w:p>
        </w:tc>
        <w:tc>
          <w:tcPr>
            <w:tcW w:w="1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Arrangement</w:t>
            </w:r>
          </w:p>
        </w:tc>
        <w:tc>
          <w:tcPr>
            <w:tcW w:w="19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800" w:type="dxa"/>
            <w:vAlign w:val="bottom"/>
            <w:vMerge w:val="continue"/>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Harold Brakewood, Chief</w:t>
            </w: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November 17, 2025</w:t>
            </w:r>
          </w:p>
        </w:tc>
        <w:tc>
          <w:tcPr>
            <w:tcW w:w="17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Rule 10b5-1 Trading</w:t>
            </w:r>
          </w:p>
        </w:tc>
        <w:tc>
          <w:tcPr>
            <w:tcW w:w="19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rPr>
              <w:t>( 2 )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( 3 )</w:t>
            </w:r>
          </w:p>
        </w:tc>
        <w:tc>
          <w:tcPr>
            <w:tcW w:w="18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Not applicable</w:t>
            </w: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93"/>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Officer</w:t>
            </w:r>
          </w:p>
        </w:tc>
        <w:tc>
          <w:tcPr>
            <w:tcW w:w="1420" w:type="dxa"/>
            <w:vAlign w:val="bottom"/>
            <w:vMerge w:val="continue"/>
          </w:tcPr>
          <w:p>
            <w:pPr>
              <w:spacing w:after="0"/>
              <w:rPr>
                <w:sz w:val="16"/>
                <w:szCs w:val="16"/>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Arrangement</w:t>
            </w:r>
          </w:p>
        </w:tc>
        <w:tc>
          <w:tcPr>
            <w:tcW w:w="19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Brett Hall, Chief Scientific</w:t>
            </w:r>
          </w:p>
        </w:tc>
        <w:tc>
          <w:tcPr>
            <w:tcW w:w="1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November 17, 2025</w:t>
            </w:r>
          </w:p>
        </w:tc>
        <w:tc>
          <w:tcPr>
            <w:tcW w:w="174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4"/>
                <w:szCs w:val="14"/>
                <w:color w:val="auto"/>
              </w:rPr>
              <w:t>Rule 10b5-1 Trading</w:t>
            </w:r>
          </w:p>
        </w:tc>
        <w:tc>
          <w:tcPr>
            <w:tcW w:w="1900" w:type="dxa"/>
            <w:vAlign w:val="bottom"/>
            <w:vMerge w:val="restart"/>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( 2 )</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( 3 )</w:t>
            </w:r>
          </w:p>
        </w:tc>
        <w:tc>
          <w:tcPr>
            <w:tcW w:w="18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Not applicable</w:t>
            </w: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98"/>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Officer</w:t>
            </w:r>
          </w:p>
        </w:tc>
        <w:tc>
          <w:tcPr>
            <w:tcW w:w="1420" w:type="dxa"/>
            <w:vAlign w:val="bottom"/>
            <w:vMerge w:val="continue"/>
            <w:shd w:val="clear" w:color="auto" w:fill="CCEEFF"/>
          </w:tcPr>
          <w:p>
            <w:pPr>
              <w:spacing w:after="0"/>
              <w:rPr>
                <w:sz w:val="17"/>
                <w:szCs w:val="17"/>
                <w:color w:val="auto"/>
              </w:rPr>
            </w:pPr>
          </w:p>
        </w:tc>
        <w:tc>
          <w:tcPr>
            <w:tcW w:w="1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Arrangement</w:t>
            </w:r>
          </w:p>
        </w:tc>
        <w:tc>
          <w:tcPr>
            <w:tcW w:w="19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800" w:type="dxa"/>
            <w:vAlign w:val="bottom"/>
            <w:vMerge w:val="continue"/>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Igor Matushansky, Chief</w:t>
            </w: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November 17, 2025</w:t>
            </w:r>
          </w:p>
        </w:tc>
        <w:tc>
          <w:tcPr>
            <w:tcW w:w="17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Rule 10b5-1 Trading</w:t>
            </w:r>
          </w:p>
        </w:tc>
        <w:tc>
          <w:tcPr>
            <w:tcW w:w="19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rPr>
              <w:t>( 2 )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( 3 )</w:t>
            </w:r>
          </w:p>
        </w:tc>
        <w:tc>
          <w:tcPr>
            <w:tcW w:w="18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Not applicable</w:t>
            </w: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93"/>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Medical Officer</w:t>
            </w:r>
          </w:p>
        </w:tc>
        <w:tc>
          <w:tcPr>
            <w:tcW w:w="1420" w:type="dxa"/>
            <w:vAlign w:val="bottom"/>
            <w:vMerge w:val="continue"/>
          </w:tcPr>
          <w:p>
            <w:pPr>
              <w:spacing w:after="0"/>
              <w:rPr>
                <w:sz w:val="16"/>
                <w:szCs w:val="16"/>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Arrangement</w:t>
            </w:r>
          </w:p>
        </w:tc>
        <w:tc>
          <w:tcPr>
            <w:tcW w:w="19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Mallory Morales, SVP</w:t>
            </w:r>
          </w:p>
        </w:tc>
        <w:tc>
          <w:tcPr>
            <w:tcW w:w="1420" w:type="dxa"/>
            <w:vAlign w:val="bottom"/>
            <w:shd w:val="clear" w:color="auto" w:fill="CCEEFF"/>
          </w:tcPr>
          <w:p>
            <w:pPr>
              <w:spacing w:after="0"/>
              <w:rPr>
                <w:sz w:val="12"/>
                <w:szCs w:val="12"/>
                <w:color w:val="auto"/>
              </w:rPr>
            </w:pPr>
          </w:p>
        </w:tc>
        <w:tc>
          <w:tcPr>
            <w:tcW w:w="17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Rule 10b5-1 Trading</w:t>
            </w:r>
          </w:p>
        </w:tc>
        <w:tc>
          <w:tcPr>
            <w:tcW w:w="19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Finance, Chief Accounting</w:t>
            </w:r>
          </w:p>
        </w:tc>
        <w:tc>
          <w:tcPr>
            <w:tcW w:w="1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November 17, 2025</w:t>
            </w:r>
          </w:p>
        </w:tc>
        <w:tc>
          <w:tcPr>
            <w:tcW w:w="1740" w:type="dxa"/>
            <w:vAlign w:val="bottom"/>
            <w:vMerge w:val="continue"/>
            <w:shd w:val="clear" w:color="auto" w:fill="CCEEFF"/>
          </w:tcPr>
          <w:p>
            <w:pPr>
              <w:spacing w:after="0"/>
              <w:rPr>
                <w:sz w:val="12"/>
                <w:szCs w:val="12"/>
                <w:color w:val="auto"/>
              </w:rPr>
            </w:pPr>
          </w:p>
        </w:tc>
        <w:tc>
          <w:tcPr>
            <w:tcW w:w="1900" w:type="dxa"/>
            <w:vAlign w:val="bottom"/>
            <w:vMerge w:val="restart"/>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( 2 )</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( 3 )</w:t>
            </w:r>
          </w:p>
        </w:tc>
        <w:tc>
          <w:tcPr>
            <w:tcW w:w="18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Not applicable</w:t>
            </w: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98"/>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Officer &amp; Treasurer</w:t>
            </w:r>
          </w:p>
        </w:tc>
        <w:tc>
          <w:tcPr>
            <w:tcW w:w="1420" w:type="dxa"/>
            <w:vAlign w:val="bottom"/>
            <w:vMerge w:val="continue"/>
            <w:shd w:val="clear" w:color="auto" w:fill="CCEEFF"/>
          </w:tcPr>
          <w:p>
            <w:pPr>
              <w:spacing w:after="0"/>
              <w:rPr>
                <w:sz w:val="17"/>
                <w:szCs w:val="17"/>
                <w:color w:val="auto"/>
              </w:rPr>
            </w:pPr>
          </w:p>
        </w:tc>
        <w:tc>
          <w:tcPr>
            <w:tcW w:w="1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Arrangement</w:t>
            </w:r>
          </w:p>
        </w:tc>
        <w:tc>
          <w:tcPr>
            <w:tcW w:w="19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800" w:type="dxa"/>
            <w:vAlign w:val="bottom"/>
            <w:vMerge w:val="continue"/>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Leah Neufeld, Chief</w:t>
            </w: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November 17, 2025</w:t>
            </w:r>
          </w:p>
        </w:tc>
        <w:tc>
          <w:tcPr>
            <w:tcW w:w="17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Rule 10b5-1 Trading</w:t>
            </w:r>
          </w:p>
        </w:tc>
        <w:tc>
          <w:tcPr>
            <w:tcW w:w="19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rPr>
              <w:t>( 2 )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( 3 )</w:t>
            </w:r>
          </w:p>
        </w:tc>
        <w:tc>
          <w:tcPr>
            <w:tcW w:w="18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Not applicable</w:t>
            </w: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93"/>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People Officer</w:t>
            </w:r>
          </w:p>
        </w:tc>
        <w:tc>
          <w:tcPr>
            <w:tcW w:w="1420" w:type="dxa"/>
            <w:vAlign w:val="bottom"/>
            <w:vMerge w:val="continue"/>
          </w:tcPr>
          <w:p>
            <w:pPr>
              <w:spacing w:after="0"/>
              <w:rPr>
                <w:sz w:val="16"/>
                <w:szCs w:val="16"/>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Arrangement</w:t>
            </w:r>
          </w:p>
        </w:tc>
        <w:tc>
          <w:tcPr>
            <w:tcW w:w="19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Benjamin Zeskind,</w:t>
            </w:r>
          </w:p>
        </w:tc>
        <w:tc>
          <w:tcPr>
            <w:tcW w:w="1420" w:type="dxa"/>
            <w:vAlign w:val="bottom"/>
            <w:shd w:val="clear" w:color="auto" w:fill="CCEEFF"/>
          </w:tcPr>
          <w:p>
            <w:pPr>
              <w:spacing w:after="0"/>
              <w:rPr>
                <w:sz w:val="12"/>
                <w:szCs w:val="12"/>
                <w:color w:val="auto"/>
              </w:rPr>
            </w:pPr>
          </w:p>
        </w:tc>
        <w:tc>
          <w:tcPr>
            <w:tcW w:w="17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Rule 10b5-1 Trading</w:t>
            </w:r>
          </w:p>
        </w:tc>
        <w:tc>
          <w:tcPr>
            <w:tcW w:w="19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President &amp; Chief</w:t>
            </w:r>
          </w:p>
        </w:tc>
        <w:tc>
          <w:tcPr>
            <w:tcW w:w="1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November 17, 2025</w:t>
            </w:r>
          </w:p>
        </w:tc>
        <w:tc>
          <w:tcPr>
            <w:tcW w:w="1740" w:type="dxa"/>
            <w:vAlign w:val="bottom"/>
            <w:vMerge w:val="continue"/>
            <w:shd w:val="clear" w:color="auto" w:fill="CCEEFF"/>
          </w:tcPr>
          <w:p>
            <w:pPr>
              <w:spacing w:after="0"/>
              <w:rPr>
                <w:sz w:val="12"/>
                <w:szCs w:val="12"/>
                <w:color w:val="auto"/>
              </w:rPr>
            </w:pPr>
          </w:p>
        </w:tc>
        <w:tc>
          <w:tcPr>
            <w:tcW w:w="1900" w:type="dxa"/>
            <w:vAlign w:val="bottom"/>
            <w:vMerge w:val="restart"/>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( 2 )</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( 3 )</w:t>
            </w:r>
          </w:p>
        </w:tc>
        <w:tc>
          <w:tcPr>
            <w:tcW w:w="18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Not applicable</w:t>
            </w: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98"/>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Executive Officer</w:t>
            </w:r>
          </w:p>
        </w:tc>
        <w:tc>
          <w:tcPr>
            <w:tcW w:w="1420" w:type="dxa"/>
            <w:vAlign w:val="bottom"/>
            <w:vMerge w:val="continue"/>
            <w:shd w:val="clear" w:color="auto" w:fill="CCEEFF"/>
          </w:tcPr>
          <w:p>
            <w:pPr>
              <w:spacing w:after="0"/>
              <w:rPr>
                <w:sz w:val="17"/>
                <w:szCs w:val="17"/>
                <w:color w:val="auto"/>
              </w:rPr>
            </w:pPr>
          </w:p>
        </w:tc>
        <w:tc>
          <w:tcPr>
            <w:tcW w:w="1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Arrangement</w:t>
            </w:r>
          </w:p>
        </w:tc>
        <w:tc>
          <w:tcPr>
            <w:tcW w:w="19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800" w:type="dxa"/>
            <w:vAlign w:val="bottom"/>
            <w:vMerge w:val="continue"/>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8"/>
        <w:spacing w:after="0" w:line="267" w:lineRule="auto"/>
        <w:tabs>
          <w:tab w:leader="none" w:pos="20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trading arrangement marked as a “Rule 10b5-1 Trading Arrangement” is a sell-to-cover instruction letter that provides for sales of a number of shares of common stock as is necessary to cover tax withholding obligations incurred in connection with the vesting or settlement of restricted stock or restricted stock units and is intended to satisfy the affirmative defense of Rule 10b5-1(c), as amended (the “Rule”).</w:t>
      </w:r>
    </w:p>
    <w:p>
      <w:pPr>
        <w:spacing w:after="0" w:line="1" w:lineRule="exact"/>
        <w:rPr>
          <w:rFonts w:ascii="Times New Roman" w:cs="Times New Roman" w:eastAsia="Times New Roman" w:hAnsi="Times New Roman"/>
          <w:sz w:val="14"/>
          <w:szCs w:val="14"/>
          <w:color w:val="auto"/>
        </w:rPr>
      </w:pPr>
    </w:p>
    <w:p>
      <w:pPr>
        <w:ind w:right="20" w:firstLine="8"/>
        <w:spacing w:after="0" w:line="237" w:lineRule="auto"/>
        <w:tabs>
          <w:tab w:leader="none" w:pos="204"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applicable, up to the minimum number of whole shares of vesting restricted stock (or common stock issuable upon vesting or settlement of restricted stock units) of the Company then held by the named individual, in connection with the vesting or settlement of restricted stock awards and/or restricted stock unit awards, if any, granted by the Company to the named individual, in each case that is sufficient to receive proceeds equal to the amount of the minimum statutory withholding obligations due from the named individual in connection with such vesting or settlement event. The total number of shares that may be sold is not determinable.</w:t>
      </w:r>
    </w:p>
    <w:p>
      <w:pPr>
        <w:spacing w:after="0" w:line="1" w:lineRule="exact"/>
        <w:rPr>
          <w:rFonts w:ascii="Times New Roman" w:cs="Times New Roman" w:eastAsia="Times New Roman" w:hAnsi="Times New Roman"/>
          <w:sz w:val="14"/>
          <w:szCs w:val="14"/>
          <w:color w:val="auto"/>
        </w:rPr>
      </w:pPr>
    </w:p>
    <w:p>
      <w:pPr>
        <w:ind w:right="260" w:firstLine="8"/>
        <w:spacing w:after="0" w:line="258" w:lineRule="auto"/>
        <w:tabs>
          <w:tab w:leader="none" w:pos="204"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arrangement has an indefinite duration and may be modified, terminated or amended only by a writing signed by named individual and provided to the Company. Each trading arrangement marked as a “Rule 10b5-1 Trading Arrangement” only permits transactions upon expiration of the applicable mandatory cooling-off period(s) under the Rule.</w:t>
      </w:r>
    </w:p>
    <w:p>
      <w:pPr>
        <w:spacing w:after="0" w:line="151" w:lineRule="exact"/>
        <w:rPr>
          <w:sz w:val="20"/>
          <w:szCs w:val="20"/>
          <w:color w:val="auto"/>
        </w:rPr>
      </w:pPr>
    </w:p>
    <w:p>
      <w:pPr>
        <w:ind w:right="528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including with respect to the Company’s Insider Trading Compliance Policy and Procedures, will be included in our Definitive Proxy Statement to be filed with the SEC with respect to our 2026 Annual Meeting of Stockholders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2026 Annual Meeting of Stockholders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including information regarding securities authorized for issuance under equity compensation plans pursuant to Item 5(a), Part II of Form 10-K, will be included in our Definitive Proxy Statement to be filed with the SEC with respect to our 2026 Annual Meeting of Stockholders and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2026 Annual Meeting of Stockholders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2026 Annual Meeting of Stockholders and is incorporated herein by reference.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list of the financial statements included herein, see Index to Consolidated Financial Statements in this Annual Report on Form 10-K, incorporated into this Item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in Item 15(b)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 EXHIBIT INDEX</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020" w:type="dxa"/>
            <w:vAlign w:val="bottom"/>
            <w:tcBorders>
              <w:bottom w:val="single" w:sz="8" w:color="auto"/>
            </w:tcBorders>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3"/>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3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20" w:type="dxa"/>
            <w:vAlign w:val="bottom"/>
            <w:vMerge w:val="continue"/>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3"/>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0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Share Purchase Agreement by and among Immuneering Corporation,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2.1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12/22/2021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BioArkive, Inc. and BioArkive’s shareholders, dated as of December</w:t>
              </w:r>
            </w:hyperlink>
          </w:p>
        </w:tc>
        <w:tc>
          <w:tcPr>
            <w:tcW w:w="600" w:type="dxa"/>
            <w:vAlign w:val="bottom"/>
            <w:tcBorders>
              <w:bottom w:val="single" w:sz="8" w:color="0000FF"/>
            </w:tcBorders>
            <w:gridSpan w:val="14"/>
          </w:tcPr>
          <w:p>
            <w:pPr>
              <w:jc w:val="right"/>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22, 2021</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Amended and Restated Certificate of Incorporation of Immuneering</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09/09/2021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42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Corporation</w:t>
              </w:r>
            </w:hyperlink>
          </w:p>
        </w:tc>
        <w:tc>
          <w:tcPr>
            <w:tcW w:w="2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394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Amended and Restated Bylaws of Immuneering Corporation</w:t>
              </w:r>
            </w:hyperlink>
          </w:p>
        </w:tc>
        <w:tc>
          <w:tcPr>
            <w:tcW w:w="1300" w:type="dxa"/>
            <w:vAlign w:val="bottom"/>
            <w:gridSpan w:val="22"/>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02/02/2024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234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Form of Specimen Stock Certificate</w:t>
              </w:r>
            </w:hyperlink>
          </w:p>
        </w:tc>
        <w:tc>
          <w:tcPr>
            <w:tcW w:w="2900" w:type="dxa"/>
            <w:vAlign w:val="bottom"/>
            <w:gridSpan w:val="29"/>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4.1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Amended and Restated Investors’ Rights Agreement, dated December 21, 2020,</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4.2</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3760" w:type="dxa"/>
            <w:vAlign w:val="bottom"/>
            <w:tcBorders>
              <w:top w:val="single" w:sz="8" w:color="0000FF"/>
              <w:bottom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by and among the Registrant and the other parties thereto.</w:t>
              </w:r>
            </w:hyperlink>
          </w:p>
        </w:tc>
        <w:tc>
          <w:tcPr>
            <w:tcW w:w="1440" w:type="dxa"/>
            <w:vAlign w:val="bottom"/>
            <w:tcBorders>
              <w:top w:val="single" w:sz="8" w:color="0000FF"/>
            </w:tcBorders>
            <w:gridSpan w:val="22"/>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Description of Securities</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4.3</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03/10/2022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188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9"/>
              </w:rPr>
            </w:pPr>
            <w:hyperlink r:id="rId187">
              <w:r>
                <w:rPr>
                  <w:rFonts w:ascii="Times New Roman" w:cs="Times New Roman" w:eastAsia="Times New Roman" w:hAnsi="Times New Roman"/>
                  <w:sz w:val="16"/>
                  <w:szCs w:val="16"/>
                  <w:color w:val="0000FF"/>
                  <w:w w:val="99"/>
                </w:rPr>
                <w:t>Form of Pre-Funded Warrant</w:t>
              </w:r>
            </w:hyperlink>
          </w:p>
        </w:tc>
        <w:tc>
          <w:tcPr>
            <w:tcW w:w="3360" w:type="dxa"/>
            <w:vAlign w:val="bottom"/>
            <w:gridSpan w:val="33"/>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4.1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08/25/2025</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172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9"/>
              </w:rPr>
            </w:pPr>
            <w:hyperlink r:id="rId188">
              <w:r>
                <w:rPr>
                  <w:rFonts w:ascii="Times New Roman" w:cs="Times New Roman" w:eastAsia="Times New Roman" w:hAnsi="Times New Roman"/>
                  <w:sz w:val="16"/>
                  <w:szCs w:val="16"/>
                  <w:color w:val="0000FF"/>
                  <w:w w:val="99"/>
                </w:rPr>
                <w:t>Form of Purchase Warrant</w:t>
              </w:r>
            </w:hyperlink>
          </w:p>
        </w:tc>
        <w:tc>
          <w:tcPr>
            <w:tcW w:w="3520" w:type="dxa"/>
            <w:vAlign w:val="bottom"/>
            <w:gridSpan w:val="34"/>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4.2</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08/25/2025</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Employment Agreement, dated July 23, 2021, by and between Brett Hall, Ph.D.</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10.6</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5180" w:type="dxa"/>
            <w:vAlign w:val="bottom"/>
            <w:tcBorders>
              <w:top w:val="single" w:sz="8" w:color="0000FF"/>
            </w:tcBorders>
            <w:gridSpan w:val="41"/>
          </w:tcPr>
          <w:p>
            <w:pPr>
              <w:spacing w:after="0" w:line="14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and Immuneering Corporation</w:t>
              </w:r>
            </w:hyperlink>
          </w:p>
        </w:tc>
        <w:tc>
          <w:tcPr>
            <w:tcW w:w="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Employment Agreement, dated July 23, 2021, by and between Benjamin J.</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10.8</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860" w:type="dxa"/>
            <w:vAlign w:val="bottom"/>
            <w:tcBorders>
              <w:top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Zeskind, Ph.D. and Immuneering Corporation</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Employment Agreement, dated July 23, 2021, by and between Mallory Morales</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10.4</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03/01/2024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5180" w:type="dxa"/>
            <w:vAlign w:val="bottom"/>
            <w:tcBorders>
              <w:top w:val="single" w:sz="8" w:color="0000FF"/>
            </w:tcBorders>
            <w:gridSpan w:val="41"/>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and Immuneering Corporation</w:t>
              </w:r>
            </w:hyperlink>
          </w:p>
        </w:tc>
        <w:tc>
          <w:tcPr>
            <w:tcW w:w="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Letter Agreement, by and between Immuneering Corporation and Mallory</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07/25/2022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224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Morales, dated as of July 25, 2022</w:t>
              </w:r>
            </w:hyperlink>
          </w:p>
        </w:tc>
        <w:tc>
          <w:tcPr>
            <w:tcW w:w="2600" w:type="dxa"/>
            <w:vAlign w:val="bottom"/>
            <w:tcBorders>
              <w:top w:val="single" w:sz="8" w:color="0000FF"/>
            </w:tcBorders>
            <w:gridSpan w:val="20"/>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Letter Agreement, dated June 14, 2023, by and between Mallory Morales and</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10.6</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03/01/2024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Immuneering Corporation</w:t>
              </w:r>
            </w:hyperlink>
          </w:p>
        </w:tc>
        <w:tc>
          <w:tcPr>
            <w:tcW w:w="3340" w:type="dxa"/>
            <w:vAlign w:val="bottom"/>
            <w:tcBorders>
              <w:top w:val="single" w:sz="8" w:color="0000FF"/>
            </w:tcBorders>
            <w:gridSpan w:val="30"/>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Employment Agreement, dated March 24, 2023, by and between Harold E.</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10.8</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03/01/2024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276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Brakewood and Immuneering Corporation</w:t>
              </w:r>
            </w:hyperlink>
          </w:p>
        </w:tc>
        <w:tc>
          <w:tcPr>
            <w:tcW w:w="2120" w:type="dxa"/>
            <w:vAlign w:val="bottom"/>
            <w:tcBorders>
              <w:top w:val="single" w:sz="8" w:color="0000FF"/>
            </w:tcBorders>
            <w:gridSpan w:val="17"/>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Employment Agreement, Dated July 23, 2021, by and between Michael</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10.9</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Bookman and Immuneering Corporation</w:t>
              </w:r>
            </w:hyperlink>
          </w:p>
        </w:tc>
        <w:tc>
          <w:tcPr>
            <w:tcW w:w="20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Immuneering Corporation 2008 Stock Incentive Plan and form of option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10.4</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07/09/2021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44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196">
              <w:r>
                <w:rPr>
                  <w:rFonts w:ascii="Times New Roman" w:cs="Times New Roman" w:eastAsia="Times New Roman" w:hAnsi="Times New Roman"/>
                  <w:sz w:val="16"/>
                  <w:szCs w:val="16"/>
                  <w:color w:val="0000FF"/>
                  <w:w w:val="99"/>
                </w:rPr>
                <w:t>agreement thereunder.</w:t>
              </w:r>
            </w:hyperlink>
          </w:p>
        </w:tc>
        <w:tc>
          <w:tcPr>
            <w:tcW w:w="3260" w:type="dxa"/>
            <w:vAlign w:val="bottom"/>
            <w:tcBorders>
              <w:top w:val="single" w:sz="8" w:color="0000FF"/>
            </w:tcBorders>
            <w:gridSpan w:val="24"/>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Immuneering Corporation Long Term Incentive Plan and form of option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10.5</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07/09/2021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68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agreement thereunder</w:t>
              </w:r>
            </w:hyperlink>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Immuneering Corporation 2021 Incentive Award Plan and forms of award</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10.10</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80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agreements thereunder</w:t>
              </w:r>
            </w:hyperlink>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Immuneering Corporation 2021 Employee Stock Purchase Plan.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Immuneering Corporation 2025 Employment Inducement Award Plan and</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10.14</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03/20/2025</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forms of award agreements thereunder</w:t>
              </w:r>
            </w:hyperlink>
          </w:p>
        </w:tc>
        <w:tc>
          <w:tcPr>
            <w:tcW w:w="2320" w:type="dxa"/>
            <w:vAlign w:val="bottom"/>
            <w:tcBorders>
              <w:top w:val="single" w:sz="8" w:color="0000FF"/>
            </w:tcBorders>
            <w:gridSpan w:val="16"/>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Equity Distribution Agreement, dated as of August 10, 2022, by and between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S-3</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333-266738</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1.2</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8/10/2022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5020" w:type="dxa"/>
            <w:vAlign w:val="bottom"/>
            <w:tcBorders>
              <w:top w:val="single" w:sz="8" w:color="0000FF"/>
            </w:tcBorders>
            <w:gridSpan w:val="37"/>
          </w:tcPr>
          <w:p>
            <w:pPr>
              <w:spacing w:after="0" w:line="142"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Immuneering Corporation and Piper Sandler &amp; Co.</w:t>
              </w:r>
            </w:hyperlink>
          </w:p>
        </w:tc>
        <w:tc>
          <w:tcPr>
            <w:tcW w:w="8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Form of Indemnification Agreement by and among the Registrant and its</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333-257791</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10.12</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07/26/2021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42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9"/>
              </w:rPr>
            </w:pPr>
            <w:hyperlink r:id="rId202">
              <w:r>
                <w:rPr>
                  <w:rFonts w:ascii="Times New Roman" w:cs="Times New Roman" w:eastAsia="Times New Roman" w:hAnsi="Times New Roman"/>
                  <w:sz w:val="16"/>
                  <w:szCs w:val="16"/>
                  <w:color w:val="0000FF"/>
                  <w:w w:val="99"/>
                </w:rPr>
                <w:t>directors and officers.</w:t>
              </w:r>
            </w:hyperlink>
          </w:p>
        </w:tc>
        <w:tc>
          <w:tcPr>
            <w:tcW w:w="3320" w:type="dxa"/>
            <w:vAlign w:val="bottom"/>
            <w:tcBorders>
              <w:top w:val="single" w:sz="8" w:color="0000FF"/>
            </w:tcBorders>
            <w:gridSpan w:val="26"/>
          </w:tcPr>
          <w:p>
            <w:pPr>
              <w:spacing w:after="0"/>
              <w:rPr>
                <w:sz w:val="12"/>
                <w:szCs w:val="12"/>
                <w:color w:val="auto"/>
              </w:rPr>
            </w:pPr>
          </w:p>
        </w:tc>
        <w:tc>
          <w:tcPr>
            <w:tcW w:w="180" w:type="dxa"/>
            <w:vAlign w:val="bottom"/>
            <w:gridSpan w:val="6"/>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5240" w:type="dxa"/>
            <w:vAlign w:val="bottom"/>
            <w:gridSpan w:val="43"/>
          </w:tcPr>
          <w:p>
            <w:pPr>
              <w:spacing w:after="0"/>
              <w:rPr>
                <w:sz w:val="20"/>
                <w:szCs w:val="20"/>
                <w:color w:val="auto"/>
              </w:rPr>
            </w:pPr>
            <w:r>
              <w:rPr>
                <w:rFonts w:ascii="Times New Roman" w:cs="Times New Roman" w:eastAsia="Times New Roman" w:hAnsi="Times New Roman"/>
                <w:sz w:val="16"/>
                <w:szCs w:val="16"/>
                <w:color w:val="0000FF"/>
              </w:rPr>
              <w:t>Immuneering Corporation Non-Employee Director Compensation Program, as</w:t>
            </w: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amended, effective January 1, 2026</w:t>
            </w:r>
          </w:p>
        </w:tc>
        <w:tc>
          <w:tcPr>
            <w:tcW w:w="2800" w:type="dxa"/>
            <w:vAlign w:val="bottom"/>
            <w:tcBorders>
              <w:top w:val="single" w:sz="8" w:color="0000FF"/>
            </w:tcBorders>
            <w:gridSpan w:val="27"/>
          </w:tcPr>
          <w:p>
            <w:pPr>
              <w:spacing w:after="0"/>
              <w:rPr>
                <w:sz w:val="12"/>
                <w:szCs w:val="12"/>
                <w:color w:val="auto"/>
              </w:rPr>
            </w:pPr>
          </w:p>
        </w:tc>
        <w:tc>
          <w:tcPr>
            <w:tcW w:w="1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Lease Agreement, by and between BioArkive, Inc. and Thornmint 13, LLC,</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12/22/2021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w w:val="99"/>
              </w:rPr>
            </w:pPr>
            <w:hyperlink r:id="rId203">
              <w:r>
                <w:rPr>
                  <w:rFonts w:ascii="Times New Roman" w:cs="Times New Roman" w:eastAsia="Times New Roman" w:hAnsi="Times New Roman"/>
                  <w:sz w:val="16"/>
                  <w:szCs w:val="16"/>
                  <w:color w:val="0000FF"/>
                  <w:w w:val="99"/>
                </w:rPr>
                <w:t>dated as of July 22, 2021</w:t>
              </w:r>
            </w:hyperlink>
          </w:p>
        </w:tc>
        <w:tc>
          <w:tcPr>
            <w:tcW w:w="3300" w:type="dxa"/>
            <w:vAlign w:val="bottom"/>
            <w:tcBorders>
              <w:top w:val="single" w:sz="8" w:color="0000FF"/>
            </w:tcBorders>
            <w:gridSpan w:val="28"/>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7"/>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Equity Distribution Agreement, dated as of August 13, 2025, by and between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S-3</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333-289589</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1.2</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08/13/2025</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5020" w:type="dxa"/>
            <w:vAlign w:val="bottom"/>
            <w:tcBorders>
              <w:top w:val="single" w:sz="8" w:color="0000FF"/>
            </w:tcBorders>
            <w:gridSpan w:val="37"/>
          </w:tcPr>
          <w:p>
            <w:pPr>
              <w:spacing w:after="0" w:line="142" w:lineRule="exact"/>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Immuneering Corporation and Piper Sandler &amp; Co.</w:t>
              </w:r>
            </w:hyperlink>
          </w:p>
        </w:tc>
        <w:tc>
          <w:tcPr>
            <w:tcW w:w="220" w:type="dxa"/>
            <w:vAlign w:val="bottom"/>
            <w:gridSpan w:val="6"/>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320" w:type="dxa"/>
            <w:vAlign w:val="bottom"/>
            <w:gridSpan w:val="19"/>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20" w:type="dxa"/>
            <w:vAlign w:val="bottom"/>
            <w:gridSpan w:val="1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5240" w:type="dxa"/>
            <w:vAlign w:val="bottom"/>
            <w:gridSpan w:val="43"/>
          </w:tcPr>
          <w:p>
            <w:pPr>
              <w:spacing w:after="0"/>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Form of Securities Purchase Agreement, dated as of August 21, 2025, by and</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08/25/2025</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among Immuneering Corporation and the investors party thereto</w:t>
              </w:r>
            </w:hyperlink>
          </w:p>
        </w:tc>
        <w:tc>
          <w:tcPr>
            <w:tcW w:w="820" w:type="dxa"/>
            <w:vAlign w:val="bottom"/>
            <w:tcBorders>
              <w:top w:val="single" w:sz="8" w:color="0000FF"/>
            </w:tcBorders>
            <w:gridSpan w:val="13"/>
          </w:tcPr>
          <w:p>
            <w:pPr>
              <w:spacing w:after="0"/>
              <w:rPr>
                <w:sz w:val="12"/>
                <w:szCs w:val="12"/>
                <w:color w:val="auto"/>
              </w:rPr>
            </w:pPr>
          </w:p>
        </w:tc>
        <w:tc>
          <w:tcPr>
            <w:tcW w:w="240" w:type="dxa"/>
            <w:vAlign w:val="bottom"/>
            <w:gridSpan w:val="7"/>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02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46"/>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4300" w:type="dxa"/>
            <w:vAlign w:val="bottom"/>
            <w:gridSpan w:val="12"/>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10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20" w:type="dxa"/>
            <w:vAlign w:val="bottom"/>
            <w:vMerge w:val="continue"/>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12"/>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0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5240" w:type="dxa"/>
            <w:vAlign w:val="bottom"/>
            <w:gridSpan w:val="13"/>
          </w:tcPr>
          <w:p>
            <w:pPr>
              <w:spacing w:after="0"/>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Form of Registration Rights Agreement, dated as of August 21, 2025, by and</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10.2</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08/25/2025</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among Immuneering Corporation and the investors party thereto</w:t>
              </w:r>
            </w:hyperlink>
          </w:p>
        </w:tc>
        <w:tc>
          <w:tcPr>
            <w:tcW w:w="820" w:type="dxa"/>
            <w:vAlign w:val="bottom"/>
            <w:tcBorders>
              <w:top w:val="single" w:sz="8" w:color="0000FF"/>
            </w:tcBorders>
            <w:gridSpan w:val="6"/>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5240" w:type="dxa"/>
            <w:vAlign w:val="bottom"/>
            <w:gridSpan w:val="13"/>
          </w:tcPr>
          <w:p>
            <w:pPr>
              <w:spacing w:after="0"/>
              <w:rPr>
                <w:rFonts w:ascii="Times New Roman" w:cs="Times New Roman" w:eastAsia="Times New Roman" w:hAnsi="Times New Roman"/>
                <w:sz w:val="16"/>
                <w:szCs w:val="16"/>
                <w:color w:val="0000FF"/>
              </w:rPr>
            </w:pPr>
            <w:hyperlink r:id="rId208">
              <w:r>
                <w:rPr>
                  <w:rFonts w:ascii="Times New Roman" w:cs="Times New Roman" w:eastAsia="Times New Roman" w:hAnsi="Times New Roman"/>
                  <w:sz w:val="16"/>
                  <w:szCs w:val="16"/>
                  <w:color w:val="0000FF"/>
                </w:rPr>
                <w:t>Securities Purchase Agreement, dated as of September 24, 2025, by and</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09/24/2025</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66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08">
              <w:r>
                <w:rPr>
                  <w:rFonts w:ascii="Times New Roman" w:cs="Times New Roman" w:eastAsia="Times New Roman" w:hAnsi="Times New Roman"/>
                  <w:sz w:val="16"/>
                  <w:szCs w:val="16"/>
                  <w:color w:val="0000FF"/>
                </w:rPr>
                <w:t>between Immuneering Corporation and Aventis Inc.</w:t>
              </w:r>
            </w:hyperlink>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19.1</w:t>
            </w:r>
          </w:p>
        </w:tc>
        <w:tc>
          <w:tcPr>
            <w:tcW w:w="5240" w:type="dxa"/>
            <w:vAlign w:val="bottom"/>
            <w:gridSpan w:val="13"/>
          </w:tcPr>
          <w:p>
            <w:pPr>
              <w:spacing w:after="0"/>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Immuneering Corporation Insider Trading Compliance Policy and Procedures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19.1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03/20/2025</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5040" w:type="dxa"/>
            <w:vAlign w:val="bottom"/>
            <w:tcBorders>
              <w:top w:val="single" w:sz="8" w:color="0000FF"/>
            </w:tcBorders>
            <w:gridSpan w:val="11"/>
          </w:tcPr>
          <w:p>
            <w:pPr>
              <w:spacing w:after="0"/>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Subsidiaries of Immuneering Corporation</w:t>
              </w:r>
            </w:hyperlink>
          </w:p>
        </w:tc>
        <w:tc>
          <w:tcPr>
            <w:tcW w:w="200" w:type="dxa"/>
            <w:vAlign w:val="bottom"/>
            <w:gridSpan w:val="2"/>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21.1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03/10/2022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52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Consent of RSM US LLP, Independent Registered Public Accounting Firm</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74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51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13a-14(a)/15d-14(a).</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52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13a-14(a)/15d-14(a).</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5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20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49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40" w:type="dxa"/>
            <w:vAlign w:val="bottom"/>
            <w:tcBorders>
              <w:top w:val="single" w:sz="8" w:color="0000FF"/>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97.1</w:t>
            </w:r>
          </w:p>
        </w:tc>
        <w:tc>
          <w:tcPr>
            <w:tcW w:w="5240" w:type="dxa"/>
            <w:vAlign w:val="bottom"/>
            <w:gridSpan w:val="13"/>
          </w:tcPr>
          <w:p>
            <w:pPr>
              <w:spacing w:after="0"/>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Immuneering Corporation Policy for Recovery of Erroneously Awarded</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97.1</w:t>
            </w: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03/01/2024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94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9"/>
              </w:rPr>
            </w:pPr>
            <w:hyperlink r:id="rId211">
              <w:r>
                <w:rPr>
                  <w:rFonts w:ascii="Times New Roman" w:cs="Times New Roman" w:eastAsia="Times New Roman" w:hAnsi="Times New Roman"/>
                  <w:sz w:val="16"/>
                  <w:szCs w:val="16"/>
                  <w:color w:val="0000FF"/>
                  <w:w w:val="99"/>
                </w:rPr>
                <w:t>Compensation</w:t>
              </w:r>
            </w:hyperlink>
          </w:p>
        </w:tc>
        <w:tc>
          <w:tcPr>
            <w:tcW w:w="3740" w:type="dxa"/>
            <w:vAlign w:val="bottom"/>
            <w:tcBorders>
              <w:top w:val="single" w:sz="8" w:color="0000FF"/>
            </w:tcBorders>
            <w:gridSpan w:val="5"/>
          </w:tcPr>
          <w:p>
            <w:pPr>
              <w:spacing w:after="0"/>
              <w:rPr>
                <w:sz w:val="12"/>
                <w:szCs w:val="12"/>
                <w:color w:val="auto"/>
              </w:rPr>
            </w:pPr>
          </w:p>
        </w:tc>
        <w:tc>
          <w:tcPr>
            <w:tcW w:w="560" w:type="dxa"/>
            <w:vAlign w:val="bottom"/>
            <w:gridSpan w:val="7"/>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101.INS</w:t>
            </w:r>
          </w:p>
        </w:tc>
        <w:tc>
          <w:tcPr>
            <w:tcW w:w="524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5240" w:type="dxa"/>
            <w:vAlign w:val="bottom"/>
            <w:gridSpan w:val="13"/>
          </w:tcPr>
          <w:p>
            <w:pPr>
              <w:spacing w:after="0" w:line="162" w:lineRule="exact"/>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2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XBRL document.</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52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52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52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52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52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104</w:t>
            </w:r>
          </w:p>
        </w:tc>
        <w:tc>
          <w:tcPr>
            <w:tcW w:w="5240" w:type="dxa"/>
            <w:vAlign w:val="bottom"/>
            <w:gridSpan w:val="13"/>
          </w:tcPr>
          <w:p>
            <w:pPr>
              <w:spacing w:after="0" w:line="168"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2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Exhibit 101)</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9" w:lineRule="exact"/>
        <w:rPr>
          <w:sz w:val="20"/>
          <w:szCs w:val="20"/>
          <w:color w:val="auto"/>
        </w:rPr>
      </w:pPr>
    </w:p>
    <w:p>
      <w:pPr>
        <w:jc w:val="both"/>
        <w:ind w:left="340" w:hanging="332"/>
        <w:spacing w:after="0" w:line="253" w:lineRule="auto"/>
        <w:tabs>
          <w:tab w:leader="none" w:pos="31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this agreement were made only for purposes of the transactions contemplated by the agreement as of specific dates and may have been qualified by certain disclosures between the parties and a contractual standard of materiality different from those generally applicable under securities laws, among other limitations. The representations and warranties were made for purposes of allocating contractual risk between the parties to the agreement and should not be relied upon as a disclosure of factual information relating to the Company, the investor(s) and/or the transactions described herein or therein.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8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IMMUNEERING CORPORATION</w:t>
            </w:r>
          </w:p>
        </w:tc>
      </w:tr>
      <w:tr>
        <w:trPr>
          <w:trHeight w:val="50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2026</w:t>
            </w: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J. Zeskind</w:t>
            </w:r>
          </w:p>
        </w:tc>
      </w:tr>
      <w:tr>
        <w:trPr>
          <w:trHeight w:val="218"/>
        </w:trPr>
        <w:tc>
          <w:tcPr>
            <w:tcW w:w="3340" w:type="dxa"/>
            <w:vAlign w:val="bottom"/>
          </w:tcPr>
          <w:p>
            <w:pPr>
              <w:spacing w:after="0"/>
              <w:rPr>
                <w:sz w:val="18"/>
                <w:szCs w:val="18"/>
                <w:color w:val="auto"/>
              </w:rPr>
            </w:pP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J. Zeskind, Ph.D.</w:t>
            </w:r>
          </w:p>
        </w:tc>
      </w:tr>
      <w:tr>
        <w:trPr>
          <w:trHeight w:val="180"/>
        </w:trPr>
        <w:tc>
          <w:tcPr>
            <w:tcW w:w="3340" w:type="dxa"/>
            <w:vAlign w:val="bottom"/>
          </w:tcPr>
          <w:p>
            <w:pPr>
              <w:spacing w:after="0"/>
              <w:rPr>
                <w:sz w:val="15"/>
                <w:szCs w:val="15"/>
                <w:color w:val="auto"/>
              </w:rPr>
            </w:pPr>
          </w:p>
        </w:tc>
        <w:tc>
          <w:tcPr>
            <w:tcW w:w="2640" w:type="dxa"/>
            <w:vAlign w:val="bottom"/>
          </w:tcPr>
          <w:p>
            <w:pPr>
              <w:ind w:left="186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Co-Founder, President, Chief Executive Officer and Director (Principal</w:t>
            </w:r>
          </w:p>
        </w:tc>
      </w:tr>
      <w:tr>
        <w:trPr>
          <w:trHeight w:val="234"/>
        </w:trPr>
        <w:tc>
          <w:tcPr>
            <w:tcW w:w="3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Benjamin J. Zeskind, and Mallory Morales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0"/>
                <w:szCs w:val="20"/>
                <w:color w:val="auto"/>
              </w:rPr>
            </w:pPr>
          </w:p>
        </w:tc>
        <w:tc>
          <w:tcPr>
            <w:tcW w:w="540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78"/>
        </w:trPr>
        <w:tc>
          <w:tcPr>
            <w:tcW w:w="3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32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President, Chief Executive Officer and Director (Principal Executive</w:t>
            </w:r>
          </w:p>
        </w:tc>
        <w:tc>
          <w:tcPr>
            <w:tcW w:w="80" w:type="dxa"/>
            <w:vAlign w:val="bottom"/>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r>
      <w:tr>
        <w:trPr>
          <w:trHeight w:val="23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J. Zeskind</w:t>
            </w:r>
          </w:p>
        </w:tc>
        <w:tc>
          <w:tcPr>
            <w:tcW w:w="80" w:type="dxa"/>
            <w:vAlign w:val="bottom"/>
          </w:tcPr>
          <w:p>
            <w:pPr>
              <w:spacing w:after="0"/>
              <w:rPr>
                <w:sz w:val="20"/>
                <w:szCs w:val="20"/>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6, 2026</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Benjamin J. Zeskind, Ph.D.</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45"/>
        </w:trPr>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SVP Finance, Chief Accounting Officer and Treasurer (Principal</w:t>
            </w:r>
          </w:p>
        </w:tc>
        <w:tc>
          <w:tcPr>
            <w:tcW w:w="1940" w:type="dxa"/>
            <w:vAlign w:val="bottom"/>
          </w:tcPr>
          <w:p>
            <w:pPr>
              <w:spacing w:after="0"/>
              <w:rPr>
                <w:sz w:val="24"/>
                <w:szCs w:val="24"/>
                <w:color w:val="auto"/>
              </w:rPr>
            </w:pPr>
          </w:p>
        </w:tc>
      </w:tr>
      <w:tr>
        <w:trPr>
          <w:trHeight w:val="23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Mallory Morales</w:t>
            </w:r>
          </w:p>
        </w:tc>
        <w:tc>
          <w:tcPr>
            <w:tcW w:w="80" w:type="dxa"/>
            <w:vAlign w:val="bottom"/>
          </w:tcPr>
          <w:p>
            <w:pPr>
              <w:spacing w:after="0"/>
              <w:rPr>
                <w:sz w:val="20"/>
                <w:szCs w:val="20"/>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6, 2026</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Mallory Morales</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1"/>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J. Carpenter</w:t>
            </w:r>
          </w:p>
        </w:tc>
        <w:tc>
          <w:tcPr>
            <w:tcW w:w="8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6, 2026</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Robert J. Carpenter</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1"/>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Feinberg</w:t>
            </w:r>
          </w:p>
        </w:tc>
        <w:tc>
          <w:tcPr>
            <w:tcW w:w="8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6, 2026</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Peter Feinberg</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1"/>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Diana F. Hausman</w:t>
            </w:r>
          </w:p>
        </w:tc>
        <w:tc>
          <w:tcPr>
            <w:tcW w:w="8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6, 2026</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Diana F. Hausman, M.D.</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1"/>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Laurie B. Keating</w:t>
            </w:r>
          </w:p>
        </w:tc>
        <w:tc>
          <w:tcPr>
            <w:tcW w:w="8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6, 2026</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Laurie B. Keating</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77"/>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J. Schall</w:t>
            </w:r>
          </w:p>
        </w:tc>
        <w:tc>
          <w:tcPr>
            <w:tcW w:w="8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6, 2026</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Thomas J. Schall, Ph.D.</w:t>
            </w:r>
          </w:p>
        </w:tc>
        <w:tc>
          <w:tcPr>
            <w:tcW w:w="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21" w:right="339" w:bottom="1440" w:gutter="0" w:footer="0" w:header="0"/>
          <w:type w:val="continuous"/>
        </w:sectPr>
      </w:pPr>
    </w:p>
    <w:bookmarkStart w:id="154" w:name="page155"/>
    <w:bookmarkEnd w:id="154"/>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Immuneering Corporation</w:t>
      </w:r>
    </w:p>
    <w:p>
      <w:pPr>
        <w:spacing w:after="0" w:line="3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Non-Employee Director Compensation Program</w:t>
      </w:r>
    </w:p>
    <w:p>
      <w:pPr>
        <w:spacing w:after="0" w:line="3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JANUARY 1, 2026)</w:t>
      </w:r>
    </w:p>
    <w:p>
      <w:pPr>
        <w:spacing w:after="0" w:line="295" w:lineRule="exact"/>
        <w:rPr>
          <w:sz w:val="20"/>
          <w:szCs w:val="20"/>
          <w:color w:val="auto"/>
        </w:rPr>
      </w:pPr>
    </w:p>
    <w:p>
      <w:pPr>
        <w:jc w:val="both"/>
        <w:ind w:left="4" w:firstLine="648"/>
        <w:spacing w:after="0" w:line="263" w:lineRule="auto"/>
        <w:rPr>
          <w:sz w:val="20"/>
          <w:szCs w:val="20"/>
          <w:color w:val="auto"/>
        </w:rPr>
      </w:pPr>
      <w:r>
        <w:rPr>
          <w:rFonts w:ascii="Times New Roman" w:cs="Times New Roman" w:eastAsia="Times New Roman" w:hAnsi="Times New Roman"/>
          <w:sz w:val="21"/>
          <w:szCs w:val="21"/>
          <w:color w:val="auto"/>
        </w:rPr>
        <w:t>Non-employee members of 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Immuneering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receive cash and equity compensation as set forth in this Non-Employee Director Compensation Program (this “</w:t>
      </w:r>
      <w:r>
        <w:rPr>
          <w:rFonts w:ascii="Times New Roman" w:cs="Times New Roman" w:eastAsia="Times New Roman" w:hAnsi="Times New Roman"/>
          <w:sz w:val="21"/>
          <w:szCs w:val="21"/>
          <w:b w:val="1"/>
          <w:bCs w:val="1"/>
          <w:i w:val="1"/>
          <w:iCs w:val="1"/>
          <w:color w:val="auto"/>
        </w:rPr>
        <w:t>Program</w:t>
      </w:r>
      <w:r>
        <w:rPr>
          <w:rFonts w:ascii="Times New Roman" w:cs="Times New Roman" w:eastAsia="Times New Roman" w:hAnsi="Times New Roman"/>
          <w:sz w:val="21"/>
          <w:szCs w:val="21"/>
          <w:color w:val="auto"/>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 w:cs="Times New Roman" w:eastAsia="Times New Roman" w:hAnsi="Times New Roman"/>
          <w:sz w:val="21"/>
          <w:szCs w:val="21"/>
          <w:b w:val="1"/>
          <w:bCs w:val="1"/>
          <w:i w:val="1"/>
          <w:iCs w:val="1"/>
          <w:color w:val="auto"/>
        </w:rPr>
        <w:t>Non-Employee Director</w:t>
      </w:r>
      <w:r>
        <w:rPr>
          <w:rFonts w:ascii="Times New Roman" w:cs="Times New Roman" w:eastAsia="Times New Roman" w:hAnsi="Times New Roman"/>
          <w:sz w:val="21"/>
          <w:szCs w:val="21"/>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This Program shall become effective on the date first set forth above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ind w:left="644" w:hanging="644"/>
        <w:spacing w:after="0"/>
        <w:tabs>
          <w:tab w:leader="none" w:pos="644"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 Compensation</w:t>
      </w:r>
    </w:p>
    <w:p>
      <w:pPr>
        <w:spacing w:after="0" w:line="271" w:lineRule="exact"/>
        <w:rPr>
          <w:rFonts w:ascii="Times New Roman" w:cs="Times New Roman" w:eastAsia="Times New Roman" w:hAnsi="Times New Roman"/>
          <w:sz w:val="22"/>
          <w:szCs w:val="22"/>
          <w:b w:val="1"/>
          <w:bCs w:val="1"/>
          <w:color w:val="auto"/>
        </w:rPr>
      </w:pPr>
    </w:p>
    <w:p>
      <w:pPr>
        <w:ind w:left="4" w:right="300" w:firstLine="1292"/>
        <w:spacing w:after="0" w:line="276" w:lineRule="auto"/>
        <w:tabs>
          <w:tab w:leader="none" w:pos="183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Retainers</w:t>
      </w:r>
      <w:r>
        <w:rPr>
          <w:rFonts w:ascii="Times New Roman" w:cs="Times New Roman" w:eastAsia="Times New Roman" w:hAnsi="Times New Roman"/>
          <w:sz w:val="22"/>
          <w:szCs w:val="22"/>
          <w:color w:val="auto"/>
        </w:rPr>
        <w:t>. Each Non-Employee Director shall receive an annual retainer of $40,000 (the “</w:t>
      </w:r>
      <w:r>
        <w:rPr>
          <w:rFonts w:ascii="Times New Roman" w:cs="Times New Roman" w:eastAsia="Times New Roman" w:hAnsi="Times New Roman"/>
          <w:sz w:val="22"/>
          <w:szCs w:val="22"/>
          <w:b w:val="1"/>
          <w:bCs w:val="1"/>
          <w:i w:val="1"/>
          <w:iCs w:val="1"/>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Retainer</w:t>
      </w:r>
      <w:r>
        <w:rPr>
          <w:rFonts w:ascii="Times New Roman" w:cs="Times New Roman" w:eastAsia="Times New Roman" w:hAnsi="Times New Roman"/>
          <w:sz w:val="22"/>
          <w:szCs w:val="22"/>
          <w:color w:val="auto"/>
        </w:rPr>
        <w:t>”) for service on the Board.</w:t>
      </w:r>
    </w:p>
    <w:p>
      <w:pPr>
        <w:spacing w:after="0" w:line="153" w:lineRule="exact"/>
        <w:rPr>
          <w:rFonts w:ascii="Times New Roman" w:cs="Times New Roman" w:eastAsia="Times New Roman" w:hAnsi="Times New Roman"/>
          <w:sz w:val="22"/>
          <w:szCs w:val="22"/>
          <w:color w:val="auto"/>
        </w:rPr>
      </w:pPr>
    </w:p>
    <w:p>
      <w:pPr>
        <w:ind w:left="1824" w:hanging="529"/>
        <w:spacing w:after="0"/>
        <w:tabs>
          <w:tab w:leader="none" w:pos="1824"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Annual Retainers</w:t>
      </w:r>
      <w:r>
        <w:rPr>
          <w:rFonts w:ascii="Times New Roman" w:cs="Times New Roman" w:eastAsia="Times New Roman" w:hAnsi="Times New Roman"/>
          <w:sz w:val="21"/>
          <w:szCs w:val="21"/>
          <w:color w:val="auto"/>
        </w:rPr>
        <w:t>. In addition, each Non-Employee Director shall receive the following annual</w:t>
      </w:r>
    </w:p>
    <w:p>
      <w:pPr>
        <w:spacing w:after="0" w:line="39" w:lineRule="exact"/>
        <w:rPr>
          <w:rFonts w:ascii="Times New Roman" w:cs="Times New Roman" w:eastAsia="Times New Roman" w:hAnsi="Times New Roman"/>
          <w:sz w:val="21"/>
          <w:szCs w:val="21"/>
          <w:color w:val="auto"/>
        </w:rPr>
      </w:pPr>
    </w:p>
    <w:p>
      <w:pPr>
        <w:ind w:left="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retainers:</w:t>
      </w:r>
    </w:p>
    <w:p>
      <w:pPr>
        <w:spacing w:after="0" w:line="205" w:lineRule="exact"/>
        <w:rPr>
          <w:rFonts w:ascii="Times New Roman" w:cs="Times New Roman" w:eastAsia="Times New Roman" w:hAnsi="Times New Roman"/>
          <w:sz w:val="21"/>
          <w:szCs w:val="21"/>
          <w:color w:val="auto"/>
        </w:rPr>
      </w:pPr>
    </w:p>
    <w:p>
      <w:pPr>
        <w:jc w:val="both"/>
        <w:ind w:left="4" w:right="20" w:firstLine="1940"/>
        <w:spacing w:after="0" w:line="259" w:lineRule="auto"/>
        <w:tabs>
          <w:tab w:leader="none" w:pos="2488"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Chairman of the Board or Lead Independent Director</w:t>
      </w:r>
      <w:r>
        <w:rPr>
          <w:rFonts w:ascii="Times New Roman" w:cs="Times New Roman" w:eastAsia="Times New Roman" w:hAnsi="Times New Roman"/>
          <w:sz w:val="22"/>
          <w:szCs w:val="22"/>
          <w:color w:val="auto"/>
        </w:rPr>
        <w:t>. A Non- Employee Director serving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Chair of the Board or Lead Independent Director shall receive an additional annual retainer of $30,000 for such service (the “</w:t>
      </w:r>
      <w:r>
        <w:rPr>
          <w:rFonts w:ascii="Times New Roman" w:cs="Times New Roman" w:eastAsia="Times New Roman" w:hAnsi="Times New Roman"/>
          <w:sz w:val="22"/>
          <w:szCs w:val="22"/>
          <w:b w:val="1"/>
          <w:bCs w:val="1"/>
          <w:i w:val="1"/>
          <w:iCs w:val="1"/>
          <w:color w:val="auto"/>
        </w:rPr>
        <w:t>COB or LID Retainer</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jc w:val="both"/>
        <w:ind w:left="4" w:firstLine="1939"/>
        <w:spacing w:after="0" w:line="265" w:lineRule="auto"/>
        <w:tabs>
          <w:tab w:leader="none" w:pos="2488"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Audit Committee</w:t>
      </w:r>
      <w:r>
        <w:rPr>
          <w:rFonts w:ascii="Times New Roman" w:cs="Times New Roman" w:eastAsia="Times New Roman" w:hAnsi="Times New Roman"/>
          <w:sz w:val="22"/>
          <w:szCs w:val="22"/>
          <w:color w:val="auto"/>
        </w:rPr>
        <w:t>. A Non-Employee Director serving as Chair of the Audit Committee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receive an additional annual retainer of $15,000 for such service. A Non-Employee Director serving as a member other than the Chair of the Audit Committee shall receive an additional annual retainer of $7,500 for such service.</w:t>
      </w:r>
    </w:p>
    <w:p>
      <w:pPr>
        <w:spacing w:after="0" w:line="161" w:lineRule="exact"/>
        <w:rPr>
          <w:rFonts w:ascii="Times New Roman" w:cs="Times New Roman" w:eastAsia="Times New Roman" w:hAnsi="Times New Roman"/>
          <w:sz w:val="22"/>
          <w:szCs w:val="22"/>
          <w:color w:val="auto"/>
        </w:rPr>
      </w:pPr>
    </w:p>
    <w:p>
      <w:pPr>
        <w:jc w:val="both"/>
        <w:ind w:left="4" w:firstLine="1940"/>
        <w:spacing w:after="0" w:line="253" w:lineRule="auto"/>
        <w:tabs>
          <w:tab w:leader="none" w:pos="2488"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 Committee</w:t>
      </w:r>
      <w:r>
        <w:rPr>
          <w:rFonts w:ascii="Times New Roman" w:cs="Times New Roman" w:eastAsia="Times New Roman" w:hAnsi="Times New Roman"/>
          <w:sz w:val="22"/>
          <w:szCs w:val="22"/>
          <w:color w:val="auto"/>
        </w:rPr>
        <w:t>. A Non-Employee Director serving as Chair of the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shall receive an additional annual retainer of $12,000 for such service. A Non-Employee Director serving as a member other than the Chair of the Compensation Committee shall receive an additional annual retainer of $6,000 for such service.</w:t>
      </w:r>
    </w:p>
    <w:p>
      <w:pPr>
        <w:spacing w:after="0" w:line="188" w:lineRule="exact"/>
        <w:rPr>
          <w:rFonts w:ascii="Times New Roman" w:cs="Times New Roman" w:eastAsia="Times New Roman" w:hAnsi="Times New Roman"/>
          <w:sz w:val="22"/>
          <w:szCs w:val="22"/>
          <w:color w:val="auto"/>
        </w:rPr>
      </w:pPr>
    </w:p>
    <w:p>
      <w:pPr>
        <w:jc w:val="both"/>
        <w:ind w:left="4" w:firstLine="1939"/>
        <w:spacing w:after="0" w:line="253" w:lineRule="auto"/>
        <w:tabs>
          <w:tab w:leader="none" w:pos="2488"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Nominating and Corporate Governance Committee</w:t>
      </w:r>
      <w:r>
        <w:rPr>
          <w:rFonts w:ascii="Times New Roman" w:cs="Times New Roman" w:eastAsia="Times New Roman" w:hAnsi="Times New Roman"/>
          <w:sz w:val="22"/>
          <w:szCs w:val="22"/>
          <w:color w:val="auto"/>
        </w:rPr>
        <w:t>. A Non- Employee Director serving as Chair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Nominating and Corporate Governance Committee shall receive an additional annual retainer of $10,000 for such service. A Non-Employee Director serving as a member other than the Chair of the Nominating and Corporate Governance Committee shall receive an additional annual retainer of $5,000 for such service.</w:t>
      </w:r>
    </w:p>
    <w:p>
      <w:pPr>
        <w:sectPr>
          <w:pgSz w:w="11900" w:h="16838" w:orient="portrait"/>
          <w:cols w:equalWidth="0" w:num="1">
            <w:col w:w="11024"/>
          </w:cols>
          <w:pgMar w:left="436" w:top="1337" w:right="439" w:bottom="1440" w:gutter="0" w:footer="0" w:header="0"/>
        </w:sectPr>
      </w:pPr>
    </w:p>
    <w:bookmarkStart w:id="155" w:name="page156"/>
    <w:bookmarkEnd w:id="155"/>
    <w:p>
      <w:pPr>
        <w:spacing w:after="0" w:line="117" w:lineRule="exact"/>
        <w:rPr>
          <w:sz w:val="20"/>
          <w:szCs w:val="20"/>
          <w:color w:val="auto"/>
        </w:rPr>
      </w:pPr>
    </w:p>
    <w:p>
      <w:pPr>
        <w:jc w:val="both"/>
        <w:ind w:left="-1000" w:firstLine="1292"/>
        <w:spacing w:after="0" w:line="251" w:lineRule="auto"/>
        <w:tabs>
          <w:tab w:leader="none" w:pos="83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Retainers</w:t>
      </w:r>
      <w:r>
        <w:rPr>
          <w:rFonts w:ascii="Times New Roman" w:cs="Times New Roman" w:eastAsia="Times New Roman" w:hAnsi="Times New Roman"/>
          <w:sz w:val="22"/>
          <w:szCs w:val="22"/>
          <w:color w:val="auto"/>
        </w:rPr>
        <w:t>. The retainers described in Sections I(A) and (B)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208" w:lineRule="exact"/>
        <w:rPr>
          <w:rFonts w:ascii="Times New Roman" w:cs="Times New Roman" w:eastAsia="Times New Roman" w:hAnsi="Times New Roman"/>
          <w:sz w:val="22"/>
          <w:szCs w:val="22"/>
          <w:color w:val="auto"/>
        </w:rPr>
      </w:pPr>
    </w:p>
    <w:p>
      <w:pPr>
        <w:ind w:left="940" w:hanging="648"/>
        <w:spacing w:after="0"/>
        <w:tabs>
          <w:tab w:leader="none" w:pos="9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 Election</w:t>
      </w:r>
      <w:r>
        <w:rPr>
          <w:rFonts w:ascii="Times New Roman" w:cs="Times New Roman" w:eastAsia="Times New Roman" w:hAnsi="Times New Roman"/>
          <w:sz w:val="22"/>
          <w:szCs w:val="22"/>
          <w:color w:val="auto"/>
        </w:rPr>
        <w:t>.</w:t>
      </w:r>
    </w:p>
    <w:p>
      <w:pPr>
        <w:spacing w:after="0" w:line="256" w:lineRule="exact"/>
        <w:rPr>
          <w:rFonts w:ascii="Times New Roman" w:cs="Times New Roman" w:eastAsia="Times New Roman" w:hAnsi="Times New Roman"/>
          <w:sz w:val="22"/>
          <w:szCs w:val="22"/>
          <w:color w:val="auto"/>
        </w:rPr>
      </w:pPr>
    </w:p>
    <w:p>
      <w:pPr>
        <w:jc w:val="both"/>
        <w:ind w:left="-1000" w:firstLine="1939"/>
        <w:spacing w:after="0" w:line="247" w:lineRule="auto"/>
        <w:tabs>
          <w:tab w:leader="none" w:pos="1484"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Election</w:t>
      </w:r>
      <w:r>
        <w:rPr>
          <w:rFonts w:ascii="Times New Roman" w:cs="Times New Roman" w:eastAsia="Times New Roman" w:hAnsi="Times New Roman"/>
          <w:sz w:val="22"/>
          <w:szCs w:val="22"/>
          <w:color w:val="auto"/>
        </w:rPr>
        <w:t>. Beginning with Annual Retainers earned in 2024, each Non-Employee Director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elect (an “</w:t>
      </w:r>
      <w:r>
        <w:rPr>
          <w:rFonts w:ascii="Times New Roman" w:cs="Times New Roman" w:eastAsia="Times New Roman" w:hAnsi="Times New Roman"/>
          <w:sz w:val="22"/>
          <w:szCs w:val="22"/>
          <w:b w:val="1"/>
          <w:bCs w:val="1"/>
          <w:i w:val="1"/>
          <w:iCs w:val="1"/>
          <w:color w:val="auto"/>
        </w:rPr>
        <w:t>Election</w:t>
      </w:r>
      <w:r>
        <w:rPr>
          <w:rFonts w:ascii="Times New Roman" w:cs="Times New Roman" w:eastAsia="Times New Roman" w:hAnsi="Times New Roman"/>
          <w:sz w:val="22"/>
          <w:szCs w:val="22"/>
          <w:color w:val="auto"/>
        </w:rPr>
        <w:t>”) to receive an option (an “</w:t>
      </w:r>
      <w:r>
        <w:rPr>
          <w:rFonts w:ascii="Times New Roman" w:cs="Times New Roman" w:eastAsia="Times New Roman" w:hAnsi="Times New Roman"/>
          <w:sz w:val="22"/>
          <w:szCs w:val="22"/>
          <w:b w:val="1"/>
          <w:bCs w:val="1"/>
          <w:i w:val="1"/>
          <w:iCs w:val="1"/>
          <w:color w:val="auto"/>
        </w:rPr>
        <w:t>Elective Option</w:t>
      </w:r>
      <w:r>
        <w:rPr>
          <w:rFonts w:ascii="Times New Roman" w:cs="Times New Roman" w:eastAsia="Times New Roman" w:hAnsi="Times New Roman"/>
          <w:sz w:val="22"/>
          <w:szCs w:val="22"/>
          <w:color w:val="auto"/>
        </w:rPr>
        <w:t>”) to purchase shares of the Company’s Class A common stock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in lieu of all of the amount of the Non-Employee Director’s Base Retainer to be earned for a given year. In addition, a Non- Employee Director serving as the Chair or Lead Independent Director of the Board may elect to receive an Elective Option in lieu of all of such Non-Employee Director’s COB or LID Retainer to be earned for a given year. An Election must be made in the form determined by the Company and submitted to the Company no later than 5:00 pm Eastern time on November 30 of the calendar year preceding the calendar year to which the Election relates (the “</w:t>
      </w:r>
      <w:r>
        <w:rPr>
          <w:rFonts w:ascii="Times New Roman" w:cs="Times New Roman" w:eastAsia="Times New Roman" w:hAnsi="Times New Roman"/>
          <w:sz w:val="22"/>
          <w:szCs w:val="22"/>
          <w:b w:val="1"/>
          <w:bCs w:val="1"/>
          <w:i w:val="1"/>
          <w:iCs w:val="1"/>
          <w:color w:val="auto"/>
        </w:rPr>
        <w:t>Election Deadline</w:t>
      </w:r>
      <w:r>
        <w:rPr>
          <w:rFonts w:ascii="Times New Roman" w:cs="Times New Roman" w:eastAsia="Times New Roman" w:hAnsi="Times New Roman"/>
          <w:sz w:val="22"/>
          <w:szCs w:val="22"/>
          <w:color w:val="auto"/>
        </w:rPr>
        <w:t>”). An Election shall become effective only with respect to the Base Retainer and, if applicable, COB or LID Retainer, earned for the calendar year following the Election Deadline (the “</w:t>
      </w:r>
      <w:r>
        <w:rPr>
          <w:rFonts w:ascii="Times New Roman" w:cs="Times New Roman" w:eastAsia="Times New Roman" w:hAnsi="Times New Roman"/>
          <w:sz w:val="22"/>
          <w:szCs w:val="22"/>
          <w:b w:val="1"/>
          <w:bCs w:val="1"/>
          <w:i w:val="1"/>
          <w:iCs w:val="1"/>
          <w:color w:val="auto"/>
        </w:rPr>
        <w:t>Service Year</w:t>
      </w:r>
      <w:r>
        <w:rPr>
          <w:rFonts w:ascii="Times New Roman" w:cs="Times New Roman" w:eastAsia="Times New Roman" w:hAnsi="Times New Roman"/>
          <w:sz w:val="22"/>
          <w:szCs w:val="22"/>
          <w:color w:val="auto"/>
        </w:rPr>
        <w:t>”). A Non-Employee Director who timely makes an Election will be granted an Elective Option for the Base Retainer (a “</w:t>
      </w:r>
      <w:r>
        <w:rPr>
          <w:rFonts w:ascii="Times New Roman" w:cs="Times New Roman" w:eastAsia="Times New Roman" w:hAnsi="Times New Roman"/>
          <w:sz w:val="22"/>
          <w:szCs w:val="22"/>
          <w:b w:val="1"/>
          <w:bCs w:val="1"/>
          <w:i w:val="1"/>
          <w:iCs w:val="1"/>
          <w:color w:val="auto"/>
        </w:rPr>
        <w:t>Base Retainer Elective Option</w:t>
      </w:r>
      <w:r>
        <w:rPr>
          <w:rFonts w:ascii="Times New Roman" w:cs="Times New Roman" w:eastAsia="Times New Roman" w:hAnsi="Times New Roman"/>
          <w:sz w:val="22"/>
          <w:szCs w:val="22"/>
          <w:color w:val="auto"/>
        </w:rPr>
        <w:t>”) that such Non-Employee Director would, as of the Issue Date (as defined below), otherwise have been entitled to receive under this Program in cash for his or her service on the Board during the applicable Service Year, assuming such Non-Employee Director remained in service throughout the Service Year (the “</w:t>
      </w:r>
      <w:r>
        <w:rPr>
          <w:rFonts w:ascii="Times New Roman" w:cs="Times New Roman" w:eastAsia="Times New Roman" w:hAnsi="Times New Roman"/>
          <w:sz w:val="22"/>
          <w:szCs w:val="22"/>
          <w:b w:val="1"/>
          <w:bCs w:val="1"/>
          <w:i w:val="1"/>
          <w:iCs w:val="1"/>
          <w:color w:val="auto"/>
        </w:rPr>
        <w:t>Service Year Base Retainer Amount</w:t>
      </w:r>
      <w:r>
        <w:rPr>
          <w:rFonts w:ascii="Times New Roman" w:cs="Times New Roman" w:eastAsia="Times New Roman" w:hAnsi="Times New Roman"/>
          <w:sz w:val="22"/>
          <w:szCs w:val="22"/>
          <w:color w:val="auto"/>
        </w:rPr>
        <w:t>”) and, if applicable, a separate Elective Option for the COB or LID Retainer (an “</w:t>
      </w:r>
      <w:r>
        <w:rPr>
          <w:rFonts w:ascii="Times New Roman" w:cs="Times New Roman" w:eastAsia="Times New Roman" w:hAnsi="Times New Roman"/>
          <w:sz w:val="22"/>
          <w:szCs w:val="22"/>
          <w:b w:val="1"/>
          <w:bCs w:val="1"/>
          <w:i w:val="1"/>
          <w:iCs w:val="1"/>
          <w:color w:val="auto"/>
        </w:rPr>
        <w:t>Additional Retainer Elective Option</w:t>
      </w:r>
      <w:r>
        <w:rPr>
          <w:rFonts w:ascii="Times New Roman" w:cs="Times New Roman" w:eastAsia="Times New Roman" w:hAnsi="Times New Roman"/>
          <w:sz w:val="22"/>
          <w:szCs w:val="22"/>
          <w:color w:val="auto"/>
        </w:rPr>
        <w:t>”) that such Non- Employee Director would, as of the Issue Date, otherwise have been entitled to receive under this Program in cash for his or her service as the Chair or Lead Independent Director of the Board during the applicable Service Year, assuming such Non-Employee Director remained in service as Chair or Lead Independent Director of the Board throughout the Service Year (the “</w:t>
      </w:r>
      <w:r>
        <w:rPr>
          <w:rFonts w:ascii="Times New Roman" w:cs="Times New Roman" w:eastAsia="Times New Roman" w:hAnsi="Times New Roman"/>
          <w:sz w:val="22"/>
          <w:szCs w:val="22"/>
          <w:b w:val="1"/>
          <w:bCs w:val="1"/>
          <w:i w:val="1"/>
          <w:iCs w:val="1"/>
          <w:color w:val="auto"/>
        </w:rPr>
        <w:t>Service Year COB or LID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Retainer Amount</w:t>
      </w:r>
      <w:r>
        <w:rPr>
          <w:rFonts w:ascii="Times New Roman" w:cs="Times New Roman" w:eastAsia="Times New Roman" w:hAnsi="Times New Roman"/>
          <w:sz w:val="22"/>
          <w:szCs w:val="22"/>
          <w:color w:val="auto"/>
        </w:rPr>
        <w:t>,” and together with the Service Year Base Retainer Amount, the “</w:t>
      </w:r>
      <w:r>
        <w:rPr>
          <w:rFonts w:ascii="Times New Roman" w:cs="Times New Roman" w:eastAsia="Times New Roman" w:hAnsi="Times New Roman"/>
          <w:sz w:val="22"/>
          <w:szCs w:val="22"/>
          <w:b w:val="1"/>
          <w:bCs w:val="1"/>
          <w:i w:val="1"/>
          <w:iCs w:val="1"/>
          <w:color w:val="auto"/>
        </w:rPr>
        <w:t>Service Year Retainer Amounts</w:t>
      </w:r>
      <w:r>
        <w:rPr>
          <w:rFonts w:ascii="Times New Roman" w:cs="Times New Roman" w:eastAsia="Times New Roman" w:hAnsi="Times New Roman"/>
          <w:sz w:val="22"/>
          <w:szCs w:val="22"/>
          <w:color w:val="auto"/>
        </w:rPr>
        <w:t>”). If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Base Retainer or COB or LID Retainer is increased after the Issue Date of a corresponding Elective Option, the excess of such increased amount over the applicable Service Year Retainer Amount for the given Service Year will, to the extent earned, be paid in cash under and subject to the terms of Sections I(A), I(B)(1) and I(C), as applicable. If the Base Retainer or COB or LID Retainer is decreased after the Issue Date of a corresponding Elective Option, no reduction in such corresponding Elective Option will be made.</w:t>
      </w:r>
    </w:p>
    <w:p>
      <w:pPr>
        <w:sectPr>
          <w:pgSz w:w="11900" w:h="16838" w:orient="portrait"/>
          <w:cols w:equalWidth="0" w:num="1">
            <w:col w:w="10020"/>
          </w:cols>
          <w:pgMar w:left="1440" w:top="1440" w:right="439" w:bottom="1440" w:gutter="0" w:footer="0" w:header="0"/>
        </w:sectPr>
      </w:pPr>
    </w:p>
    <w:bookmarkStart w:id="156" w:name="page157"/>
    <w:bookmarkEnd w:id="156"/>
    <w:p>
      <w:pPr>
        <w:jc w:val="both"/>
        <w:ind w:left="5" w:firstLine="1939"/>
        <w:spacing w:after="0" w:line="250" w:lineRule="auto"/>
        <w:tabs>
          <w:tab w:leader="none" w:pos="2489"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of Elective Option</w:t>
      </w:r>
      <w:r>
        <w:rPr>
          <w:rFonts w:ascii="Times New Roman" w:cs="Times New Roman" w:eastAsia="Times New Roman" w:hAnsi="Times New Roman"/>
          <w:sz w:val="22"/>
          <w:szCs w:val="22"/>
          <w:color w:val="auto"/>
        </w:rPr>
        <w:t>. Each Elective Option will be granted automatically, without further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action of the Board, on January 1 occurring after the Election Deadline (such date, the “</w:t>
      </w:r>
      <w:r>
        <w:rPr>
          <w:rFonts w:ascii="Times New Roman" w:cs="Times New Roman" w:eastAsia="Times New Roman" w:hAnsi="Times New Roman"/>
          <w:sz w:val="22"/>
          <w:szCs w:val="22"/>
          <w:b w:val="1"/>
          <w:bCs w:val="1"/>
          <w:i w:val="1"/>
          <w:iCs w:val="1"/>
          <w:color w:val="auto"/>
        </w:rPr>
        <w:t>Issue Date</w:t>
      </w:r>
      <w:r>
        <w:rPr>
          <w:rFonts w:ascii="Times New Roman" w:cs="Times New Roman" w:eastAsia="Times New Roman" w:hAnsi="Times New Roman"/>
          <w:sz w:val="22"/>
          <w:szCs w:val="22"/>
          <w:color w:val="auto"/>
        </w:rPr>
        <w:t>”), under and subject to the terms of the Company’s 2021 Incentive Award Plan or any other applicable Company equity incentive plan then maintained by the Company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an award agreement, including attached exhibits, in substantially the form previously approved by the Board to evidence awards of options to Non- Employee Directors under the Company’s 2021 Incentive Award Plan. The number of Shares subject to an Elective Option granted to a Non-Employee Director on the Issue Date will be determined by dividing: (i) the Service Year Base Retainer Amount or the Service Year COB or LID Retainer Amount, as applicable, by (ii) the Elective Option’s Black-Scholes Value (as defined below) on the Issue Date, rounded down to the nearest whole Share.</w:t>
      </w:r>
    </w:p>
    <w:p>
      <w:pPr>
        <w:spacing w:after="0" w:line="206" w:lineRule="exact"/>
        <w:rPr>
          <w:rFonts w:ascii="Times New Roman" w:cs="Times New Roman" w:eastAsia="Times New Roman" w:hAnsi="Times New Roman"/>
          <w:sz w:val="22"/>
          <w:szCs w:val="22"/>
          <w:color w:val="auto"/>
        </w:rPr>
      </w:pPr>
    </w:p>
    <w:p>
      <w:pPr>
        <w:jc w:val="both"/>
        <w:ind w:left="5" w:firstLine="1939"/>
        <w:spacing w:after="0" w:line="262" w:lineRule="auto"/>
        <w:tabs>
          <w:tab w:leader="none" w:pos="2489"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Withdrawal and Service</w:t>
      </w:r>
      <w:r>
        <w:rPr>
          <w:rFonts w:ascii="Times New Roman" w:cs="Times New Roman" w:eastAsia="Times New Roman" w:hAnsi="Times New Roman"/>
          <w:sz w:val="21"/>
          <w:szCs w:val="21"/>
          <w:color w:val="auto"/>
        </w:rPr>
        <w:t>. A Non-Employee Director may withdraw his or her Election at any time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to the Election Deadline for a given Service Year, and thereafter, any Elections delivered to the Company and not previously withdrawn will become irrevocable with respect to the Service Year. Notwithstanding anything in this Section I(D) or any Election to the contrary, if (a) a Non-Employee Director is not serving as a Non-Employee Director on the Issue Date,</w:t>
      </w:r>
    </w:p>
    <w:p>
      <w:pPr>
        <w:spacing w:after="0" w:line="1" w:lineRule="exact"/>
        <w:rPr>
          <w:rFonts w:ascii="Times New Roman" w:cs="Times New Roman" w:eastAsia="Times New Roman" w:hAnsi="Times New Roman"/>
          <w:sz w:val="21"/>
          <w:szCs w:val="21"/>
          <w:color w:val="auto"/>
        </w:rPr>
      </w:pPr>
    </w:p>
    <w:p>
      <w:pPr>
        <w:jc w:val="both"/>
        <w:ind w:left="5" w:hanging="5"/>
        <w:spacing w:after="0" w:line="249" w:lineRule="auto"/>
        <w:tabs>
          <w:tab w:leader="none" w:pos="3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Non-Employee Director is not serving in a position identified in Section I(B)(1) on the Issue Date, or (c) the grant of an Elective Option described in this Section I(D) is prohibited under applicable laws, exchange listing rules or the terms of the Equity Plan, the Non-Employee Director will not be issued an Elective Option, or in the case of a clause (b), an Additional Retainer Elective Option, on the Issue Date. Any Non- Employee Director whose service as a Non-Employee Director commences during a given Service Year shall not be eligible to make an Election under this Program until the first Election Deadline that occurs following the date such Non-Employee Director commences service as a Non-Employee Director.</w:t>
      </w:r>
    </w:p>
    <w:p>
      <w:pPr>
        <w:spacing w:after="0" w:line="202" w:lineRule="exact"/>
        <w:rPr>
          <w:rFonts w:ascii="Times New Roman" w:cs="Times New Roman" w:eastAsia="Times New Roman" w:hAnsi="Times New Roman"/>
          <w:sz w:val="22"/>
          <w:szCs w:val="22"/>
          <w:color w:val="auto"/>
        </w:rPr>
      </w:pPr>
    </w:p>
    <w:p>
      <w:pPr>
        <w:jc w:val="both"/>
        <w:ind w:left="5" w:firstLine="1939"/>
        <w:spacing w:after="0" w:line="249" w:lineRule="auto"/>
        <w:tabs>
          <w:tab w:leader="none" w:pos="248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Black-Scholes Value. </w:t>
      </w:r>
      <w:r>
        <w:rPr>
          <w:rFonts w:ascii="Times New Roman" w:cs="Times New Roman" w:eastAsia="Times New Roman" w:hAnsi="Times New Roman"/>
          <w:sz w:val="22"/>
          <w:szCs w:val="22"/>
          <w:color w:val="auto"/>
        </w:rPr>
        <w:t>For purposes of this Section I(D), “</w:t>
      </w:r>
      <w:r>
        <w:rPr>
          <w:rFonts w:ascii="Times New Roman" w:cs="Times New Roman" w:eastAsia="Times New Roman" w:hAnsi="Times New Roman"/>
          <w:sz w:val="22"/>
          <w:szCs w:val="22"/>
          <w:b w:val="1"/>
          <w:bCs w:val="1"/>
          <w:i w:val="1"/>
          <w:iCs w:val="1"/>
          <w:color w:val="auto"/>
        </w:rPr>
        <w:t>Black- Scholes Value</w:t>
      </w:r>
      <w:r>
        <w:rPr>
          <w:rFonts w:ascii="Times New Roman" w:cs="Times New Roman" w:eastAsia="Times New Roman" w:hAnsi="Times New Roman"/>
          <w:sz w:val="22"/>
          <w:szCs w:val="22"/>
          <w:color w:val="auto"/>
        </w:rPr>
        <w:t>” means,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an Elective Option, the per share fair value of the Elective Option determined as of the applicable Issue Date using the Black-Scholes or other option pricing model that the Company most recently applied when valuing grants of options with service-based vesting conditions for purposes of preparing its (audited or unaudited) consolidated financial statements that have been filed with the Securities Exchange Commission (the “</w:t>
      </w:r>
      <w:r>
        <w:rPr>
          <w:rFonts w:ascii="Times New Roman" w:cs="Times New Roman" w:eastAsia="Times New Roman" w:hAnsi="Times New Roman"/>
          <w:sz w:val="22"/>
          <w:szCs w:val="22"/>
          <w:b w:val="1"/>
          <w:bCs w:val="1"/>
          <w:i w:val="1"/>
          <w:iCs w:val="1"/>
          <w:color w:val="auto"/>
        </w:rPr>
        <w:t>Financial Statements</w:t>
      </w:r>
      <w:r>
        <w:rPr>
          <w:rFonts w:ascii="Times New Roman" w:cs="Times New Roman" w:eastAsia="Times New Roman" w:hAnsi="Times New Roman"/>
          <w:sz w:val="22"/>
          <w:szCs w:val="22"/>
          <w:color w:val="auto"/>
        </w:rPr>
        <w:t>”) and using as inputs to such model: (i) the Fair Market Value (as defined in the Equity Plan) of a Share on the applicable Issue Date (or, if the Issue Date is not a trading day, the last trading day preceding the Issue Date) and (ii) such other assumptions as were reported by the Company in the Financial Statements for the most recent period covered by the Financial Statements (and if any such assumptions were reported as a range of values, using the arithmetic mean of the reported range).</w:t>
      </w:r>
    </w:p>
    <w:p>
      <w:pPr>
        <w:sectPr>
          <w:pgSz w:w="11900" w:h="16838" w:orient="portrait"/>
          <w:cols w:equalWidth="0" w:num="1">
            <w:col w:w="11025"/>
          </w:cols>
          <w:pgMar w:left="435" w:top="1337" w:right="439" w:bottom="1440" w:gutter="0" w:footer="0" w:header="0"/>
        </w:sectPr>
      </w:pPr>
    </w:p>
    <w:bookmarkStart w:id="157" w:name="page158"/>
    <w:bookmarkEnd w:id="157"/>
    <w:p>
      <w:pPr>
        <w:ind w:left="645" w:hanging="645"/>
        <w:spacing w:after="0"/>
        <w:tabs>
          <w:tab w:leader="none" w:pos="645"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Compensation</w:t>
      </w:r>
    </w:p>
    <w:p>
      <w:pPr>
        <w:spacing w:after="0" w:line="278" w:lineRule="exact"/>
        <w:rPr>
          <w:sz w:val="20"/>
          <w:szCs w:val="20"/>
          <w:color w:val="auto"/>
        </w:rPr>
      </w:pPr>
    </w:p>
    <w:p>
      <w:pPr>
        <w:jc w:val="both"/>
        <w:ind w:left="5" w:firstLine="648"/>
        <w:spacing w:after="0" w:line="265" w:lineRule="auto"/>
        <w:rPr>
          <w:sz w:val="20"/>
          <w:szCs w:val="20"/>
          <w:color w:val="auto"/>
        </w:rPr>
      </w:pPr>
      <w:r>
        <w:rPr>
          <w:rFonts w:ascii="Times New Roman" w:cs="Times New Roman" w:eastAsia="Times New Roman" w:hAnsi="Times New Roman"/>
          <w:sz w:val="21"/>
          <w:szCs w:val="21"/>
          <w:color w:val="auto"/>
        </w:rPr>
        <w:t>In addition to any Elective Options, Non-Employee Directors shall be granted the equity awards described below. The awards described below shall be granted under and shall be subject to the terms and provisions of the Equity Plan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w:t>
      </w:r>
    </w:p>
    <w:p>
      <w:pPr>
        <w:spacing w:after="0" w:line="20" w:lineRule="exact"/>
        <w:rPr>
          <w:sz w:val="20"/>
          <w:szCs w:val="20"/>
          <w:color w:val="auto"/>
        </w:rPr>
      </w:pPr>
    </w:p>
    <w:p>
      <w:pPr>
        <w:jc w:val="both"/>
        <w:ind w:left="5" w:right="20" w:firstLine="1291"/>
        <w:spacing w:after="0" w:line="256" w:lineRule="auto"/>
        <w:tabs>
          <w:tab w:leader="none" w:pos="183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Non-Employee Director who is initially elected or appointed to the Board after the Effective Date shall receive an option to purchase 66,700 Shares on the date of such initial election or appointment. The awards described in this Section II(A) shall be referred to as “</w:t>
      </w:r>
      <w:r>
        <w:rPr>
          <w:rFonts w:ascii="Times New Roman" w:cs="Times New Roman" w:eastAsia="Times New Roman" w:hAnsi="Times New Roman"/>
          <w:sz w:val="22"/>
          <w:szCs w:val="22"/>
          <w:b w:val="1"/>
          <w:bCs w:val="1"/>
          <w:i w:val="1"/>
          <w:iCs w:val="1"/>
          <w:color w:val="auto"/>
        </w:rPr>
        <w:t>Initial Awards</w:t>
      </w:r>
      <w:r>
        <w:rPr>
          <w:rFonts w:ascii="Times New Roman" w:cs="Times New Roman" w:eastAsia="Times New Roman" w:hAnsi="Times New Roman"/>
          <w:sz w:val="22"/>
          <w:szCs w:val="22"/>
          <w:color w:val="auto"/>
        </w:rPr>
        <w:t>.” No Non-Employee Director shall be granted more than one Initial Award.</w:t>
      </w:r>
    </w:p>
    <w:p>
      <w:pPr>
        <w:spacing w:after="0" w:line="176" w:lineRule="exact"/>
        <w:rPr>
          <w:rFonts w:ascii="Times New Roman" w:cs="Times New Roman" w:eastAsia="Times New Roman" w:hAnsi="Times New Roman"/>
          <w:sz w:val="22"/>
          <w:szCs w:val="22"/>
          <w:color w:val="auto"/>
        </w:rPr>
      </w:pPr>
    </w:p>
    <w:p>
      <w:pPr>
        <w:jc w:val="both"/>
        <w:ind w:left="5" w:firstLine="1291"/>
        <w:spacing w:after="0" w:line="249" w:lineRule="auto"/>
        <w:tabs>
          <w:tab w:leader="none" w:pos="183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Awards</w:t>
      </w:r>
      <w:r>
        <w:rPr>
          <w:rFonts w:ascii="Times New Roman" w:cs="Times New Roman" w:eastAsia="Times New Roman" w:hAnsi="Times New Roman"/>
          <w:sz w:val="22"/>
          <w:szCs w:val="22"/>
          <w:color w:val="auto"/>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receive an option to purchase 33,350 Shares on the date of such annual meeting. Any Non-Employee Director who has been serving as a Non-Employee Director on the Board for less than six months as of the date of any such annual meeting and will continue to serve as a Non-Employee Director immediately following such meeting, shall also receive an option to purchase shares of the Company’s common stock on the date of such annual meeting, but the number of shares underlying such option shall be reduced on a pro-rata basis based on the number of months such Non-Employee Director has served as a Non-Employee Director on the Board during the twelve month period ending on the date of such meeting The awards described in this Section II(B) shall be referred to as “</w:t>
      </w:r>
      <w:r>
        <w:rPr>
          <w:rFonts w:ascii="Times New Roman" w:cs="Times New Roman" w:eastAsia="Times New Roman" w:hAnsi="Times New Roman"/>
          <w:sz w:val="22"/>
          <w:szCs w:val="22"/>
          <w:b w:val="1"/>
          <w:bCs w:val="1"/>
          <w:i w:val="1"/>
          <w:iCs w:val="1"/>
          <w:color w:val="auto"/>
        </w:rPr>
        <w:t>Subsequent Awards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5" w:firstLine="1291"/>
        <w:spacing w:after="0" w:line="253" w:lineRule="auto"/>
        <w:tabs>
          <w:tab w:leader="none" w:pos="183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of Employee Directors</w:t>
      </w:r>
      <w:r>
        <w:rPr>
          <w:rFonts w:ascii="Times New Roman" w:cs="Times New Roman" w:eastAsia="Times New Roman" w:hAnsi="Times New Roman"/>
          <w:sz w:val="22"/>
          <w:szCs w:val="22"/>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of employment with the Company and any parent or subsidiary of the Company, Subsequent Awards as described in Section II(B) above.</w:t>
      </w:r>
    </w:p>
    <w:p>
      <w:pPr>
        <w:spacing w:after="0" w:line="205" w:lineRule="exact"/>
        <w:rPr>
          <w:rFonts w:ascii="Times New Roman" w:cs="Times New Roman" w:eastAsia="Times New Roman" w:hAnsi="Times New Roman"/>
          <w:sz w:val="22"/>
          <w:szCs w:val="22"/>
          <w:color w:val="auto"/>
        </w:rPr>
      </w:pPr>
    </w:p>
    <w:p>
      <w:pPr>
        <w:ind w:left="1945" w:hanging="648"/>
        <w:spacing w:after="0"/>
        <w:tabs>
          <w:tab w:leader="none" w:pos="194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Awards Granted to Non-Employee Directors</w:t>
      </w:r>
    </w:p>
    <w:p>
      <w:pPr>
        <w:spacing w:after="0" w:line="215" w:lineRule="exact"/>
        <w:rPr>
          <w:rFonts w:ascii="Times New Roman" w:cs="Times New Roman" w:eastAsia="Times New Roman" w:hAnsi="Times New Roman"/>
          <w:sz w:val="22"/>
          <w:szCs w:val="22"/>
          <w:color w:val="auto"/>
        </w:rPr>
      </w:pPr>
    </w:p>
    <w:p>
      <w:pPr>
        <w:jc w:val="both"/>
        <w:ind w:left="5" w:firstLine="1940"/>
        <w:spacing w:after="0" w:line="259" w:lineRule="auto"/>
        <w:tabs>
          <w:tab w:leader="none" w:pos="2489"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The per share exercise price of each option granted to a Non-Employee Director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equal the Fair Market Value of a Share on the date the option is granted (including on the Issue Date of any Elective Option).</w:t>
      </w:r>
    </w:p>
    <w:p>
      <w:pPr>
        <w:sectPr>
          <w:pgSz w:w="11900" w:h="16838" w:orient="portrait"/>
          <w:cols w:equalWidth="0" w:num="1">
            <w:col w:w="11025"/>
          </w:cols>
          <w:pgMar w:left="435" w:top="1337" w:right="439" w:bottom="1440" w:gutter="0" w:footer="0" w:header="0"/>
        </w:sectPr>
      </w:pPr>
    </w:p>
    <w:bookmarkStart w:id="158" w:name="page159"/>
    <w:bookmarkEnd w:id="158"/>
    <w:p>
      <w:pPr>
        <w:spacing w:after="0" w:line="113" w:lineRule="exact"/>
        <w:rPr>
          <w:sz w:val="20"/>
          <w:szCs w:val="20"/>
          <w:color w:val="auto"/>
        </w:rPr>
      </w:pPr>
    </w:p>
    <w:p>
      <w:pPr>
        <w:jc w:val="both"/>
        <w:ind w:left="-1000" w:firstLine="1939"/>
        <w:spacing w:after="0" w:line="247" w:lineRule="auto"/>
        <w:tabs>
          <w:tab w:leader="none" w:pos="148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 Each Initial Award shall vest and become exercisable in thirty-six (36) substantially equal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monthly installments following the date of grant, such that the Initial Award shall be fully vested on the third anniversary of the date of grant, subject to the Non-Employee Director continuing in service as a Non-Employee Director on each such vesting date. Each Subsequent Award shall vest and become exercisable in twelve substantially equal monthly installments following the date of grant, such that the Subsequent Award shall be fully vested on the first anniversary of the date of grant (provided that any portion of a Subsequent Award scheduled to vest after the first annual meeting of the Company’s stockholders following the date of grant of such Subsequent Award shall vest on the date of such annual meeting), subject to the Non-Employee Director continuing in service on the Board as a Non-Employee Director on each such vesting date. Each Elective Option shall vest and become exercisable as to 25% of the Shares subject to the Elective Option (each, an “</w:t>
      </w:r>
      <w:r>
        <w:rPr>
          <w:rFonts w:ascii="Times New Roman" w:cs="Times New Roman" w:eastAsia="Times New Roman" w:hAnsi="Times New Roman"/>
          <w:sz w:val="22"/>
          <w:szCs w:val="22"/>
          <w:b w:val="1"/>
          <w:bCs w:val="1"/>
          <w:i w:val="1"/>
          <w:iCs w:val="1"/>
          <w:color w:val="auto"/>
        </w:rPr>
        <w:t>Elective Option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Tranche</w:t>
      </w:r>
      <w:r>
        <w:rPr>
          <w:rFonts w:ascii="Times New Roman" w:cs="Times New Roman" w:eastAsia="Times New Roman" w:hAnsi="Times New Roman"/>
          <w:sz w:val="22"/>
          <w:szCs w:val="22"/>
          <w:color w:val="auto"/>
        </w:rPr>
        <w:t>”) upon the Non-Employee Director completing three months of continuous service as a Non-Employee Director, or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case of an Additional Retainer Elective Option, in the applicable position, following the Issue Date, such that the fourth and final Elective Option Tranche will vest and become exercisable on the first anniversary of the Issue Date. By way of example, if, during a given Service Year for which a Non-Employee Director received a Base Retainer Elective Option and an Additional Retainer Elective Option, such Non-Employee Director ceases to serve as Chair of the Board but continues to serve as a Non-Employee Director, such Non-Employee Director’s Base Retainer Elective Option will continue to vest and become exercisable while such Non-Employee Director continues to serve as a Non-Employee Director and any portion of such Non-Employee Director’s Additional Retainer Elective Option that has not become vested and exercisable on or prior to the date such Non-Employee Director ceases to serve as the Chair of the Board shall, unless otherwise determined by the Board, be forfeited on the date such Non- Employee Director ceases to serve as Chair of the Board. Unless the Board otherwise determines, any portion of an Initial Award, Subsequent Award or Elective Option which is unvested or unexercisable at the time of a Non-Employee Director’s termination of service on the Board as a Non-Employee Director (or, if applicable, as Chair or Lead Independent Director) shall be immediately forfeited upon such termination of service and shall not thereafter become vested and exercisable. All of a Non-Employee Director’s outstanding Initial Awards, Subsequent Awards and Elective Options shall vest in full immediately prior to the occurrence of a Change in Control (as defined in the Equity Plan), to the extent outstanding at such time.</w:t>
      </w:r>
    </w:p>
    <w:p>
      <w:pPr>
        <w:spacing w:after="0" w:line="187" w:lineRule="exact"/>
        <w:rPr>
          <w:rFonts w:ascii="Times New Roman" w:cs="Times New Roman" w:eastAsia="Times New Roman" w:hAnsi="Times New Roman"/>
          <w:sz w:val="22"/>
          <w:szCs w:val="22"/>
          <w:color w:val="auto"/>
        </w:rPr>
      </w:pPr>
    </w:p>
    <w:p>
      <w:pPr>
        <w:ind w:left="-1000" w:right="20" w:firstLine="1939"/>
        <w:spacing w:after="0" w:line="275" w:lineRule="auto"/>
        <w:tabs>
          <w:tab w:leader="none" w:pos="148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The maximum term of each stock option granted to a Non- Employee Director hereunder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ten (10) years from the date the option is granted.</w:t>
      </w:r>
    </w:p>
    <w:p>
      <w:pPr>
        <w:sectPr>
          <w:pgSz w:w="11900" w:h="16838" w:orient="portrait"/>
          <w:cols w:equalWidth="0" w:num="1">
            <w:col w:w="10020"/>
          </w:cols>
          <w:pgMar w:left="1440" w:top="1440" w:right="439" w:bottom="1440" w:gutter="0" w:footer="0" w:header="0"/>
        </w:sectPr>
      </w:pPr>
    </w:p>
    <w:bookmarkStart w:id="159" w:name="page160"/>
    <w:bookmarkEnd w:id="159"/>
    <w:p>
      <w:pPr>
        <w:spacing w:after="0" w:line="113" w:lineRule="exact"/>
        <w:rPr>
          <w:sz w:val="20"/>
          <w:szCs w:val="20"/>
          <w:color w:val="auto"/>
        </w:rPr>
      </w:pPr>
    </w:p>
    <w:p>
      <w:pPr>
        <w:jc w:val="both"/>
        <w:ind w:left="-1000" w:firstLine="1939"/>
        <w:spacing w:after="0" w:line="249" w:lineRule="auto"/>
        <w:tabs>
          <w:tab w:leader="none" w:pos="148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Post-Termination Exercise Period</w:t>
      </w:r>
      <w:r>
        <w:rPr>
          <w:rFonts w:ascii="Times New Roman" w:cs="Times New Roman" w:eastAsia="Times New Roman" w:hAnsi="Times New Roman"/>
          <w:sz w:val="22"/>
          <w:szCs w:val="22"/>
          <w:color w:val="auto"/>
        </w:rPr>
        <w:t>. Unless the Board determines otherwise, and notwithstanding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contrary provision in the Company’s applicable Equity Plan, upon a Non-Employee Director’s termination of service (such date of termination, the “</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the portion, if any, of such Non-Employee Director’s Initial Award, Subsequent Award(s) and/or Elective Option(s) vested and outstanding as of the Termination Date shall be exercisable: (i) in the case of a Non-Employee Director who has served on the Board for less than three years as of the Termination Date, as set forth in the Company’s applicable Equity Plan and applicable stock option agreement(s); (ii) in the case of a Non-Employee Director who has served on the Board for at least three years but less than five years as of the Termination Date, until the earlier of (x) two years following the Termination Date and (y) the original expiration date of the option grant (as set forth in the applicable stock option agreement(s)); and (iii) in the case of a Non-Employee Director who has served on the Board for at least five years as of the Termination Date, until the earlier of (x) three years following the Termination Date and (y) the original expiration date of the option grant (as set forth in the applicable stock option agreement(s)).</w:t>
      </w:r>
    </w:p>
    <w:p>
      <w:pPr>
        <w:spacing w:after="0" w:line="181" w:lineRule="exact"/>
        <w:rPr>
          <w:rFonts w:ascii="Times New Roman" w:cs="Times New Roman" w:eastAsia="Times New Roman" w:hAnsi="Times New Roman"/>
          <w:sz w:val="22"/>
          <w:szCs w:val="22"/>
          <w:color w:val="auto"/>
        </w:rPr>
      </w:pPr>
    </w:p>
    <w:p>
      <w:pPr>
        <w:ind w:left="4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ectPr>
          <w:pgSz w:w="11900" w:h="16838" w:orient="portrait"/>
          <w:cols w:equalWidth="0" w:num="1">
            <w:col w:w="10020"/>
          </w:cols>
          <w:pgMar w:left="1440" w:top="1440" w:right="43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333-289589 and 333-289997) on Form S-3 and Registration Statements (Nos. 333-258416 and 333-286973) on Form S-8 of Immuneering Corporation of our report dated March 6, 2026, relating to the consolidated financial statements of Immuneering Corporation and its subsidiaries, appearing in this Annual Report on Form 10-K of Immuneering Corporation for the year ended December 31, 2025.</w:t>
      </w: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2026</w:t>
      </w:r>
    </w:p>
    <w:p>
      <w:pPr>
        <w:sectPr>
          <w:pgSz w:w="11900" w:h="16838" w:orient="portrait"/>
          <w:cols w:equalWidth="0" w:num="1">
            <w:col w:w="11200"/>
          </w:cols>
          <w:pgMar w:left="320" w:top="1440" w:right="37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J. Zeskind, certify that:</w:t>
      </w:r>
    </w:p>
    <w:p>
      <w:pPr>
        <w:spacing w:after="0" w:line="117"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Immuneering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2026</w:t>
      </w:r>
    </w:p>
    <w:p>
      <w:pPr>
        <w:spacing w:after="0" w:line="158"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J. Zeskind</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J. Zeskind, Ph.D</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Co-Founder, President, Chief Executive Officer and Director (Principal</w:t>
            </w:r>
          </w:p>
        </w:tc>
      </w:tr>
      <w:tr>
        <w:trPr>
          <w:trHeight w:val="234"/>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bl>
    <w:p>
      <w:pPr>
        <w:sectPr>
          <w:pgSz w:w="11900" w:h="16838" w:orient="portrait"/>
          <w:cols w:equalWidth="0" w:num="1">
            <w:col w:w="11240"/>
          </w:cols>
          <w:pgMar w:left="320" w:top="1035"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Mallory Morales, certify that:</w:t>
      </w:r>
    </w:p>
    <w:p>
      <w:pPr>
        <w:spacing w:after="0" w:line="117"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Immuneering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2026</w:t>
      </w:r>
    </w:p>
    <w:p>
      <w:pPr>
        <w:spacing w:after="0" w:line="158"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Mallory Morales</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Mallory Morales</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SVP Finance, Chief Accounting Officer and Treasurer</w:t>
            </w:r>
          </w:p>
        </w:tc>
      </w:tr>
      <w:tr>
        <w:trPr>
          <w:trHeight w:val="234"/>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035"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2025 of Immuneering Corporation (the “Company”),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160" w:hanging="644"/>
        <w:spacing w:after="0" w:line="282" w:lineRule="auto"/>
        <w:tabs>
          <w:tab w:leader="none" w:pos="12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2026</w:t>
      </w:r>
    </w:p>
    <w:p>
      <w:pPr>
        <w:spacing w:after="0" w:line="158"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J. Zeskind</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J. Zeskind, Ph.D.</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Co-Founder, President, Chief Executive Officer and Director (Principal</w:t>
            </w:r>
          </w:p>
        </w:tc>
      </w:tr>
      <w:tr>
        <w:trPr>
          <w:trHeight w:val="234"/>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bl>
    <w:p>
      <w:pPr>
        <w:sectPr>
          <w:pgSz w:w="11900" w:h="16838" w:orient="portrait"/>
          <w:cols w:equalWidth="0" w:num="1">
            <w:col w:w="11240"/>
          </w:cols>
          <w:pgMar w:left="320" w:top="1035"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2025 of Immuneering Corporation (the “Company”),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160" w:hanging="644"/>
        <w:spacing w:after="0" w:line="282" w:lineRule="auto"/>
        <w:tabs>
          <w:tab w:leader="none" w:pos="129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2026</w:t>
      </w:r>
    </w:p>
    <w:p>
      <w:pPr>
        <w:spacing w:after="0" w:line="158"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Mallory Morales</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Mallory Morales</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SVP Finance, Chief Accounting Officer and Treasurer</w:t>
            </w:r>
          </w:p>
        </w:tc>
      </w:tr>
      <w:tr>
        <w:trPr>
          <w:trHeight w:val="234"/>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endash "/>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1)"/>
      <w:numFmt w:val="decimal"/>
      <w:start w:val="2"/>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72">
    <w:nsid w:val="A0382C5"/>
    <w:multiLevelType w:val="hybridMultilevel"/>
    <w:lvl w:ilvl="0">
      <w:lvlJc w:val="left"/>
      <w:lvlText w:val="%1."/>
      <w:numFmt w:val="upperLetter"/>
      <w:start w:val="3"/>
    </w:lvl>
    <w:lvl w:ilvl="1">
      <w:lvlJc w:val="left"/>
      <w:lvlText w:val="%2."/>
      <w:numFmt w:val="decimal"/>
      <w:start w:val="1"/>
    </w:lvl>
  </w:abstractNum>
  <w:abstractNum w:abstractNumId="73">
    <w:nsid w:val="8F2B15E"/>
    <w:multiLevelType w:val="hybridMultilevel"/>
    <w:lvl w:ilvl="0">
      <w:lvlJc w:val="left"/>
      <w:lvlText w:val="%1"/>
      <w:numFmt w:val="lowerLetter"/>
      <w:start w:val="1"/>
    </w:lvl>
    <w:lvl w:ilvl="1">
      <w:lvlJc w:val="left"/>
      <w:lvlText w:val="%2."/>
      <w:numFmt w:val="decimal"/>
      <w:start w:val="2"/>
    </w:lvl>
  </w:abstractNum>
  <w:abstractNum w:abstractNumId="74">
    <w:nsid w:val="1A32234B"/>
    <w:multiLevelType w:val="hybridMultilevel"/>
    <w:lvl w:ilvl="0">
      <w:lvlJc w:val="left"/>
      <w:lvlText w:val="(%1)"/>
      <w:numFmt w:val="lowerLetter"/>
      <w:start w:val="2"/>
    </w:lvl>
    <w:lvl w:ilvl="1">
      <w:lvlJc w:val="left"/>
      <w:lvlText w:val="%2."/>
      <w:numFmt w:val="decimal"/>
      <w:start w:val="4"/>
    </w:lvl>
  </w:abstractNum>
  <w:abstractNum w:abstractNumId="75">
    <w:nsid w:val="3B0FD379"/>
    <w:multiLevelType w:val="hybridMultilevel"/>
    <w:lvl w:ilvl="0">
      <w:lvlJc w:val="left"/>
      <w:lvlText w:val="%1."/>
      <w:numFmt w:val="upperLetter"/>
      <w:start w:val="35"/>
    </w:lvl>
  </w:abstractNum>
  <w:abstractNum w:abstractNumId="76">
    <w:nsid w:val="68EB2F63"/>
    <w:multiLevelType w:val="hybridMultilevel"/>
    <w:lvl w:ilvl="0">
      <w:lvlJc w:val="left"/>
      <w:lvlText w:val="%1."/>
      <w:numFmt w:val="upperLetter"/>
      <w:start w:val="1"/>
    </w:lvl>
    <w:lvl w:ilvl="1">
      <w:lvlJc w:val="left"/>
      <w:lvlText w:val="%2."/>
      <w:numFmt w:val="decimal"/>
      <w:start w:val="1"/>
    </w:lvl>
  </w:abstractNum>
  <w:abstractNum w:abstractNumId="77">
    <w:nsid w:val="4962813B"/>
    <w:multiLevelType w:val="hybridMultilevel"/>
    <w:lvl w:ilvl="0">
      <w:lvlJc w:val="left"/>
      <w:lvlText w:val="%1."/>
      <w:numFmt w:val="decimal"/>
      <w:start w:val="2"/>
    </w:lvl>
  </w:abstractNum>
  <w:abstractNum w:abstractNumId="78">
    <w:nsid w:val="60B6DF70"/>
    <w:multiLevelType w:val="hybridMultilevel"/>
    <w:lvl w:ilvl="0">
      <w:lvlJc w:val="left"/>
      <w:lvlText w:val="%1."/>
      <w:numFmt w:val="decimal"/>
      <w:start w:val="4"/>
    </w:lvl>
    <w:lvl w:ilvl="1">
      <w:lvlJc w:val="left"/>
      <w:lvlText w:val="*"/>
      <w:numFmt w:val="bullet"/>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206" Type="http://schemas.openxmlformats.org/officeDocument/2006/relationships/image" Target="media/image174.png"/><Relationship Id="rId212" Type="http://schemas.openxmlformats.org/officeDocument/2006/relationships/image" Target="media/image175.png"/><Relationship Id="rId181" Type="http://schemas.openxmlformats.org/officeDocument/2006/relationships/hyperlink" Target="https://www.sec.gov/Archives/edgar/data/1790340/000110465921152368/tm2136034d1_ex2-1.htm" TargetMode="External"/><Relationship Id="rId182" Type="http://schemas.openxmlformats.org/officeDocument/2006/relationships/hyperlink" Target="https://www.sec.gov/Archives/edgar/data/1790340/000155837021012336/imrx-20210630xex3d1.htm" TargetMode="External"/><Relationship Id="rId183" Type="http://schemas.openxmlformats.org/officeDocument/2006/relationships/hyperlink" Target="https://www.sec.gov/Archives/edgar/data/1790340/000110465924010041/tm245037d1_ex3-1.htm" TargetMode="External"/><Relationship Id="rId184" Type="http://schemas.openxmlformats.org/officeDocument/2006/relationships/hyperlink" Target="https://www.sec.gov/Archives/edgar/data/0001790340/000110465921095557/tm2115679d11_ex4-1.htm" TargetMode="External"/><Relationship Id="rId185" Type="http://schemas.openxmlformats.org/officeDocument/2006/relationships/hyperlink" Target="https://www.sec.gov/Archives/edgar/data/1790340/000110465921095557/tm2115679d11_ex4-2.htm" TargetMode="External"/><Relationship Id="rId186" Type="http://schemas.openxmlformats.org/officeDocument/2006/relationships/hyperlink" Target="https://www.sec.gov/Archives/edgar/data/1790340/000155837022003208/imrx-20211231xex4d3.htm" TargetMode="External"/><Relationship Id="rId187" Type="http://schemas.openxmlformats.org/officeDocument/2006/relationships/hyperlink" Target="https://www.sec.gov/Archives/edgar/data/1790340/000110465925081995/tm2524079d1_ex4-1.htm" TargetMode="External"/><Relationship Id="rId188" Type="http://schemas.openxmlformats.org/officeDocument/2006/relationships/hyperlink" Target="https://www.sec.gov/Archives/edgar/data/1790340/000110465925081995/tm2524079d1_ex4-2.htm" TargetMode="External"/><Relationship Id="rId189" Type="http://schemas.openxmlformats.org/officeDocument/2006/relationships/hyperlink" Target="https://www.sec.gov/Archives/edgar/data/1790340/000110465921095557/tm2115679d11_ex10-6.htm" TargetMode="External"/><Relationship Id="rId190" Type="http://schemas.openxmlformats.org/officeDocument/2006/relationships/hyperlink" Target="https://www.sec.gov/Archives/edgar/data/1790340/000110465921095557/tm2115679d11_ex10-8.htm" TargetMode="External"/><Relationship Id="rId191" Type="http://schemas.openxmlformats.org/officeDocument/2006/relationships/hyperlink" Target="https://www.sec.gov/Archives/edgar/data/1790340/000179034024000024/mallorymorales-imrxxemploy.htm" TargetMode="External"/><Relationship Id="rId192" Type="http://schemas.openxmlformats.org/officeDocument/2006/relationships/hyperlink" Target="https://www.sec.gov/Archives/edgar/data/1790340/000110465922082207/tm2221718d1_ex10-1.htm" TargetMode="External"/><Relationship Id="rId193" Type="http://schemas.openxmlformats.org/officeDocument/2006/relationships/hyperlink" Target="https://www.sec.gov/Archives/edgar/data/1790340/000179034024000024/mallorymorales-imrxxletter.htm" TargetMode="External"/><Relationship Id="rId194" Type="http://schemas.openxmlformats.org/officeDocument/2006/relationships/hyperlink" Target="https://www.sec.gov/Archives/edgar/data/1790340/000179034024000024/brakewoodharold-employment.htm" TargetMode="External"/><Relationship Id="rId195" Type="http://schemas.openxmlformats.org/officeDocument/2006/relationships/hyperlink" Target="https://www.sec.gov/Archives/edgar/data/1790340/000110465921095557/tm2115679d11_ex10-9.htm" TargetMode="External"/><Relationship Id="rId196" Type="http://schemas.openxmlformats.org/officeDocument/2006/relationships/hyperlink" Target="https://www.sec.gov/Archives/edgar/data/1790340/000110465921090635/tm2115679d7_ex10-4.htm" TargetMode="External"/><Relationship Id="rId197" Type="http://schemas.openxmlformats.org/officeDocument/2006/relationships/hyperlink" Target="https://www.sec.gov/Archives/edgar/data/1790340/000110465921090635/tm2115679d7_ex10-5.htm" TargetMode="External"/><Relationship Id="rId198" Type="http://schemas.openxmlformats.org/officeDocument/2006/relationships/hyperlink" Target="https://www.sec.gov/Archives/edgar/data/1790340/000110465921095557/tm2115679d11_ex10-10.htm" TargetMode="External"/><Relationship Id="rId199" Type="http://schemas.openxmlformats.org/officeDocument/2006/relationships/hyperlink" Target="https://www.sec.gov/Archives/edgar/data/1790340/000110465921095557/tm2115679d11_ex10-11.htm" TargetMode="External"/><Relationship Id="rId200" Type="http://schemas.openxmlformats.org/officeDocument/2006/relationships/hyperlink" Target="https://www.sec.gov/Archives/edgar/data/1790340/000179034025000042/imrx-20241231x10kxexx1014.htm" TargetMode="External"/><Relationship Id="rId201" Type="http://schemas.openxmlformats.org/officeDocument/2006/relationships/hyperlink" Target="https://www.sec.gov/Archives/edgar/data/1790340/000110465922088662/tm2222025d2_ex1-2.htm" TargetMode="External"/><Relationship Id="rId202" Type="http://schemas.openxmlformats.org/officeDocument/2006/relationships/hyperlink" Target="https://www.sec.gov/Archives/edgar/data/1790340/000110465921095557/tm2115679d11_ex10-12.htm" TargetMode="External"/><Relationship Id="rId203" Type="http://schemas.openxmlformats.org/officeDocument/2006/relationships/hyperlink" Target="https://www.sec.gov/Archives/edgar/data/1790340/000110465921152368/tm2136034d1_ex10-1.htm" TargetMode="External"/><Relationship Id="rId204" Type="http://schemas.openxmlformats.org/officeDocument/2006/relationships/hyperlink" Target="https://www.sec.gov/Archives/edgar/data/1790340/000110465925077655/tm2522572d2_ex1-2.htm" TargetMode="External"/><Relationship Id="rId205" Type="http://schemas.openxmlformats.org/officeDocument/2006/relationships/hyperlink" Target="https://www.sec.gov/Archives/edgar/data/1790340/000110465925081995/tm2524079d1_ex10-1.htm" TargetMode="External"/><Relationship Id="rId207" Type="http://schemas.openxmlformats.org/officeDocument/2006/relationships/hyperlink" Target="https://www.sec.gov/Archives/edgar/data/1790340/000110465925081995/tm2524079d1_ex10-2.htm" TargetMode="External"/><Relationship Id="rId208" Type="http://schemas.openxmlformats.org/officeDocument/2006/relationships/hyperlink" Target="https://www.sec.gov/Archives/edgar/data/1790340/000110465925092957/tm2526843d1_ex10-1.htm" TargetMode="External"/><Relationship Id="rId209" Type="http://schemas.openxmlformats.org/officeDocument/2006/relationships/hyperlink" Target="https://www.sec.gov/Archives/edgar/data/1790340/000179034025000042/imrx-20241231x10kxexx191.htm" TargetMode="External"/><Relationship Id="rId210" Type="http://schemas.openxmlformats.org/officeDocument/2006/relationships/hyperlink" Target="https://www.sec.gov/Archives/edgar/data/1790340/000155837022003208/imrx-20211231xex21d1.htm" TargetMode="External"/><Relationship Id="rId211" Type="http://schemas.openxmlformats.org/officeDocument/2006/relationships/hyperlink" Target="https://www.sec.gov/Archives/edgar/data/1790340/000179034024000024/imrx-policyforrecoveryof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2026-03-06T07:35:13Z</dcterms:created>
  <dcterms:modified xsi:type="dcterms:W3CDTF">2026-03-06T07:35:13Z</dcterms:modified>
</cp:coreProperties>
</file>