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257175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128905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144145</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82"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4" w:lineRule="exact"/>
        <w:rPr>
          <w:sz w:val="24"/>
          <w:szCs w:val="24"/>
          <w:color w:val="auto"/>
        </w:rPr>
      </w:pPr>
    </w:p>
    <w:p>
      <w:pPr>
        <w:ind w:left="4140" w:right="1600" w:hanging="2470"/>
        <w:spacing w:after="0" w:line="282" w:lineRule="auto"/>
        <w:tabs>
          <w:tab w:leader="none" w:pos="2323"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4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For the quarterly period ended September 30, 2022</w:t>
      </w:r>
    </w:p>
    <w:p>
      <w:pPr>
        <w:spacing w:after="0" w:line="4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84" w:lineRule="exact"/>
        <w:rPr>
          <w:sz w:val="24"/>
          <w:szCs w:val="24"/>
          <w:color w:val="auto"/>
        </w:rPr>
      </w:pPr>
    </w:p>
    <w:p>
      <w:pPr>
        <w:ind w:left="4140" w:right="1580" w:hanging="2488"/>
        <w:spacing w:after="0" w:line="301" w:lineRule="auto"/>
        <w:tabs>
          <w:tab w:leader="none" w:pos="2306"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1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74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w w:val="97"/>
              </w:rPr>
              <w:t>For the transition period from</w:t>
            </w:r>
          </w:p>
        </w:tc>
        <w:tc>
          <w:tcPr>
            <w:tcW w:w="580" w:type="dxa"/>
            <w:vAlign w:val="bottom"/>
            <w:tcBorders>
              <w:bottom w:val="single" w:sz="8" w:color="auto"/>
            </w:tcBorders>
          </w:tcPr>
          <w:p>
            <w:pPr>
              <w:spacing w:after="0"/>
              <w:rPr>
                <w:sz w:val="12"/>
                <w:szCs w:val="12"/>
                <w:color w:val="auto"/>
              </w:rPr>
            </w:pPr>
          </w:p>
        </w:tc>
        <w:tc>
          <w:tcPr>
            <w:tcW w:w="3360" w:type="dxa"/>
            <w:vAlign w:val="bottom"/>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to</w:t>
            </w:r>
          </w:p>
        </w:tc>
        <w:tc>
          <w:tcPr>
            <w:tcW w:w="0" w:type="dxa"/>
            <w:vAlign w:val="bottom"/>
          </w:tcPr>
          <w:p>
            <w:pPr>
              <w:spacing w:after="0"/>
              <w:rPr>
                <w:sz w:val="1"/>
                <w:szCs w:val="1"/>
                <w:color w:val="auto"/>
              </w:rPr>
            </w:pPr>
          </w:p>
        </w:tc>
      </w:tr>
      <w:tr>
        <w:trPr>
          <w:trHeight w:val="248"/>
        </w:trPr>
        <w:tc>
          <w:tcPr>
            <w:tcW w:w="1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320" w:type="dxa"/>
            <w:vAlign w:val="bottom"/>
            <w:gridSpan w:val="4"/>
          </w:tcPr>
          <w:p>
            <w:pPr>
              <w:jc w:val="center"/>
              <w:ind w:left="182"/>
              <w:spacing w:after="0"/>
              <w:rPr>
                <w:sz w:val="20"/>
                <w:szCs w:val="20"/>
                <w:color w:val="auto"/>
              </w:rPr>
            </w:pPr>
            <w:r>
              <w:rPr>
                <w:rFonts w:ascii="Times New Roman" w:cs="Times New Roman" w:eastAsia="Times New Roman" w:hAnsi="Times New Roman"/>
                <w:sz w:val="13"/>
                <w:szCs w:val="13"/>
                <w:b w:val="1"/>
                <w:bCs w:val="1"/>
                <w:color w:val="auto"/>
                <w:w w:val="96"/>
              </w:rPr>
              <w:t>Commission File Number: 001-40675</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7"/>
        </w:trPr>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540" w:type="dxa"/>
            <w:vAlign w:val="bottom"/>
            <w:gridSpan w:val="2"/>
          </w:tcPr>
          <w:p>
            <w:pPr>
              <w:spacing w:after="0"/>
              <w:rPr>
                <w:sz w:val="8"/>
                <w:szCs w:val="8"/>
                <w:color w:val="auto"/>
              </w:rPr>
            </w:pPr>
          </w:p>
        </w:tc>
        <w:tc>
          <w:tcPr>
            <w:tcW w:w="2560" w:type="dxa"/>
            <w:vAlign w:val="bottom"/>
            <w:tcBorders>
              <w:bottom w:val="single" w:sz="8" w:color="auto"/>
            </w:tcBorders>
            <w:gridSpan w:val="5"/>
          </w:tcPr>
          <w:p>
            <w:pPr>
              <w:spacing w:after="0"/>
              <w:rPr>
                <w:sz w:val="8"/>
                <w:szCs w:val="8"/>
                <w:color w:val="auto"/>
              </w:rPr>
            </w:pPr>
          </w:p>
        </w:tc>
        <w:tc>
          <w:tcPr>
            <w:tcW w:w="3120" w:type="dxa"/>
            <w:vAlign w:val="bottom"/>
            <w:gridSpan w:val="3"/>
          </w:tcPr>
          <w:p>
            <w:pPr>
              <w:spacing w:after="0"/>
              <w:rPr>
                <w:sz w:val="8"/>
                <w:szCs w:val="8"/>
                <w:color w:val="auto"/>
              </w:rPr>
            </w:pPr>
          </w:p>
        </w:tc>
        <w:tc>
          <w:tcPr>
            <w:tcW w:w="0" w:type="dxa"/>
            <w:vAlign w:val="bottom"/>
          </w:tcPr>
          <w:p>
            <w:pPr>
              <w:spacing w:after="0"/>
              <w:rPr>
                <w:sz w:val="1"/>
                <w:szCs w:val="1"/>
                <w:color w:val="auto"/>
              </w:rPr>
            </w:pPr>
          </w:p>
        </w:tc>
      </w:tr>
      <w:tr>
        <w:trPr>
          <w:trHeight w:val="508"/>
        </w:trPr>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20" w:type="dxa"/>
            <w:vAlign w:val="bottom"/>
            <w:gridSpan w:val="10"/>
          </w:tcPr>
          <w:p>
            <w:pPr>
              <w:jc w:val="center"/>
              <w:ind w:right="1580"/>
              <w:spacing w:after="0"/>
              <w:rPr>
                <w:sz w:val="20"/>
                <w:szCs w:val="20"/>
                <w:color w:val="auto"/>
              </w:rPr>
            </w:pPr>
            <w:r>
              <w:rPr>
                <w:rFonts w:ascii="Times New Roman" w:cs="Times New Roman" w:eastAsia="Times New Roman" w:hAnsi="Times New Roman"/>
                <w:sz w:val="36"/>
                <w:szCs w:val="36"/>
                <w:b w:val="1"/>
                <w:bCs w:val="1"/>
                <w:color w:val="auto"/>
              </w:rPr>
              <w:t>Immuneering Corporation</w:t>
            </w:r>
          </w:p>
        </w:tc>
        <w:tc>
          <w:tcPr>
            <w:tcW w:w="0" w:type="dxa"/>
            <w:vAlign w:val="bottom"/>
          </w:tcPr>
          <w:p>
            <w:pPr>
              <w:spacing w:after="0"/>
              <w:rPr>
                <w:sz w:val="1"/>
                <w:szCs w:val="1"/>
                <w:color w:val="auto"/>
              </w:rPr>
            </w:pPr>
          </w:p>
        </w:tc>
      </w:tr>
      <w:tr>
        <w:trPr>
          <w:trHeight w:val="360"/>
        </w:trPr>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80" w:type="dxa"/>
            <w:vAlign w:val="bottom"/>
            <w:gridSpan w:val="9"/>
          </w:tcPr>
          <w:p>
            <w:pPr>
              <w:jc w:val="center"/>
              <w:ind w:right="2700"/>
              <w:spacing w:after="0"/>
              <w:rPr>
                <w:sz w:val="20"/>
                <w:szCs w:val="20"/>
                <w:color w:val="auto"/>
              </w:rPr>
            </w:pPr>
            <w:r>
              <w:rPr>
                <w:rFonts w:ascii="Times New Roman" w:cs="Times New Roman" w:eastAsia="Times New Roman" w:hAnsi="Times New Roman"/>
                <w:sz w:val="13"/>
                <w:szCs w:val="13"/>
                <w:b w:val="1"/>
                <w:bCs w:val="1"/>
                <w:color w:val="auto"/>
                <w:w w:val="96"/>
              </w:rPr>
              <w:t>(Exact name of registrant as specified in its charter)</w:t>
            </w:r>
          </w:p>
        </w:tc>
        <w:tc>
          <w:tcPr>
            <w:tcW w:w="0" w:type="dxa"/>
            <w:vAlign w:val="bottom"/>
          </w:tcPr>
          <w:p>
            <w:pPr>
              <w:spacing w:after="0"/>
              <w:rPr>
                <w:sz w:val="1"/>
                <w:szCs w:val="1"/>
                <w:color w:val="auto"/>
              </w:rPr>
            </w:pPr>
          </w:p>
        </w:tc>
      </w:tr>
      <w:tr>
        <w:trPr>
          <w:trHeight w:val="83"/>
        </w:trPr>
        <w:tc>
          <w:tcPr>
            <w:tcW w:w="12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40" w:type="dxa"/>
            <w:vAlign w:val="bottom"/>
            <w:vMerge w:val="restart"/>
          </w:tcPr>
          <w:p>
            <w:pPr>
              <w:jc w:val="center"/>
              <w:ind w:right="479"/>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400" w:type="dxa"/>
            <w:vAlign w:val="bottom"/>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310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3"/>
        </w:trPr>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340" w:type="dxa"/>
            <w:vAlign w:val="bottom"/>
            <w:gridSpan w:val="3"/>
          </w:tcPr>
          <w:p>
            <w:pPr>
              <w:jc w:val="right"/>
              <w:ind w:right="1463"/>
              <w:spacing w:after="0"/>
              <w:rPr>
                <w:sz w:val="20"/>
                <w:szCs w:val="20"/>
                <w:color w:val="auto"/>
              </w:rPr>
            </w:pPr>
            <w:r>
              <w:rPr>
                <w:rFonts w:ascii="Times New Roman" w:cs="Times New Roman" w:eastAsia="Times New Roman" w:hAnsi="Times New Roman"/>
                <w:sz w:val="13"/>
                <w:szCs w:val="13"/>
                <w:color w:val="auto"/>
              </w:rPr>
              <w:t>26-1976972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280" w:type="dxa"/>
            <w:vAlign w:val="bottom"/>
          </w:tcPr>
          <w:p>
            <w:pPr>
              <w:spacing w:after="0"/>
              <w:rPr>
                <w:sz w:val="10"/>
                <w:szCs w:val="10"/>
                <w:color w:val="auto"/>
              </w:rPr>
            </w:pPr>
          </w:p>
        </w:tc>
        <w:tc>
          <w:tcPr>
            <w:tcW w:w="4860" w:type="dxa"/>
            <w:vAlign w:val="bottom"/>
            <w:gridSpan w:val="7"/>
          </w:tcPr>
          <w:p>
            <w:pPr>
              <w:jc w:val="center"/>
              <w:ind w:right="2300"/>
              <w:spacing w:after="0"/>
              <w:rPr>
                <w:sz w:val="20"/>
                <w:szCs w:val="20"/>
                <w:color w:val="auto"/>
              </w:rPr>
            </w:pPr>
            <w:r>
              <w:rPr>
                <w:rFonts w:ascii="Times New Roman" w:cs="Times New Roman" w:eastAsia="Times New Roman" w:hAnsi="Times New Roman"/>
                <w:sz w:val="9"/>
                <w:szCs w:val="9"/>
                <w:b w:val="1"/>
                <w:bCs w:val="1"/>
                <w:color w:val="auto"/>
                <w:w w:val="99"/>
              </w:rPr>
              <w:t>(State or other jurisdiction of incorporation or organization)</w:t>
            </w:r>
          </w:p>
        </w:tc>
        <w:tc>
          <w:tcPr>
            <w:tcW w:w="240" w:type="dxa"/>
            <w:vAlign w:val="bottom"/>
          </w:tcPr>
          <w:p>
            <w:pPr>
              <w:spacing w:after="0"/>
              <w:rPr>
                <w:sz w:val="10"/>
                <w:szCs w:val="10"/>
                <w:color w:val="auto"/>
              </w:rPr>
            </w:pPr>
          </w:p>
        </w:tc>
        <w:tc>
          <w:tcPr>
            <w:tcW w:w="3120" w:type="dxa"/>
            <w:vAlign w:val="bottom"/>
            <w:gridSpan w:val="3"/>
          </w:tcPr>
          <w:p>
            <w:pPr>
              <w:jc w:val="center"/>
              <w:ind w:right="560"/>
              <w:spacing w:after="0"/>
              <w:rPr>
                <w:sz w:val="20"/>
                <w:szCs w:val="20"/>
                <w:color w:val="auto"/>
              </w:rPr>
            </w:pPr>
            <w:r>
              <w:rPr>
                <w:rFonts w:ascii="Times New Roman" w:cs="Times New Roman" w:eastAsia="Times New Roman" w:hAnsi="Times New Roman"/>
                <w:sz w:val="9"/>
                <w:szCs w:val="9"/>
                <w:b w:val="1"/>
                <w:bCs w:val="1"/>
                <w:color w:val="auto"/>
                <w:w w:val="99"/>
              </w:rPr>
              <w:t>(I.R.S. Employer Identification Number)</w:t>
            </w: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2140" w:type="dxa"/>
            <w:vAlign w:val="bottom"/>
            <w:gridSpan w:val="2"/>
          </w:tcPr>
          <w:p>
            <w:pPr>
              <w:jc w:val="center"/>
              <w:ind w:left="362"/>
              <w:spacing w:after="0"/>
              <w:rPr>
                <w:sz w:val="20"/>
                <w:szCs w:val="20"/>
                <w:color w:val="auto"/>
              </w:rPr>
            </w:pPr>
            <w:r>
              <w:rPr>
                <w:rFonts w:ascii="Times New Roman" w:cs="Times New Roman" w:eastAsia="Times New Roman" w:hAnsi="Times New Roman"/>
                <w:sz w:val="13"/>
                <w:szCs w:val="13"/>
                <w:b w:val="1"/>
                <w:bCs w:val="1"/>
                <w:color w:val="auto"/>
                <w:w w:val="96"/>
              </w:rPr>
              <w:t>245 Main St.</w:t>
            </w: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1280" w:type="dxa"/>
            <w:vAlign w:val="bottom"/>
          </w:tcPr>
          <w:p>
            <w:pPr>
              <w:spacing w:after="0"/>
              <w:rPr>
                <w:sz w:val="11"/>
                <w:szCs w:val="11"/>
                <w:color w:val="auto"/>
              </w:rPr>
            </w:pPr>
          </w:p>
        </w:tc>
        <w:tc>
          <w:tcPr>
            <w:tcW w:w="2140" w:type="dxa"/>
            <w:vAlign w:val="bottom"/>
            <w:gridSpan w:val="2"/>
          </w:tcPr>
          <w:p>
            <w:pPr>
              <w:jc w:val="center"/>
              <w:ind w:left="342"/>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Second Floor</w:t>
            </w: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280" w:type="dxa"/>
            <w:vAlign w:val="bottom"/>
          </w:tcPr>
          <w:p>
            <w:pPr>
              <w:spacing w:after="0"/>
              <w:rPr>
                <w:sz w:val="12"/>
                <w:szCs w:val="12"/>
                <w:color w:val="auto"/>
              </w:rPr>
            </w:pPr>
          </w:p>
        </w:tc>
        <w:tc>
          <w:tcPr>
            <w:tcW w:w="2140" w:type="dxa"/>
            <w:vAlign w:val="bottom"/>
            <w:gridSpan w:val="2"/>
          </w:tcPr>
          <w:p>
            <w:pPr>
              <w:jc w:val="center"/>
              <w:ind w:left="362"/>
              <w:spacing w:after="0" w:line="144" w:lineRule="exact"/>
              <w:rPr>
                <w:sz w:val="20"/>
                <w:szCs w:val="20"/>
                <w:color w:val="auto"/>
              </w:rPr>
            </w:pPr>
            <w:r>
              <w:rPr>
                <w:rFonts w:ascii="Times New Roman" w:cs="Times New Roman" w:eastAsia="Times New Roman" w:hAnsi="Times New Roman"/>
                <w:sz w:val="13"/>
                <w:szCs w:val="13"/>
                <w:b w:val="1"/>
                <w:bCs w:val="1"/>
                <w:color w:val="auto"/>
                <w:w w:val="96"/>
              </w:rPr>
              <w:t>Cambridge, MA</w:t>
            </w: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340" w:type="dxa"/>
            <w:vAlign w:val="bottom"/>
            <w:gridSpan w:val="3"/>
          </w:tcPr>
          <w:p>
            <w:pPr>
              <w:jc w:val="right"/>
              <w:ind w:right="1603"/>
              <w:spacing w:after="0" w:line="144" w:lineRule="exact"/>
              <w:rPr>
                <w:sz w:val="20"/>
                <w:szCs w:val="20"/>
                <w:color w:val="auto"/>
              </w:rPr>
            </w:pPr>
            <w:r>
              <w:rPr>
                <w:rFonts w:ascii="Times New Roman" w:cs="Times New Roman" w:eastAsia="Times New Roman" w:hAnsi="Times New Roman"/>
                <w:sz w:val="13"/>
                <w:szCs w:val="13"/>
                <w:b w:val="1"/>
                <w:bCs w:val="1"/>
                <w:color w:val="auto"/>
              </w:rPr>
              <w:t>02142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280" w:type="dxa"/>
            <w:vAlign w:val="bottom"/>
          </w:tcPr>
          <w:p>
            <w:pPr>
              <w:spacing w:after="0"/>
              <w:rPr>
                <w:sz w:val="10"/>
                <w:szCs w:val="10"/>
                <w:color w:val="auto"/>
              </w:rPr>
            </w:pPr>
          </w:p>
        </w:tc>
        <w:tc>
          <w:tcPr>
            <w:tcW w:w="2140" w:type="dxa"/>
            <w:vAlign w:val="bottom"/>
            <w:gridSpan w:val="2"/>
          </w:tcPr>
          <w:p>
            <w:pPr>
              <w:jc w:val="center"/>
              <w:ind w:left="342"/>
              <w:spacing w:after="0"/>
              <w:rPr>
                <w:sz w:val="20"/>
                <w:szCs w:val="20"/>
                <w:color w:val="auto"/>
              </w:rPr>
            </w:pPr>
            <w:r>
              <w:rPr>
                <w:rFonts w:ascii="Times New Roman" w:cs="Times New Roman" w:eastAsia="Times New Roman" w:hAnsi="Times New Roman"/>
                <w:sz w:val="9"/>
                <w:szCs w:val="9"/>
                <w:b w:val="1"/>
                <w:bCs w:val="1"/>
                <w:color w:val="auto"/>
                <w:w w:val="99"/>
              </w:rPr>
              <w:t>(Address of Principal Executive Offices)</w:t>
            </w:r>
          </w:p>
        </w:tc>
        <w:tc>
          <w:tcPr>
            <w:tcW w:w="4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120" w:type="dxa"/>
            <w:vAlign w:val="bottom"/>
            <w:gridSpan w:val="2"/>
          </w:tcPr>
          <w:p>
            <w:pPr>
              <w:jc w:val="center"/>
              <w:ind w:right="1540"/>
              <w:spacing w:after="0"/>
              <w:rPr>
                <w:sz w:val="20"/>
                <w:szCs w:val="20"/>
                <w:color w:val="auto"/>
              </w:rPr>
            </w:pPr>
            <w:r>
              <w:rPr>
                <w:rFonts w:ascii="Times New Roman" w:cs="Times New Roman" w:eastAsia="Times New Roman" w:hAnsi="Times New Roman"/>
                <w:sz w:val="9"/>
                <w:szCs w:val="9"/>
                <w:b w:val="1"/>
                <w:bCs w:val="1"/>
                <w:color w:val="auto"/>
              </w:rPr>
              <w:t>(Zip Code)</w:t>
            </w:r>
          </w:p>
        </w:tc>
        <w:tc>
          <w:tcPr>
            <w:tcW w:w="0" w:type="dxa"/>
            <w:vAlign w:val="bottom"/>
          </w:tcPr>
          <w:p>
            <w:pPr>
              <w:spacing w:after="0"/>
              <w:rPr>
                <w:sz w:val="1"/>
                <w:szCs w:val="1"/>
                <w:color w:val="auto"/>
              </w:rPr>
            </w:pPr>
          </w:p>
        </w:tc>
      </w:tr>
      <w:tr>
        <w:trPr>
          <w:trHeight w:val="314"/>
        </w:trPr>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120" w:type="dxa"/>
            <w:vAlign w:val="bottom"/>
            <w:gridSpan w:val="3"/>
          </w:tcPr>
          <w:p>
            <w:pPr>
              <w:jc w:val="center"/>
              <w:ind w:left="1203"/>
              <w:spacing w:after="0"/>
              <w:rPr>
                <w:sz w:val="20"/>
                <w:szCs w:val="20"/>
                <w:color w:val="auto"/>
              </w:rPr>
            </w:pPr>
            <w:r>
              <w:rPr>
                <w:rFonts w:ascii="Times New Roman" w:cs="Times New Roman" w:eastAsia="Times New Roman" w:hAnsi="Times New Roman"/>
                <w:sz w:val="13"/>
                <w:szCs w:val="13"/>
                <w:b w:val="1"/>
                <w:bCs w:val="1"/>
                <w:color w:val="auto"/>
                <w:w w:val="95"/>
              </w:rPr>
              <w:t>(617) 500-8080</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320" w:type="dxa"/>
            <w:vAlign w:val="bottom"/>
            <w:gridSpan w:val="4"/>
          </w:tcPr>
          <w:p>
            <w:pPr>
              <w:jc w:val="center"/>
              <w:ind w:left="182"/>
              <w:spacing w:after="0"/>
              <w:rPr>
                <w:sz w:val="20"/>
                <w:szCs w:val="20"/>
                <w:color w:val="auto"/>
              </w:rPr>
            </w:pPr>
            <w:r>
              <w:rPr>
                <w:rFonts w:ascii="Times New Roman" w:cs="Times New Roman" w:eastAsia="Times New Roman" w:hAnsi="Times New Roman"/>
                <w:sz w:val="9"/>
                <w:szCs w:val="9"/>
                <w:b w:val="1"/>
                <w:bCs w:val="1"/>
                <w:color w:val="auto"/>
                <w:w w:val="99"/>
              </w:rPr>
              <w:t>(Registrant’s telephone number)</w:t>
            </w: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gridSpan w:val="3"/>
          </w:tcPr>
          <w:p>
            <w:pPr>
              <w:jc w:val="center"/>
              <w:ind w:right="620"/>
              <w:spacing w:after="0"/>
              <w:rPr>
                <w:sz w:val="20"/>
                <w:szCs w:val="20"/>
                <w:color w:val="auto"/>
              </w:rPr>
            </w:pPr>
            <w:r>
              <w:rPr>
                <w:rFonts w:ascii="Times New Roman" w:cs="Times New Roman" w:eastAsia="Times New Roman" w:hAnsi="Times New Roman"/>
                <w:sz w:val="9"/>
                <w:szCs w:val="9"/>
                <w:b w:val="1"/>
                <w:bCs w:val="1"/>
                <w:color w:val="auto"/>
              </w:rPr>
              <w:t>N/A</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80" w:type="dxa"/>
            <w:vAlign w:val="bottom"/>
            <w:gridSpan w:val="9"/>
          </w:tcPr>
          <w:p>
            <w:pPr>
              <w:jc w:val="center"/>
              <w:ind w:right="2720"/>
              <w:spacing w:after="0"/>
              <w:rPr>
                <w:sz w:val="20"/>
                <w:szCs w:val="20"/>
                <w:color w:val="auto"/>
              </w:rPr>
            </w:pPr>
            <w:r>
              <w:rPr>
                <w:rFonts w:ascii="Times New Roman" w:cs="Times New Roman" w:eastAsia="Times New Roman" w:hAnsi="Times New Roman"/>
                <w:sz w:val="9"/>
                <w:szCs w:val="9"/>
                <w:b w:val="1"/>
                <w:bCs w:val="1"/>
                <w:color w:val="auto"/>
                <w:w w:val="99"/>
              </w:rPr>
              <w:t>(Former name, former address and former fiscal year, if changed since last report)</w:t>
            </w:r>
          </w:p>
        </w:tc>
        <w:tc>
          <w:tcPr>
            <w:tcW w:w="0" w:type="dxa"/>
            <w:vAlign w:val="bottom"/>
          </w:tcPr>
          <w:p>
            <w:pPr>
              <w:spacing w:after="0"/>
              <w:rPr>
                <w:sz w:val="1"/>
                <w:szCs w:val="1"/>
                <w:color w:val="auto"/>
              </w:rPr>
            </w:pPr>
          </w:p>
        </w:tc>
      </w:tr>
      <w:tr>
        <w:trPr>
          <w:trHeight w:val="150"/>
        </w:trPr>
        <w:tc>
          <w:tcPr>
            <w:tcW w:w="342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c>
          <w:tcPr>
            <w:tcW w:w="40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3420" w:type="dxa"/>
            <w:vAlign w:val="bottom"/>
            <w:gridSpan w:val="3"/>
            <w:vMerge w:val="continue"/>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2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b w:val="1"/>
                <w:bCs w:val="1"/>
                <w:color w:val="auto"/>
                <w:w w:val="90"/>
              </w:rPr>
              <w:t>Class A common</w:t>
            </w:r>
          </w:p>
        </w:tc>
        <w:tc>
          <w:tcPr>
            <w:tcW w:w="21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400" w:type="dxa"/>
            <w:vAlign w:val="bottom"/>
          </w:tcPr>
          <w:p>
            <w:pPr>
              <w:spacing w:after="0"/>
              <w:rPr>
                <w:sz w:val="16"/>
                <w:szCs w:val="16"/>
                <w:color w:val="auto"/>
              </w:rPr>
            </w:pPr>
          </w:p>
        </w:tc>
        <w:tc>
          <w:tcPr>
            <w:tcW w:w="2320" w:type="dxa"/>
            <w:vAlign w:val="bottom"/>
            <w:gridSpan w:val="4"/>
          </w:tcPr>
          <w:p>
            <w:pPr>
              <w:jc w:val="center"/>
              <w:ind w:left="202"/>
              <w:spacing w:after="0"/>
              <w:rPr>
                <w:sz w:val="20"/>
                <w:szCs w:val="20"/>
                <w:color w:val="auto"/>
              </w:rPr>
            </w:pPr>
            <w:r>
              <w:rPr>
                <w:rFonts w:ascii="Times New Roman" w:cs="Times New Roman" w:eastAsia="Times New Roman" w:hAnsi="Times New Roman"/>
                <w:sz w:val="13"/>
                <w:szCs w:val="13"/>
                <w:b w:val="1"/>
                <w:bCs w:val="1"/>
                <w:color w:val="auto"/>
                <w:w w:val="97"/>
              </w:rPr>
              <w:t>Trading symbol</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12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7"/>
              </w:rPr>
              <w:t>Name of Exchange on which registered</w:t>
            </w:r>
          </w:p>
        </w:tc>
        <w:tc>
          <w:tcPr>
            <w:tcW w:w="0" w:type="dxa"/>
            <w:vAlign w:val="bottom"/>
          </w:tcPr>
          <w:p>
            <w:pPr>
              <w:spacing w:after="0"/>
              <w:rPr>
                <w:sz w:val="1"/>
                <w:szCs w:val="1"/>
                <w:color w:val="auto"/>
              </w:rPr>
            </w:pPr>
          </w:p>
        </w:tc>
      </w:tr>
      <w:tr>
        <w:trPr>
          <w:trHeight w:val="20"/>
        </w:trPr>
        <w:tc>
          <w:tcPr>
            <w:tcW w:w="1280" w:type="dxa"/>
            <w:vAlign w:val="bottom"/>
            <w:vMerge w:val="continue"/>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86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0" w:type="dxa"/>
            <w:vAlign w:val="bottom"/>
            <w:gridSpan w:val="2"/>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0" w:type="dxa"/>
            <w:vAlign w:val="bottom"/>
            <w:vMerge w:val="restart"/>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280" w:type="dxa"/>
            <w:vAlign w:val="bottom"/>
            <w:vMerge w:val="continue"/>
          </w:tcPr>
          <w:p>
            <w:pPr>
              <w:spacing w:after="0"/>
              <w:rPr>
                <w:sz w:val="13"/>
                <w:szCs w:val="13"/>
                <w:color w:val="auto"/>
              </w:rPr>
            </w:pPr>
          </w:p>
        </w:tc>
        <w:tc>
          <w:tcPr>
            <w:tcW w:w="21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Stock, par value $0.001 per share</w:t>
            </w:r>
          </w:p>
        </w:tc>
        <w:tc>
          <w:tcPr>
            <w:tcW w:w="40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IMRX</w:t>
            </w:r>
          </w:p>
        </w:tc>
        <w:tc>
          <w:tcPr>
            <w:tcW w:w="600" w:type="dxa"/>
            <w:vAlign w:val="bottom"/>
            <w:gridSpan w:val="2"/>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The Nasdaq Global Market</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67" w:lineRule="exact"/>
        <w:rPr>
          <w:sz w:val="24"/>
          <w:szCs w:val="24"/>
          <w:color w:val="auto"/>
        </w:rPr>
      </w:pPr>
    </w:p>
    <w:p>
      <w:pPr>
        <w:ind w:right="240"/>
        <w:spacing w:after="0" w:line="16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38" w:lineRule="exact"/>
        <w:rPr>
          <w:sz w:val="24"/>
          <w:szCs w:val="24"/>
          <w:color w:val="auto"/>
        </w:rPr>
      </w:pPr>
    </w:p>
    <w:p>
      <w:pPr>
        <w:ind w:right="40"/>
        <w:spacing w:after="0" w:line="16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5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140"/>
          </w:cols>
          <w:pgMar w:left="840" w:top="661" w:right="919" w:bottom="1440" w:gutter="0" w:footer="0" w:header="0"/>
        </w:sectPr>
      </w:pPr>
    </w:p>
    <w:p>
      <w:pPr>
        <w:spacing w:after="0" w:line="5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Accelerated filer</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115" w:lineRule="exact"/>
        <w:rPr>
          <w:sz w:val="24"/>
          <w:szCs w:val="24"/>
          <w:color w:val="auto"/>
        </w:rPr>
      </w:pPr>
    </w:p>
    <w:p>
      <w:pPr>
        <w:sectPr>
          <w:pgSz w:w="11900" w:h="16838" w:orient="portrait"/>
          <w:cols w:equalWidth="0" w:num="4">
            <w:col w:w="1120" w:space="580"/>
            <w:col w:w="1680" w:space="720"/>
            <w:col w:w="1360" w:space="720"/>
            <w:col w:w="3960"/>
          </w:cols>
          <w:pgMar w:left="840" w:top="661" w:right="919" w:bottom="1440" w:gutter="0" w:footer="0" w:header="0"/>
          <w:type w:val="continuous"/>
        </w:sectPr>
      </w:pP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03" w:lineRule="exact"/>
        <w:rPr>
          <w:sz w:val="24"/>
          <w:szCs w:val="24"/>
          <w:color w:val="auto"/>
        </w:rPr>
      </w:pPr>
    </w:p>
    <w:p>
      <w:pPr>
        <w:sectPr>
          <w:pgSz w:w="11900" w:h="16838" w:orient="portrait"/>
          <w:cols w:equalWidth="0" w:num="6">
            <w:col w:w="1060" w:space="640"/>
            <w:col w:w="1680" w:space="720"/>
            <w:col w:w="1380" w:space="700"/>
            <w:col w:w="860" w:space="720"/>
            <w:col w:w="1400" w:space="720"/>
            <w:col w:w="260"/>
          </w:cols>
          <w:pgMar w:left="840" w:top="661" w:right="919" w:bottom="1440" w:gutter="0" w:footer="0" w:header="0"/>
          <w:type w:val="continuous"/>
        </w:sectPr>
      </w:pPr>
    </w:p>
    <w:p>
      <w:pPr>
        <w:ind w:right="300"/>
        <w:spacing w:after="0" w:line="16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44" w:lineRule="exact"/>
        <w:rPr>
          <w:sz w:val="24"/>
          <w:szCs w:val="24"/>
          <w:color w:val="auto"/>
        </w:rPr>
      </w:pPr>
    </w:p>
    <w:p>
      <w:pPr>
        <w:spacing w:after="0" w:line="150" w:lineRule="exact"/>
        <w:tabs>
          <w:tab w:leader="none" w:pos="6260" w:val="left"/>
        </w:tabs>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 </w:t>
      </w:r>
      <w:r>
        <w:rPr>
          <w:rFonts w:ascii="MS PGothic" w:cs="MS PGothic" w:eastAsia="MS PGothic" w:hAnsi="MS PGothic"/>
          <w:sz w:val="13"/>
          <w:szCs w:val="13"/>
          <w:color w:val="auto"/>
        </w:rPr>
        <w:t>☒</w:t>
      </w:r>
    </w:p>
    <w:p>
      <w:pPr>
        <w:spacing w:after="0" w:line="155" w:lineRule="exact"/>
        <w:rPr>
          <w:sz w:val="24"/>
          <w:szCs w:val="24"/>
          <w:color w:val="auto"/>
        </w:rPr>
      </w:pPr>
    </w:p>
    <w:p>
      <w:pPr>
        <w:ind w:right="40"/>
        <w:spacing w:after="0"/>
        <w:rPr>
          <w:sz w:val="20"/>
          <w:szCs w:val="20"/>
          <w:color w:val="auto"/>
        </w:rPr>
      </w:pPr>
      <w:r>
        <w:rPr>
          <w:rFonts w:ascii="Times New Roman" w:cs="Times New Roman" w:eastAsia="Times New Roman" w:hAnsi="Times New Roman"/>
          <w:sz w:val="13"/>
          <w:szCs w:val="13"/>
          <w:color w:val="auto"/>
        </w:rPr>
        <w:t>As of November 3, 2022 the registrant had 26,404,732 shares of Class A common stock, $0.001 par value per share, issued and outstanding and 0 shares of Class B common stock, $0.001 par value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550545</wp:posOffset>
            </wp:positionV>
            <wp:extent cx="649795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53340</wp:posOffset>
            </wp:positionV>
            <wp:extent cx="64979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95885</wp:posOffset>
            </wp:positionV>
            <wp:extent cx="649795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140"/>
          </w:cols>
          <w:pgMar w:left="840" w:top="661" w:right="91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20" w:type="dxa"/>
            <w:vAlign w:val="bottom"/>
            <w:gridSpan w:val="11"/>
          </w:tcPr>
          <w:p>
            <w:pPr>
              <w:ind w:left="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2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85"/>
        </w:trPr>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0000EE"/>
                <w:w w:val="92"/>
              </w:rPr>
              <w:t>Part I</w:t>
            </w:r>
          </w:p>
        </w:tc>
        <w:tc>
          <w:tcPr>
            <w:tcW w:w="680" w:type="dxa"/>
            <w:vAlign w:val="bottom"/>
            <w:gridSpan w:val="4"/>
          </w:tcPr>
          <w:p>
            <w:pPr>
              <w:spacing w:after="0"/>
              <w:rPr>
                <w:sz w:val="24"/>
                <w:szCs w:val="24"/>
                <w:color w:val="auto"/>
              </w:rPr>
            </w:pPr>
          </w:p>
        </w:tc>
        <w:tc>
          <w:tcPr>
            <w:tcW w:w="714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EE"/>
              </w:rPr>
              <w:t>Financial Information</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1.</w:t>
            </w:r>
          </w:p>
        </w:tc>
        <w:tc>
          <w:tcPr>
            <w:tcW w:w="714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58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 as of September 30, 2022 and December 31, 2021</w:t>
            </w:r>
          </w:p>
        </w:tc>
        <w:tc>
          <w:tcPr>
            <w:tcW w:w="560" w:type="dxa"/>
            <w:vAlign w:val="bottom"/>
            <w:gridSpan w:val="3"/>
          </w:tcPr>
          <w:p>
            <w:pPr>
              <w:spacing w:after="0"/>
              <w:rPr>
                <w:sz w:val="24"/>
                <w:szCs w:val="24"/>
                <w:color w:val="auto"/>
              </w:rPr>
            </w:pPr>
          </w:p>
        </w:tc>
        <w:tc>
          <w:tcPr>
            <w:tcW w:w="6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(Unaudited)</w:t>
            </w:r>
          </w:p>
        </w:tc>
        <w:tc>
          <w:tcPr>
            <w:tcW w:w="6260" w:type="dxa"/>
            <w:vAlign w:val="bottom"/>
            <w:gridSpan w:val="18"/>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14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Condensed Consolidated Statements of Operations and Comprehensive Loss for the three</w:t>
            </w:r>
          </w:p>
        </w:tc>
        <w:tc>
          <w:tcPr>
            <w:tcW w:w="6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36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months and nine months ended September 30, 2022 and 2021 (Unaudited)</w:t>
            </w:r>
          </w:p>
        </w:tc>
        <w:tc>
          <w:tcPr>
            <w:tcW w:w="1080" w:type="dxa"/>
            <w:vAlign w:val="bottom"/>
            <w:tcBorders>
              <w:top w:val="single" w:sz="8" w:color="0000EE"/>
            </w:tcBorders>
            <w:gridSpan w:val="2"/>
          </w:tcPr>
          <w:p>
            <w:pPr>
              <w:spacing w:after="0"/>
              <w:rPr>
                <w:sz w:val="17"/>
                <w:szCs w:val="17"/>
                <w:color w:val="auto"/>
              </w:rPr>
            </w:pPr>
          </w:p>
        </w:tc>
        <w:tc>
          <w:tcPr>
            <w:tcW w:w="700" w:type="dxa"/>
            <w:vAlign w:val="bottom"/>
            <w:gridSpan w:val="5"/>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74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Convertible Preferred Stock and Stockholders’ equity</w:t>
            </w: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1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(deficit) for the three and nine months ended September 30, 2022 and 2021 (Unaudited)</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14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 for the nine months ended September 30,</w:t>
            </w:r>
          </w:p>
        </w:tc>
        <w:tc>
          <w:tcPr>
            <w:tcW w:w="6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72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2022 and 2021 (Unaudited)</w:t>
            </w:r>
          </w:p>
        </w:tc>
        <w:tc>
          <w:tcPr>
            <w:tcW w:w="420" w:type="dxa"/>
            <w:vAlign w:val="bottom"/>
            <w:gridSpan w:val="2"/>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9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Notes to Condensed Consolidated Financial Statements (Unaudited)</w:t>
            </w:r>
          </w:p>
        </w:tc>
        <w:tc>
          <w:tcPr>
            <w:tcW w:w="2220" w:type="dxa"/>
            <w:vAlign w:val="bottom"/>
            <w:gridSpan w:val="8"/>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12"/>
        </w:trPr>
        <w:tc>
          <w:tcPr>
            <w:tcW w:w="20" w:type="dxa"/>
            <w:vAlign w:val="bottom"/>
          </w:tcPr>
          <w:p>
            <w:pPr>
              <w:spacing w:after="0"/>
              <w:rPr>
                <w:sz w:val="24"/>
                <w:szCs w:val="24"/>
                <w:color w:val="auto"/>
              </w:rPr>
            </w:pPr>
          </w:p>
        </w:tc>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2.</w:t>
            </w:r>
          </w:p>
        </w:tc>
        <w:tc>
          <w:tcPr>
            <w:tcW w:w="714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5"/>
            <w:shd w:val="clear" w:color="auto" w:fill="0000EE"/>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3.</w:t>
            </w:r>
          </w:p>
        </w:tc>
        <w:tc>
          <w:tcPr>
            <w:tcW w:w="714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80" w:type="dxa"/>
            <w:vAlign w:val="bottom"/>
            <w:gridSpan w:val="9"/>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4.</w:t>
            </w:r>
          </w:p>
        </w:tc>
        <w:tc>
          <w:tcPr>
            <w:tcW w:w="714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780" w:type="dxa"/>
            <w:vAlign w:val="bottom"/>
            <w:gridSpan w:val="9"/>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EE"/>
              </w:rPr>
              <w:t>Part II</w:t>
            </w:r>
          </w:p>
        </w:tc>
        <w:tc>
          <w:tcPr>
            <w:tcW w:w="714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EE"/>
              </w:rPr>
              <w:t>Other Information</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412"/>
        </w:trPr>
        <w:tc>
          <w:tcPr>
            <w:tcW w:w="20" w:type="dxa"/>
            <w:vAlign w:val="bottom"/>
          </w:tcPr>
          <w:p>
            <w:pPr>
              <w:spacing w:after="0"/>
              <w:rPr>
                <w:sz w:val="24"/>
                <w:szCs w:val="24"/>
                <w:color w:val="auto"/>
              </w:rPr>
            </w:pPr>
          </w:p>
        </w:tc>
        <w:tc>
          <w:tcPr>
            <w:tcW w:w="5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620" w:type="dxa"/>
            <w:vAlign w:val="bottom"/>
            <w:gridSpan w:val="3"/>
          </w:tcPr>
          <w:p>
            <w:pPr>
              <w:spacing w:after="0"/>
              <w:rPr>
                <w:sz w:val="24"/>
                <w:szCs w:val="24"/>
                <w:color w:val="auto"/>
              </w:rPr>
            </w:pPr>
          </w:p>
        </w:tc>
        <w:tc>
          <w:tcPr>
            <w:tcW w:w="150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5640" w:type="dxa"/>
            <w:vAlign w:val="bottom"/>
            <w:gridSpan w:val="15"/>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5"/>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780" w:type="dxa"/>
            <w:vAlign w:val="bottom"/>
            <w:gridSpan w:val="9"/>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6"/>
              </w:rPr>
              <w:t>Item 1A.</w:t>
            </w:r>
          </w:p>
        </w:tc>
        <w:tc>
          <w:tcPr>
            <w:tcW w:w="500" w:type="dxa"/>
            <w:vAlign w:val="bottom"/>
            <w:gridSpan w:val="2"/>
          </w:tcPr>
          <w:p>
            <w:pPr>
              <w:spacing w:after="0"/>
              <w:rPr>
                <w:sz w:val="24"/>
                <w:szCs w:val="24"/>
                <w:color w:val="auto"/>
              </w:rPr>
            </w:pPr>
          </w:p>
        </w:tc>
        <w:tc>
          <w:tcPr>
            <w:tcW w:w="714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780" w:type="dxa"/>
            <w:vAlign w:val="bottom"/>
            <w:gridSpan w:val="9"/>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2.</w:t>
            </w:r>
          </w:p>
        </w:tc>
        <w:tc>
          <w:tcPr>
            <w:tcW w:w="500" w:type="dxa"/>
            <w:vAlign w:val="bottom"/>
            <w:gridSpan w:val="2"/>
          </w:tcPr>
          <w:p>
            <w:pPr>
              <w:spacing w:after="0"/>
              <w:rPr>
                <w:sz w:val="24"/>
                <w:szCs w:val="24"/>
                <w:color w:val="auto"/>
              </w:rPr>
            </w:pPr>
          </w:p>
        </w:tc>
        <w:tc>
          <w:tcPr>
            <w:tcW w:w="714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2780" w:type="dxa"/>
            <w:vAlign w:val="bottom"/>
            <w:gridSpan w:val="9"/>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3.</w:t>
            </w:r>
          </w:p>
        </w:tc>
        <w:tc>
          <w:tcPr>
            <w:tcW w:w="714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4820" w:type="dxa"/>
            <w:vAlign w:val="bottom"/>
            <w:gridSpan w:val="11"/>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4.</w:t>
            </w:r>
          </w:p>
        </w:tc>
        <w:tc>
          <w:tcPr>
            <w:tcW w:w="714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360" w:type="dxa"/>
            <w:vAlign w:val="bottom"/>
            <w:gridSpan w:val="1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5.</w:t>
            </w:r>
          </w:p>
        </w:tc>
        <w:tc>
          <w:tcPr>
            <w:tcW w:w="714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5820" w:type="dxa"/>
            <w:vAlign w:val="bottom"/>
            <w:gridSpan w:val="1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6.</w:t>
            </w:r>
          </w:p>
        </w:tc>
        <w:tc>
          <w:tcPr>
            <w:tcW w:w="714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Exhibits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885"/>
        </w:trPr>
        <w:tc>
          <w:tcPr>
            <w:tcW w:w="20" w:type="dxa"/>
            <w:vAlign w:val="bottom"/>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4320" w:type="dxa"/>
            <w:vAlign w:val="bottom"/>
            <w:gridSpan w:val="10"/>
          </w:tcPr>
          <w:p>
            <w:pPr>
              <w:ind w:left="326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200" w:lineRule="exact"/>
        <w:rPr>
          <w:sz w:val="20"/>
          <w:szCs w:val="20"/>
          <w:color w:val="auto"/>
        </w:rPr>
      </w:pPr>
    </w:p>
    <w:p>
      <w:pPr>
        <w:ind w:left="600" w:right="639"/>
        <w:spacing w:after="0" w:line="250" w:lineRule="auto"/>
        <w:rPr>
          <w:sz w:val="20"/>
          <w:szCs w:val="20"/>
          <w:color w:val="auto"/>
        </w:rPr>
      </w:pPr>
      <w:r>
        <w:rPr>
          <w:rFonts w:ascii="Times New Roman" w:cs="Times New Roman" w:eastAsia="Times New Roman" w:hAnsi="Times New Roman"/>
          <w:sz w:val="17"/>
          <w:szCs w:val="17"/>
          <w:color w:val="auto"/>
        </w:rPr>
        <w:t>This Quarterly Report on Form 10-Q contains forward-looking statements within the meaning of the safe harbor provisions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or the Exchange Act. 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All statements other than statements of historical fact contained in this Quarterly Report on Form 10-Q, including without limitation statements regarding our plans to develop, manufacture and commercialize our product candidates, the timing or outcome of our ongoing or planned clinical trials for IMM-1-104, any of our other pipeline product candidates and any future product candidates, the clinical utility of our product candidates, the filing with, and approval by, regulatory authorities of our product candidates, the sufficiency of funds to operate the business of the Company, the ongoing impact of the pandemic related to COVID-19 and its variants on our business and operations, including manufacturing, research and development, clinical trials and employees, our cash needs and availability including our revenue streams, our anticipated financial performance and the plans and objectives of management for future operations, are forward-looking statements.</w:t>
      </w:r>
    </w:p>
    <w:p>
      <w:pPr>
        <w:spacing w:after="0" w:line="156" w:lineRule="exact"/>
        <w:rPr>
          <w:sz w:val="20"/>
          <w:szCs w:val="20"/>
          <w:color w:val="auto"/>
        </w:rPr>
      </w:pPr>
    </w:p>
    <w:p>
      <w:pPr>
        <w:ind w:left="600" w:right="599"/>
        <w:spacing w:after="0" w:line="253" w:lineRule="auto"/>
        <w:rPr>
          <w:sz w:val="20"/>
          <w:szCs w:val="20"/>
          <w:color w:val="auto"/>
        </w:rPr>
      </w:pPr>
      <w:r>
        <w:rPr>
          <w:rFonts w:ascii="Times New Roman" w:cs="Times New Roman" w:eastAsia="Times New Roman" w:hAnsi="Times New Roman"/>
          <w:sz w:val="17"/>
          <w:szCs w:val="17"/>
          <w:color w:val="auto"/>
        </w:rPr>
        <w:t>The forward-looking statements in this Quarterly Report on Form 10-Q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known and unknown risks, uncertainties and other important factors that could cause actual results to differ materially from those projected in the forward-looking statements, including, but not limited to, those described in the sections of this Quarterly Report on Form 10-Q entitled “Risk Factors” and “Management’s Discussion and Analysis of Financial Condition and Results of Operations.” These risks and uncertainties include, but are not limited to:</w:t>
      </w:r>
    </w:p>
    <w:p>
      <w:pPr>
        <w:spacing w:after="0" w:line="147" w:lineRule="exact"/>
        <w:rPr>
          <w:sz w:val="20"/>
          <w:szCs w:val="20"/>
          <w:color w:val="auto"/>
        </w:rPr>
      </w:pPr>
    </w:p>
    <w:p>
      <w:pPr>
        <w:ind w:left="1260" w:hanging="319"/>
        <w:spacing w:after="0"/>
        <w:tabs>
          <w:tab w:leader="none" w:pos="12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limited operating history;</w:t>
      </w:r>
    </w:p>
    <w:p>
      <w:pPr>
        <w:spacing w:after="0" w:line="182" w:lineRule="exact"/>
        <w:rPr>
          <w:rFonts w:ascii="Times New Roman" w:cs="Times New Roman" w:eastAsia="Times New Roman" w:hAnsi="Times New Roman"/>
          <w:sz w:val="17"/>
          <w:szCs w:val="17"/>
          <w:color w:val="auto"/>
        </w:rPr>
      </w:pPr>
    </w:p>
    <w:p>
      <w:pPr>
        <w:ind w:left="1260" w:hanging="319"/>
        <w:spacing w:after="0"/>
        <w:tabs>
          <w:tab w:leader="none" w:pos="12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history of operating losses;</w:t>
      </w:r>
    </w:p>
    <w:p>
      <w:pPr>
        <w:spacing w:after="0" w:line="182" w:lineRule="exact"/>
        <w:rPr>
          <w:rFonts w:ascii="Times New Roman" w:cs="Times New Roman" w:eastAsia="Times New Roman" w:hAnsi="Times New Roman"/>
          <w:sz w:val="17"/>
          <w:szCs w:val="17"/>
          <w:color w:val="auto"/>
        </w:rPr>
      </w:pPr>
    </w:p>
    <w:p>
      <w:pPr>
        <w:ind w:left="1260" w:hanging="319"/>
        <w:spacing w:after="0"/>
        <w:tabs>
          <w:tab w:leader="none" w:pos="12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the pandemic related to COVID-19 and its variants;</w:t>
      </w:r>
    </w:p>
    <w:p>
      <w:pPr>
        <w:spacing w:after="0" w:line="182" w:lineRule="exact"/>
        <w:rPr>
          <w:rFonts w:ascii="Times New Roman" w:cs="Times New Roman" w:eastAsia="Times New Roman" w:hAnsi="Times New Roman"/>
          <w:sz w:val="17"/>
          <w:szCs w:val="17"/>
          <w:color w:val="auto"/>
        </w:rPr>
      </w:pPr>
    </w:p>
    <w:p>
      <w:pPr>
        <w:ind w:left="1260" w:hanging="319"/>
        <w:spacing w:after="0"/>
        <w:tabs>
          <w:tab w:leader="none" w:pos="12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raise the substantial additional capital that will be required to finance our operations;</w:t>
      </w:r>
    </w:p>
    <w:p>
      <w:pPr>
        <w:spacing w:after="0" w:line="182" w:lineRule="exact"/>
        <w:rPr>
          <w:rFonts w:ascii="Times New Roman" w:cs="Times New Roman" w:eastAsia="Times New Roman" w:hAnsi="Times New Roman"/>
          <w:sz w:val="17"/>
          <w:szCs w:val="17"/>
          <w:color w:val="auto"/>
        </w:rPr>
      </w:pPr>
    </w:p>
    <w:p>
      <w:pPr>
        <w:ind w:left="1260" w:hanging="319"/>
        <w:spacing w:after="0"/>
        <w:tabs>
          <w:tab w:leader="none" w:pos="12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difficulty of obtaining regulatory approval for any of our current or future product candidates;</w:t>
      </w:r>
    </w:p>
    <w:p>
      <w:pPr>
        <w:spacing w:after="0" w:line="185" w:lineRule="exact"/>
        <w:rPr>
          <w:rFonts w:ascii="Times New Roman" w:cs="Times New Roman" w:eastAsia="Times New Roman" w:hAnsi="Times New Roman"/>
          <w:sz w:val="17"/>
          <w:szCs w:val="17"/>
          <w:color w:val="auto"/>
        </w:rPr>
      </w:pPr>
    </w:p>
    <w:p>
      <w:pPr>
        <w:ind w:left="1260" w:right="739" w:hanging="319"/>
        <w:spacing w:after="0" w:line="271" w:lineRule="auto"/>
        <w:tabs>
          <w:tab w:leader="none" w:pos="12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file an Investigational New Drug application (“IND”), or IND amendments or comparable documents in foreign jurisdictions in order to commence clinical trials on the timelines we expect;</w:t>
      </w:r>
    </w:p>
    <w:p>
      <w:pPr>
        <w:spacing w:after="0" w:line="130" w:lineRule="exact"/>
        <w:rPr>
          <w:rFonts w:ascii="Times New Roman" w:cs="Times New Roman" w:eastAsia="Times New Roman" w:hAnsi="Times New Roman"/>
          <w:sz w:val="17"/>
          <w:szCs w:val="17"/>
          <w:color w:val="auto"/>
        </w:rPr>
      </w:pPr>
    </w:p>
    <w:p>
      <w:pPr>
        <w:ind w:left="1260" w:hanging="319"/>
        <w:spacing w:after="0"/>
        <w:tabs>
          <w:tab w:leader="none" w:pos="12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limited experience in designing and conducting clinical trials;</w:t>
      </w:r>
    </w:p>
    <w:p>
      <w:pPr>
        <w:spacing w:after="0" w:line="182" w:lineRule="exact"/>
        <w:rPr>
          <w:rFonts w:ascii="Times New Roman" w:cs="Times New Roman" w:eastAsia="Times New Roman" w:hAnsi="Times New Roman"/>
          <w:sz w:val="17"/>
          <w:szCs w:val="17"/>
          <w:color w:val="auto"/>
        </w:rPr>
      </w:pPr>
    </w:p>
    <w:p>
      <w:pPr>
        <w:ind w:left="1260" w:right="979" w:hanging="319"/>
        <w:spacing w:after="0" w:line="281" w:lineRule="auto"/>
        <w:tabs>
          <w:tab w:leader="none" w:pos="12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of substantial delays in completing, if at all, the development and commercialization of our current or future product candidates;</w:t>
      </w:r>
    </w:p>
    <w:p>
      <w:pPr>
        <w:spacing w:after="0" w:line="122" w:lineRule="exact"/>
        <w:rPr>
          <w:rFonts w:ascii="Times New Roman" w:cs="Times New Roman" w:eastAsia="Times New Roman" w:hAnsi="Times New Roman"/>
          <w:sz w:val="17"/>
          <w:szCs w:val="17"/>
          <w:color w:val="auto"/>
        </w:rPr>
      </w:pPr>
    </w:p>
    <w:p>
      <w:pPr>
        <w:ind w:left="1260" w:right="619" w:hanging="319"/>
        <w:spacing w:after="0" w:line="281" w:lineRule="auto"/>
        <w:tabs>
          <w:tab w:leader="none" w:pos="12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adverse events, toxicities or other undesirable side effects caused by our current or future product candidates;</w:t>
      </w:r>
    </w:p>
    <w:p>
      <w:pPr>
        <w:spacing w:after="0" w:line="122" w:lineRule="exact"/>
        <w:rPr>
          <w:rFonts w:ascii="Times New Roman" w:cs="Times New Roman" w:eastAsia="Times New Roman" w:hAnsi="Times New Roman"/>
          <w:sz w:val="17"/>
          <w:szCs w:val="17"/>
          <w:color w:val="auto"/>
        </w:rPr>
      </w:pPr>
    </w:p>
    <w:p>
      <w:pPr>
        <w:ind w:left="1260" w:hanging="319"/>
        <w:spacing w:after="0"/>
        <w:tabs>
          <w:tab w:leader="none" w:pos="12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of delays or difficulties in the enrollment and/or maintenance of patients in clinical trials;</w:t>
      </w:r>
    </w:p>
    <w:p>
      <w:pPr>
        <w:spacing w:after="0" w:line="182" w:lineRule="exact"/>
        <w:rPr>
          <w:rFonts w:ascii="Times New Roman" w:cs="Times New Roman" w:eastAsia="Times New Roman" w:hAnsi="Times New Roman"/>
          <w:sz w:val="17"/>
          <w:szCs w:val="17"/>
          <w:color w:val="auto"/>
        </w:rPr>
      </w:pPr>
    </w:p>
    <w:p>
      <w:pPr>
        <w:ind w:left="1260" w:right="759" w:hanging="319"/>
        <w:spacing w:after="0" w:line="281" w:lineRule="auto"/>
        <w:tabs>
          <w:tab w:leader="none" w:pos="12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substantial reliance on the successful development of our current and future product candidates, as well as our platform, including our proprietary technologies such as DCT and Fluency;</w:t>
      </w:r>
    </w:p>
    <w:p>
      <w:pPr>
        <w:spacing w:after="0" w:line="122" w:lineRule="exact"/>
        <w:rPr>
          <w:rFonts w:ascii="Times New Roman" w:cs="Times New Roman" w:eastAsia="Times New Roman" w:hAnsi="Times New Roman"/>
          <w:sz w:val="17"/>
          <w:szCs w:val="17"/>
          <w:color w:val="auto"/>
        </w:rPr>
      </w:pPr>
    </w:p>
    <w:p>
      <w:pPr>
        <w:ind w:left="1260" w:hanging="319"/>
        <w:spacing w:after="0"/>
        <w:tabs>
          <w:tab w:leader="none" w:pos="12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competition in our industry;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hanging="319"/>
        <w:spacing w:after="0"/>
        <w:tabs>
          <w:tab w:leader="none" w:pos="12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 opportunity for our product candidates, if approved;</w:t>
      </w:r>
    </w:p>
    <w:p>
      <w:pPr>
        <w:spacing w:after="0" w:line="182" w:lineRule="exact"/>
        <w:rPr>
          <w:rFonts w:ascii="Times New Roman" w:cs="Times New Roman" w:eastAsia="Times New Roman" w:hAnsi="Times New Roman"/>
          <w:sz w:val="17"/>
          <w:szCs w:val="17"/>
          <w:color w:val="auto"/>
        </w:rPr>
      </w:pPr>
    </w:p>
    <w:p>
      <w:pPr>
        <w:ind w:left="1260" w:hanging="319"/>
        <w:spacing w:after="0"/>
        <w:tabs>
          <w:tab w:leader="none" w:pos="12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manufacturing;</w:t>
      </w:r>
    </w:p>
    <w:p>
      <w:pPr>
        <w:spacing w:after="0" w:line="182" w:lineRule="exact"/>
        <w:rPr>
          <w:rFonts w:ascii="Times New Roman" w:cs="Times New Roman" w:eastAsia="Times New Roman" w:hAnsi="Times New Roman"/>
          <w:sz w:val="17"/>
          <w:szCs w:val="17"/>
          <w:color w:val="auto"/>
        </w:rPr>
      </w:pPr>
    </w:p>
    <w:p>
      <w:pPr>
        <w:ind w:left="1260" w:hanging="319"/>
        <w:spacing w:after="0"/>
        <w:tabs>
          <w:tab w:leader="none" w:pos="12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our reliance on third parties;</w:t>
      </w:r>
    </w:p>
    <w:p>
      <w:pPr>
        <w:spacing w:after="0" w:line="182" w:lineRule="exact"/>
        <w:rPr>
          <w:rFonts w:ascii="Times New Roman" w:cs="Times New Roman" w:eastAsia="Times New Roman" w:hAnsi="Times New Roman"/>
          <w:sz w:val="17"/>
          <w:szCs w:val="17"/>
          <w:color w:val="auto"/>
        </w:rPr>
      </w:pPr>
    </w:p>
    <w:p>
      <w:pPr>
        <w:ind w:left="1260" w:hanging="319"/>
        <w:spacing w:after="0"/>
        <w:tabs>
          <w:tab w:leader="none" w:pos="12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our intellectual property; and</w:t>
      </w:r>
    </w:p>
    <w:p>
      <w:pPr>
        <w:spacing w:after="0" w:line="182" w:lineRule="exact"/>
        <w:rPr>
          <w:rFonts w:ascii="Times New Roman" w:cs="Times New Roman" w:eastAsia="Times New Roman" w:hAnsi="Times New Roman"/>
          <w:sz w:val="17"/>
          <w:szCs w:val="17"/>
          <w:color w:val="auto"/>
        </w:rPr>
      </w:pPr>
    </w:p>
    <w:p>
      <w:pPr>
        <w:ind w:left="1260" w:right="719" w:hanging="319"/>
        <w:spacing w:after="0" w:line="265" w:lineRule="auto"/>
        <w:tabs>
          <w:tab w:leader="none" w:pos="12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important risk factors that could affect the outcome of the events set forth in these statements and that could affect our operating results and financial condition are described in Part II, Item 1A. “Risk Factors” section of this Quarterly Report on Form 10-Q.</w:t>
      </w:r>
    </w:p>
    <w:p>
      <w:pPr>
        <w:spacing w:after="0" w:line="149" w:lineRule="exact"/>
        <w:rPr>
          <w:sz w:val="20"/>
          <w:szCs w:val="20"/>
          <w:color w:val="auto"/>
        </w:rPr>
      </w:pPr>
    </w:p>
    <w:p>
      <w:pPr>
        <w:ind w:left="600" w:right="719"/>
        <w:spacing w:after="0" w:line="254" w:lineRule="auto"/>
        <w:rPr>
          <w:sz w:val="20"/>
          <w:szCs w:val="20"/>
          <w:color w:val="auto"/>
        </w:rPr>
      </w:pPr>
      <w:r>
        <w:rPr>
          <w:rFonts w:ascii="Times New Roman" w:cs="Times New Roman" w:eastAsia="Times New Roman" w:hAnsi="Times New Roman"/>
          <w:sz w:val="17"/>
          <w:szCs w:val="17"/>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347" w:lineRule="exact"/>
        <w:rPr>
          <w:sz w:val="20"/>
          <w:szCs w:val="20"/>
          <w:color w:val="auto"/>
        </w:rPr>
      </w:pPr>
    </w:p>
    <w:p>
      <w:pPr>
        <w:ind w:left="600" w:right="59"/>
        <w:spacing w:after="0" w:line="281" w:lineRule="auto"/>
        <w:rPr>
          <w:sz w:val="20"/>
          <w:szCs w:val="20"/>
          <w:color w:val="auto"/>
        </w:rPr>
      </w:pPr>
      <w:r>
        <w:rPr>
          <w:rFonts w:ascii="Times New Roman" w:cs="Times New Roman" w:eastAsia="Times New Roman" w:hAnsi="Times New Roman"/>
          <w:sz w:val="17"/>
          <w:szCs w:val="17"/>
          <w:color w:val="auto"/>
        </w:rPr>
        <w:t>Unless otherwise stated or the context requires otherwise, references to “Immuneering,” the “Company,” “we,” “us,” and “our,” refer to Immuneering Corporation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are subject to numerous risks and uncertainties, including those further described below in Part II, Item 1A. “Risk Factors” in this Quarterly Report on Form 10-Q, that represent challenges that we face in connection with the successful implementation of our strategy and the growth of our business. In particular, the following are principal factors that may offset our competitive strengths or have a negative effect on our business strategy, which could materially adversely affect our business, financial conditions, results of operations, future growth prospects, or cause a decline in the price of our common stock:</w:t>
      </w:r>
    </w:p>
    <w:p>
      <w:pPr>
        <w:spacing w:after="0" w:line="187" w:lineRule="exact"/>
        <w:rPr>
          <w:sz w:val="20"/>
          <w:szCs w:val="20"/>
          <w:color w:val="auto"/>
        </w:rPr>
      </w:pPr>
    </w:p>
    <w:p>
      <w:pPr>
        <w:jc w:val="both"/>
        <w:ind w:left="720" w:right="7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have not completed any clinical trials and have no products approved for commercial sale, which may make it difficult for you to evaluate our current business and predict our future success and viability.</w:t>
      </w:r>
    </w:p>
    <w:p>
      <w:pPr>
        <w:spacing w:after="0" w:line="67"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net losses for the past several years and we expect to continue to incur significant net losses for the foreseeable future and may never attain profitability.</w:t>
      </w:r>
    </w:p>
    <w:p>
      <w:pPr>
        <w:spacing w:after="0" w:line="53"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67"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FDA and other comparable foreign regulatory authorities are lengthy, time consuming and inherently unpredictable. If we are ultimately unable to obtain regulatory approval for our product candidates, or to obtain regulatory approval to treat the indications we seek to treat with our product candidates, we will be unable to generate product revenue or the level of planned product revenue and our business will be substantially harmed.</w:t>
      </w:r>
    </w:p>
    <w:p>
      <w:pPr>
        <w:spacing w:after="0" w:line="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substantial delays in completing, or ultimately be unable to complete, the development and commercialization of our product candidates.</w:t>
      </w:r>
    </w:p>
    <w:p>
      <w:pPr>
        <w:spacing w:after="0" w:line="53"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preclinical studies and early clinical trials may not be predictive of the success of later clinical trials, and the results of our clinical trials may not satisfy the requirements of the FDA or other comparable foreign regulatory authorities.</w:t>
      </w:r>
    </w:p>
    <w:p>
      <w:pPr>
        <w:spacing w:after="0" w:line="67"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or future product candidates may cause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spacing w:after="0" w:line="71"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early in our development efforts. Our business is substantially dependent on the successful development of our current and future product candidates. If we are unable to advance our current or future product candidates through clinical trials, obtain marketing approval to treat the indications we seek to treat with our product candidates, and ultimately commercialize any product candidates we develop, or experience significant delays in doing so, our business will be materially harmed.</w:t>
      </w:r>
    </w:p>
    <w:p>
      <w:pPr>
        <w:spacing w:after="0" w:line="7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our platform, including our proprietary technologies such as DCT and Fluency, which are supported by our information technology systems. Any failure of these or other elements of our platform will materially harm our business.</w:t>
      </w:r>
    </w:p>
    <w:p>
      <w:pPr>
        <w:spacing w:after="0" w:line="67"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long-term prospects depend in part upon discovering, developing and commercializing product candidates, which may fail in development or suffer delays that adversely affect their commercial viability.</w:t>
      </w:r>
    </w:p>
    <w:p>
      <w:pPr>
        <w:spacing w:after="0" w:line="53"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approach to the discovery and development of product candidates is unproven, and we may not be successful in our efforts to use and expand our DCT platform to build a pipeline of product candidates with commercial value.</w:t>
      </w:r>
    </w:p>
    <w:p>
      <w:pPr>
        <w:spacing w:after="0" w:line="67"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commercialized a product candidate before and may lack the necessary expertise, personnel and resources to successfully commercialize any products on our own or together with suitable collaborators.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79" w:hanging="319"/>
        <w:spacing w:after="0" w:line="266"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and if our competitors develop and market technologies or products more rapidly than we do or that are more effective, safer or less expensive than the product candidates we develop, our commercial opportunities could be negatively impacted.</w:t>
      </w:r>
    </w:p>
    <w:p>
      <w:pPr>
        <w:spacing w:after="0" w:line="67"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and potential future pandemics could continue to adversely impact our business, including our clinical trials for which we are currently recruiting and their timelines, supply chain and business development activities.</w:t>
      </w:r>
    </w:p>
    <w:p>
      <w:pPr>
        <w:spacing w:after="0" w:line="67"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substantially rely, and expect to continue to rely, on third parties, including independent clinical investigators and contract research organizations, or CROs, to conduct certain aspects of our preclinical studies, and in the future, our clinical trials. If these third parties do not successfully carry out their contractual duties, comply with applicable regulatory requirements or meet expected deadlines, we may not be able to obtain regulatory approval for or commercialize our product candidates and our business could be substantially harmed.</w:t>
      </w:r>
    </w:p>
    <w:p>
      <w:pPr>
        <w:spacing w:after="0" w:line="75"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contract with third parties for the manufacturing of our product candidates for preclinical studies and clinical trials, and expect to continue to do so for commercialization of any approved product candidate. This reliance on third parties increases the risk that we will not have sufficient quantities of our product candidates or drugs or such quantities at an acceptable cost, which could delay, prevent or impair our development or commercialization efforts.</w:t>
      </w:r>
    </w:p>
    <w:p>
      <w:pPr>
        <w:spacing w:after="0" w:line="7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w:t>
      </w:r>
    </w:p>
    <w:p>
      <w:pPr>
        <w:spacing w:after="0" w:line="67"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and other intellectual property protection for our product candidates and technologies or if the scope of the intellectual property protection obtained is not sufficiently broad, our competitors could develop and commercialize products and technology similar or identical to ours, and our ability to successfully commercialize our products and technology may be impaired, and we may not be able to compete effectively in our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IMMUNEERING CORPORATION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36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28"/>
        </w:trPr>
        <w:tc>
          <w:tcPr>
            <w:tcW w:w="636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r>
      <w:tr>
        <w:trPr>
          <w:trHeight w:val="135"/>
        </w:trPr>
        <w:tc>
          <w:tcPr>
            <w:tcW w:w="636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Assets</w:t>
            </w:r>
          </w:p>
        </w:tc>
        <w:tc>
          <w:tcPr>
            <w:tcW w:w="3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35"/>
        </w:trPr>
        <w:tc>
          <w:tcPr>
            <w:tcW w:w="63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Current assets:</w:t>
            </w: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636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Cash and cash equivalents</w:t>
            </w:r>
          </w:p>
        </w:tc>
        <w:tc>
          <w:tcPr>
            <w:tcW w:w="3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76,417,850</w:t>
            </w: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74,888,145</w:t>
            </w:r>
          </w:p>
        </w:tc>
      </w:tr>
      <w:tr>
        <w:trPr>
          <w:trHeight w:val="135"/>
        </w:trPr>
        <w:tc>
          <w:tcPr>
            <w:tcW w:w="636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Marketable securities, current</w:t>
            </w:r>
          </w:p>
        </w:tc>
        <w:tc>
          <w:tcPr>
            <w:tcW w:w="30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40,779,440</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74,311,203</w:t>
            </w:r>
          </w:p>
        </w:tc>
      </w:tr>
      <w:tr>
        <w:trPr>
          <w:trHeight w:val="135"/>
        </w:trPr>
        <w:tc>
          <w:tcPr>
            <w:tcW w:w="636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Accounts receivable</w:t>
            </w:r>
          </w:p>
        </w:tc>
        <w:tc>
          <w:tcPr>
            <w:tcW w:w="3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70,180</w:t>
            </w: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246,040</w:t>
            </w:r>
          </w:p>
        </w:tc>
      </w:tr>
      <w:tr>
        <w:trPr>
          <w:trHeight w:val="135"/>
        </w:trPr>
        <w:tc>
          <w:tcPr>
            <w:tcW w:w="6360" w:type="dxa"/>
            <w:vAlign w:val="bottom"/>
            <w:tcBorders>
              <w:bottom w:val="single" w:sz="8" w:color="CCEEFF"/>
            </w:tcBorders>
          </w:tcPr>
          <w:p>
            <w:pPr>
              <w:ind w:left="80"/>
              <w:spacing w:after="0" w:line="135" w:lineRule="exact"/>
              <w:rPr>
                <w:sz w:val="20"/>
                <w:szCs w:val="20"/>
                <w:color w:val="auto"/>
              </w:rPr>
            </w:pPr>
            <w:r>
              <w:rPr>
                <w:rFonts w:ascii="Times New Roman" w:cs="Times New Roman" w:eastAsia="Times New Roman" w:hAnsi="Times New Roman"/>
                <w:sz w:val="13"/>
                <w:szCs w:val="13"/>
                <w:color w:val="auto"/>
              </w:rPr>
              <w:t>Prepaids and other current assets</w:t>
            </w:r>
          </w:p>
        </w:tc>
        <w:tc>
          <w:tcPr>
            <w:tcW w:w="3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2,757,220</w:t>
            </w:r>
          </w:p>
        </w:tc>
        <w:tc>
          <w:tcPr>
            <w:tcW w:w="14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2,888,608</w:t>
            </w:r>
          </w:p>
        </w:tc>
      </w:tr>
      <w:tr>
        <w:trPr>
          <w:trHeight w:val="128"/>
        </w:trPr>
        <w:tc>
          <w:tcPr>
            <w:tcW w:w="6360" w:type="dxa"/>
            <w:vAlign w:val="bottom"/>
            <w:shd w:val="clear" w:color="auto" w:fill="CCEEFF"/>
          </w:tcPr>
          <w:p>
            <w:pPr>
              <w:ind w:left="240"/>
              <w:spacing w:after="0" w:line="129" w:lineRule="exact"/>
              <w:rPr>
                <w:sz w:val="20"/>
                <w:szCs w:val="20"/>
                <w:color w:val="auto"/>
              </w:rPr>
            </w:pPr>
            <w:r>
              <w:rPr>
                <w:rFonts w:ascii="Times New Roman" w:cs="Times New Roman" w:eastAsia="Times New Roman" w:hAnsi="Times New Roman"/>
                <w:sz w:val="13"/>
                <w:szCs w:val="13"/>
                <w:color w:val="auto"/>
              </w:rPr>
              <w:t>Total current assets</w:t>
            </w:r>
          </w:p>
        </w:tc>
        <w:tc>
          <w:tcPr>
            <w:tcW w:w="3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120,024,690</w:t>
            </w: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152,333,996</w:t>
            </w:r>
          </w:p>
        </w:tc>
      </w:tr>
      <w:tr>
        <w:trPr>
          <w:trHeight w:val="135"/>
        </w:trPr>
        <w:tc>
          <w:tcPr>
            <w:tcW w:w="6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636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Marketable securities, non-current</w:t>
            </w:r>
          </w:p>
        </w:tc>
        <w:tc>
          <w:tcPr>
            <w:tcW w:w="30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996,560</w:t>
            </w:r>
          </w:p>
        </w:tc>
      </w:tr>
      <w:tr>
        <w:trPr>
          <w:trHeight w:val="135"/>
        </w:trPr>
        <w:tc>
          <w:tcPr>
            <w:tcW w:w="63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Property and equipment, net</w:t>
            </w:r>
          </w:p>
        </w:tc>
        <w:tc>
          <w:tcPr>
            <w:tcW w:w="30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1,310,067</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807,223</w:t>
            </w:r>
          </w:p>
        </w:tc>
      </w:tr>
      <w:tr>
        <w:trPr>
          <w:trHeight w:val="135"/>
        </w:trPr>
        <w:tc>
          <w:tcPr>
            <w:tcW w:w="636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Goodwill</w:t>
            </w:r>
          </w:p>
        </w:tc>
        <w:tc>
          <w:tcPr>
            <w:tcW w:w="3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6,690,431</w:t>
            </w: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6,701,726</w:t>
            </w:r>
          </w:p>
        </w:tc>
      </w:tr>
      <w:tr>
        <w:trPr>
          <w:trHeight w:val="135"/>
        </w:trPr>
        <w:tc>
          <w:tcPr>
            <w:tcW w:w="63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Intangible asset</w:t>
            </w:r>
          </w:p>
        </w:tc>
        <w:tc>
          <w:tcPr>
            <w:tcW w:w="30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416,263</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439,000</w:t>
            </w:r>
          </w:p>
        </w:tc>
      </w:tr>
      <w:tr>
        <w:trPr>
          <w:trHeight w:val="135"/>
        </w:trPr>
        <w:tc>
          <w:tcPr>
            <w:tcW w:w="636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Right-of-use assets, net</w:t>
            </w:r>
          </w:p>
        </w:tc>
        <w:tc>
          <w:tcPr>
            <w:tcW w:w="3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4,512,883</w:t>
            </w: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5,324,198</w:t>
            </w:r>
          </w:p>
        </w:tc>
      </w:tr>
      <w:tr>
        <w:trPr>
          <w:trHeight w:val="135"/>
        </w:trPr>
        <w:tc>
          <w:tcPr>
            <w:tcW w:w="6360" w:type="dxa"/>
            <w:vAlign w:val="bottom"/>
            <w:tcBorders>
              <w:bottom w:val="single" w:sz="8" w:color="CCEEFF"/>
            </w:tcBorders>
          </w:tcPr>
          <w:p>
            <w:pPr>
              <w:ind w:left="20"/>
              <w:spacing w:after="0" w:line="135" w:lineRule="exact"/>
              <w:rPr>
                <w:sz w:val="20"/>
                <w:szCs w:val="20"/>
                <w:color w:val="auto"/>
              </w:rPr>
            </w:pPr>
            <w:r>
              <w:rPr>
                <w:rFonts w:ascii="Times New Roman" w:cs="Times New Roman" w:eastAsia="Times New Roman" w:hAnsi="Times New Roman"/>
                <w:sz w:val="13"/>
                <w:szCs w:val="13"/>
                <w:color w:val="auto"/>
              </w:rPr>
              <w:t>Other assets</w:t>
            </w:r>
          </w:p>
        </w:tc>
        <w:tc>
          <w:tcPr>
            <w:tcW w:w="3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737,293</w:t>
            </w:r>
          </w:p>
        </w:tc>
        <w:tc>
          <w:tcPr>
            <w:tcW w:w="14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102,129</w:t>
            </w:r>
          </w:p>
        </w:tc>
      </w:tr>
      <w:tr>
        <w:trPr>
          <w:trHeight w:val="129"/>
        </w:trPr>
        <w:tc>
          <w:tcPr>
            <w:tcW w:w="6360" w:type="dxa"/>
            <w:vAlign w:val="bottom"/>
            <w:tcBorders>
              <w:bottom w:val="single" w:sz="8" w:color="CCEEFF"/>
            </w:tcBorders>
            <w:shd w:val="clear" w:color="auto" w:fill="CCEEFF"/>
          </w:tcPr>
          <w:p>
            <w:pPr>
              <w:ind w:left="220"/>
              <w:spacing w:after="0" w:line="129" w:lineRule="exact"/>
              <w:rPr>
                <w:sz w:val="20"/>
                <w:szCs w:val="20"/>
                <w:color w:val="auto"/>
              </w:rPr>
            </w:pPr>
            <w:r>
              <w:rPr>
                <w:rFonts w:ascii="Times New Roman" w:cs="Times New Roman" w:eastAsia="Times New Roman" w:hAnsi="Times New Roman"/>
                <w:sz w:val="13"/>
                <w:szCs w:val="13"/>
                <w:color w:val="auto"/>
              </w:rPr>
              <w:t>Total assets</w:t>
            </w:r>
          </w:p>
        </w:tc>
        <w:tc>
          <w:tcPr>
            <w:tcW w:w="3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133,691,627</w:t>
            </w:r>
          </w:p>
        </w:tc>
        <w:tc>
          <w:tcPr>
            <w:tcW w:w="14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166,704,832</w:t>
            </w:r>
          </w:p>
        </w:tc>
      </w:tr>
      <w:tr>
        <w:trPr>
          <w:trHeight w:val="20"/>
        </w:trPr>
        <w:tc>
          <w:tcPr>
            <w:tcW w:w="6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15"/>
        </w:trPr>
        <w:tc>
          <w:tcPr>
            <w:tcW w:w="6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135"/>
        </w:trPr>
        <w:tc>
          <w:tcPr>
            <w:tcW w:w="636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3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35"/>
        </w:trPr>
        <w:tc>
          <w:tcPr>
            <w:tcW w:w="63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Current liabilities:</w:t>
            </w: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636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Accounts payable</w:t>
            </w:r>
          </w:p>
        </w:tc>
        <w:tc>
          <w:tcPr>
            <w:tcW w:w="3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2,338,380</w:t>
            </w: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1,394,340</w:t>
            </w:r>
          </w:p>
        </w:tc>
      </w:tr>
      <w:tr>
        <w:trPr>
          <w:trHeight w:val="135"/>
        </w:trPr>
        <w:tc>
          <w:tcPr>
            <w:tcW w:w="636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Accrued expenses</w:t>
            </w:r>
          </w:p>
        </w:tc>
        <w:tc>
          <w:tcPr>
            <w:tcW w:w="30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4,564,136</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3,965,447</w:t>
            </w:r>
          </w:p>
        </w:tc>
      </w:tr>
      <w:tr>
        <w:trPr>
          <w:trHeight w:val="135"/>
        </w:trPr>
        <w:tc>
          <w:tcPr>
            <w:tcW w:w="636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Other liabilities, current</w:t>
            </w:r>
          </w:p>
        </w:tc>
        <w:tc>
          <w:tcPr>
            <w:tcW w:w="3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44,562</w:t>
            </w: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6360" w:type="dxa"/>
            <w:vAlign w:val="bottom"/>
            <w:tcBorders>
              <w:bottom w:val="single" w:sz="8" w:color="CCEEFF"/>
            </w:tcBorders>
          </w:tcPr>
          <w:p>
            <w:pPr>
              <w:ind w:left="80"/>
              <w:spacing w:after="0" w:line="135" w:lineRule="exact"/>
              <w:rPr>
                <w:sz w:val="20"/>
                <w:szCs w:val="20"/>
                <w:color w:val="auto"/>
              </w:rPr>
            </w:pPr>
            <w:r>
              <w:rPr>
                <w:rFonts w:ascii="Times New Roman" w:cs="Times New Roman" w:eastAsia="Times New Roman" w:hAnsi="Times New Roman"/>
                <w:sz w:val="13"/>
                <w:szCs w:val="13"/>
                <w:color w:val="auto"/>
              </w:rPr>
              <w:t>Lease liabilities, current</w:t>
            </w:r>
          </w:p>
        </w:tc>
        <w:tc>
          <w:tcPr>
            <w:tcW w:w="3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308,694</w:t>
            </w:r>
          </w:p>
        </w:tc>
        <w:tc>
          <w:tcPr>
            <w:tcW w:w="14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274,039</w:t>
            </w:r>
          </w:p>
        </w:tc>
      </w:tr>
      <w:tr>
        <w:trPr>
          <w:trHeight w:val="128"/>
        </w:trPr>
        <w:tc>
          <w:tcPr>
            <w:tcW w:w="6360" w:type="dxa"/>
            <w:vAlign w:val="bottom"/>
            <w:shd w:val="clear" w:color="auto" w:fill="CCEEFF"/>
          </w:tcPr>
          <w:p>
            <w:pPr>
              <w:ind w:left="200"/>
              <w:spacing w:after="0" w:line="129" w:lineRule="exact"/>
              <w:rPr>
                <w:sz w:val="20"/>
                <w:szCs w:val="20"/>
                <w:color w:val="auto"/>
              </w:rPr>
            </w:pPr>
            <w:r>
              <w:rPr>
                <w:rFonts w:ascii="Times New Roman" w:cs="Times New Roman" w:eastAsia="Times New Roman" w:hAnsi="Times New Roman"/>
                <w:sz w:val="13"/>
                <w:szCs w:val="13"/>
                <w:color w:val="auto"/>
              </w:rPr>
              <w:t>Total current liabilities</w:t>
            </w:r>
          </w:p>
        </w:tc>
        <w:tc>
          <w:tcPr>
            <w:tcW w:w="3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7,255,772</w:t>
            </w: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5,633,826</w:t>
            </w:r>
          </w:p>
        </w:tc>
      </w:tr>
      <w:tr>
        <w:trPr>
          <w:trHeight w:val="135"/>
        </w:trPr>
        <w:tc>
          <w:tcPr>
            <w:tcW w:w="6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636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Long-term liabilities:</w:t>
            </w:r>
          </w:p>
        </w:tc>
        <w:tc>
          <w:tcPr>
            <w:tcW w:w="3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35"/>
        </w:trPr>
        <w:tc>
          <w:tcPr>
            <w:tcW w:w="6360" w:type="dxa"/>
            <w:vAlign w:val="bottom"/>
            <w:tcBorders>
              <w:bottom w:val="single" w:sz="8" w:color="CCEEFF"/>
            </w:tcBorders>
          </w:tcPr>
          <w:p>
            <w:pPr>
              <w:ind w:left="80"/>
              <w:spacing w:after="0" w:line="135" w:lineRule="exact"/>
              <w:rPr>
                <w:sz w:val="20"/>
                <w:szCs w:val="20"/>
                <w:color w:val="auto"/>
              </w:rPr>
            </w:pPr>
            <w:r>
              <w:rPr>
                <w:rFonts w:ascii="Times New Roman" w:cs="Times New Roman" w:eastAsia="Times New Roman" w:hAnsi="Times New Roman"/>
                <w:sz w:val="13"/>
                <w:szCs w:val="13"/>
                <w:color w:val="auto"/>
              </w:rPr>
              <w:t>Lease liabilities, non-current</w:t>
            </w:r>
          </w:p>
        </w:tc>
        <w:tc>
          <w:tcPr>
            <w:tcW w:w="3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4,542,653</w:t>
            </w:r>
          </w:p>
        </w:tc>
        <w:tc>
          <w:tcPr>
            <w:tcW w:w="14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5,090,897</w:t>
            </w:r>
          </w:p>
        </w:tc>
      </w:tr>
      <w:tr>
        <w:trPr>
          <w:trHeight w:val="129"/>
        </w:trPr>
        <w:tc>
          <w:tcPr>
            <w:tcW w:w="6360" w:type="dxa"/>
            <w:vAlign w:val="bottom"/>
            <w:shd w:val="clear" w:color="auto" w:fill="CCEEFF"/>
          </w:tcPr>
          <w:p>
            <w:pPr>
              <w:ind w:left="200"/>
              <w:spacing w:after="0" w:line="129" w:lineRule="exact"/>
              <w:rPr>
                <w:sz w:val="20"/>
                <w:szCs w:val="20"/>
                <w:color w:val="auto"/>
              </w:rPr>
            </w:pPr>
            <w:r>
              <w:rPr>
                <w:rFonts w:ascii="Times New Roman" w:cs="Times New Roman" w:eastAsia="Times New Roman" w:hAnsi="Times New Roman"/>
                <w:sz w:val="13"/>
                <w:szCs w:val="13"/>
                <w:color w:val="auto"/>
              </w:rPr>
              <w:t>Total liabilities</w:t>
            </w:r>
          </w:p>
        </w:tc>
        <w:tc>
          <w:tcPr>
            <w:tcW w:w="30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11,798,425</w:t>
            </w:r>
          </w:p>
        </w:tc>
        <w:tc>
          <w:tcPr>
            <w:tcW w:w="14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10,724,723</w:t>
            </w:r>
          </w:p>
        </w:tc>
      </w:tr>
      <w:tr>
        <w:trPr>
          <w:trHeight w:val="128"/>
        </w:trPr>
        <w:tc>
          <w:tcPr>
            <w:tcW w:w="636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Commitments and contingencies (Note 12)</w:t>
            </w: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636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Stockholders’ equity:</w:t>
            </w:r>
          </w:p>
        </w:tc>
        <w:tc>
          <w:tcPr>
            <w:tcW w:w="3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17"/>
        </w:trPr>
        <w:tc>
          <w:tcPr>
            <w:tcW w:w="636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Preferred stock, $0.001 par value; 10,000,000 shares authorized at September 30, 2022 and December 31, 2021; 0 shares</w:t>
            </w:r>
          </w:p>
        </w:tc>
        <w:tc>
          <w:tcPr>
            <w:tcW w:w="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153"/>
        </w:trPr>
        <w:tc>
          <w:tcPr>
            <w:tcW w:w="6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issued or outstanding at September 30, 2022 and December 31, 2021</w:t>
            </w:r>
          </w:p>
        </w:tc>
        <w:tc>
          <w:tcPr>
            <w:tcW w:w="300" w:type="dxa"/>
            <w:vAlign w:val="bottom"/>
          </w:tcPr>
          <w:p>
            <w:pPr>
              <w:spacing w:after="0"/>
              <w:rPr>
                <w:sz w:val="13"/>
                <w:szCs w:val="13"/>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6360" w:type="dxa"/>
            <w:vAlign w:val="bottom"/>
            <w:shd w:val="clear" w:color="auto" w:fill="CCEEFF"/>
          </w:tcPr>
          <w:p>
            <w:pPr>
              <w:ind w:left="20"/>
              <w:spacing w:after="0" w:line="117" w:lineRule="exact"/>
              <w:rPr>
                <w:sz w:val="20"/>
                <w:szCs w:val="20"/>
                <w:color w:val="auto"/>
              </w:rPr>
            </w:pPr>
            <w:r>
              <w:rPr>
                <w:rFonts w:ascii="Times New Roman" w:cs="Times New Roman" w:eastAsia="Times New Roman" w:hAnsi="Times New Roman"/>
                <w:sz w:val="13"/>
                <w:szCs w:val="13"/>
                <w:color w:val="auto"/>
              </w:rPr>
              <w:t>Class A common stock, $0.001 par value, 200,000,000 shares authorized at September 30, 2022 and December 31, 2021;</w:t>
            </w:r>
          </w:p>
        </w:tc>
        <w:tc>
          <w:tcPr>
            <w:tcW w:w="3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r>
      <w:tr>
        <w:trPr>
          <w:trHeight w:val="15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26,404,732 and 26,320,199 shares issued and outstanding at September 30, 2022 and December 31, 2021, respectively</w:t>
            </w:r>
          </w:p>
        </w:tc>
        <w:tc>
          <w:tcPr>
            <w:tcW w:w="3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26,405</w:t>
            </w: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26,320</w:t>
            </w:r>
          </w:p>
        </w:tc>
      </w:tr>
      <w:tr>
        <w:trPr>
          <w:trHeight w:val="117"/>
        </w:trPr>
        <w:tc>
          <w:tcPr>
            <w:tcW w:w="636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w w:val="99"/>
              </w:rPr>
              <w:t>Class B common stock, $0.001 par value, 20,000,000 shares authorized at September 30, 2022 and December 31, 2021; 0</w:t>
            </w:r>
          </w:p>
        </w:tc>
        <w:tc>
          <w:tcPr>
            <w:tcW w:w="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153"/>
        </w:trPr>
        <w:tc>
          <w:tcPr>
            <w:tcW w:w="6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shares issued and outstanding at September 30, 2022 and December 31, 2021</w:t>
            </w:r>
          </w:p>
        </w:tc>
        <w:tc>
          <w:tcPr>
            <w:tcW w:w="300" w:type="dxa"/>
            <w:vAlign w:val="bottom"/>
          </w:tcPr>
          <w:p>
            <w:pPr>
              <w:spacing w:after="0"/>
              <w:rPr>
                <w:sz w:val="13"/>
                <w:szCs w:val="13"/>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35"/>
        </w:trPr>
        <w:tc>
          <w:tcPr>
            <w:tcW w:w="636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Additional paid-in capital</w:t>
            </w:r>
          </w:p>
        </w:tc>
        <w:tc>
          <w:tcPr>
            <w:tcW w:w="3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218,550,665</w:t>
            </w: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215,276,186</w:t>
            </w:r>
          </w:p>
        </w:tc>
      </w:tr>
      <w:tr>
        <w:trPr>
          <w:trHeight w:val="135"/>
        </w:trPr>
        <w:tc>
          <w:tcPr>
            <w:tcW w:w="63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Accumulated other comprehensive loss</w:t>
            </w:r>
          </w:p>
        </w:tc>
        <w:tc>
          <w:tcPr>
            <w:tcW w:w="300" w:type="dxa"/>
            <w:vAlign w:val="bottom"/>
          </w:tcPr>
          <w:p>
            <w:pPr>
              <w:spacing w:after="0"/>
              <w:rPr>
                <w:sz w:val="11"/>
                <w:szCs w:val="11"/>
                <w:color w:val="auto"/>
              </w:rPr>
            </w:pPr>
          </w:p>
        </w:tc>
        <w:tc>
          <w:tcPr>
            <w:tcW w:w="10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(142,473)</w:t>
            </w:r>
          </w:p>
        </w:tc>
        <w:tc>
          <w:tcPr>
            <w:tcW w:w="30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(49,009)</w:t>
            </w:r>
          </w:p>
        </w:tc>
      </w:tr>
      <w:tr>
        <w:trPr>
          <w:trHeight w:val="135"/>
        </w:trPr>
        <w:tc>
          <w:tcPr>
            <w:tcW w:w="636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Accumulated deficit</w:t>
            </w:r>
          </w:p>
        </w:tc>
        <w:tc>
          <w:tcPr>
            <w:tcW w:w="30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(96,541,395)</w:t>
            </w:r>
          </w:p>
        </w:tc>
        <w:tc>
          <w:tcPr>
            <w:tcW w:w="3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(59,273,388)</w:t>
            </w:r>
          </w:p>
        </w:tc>
      </w:tr>
      <w:tr>
        <w:trPr>
          <w:trHeight w:val="128"/>
        </w:trPr>
        <w:tc>
          <w:tcPr>
            <w:tcW w:w="6360" w:type="dxa"/>
            <w:vAlign w:val="bottom"/>
            <w:tcBorders>
              <w:bottom w:val="single" w:sz="8" w:color="CCEEFF"/>
            </w:tcBorders>
          </w:tcPr>
          <w:p>
            <w:pPr>
              <w:ind w:left="200"/>
              <w:spacing w:after="0" w:line="129" w:lineRule="exact"/>
              <w:rPr>
                <w:sz w:val="20"/>
                <w:szCs w:val="20"/>
                <w:color w:val="auto"/>
              </w:rPr>
            </w:pPr>
            <w:r>
              <w:rPr>
                <w:rFonts w:ascii="Times New Roman" w:cs="Times New Roman" w:eastAsia="Times New Roman" w:hAnsi="Times New Roman"/>
                <w:sz w:val="13"/>
                <w:szCs w:val="13"/>
                <w:color w:val="auto"/>
              </w:rPr>
              <w:t>Total stockholders' equity</w:t>
            </w:r>
          </w:p>
        </w:tc>
        <w:tc>
          <w:tcPr>
            <w:tcW w:w="30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121,893,202</w:t>
            </w:r>
          </w:p>
        </w:tc>
        <w:tc>
          <w:tcPr>
            <w:tcW w:w="140" w:type="dxa"/>
            <w:vAlign w:val="bottom"/>
            <w:tcBorders>
              <w:bottom w:val="single" w:sz="8" w:color="CCEEFF"/>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155,980,109</w:t>
            </w:r>
          </w:p>
        </w:tc>
      </w:tr>
      <w:tr>
        <w:trPr>
          <w:trHeight w:val="129"/>
        </w:trPr>
        <w:tc>
          <w:tcPr>
            <w:tcW w:w="6360" w:type="dxa"/>
            <w:vAlign w:val="bottom"/>
            <w:tcBorders>
              <w:bottom w:val="single" w:sz="8" w:color="CCEEFF"/>
            </w:tcBorders>
            <w:shd w:val="clear" w:color="auto" w:fill="CCEEFF"/>
          </w:tcPr>
          <w:p>
            <w:pPr>
              <w:ind w:left="200"/>
              <w:spacing w:after="0" w:line="129" w:lineRule="exact"/>
              <w:rPr>
                <w:sz w:val="20"/>
                <w:szCs w:val="20"/>
                <w:color w:val="auto"/>
              </w:rPr>
            </w:pPr>
            <w:r>
              <w:rPr>
                <w:rFonts w:ascii="Times New Roman" w:cs="Times New Roman" w:eastAsia="Times New Roman" w:hAnsi="Times New Roman"/>
                <w:sz w:val="13"/>
                <w:szCs w:val="13"/>
                <w:color w:val="auto"/>
              </w:rPr>
              <w:t>Total liabilities and stockholders' equity</w:t>
            </w:r>
          </w:p>
        </w:tc>
        <w:tc>
          <w:tcPr>
            <w:tcW w:w="3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133,691,627</w:t>
            </w:r>
          </w:p>
        </w:tc>
        <w:tc>
          <w:tcPr>
            <w:tcW w:w="14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166,704,832</w:t>
            </w:r>
          </w:p>
        </w:tc>
      </w:tr>
      <w:tr>
        <w:trPr>
          <w:trHeight w:val="20"/>
        </w:trPr>
        <w:tc>
          <w:tcPr>
            <w:tcW w:w="6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IMMUNEERING CORPORATION</w:t>
      </w:r>
    </w:p>
    <w:p>
      <w:pPr>
        <w:spacing w:after="0" w:line="225" w:lineRule="exact"/>
        <w:rPr>
          <w:sz w:val="20"/>
          <w:szCs w:val="20"/>
          <w:color w:val="auto"/>
        </w:rPr>
      </w:pPr>
    </w:p>
    <w:p>
      <w:pPr>
        <w:jc w:val="center"/>
        <w:ind w:left="1520" w:right="440"/>
        <w:spacing w:after="0" w:line="263" w:lineRule="auto"/>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 (Unaudited)</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248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340" w:type="dxa"/>
            <w:vAlign w:val="bottom"/>
            <w:gridSpan w:val="5"/>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482,130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316,497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1,890,370</w:t>
            </w:r>
          </w:p>
        </w:tc>
        <w:tc>
          <w:tcPr>
            <w:tcW w:w="0" w:type="dxa"/>
            <w:vAlign w:val="bottom"/>
          </w:tcPr>
          <w:p>
            <w:pPr>
              <w:spacing w:after="0"/>
              <w:rPr>
                <w:sz w:val="1"/>
                <w:szCs w:val="1"/>
                <w:color w:val="auto"/>
              </w:rPr>
            </w:pPr>
          </w:p>
        </w:tc>
      </w:tr>
      <w:tr>
        <w:trPr>
          <w:trHeight w:val="216"/>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19,343</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219,088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158,122</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946,852</w:t>
            </w:r>
          </w:p>
        </w:tc>
        <w:tc>
          <w:tcPr>
            <w:tcW w:w="0" w:type="dxa"/>
            <w:vAlign w:val="bottom"/>
          </w:tcPr>
          <w:p>
            <w:pPr>
              <w:spacing w:after="0"/>
              <w:rPr>
                <w:sz w:val="1"/>
                <w:szCs w:val="1"/>
                <w:color w:val="auto"/>
              </w:rPr>
            </w:pPr>
          </w:p>
        </w:tc>
      </w:tr>
      <w:tr>
        <w:trPr>
          <w:trHeight w:val="209"/>
        </w:trPr>
        <w:tc>
          <w:tcPr>
            <w:tcW w:w="4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19,037</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263,042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158,375</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943,518</w:t>
            </w: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9,363,838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6,207,486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26,395,355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18,590,471</w:t>
            </w:r>
          </w:p>
        </w:tc>
        <w:tc>
          <w:tcPr>
            <w:tcW w:w="0" w:type="dxa"/>
            <w:vAlign w:val="bottom"/>
          </w:tcPr>
          <w:p>
            <w:pPr>
              <w:spacing w:after="0"/>
              <w:rPr>
                <w:sz w:val="1"/>
                <w:szCs w:val="1"/>
                <w:color w:val="auto"/>
              </w:rPr>
            </w:pPr>
          </w:p>
        </w:tc>
      </w:tr>
      <w:tr>
        <w:trPr>
          <w:trHeight w:val="216"/>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3,836,032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2,598,940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11,500,144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5,123,361</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intangible asset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13,207,187</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8,806,426</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37,918,236</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23,713,832</w:t>
            </w:r>
          </w:p>
        </w:tc>
        <w:tc>
          <w:tcPr>
            <w:tcW w:w="0" w:type="dxa"/>
            <w:vAlign w:val="bottom"/>
          </w:tcPr>
          <w:p>
            <w:pPr>
              <w:spacing w:after="0"/>
              <w:rPr>
                <w:sz w:val="1"/>
                <w:szCs w:val="1"/>
                <w:color w:val="auto"/>
              </w:rPr>
            </w:pPr>
          </w:p>
        </w:tc>
      </w:tr>
      <w:tr>
        <w:trPr>
          <w:trHeight w:val="209"/>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(13,188,150)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(8,543,384)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(37,759,861)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(22,770,314)</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222,985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498,288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27,014</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120,835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(8,089)</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(6,434)</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(8,089)</w:t>
            </w:r>
          </w:p>
        </w:tc>
        <w:tc>
          <w:tcPr>
            <w:tcW w:w="0" w:type="dxa"/>
            <w:vAlign w:val="bottom"/>
          </w:tcPr>
          <w:p>
            <w:pPr>
              <w:spacing w:after="0"/>
              <w:rPr>
                <w:sz w:val="1"/>
                <w:szCs w:val="1"/>
                <w:color w:val="auto"/>
              </w:rPr>
            </w:pPr>
          </w:p>
        </w:tc>
      </w:tr>
      <w:tr>
        <w:trPr>
          <w:trHeight w:val="249"/>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(12,844,330)</w:t>
            </w:r>
          </w:p>
        </w:tc>
        <w:tc>
          <w:tcPr>
            <w:tcW w:w="1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(8,534,073)</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(37,268,007)</w:t>
            </w:r>
          </w:p>
        </w:tc>
        <w:tc>
          <w:tcPr>
            <w:tcW w:w="1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(22,751,389)</w:t>
            </w:r>
          </w:p>
        </w:tc>
        <w:tc>
          <w:tcPr>
            <w:tcW w:w="0" w:type="dxa"/>
            <w:vAlign w:val="bottom"/>
          </w:tcPr>
          <w:p>
            <w:pPr>
              <w:spacing w:after="0"/>
              <w:rPr>
                <w:sz w:val="1"/>
                <w:szCs w:val="1"/>
                <w:color w:val="auto"/>
              </w:rPr>
            </w:pPr>
          </w:p>
        </w:tc>
      </w:tr>
      <w:tr>
        <w:trPr>
          <w:trHeight w:val="197"/>
        </w:trPr>
        <w:tc>
          <w:tcPr>
            <w:tcW w:w="4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Net loss per share attributable to common</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(0.49)</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(0.47)</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(1.41)</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61"/>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120" w:type="dxa"/>
            <w:vAlign w:val="bottom"/>
            <w:vMerge w:val="continue"/>
          </w:tcPr>
          <w:p>
            <w:pPr>
              <w:spacing w:after="0"/>
              <w:rPr>
                <w:sz w:val="22"/>
                <w:szCs w:val="22"/>
                <w:color w:val="auto"/>
              </w:rPr>
            </w:pPr>
          </w:p>
        </w:tc>
        <w:tc>
          <w:tcPr>
            <w:tcW w:w="1160" w:type="dxa"/>
            <w:vAlign w:val="bottom"/>
            <w:gridSpan w:val="2"/>
            <w:vMerge w:val="continue"/>
          </w:tcPr>
          <w:p>
            <w:pPr>
              <w:spacing w:after="0"/>
              <w:rPr>
                <w:sz w:val="22"/>
                <w:szCs w:val="22"/>
                <w:color w:val="auto"/>
              </w:rPr>
            </w:pPr>
          </w:p>
        </w:tc>
        <w:tc>
          <w:tcPr>
            <w:tcW w:w="140" w:type="dxa"/>
            <w:vAlign w:val="bottom"/>
            <w:vMerge w:val="continue"/>
          </w:tcPr>
          <w:p>
            <w:pPr>
              <w:spacing w:after="0"/>
              <w:rPr>
                <w:sz w:val="22"/>
                <w:szCs w:val="22"/>
                <w:color w:val="auto"/>
              </w:rPr>
            </w:pPr>
          </w:p>
        </w:tc>
        <w:tc>
          <w:tcPr>
            <w:tcW w:w="1060" w:type="dxa"/>
            <w:vAlign w:val="bottom"/>
            <w:gridSpan w:val="2"/>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1120" w:type="dxa"/>
            <w:vAlign w:val="bottom"/>
            <w:gridSpan w:val="2"/>
            <w:vMerge w:val="continue"/>
          </w:tcPr>
          <w:p>
            <w:pPr>
              <w:spacing w:after="0"/>
              <w:rPr>
                <w:sz w:val="22"/>
                <w:szCs w:val="22"/>
                <w:color w:val="auto"/>
              </w:rPr>
            </w:pPr>
          </w:p>
        </w:tc>
        <w:tc>
          <w:tcPr>
            <w:tcW w:w="140" w:type="dxa"/>
            <w:vAlign w:val="bottom"/>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4080" w:type="dxa"/>
            <w:vAlign w:val="bottom"/>
            <w:tcBorders>
              <w:top w:val="single" w:sz="8" w:color="CCEEFF"/>
            </w:tcBorders>
            <w:shd w:val="clear" w:color="auto" w:fill="CCEEFF"/>
          </w:tcPr>
          <w:p>
            <w:pPr>
              <w:ind w:left="20"/>
              <w:spacing w:after="0" w:line="151" w:lineRule="exact"/>
              <w:rPr>
                <w:sz w:val="20"/>
                <w:szCs w:val="20"/>
                <w:color w:val="auto"/>
              </w:rPr>
            </w:pPr>
            <w:r>
              <w:rPr>
                <w:rFonts w:ascii="Times New Roman" w:cs="Times New Roman" w:eastAsia="Times New Roman" w:hAnsi="Times New Roman"/>
                <w:sz w:val="17"/>
                <w:szCs w:val="17"/>
                <w:color w:val="auto"/>
              </w:rPr>
              <w:t>Weighted-average common shares outstanding, basic</w:t>
            </w:r>
          </w:p>
        </w:tc>
        <w:tc>
          <w:tcPr>
            <w:tcW w:w="12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26,394,490</w:t>
            </w: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18,286,352</w:t>
            </w: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26,380,101</w:t>
            </w:r>
          </w:p>
        </w:tc>
        <w:tc>
          <w:tcPr>
            <w:tcW w:w="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9,445,862</w:t>
            </w:r>
          </w:p>
        </w:tc>
        <w:tc>
          <w:tcPr>
            <w:tcW w:w="0" w:type="dxa"/>
            <w:vAlign w:val="bottom"/>
          </w:tcPr>
          <w:p>
            <w:pPr>
              <w:spacing w:after="0"/>
              <w:rPr>
                <w:sz w:val="1"/>
                <w:szCs w:val="1"/>
                <w:color w:val="auto"/>
              </w:rPr>
            </w:pPr>
          </w:p>
        </w:tc>
      </w:tr>
      <w:tr>
        <w:trPr>
          <w:trHeight w:val="221"/>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diluted</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Unrealized gains/(losses) from marketable</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securities</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39,088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(4,751)</w:t>
            </w: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(93,464)</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(4,751)</w:t>
            </w: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(12,805,242)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(8,538,824)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(37,361,471)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(22,756,140)</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IMMUNEERING CORPORATION</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CONVERTIBLE PREFERRED STOCK AND STOCKHOLDERS’ EQUITY</w:t>
      </w:r>
    </w:p>
    <w:p>
      <w:pPr>
        <w:ind w:left="4660"/>
        <w:spacing w:after="0" w:line="223" w:lineRule="auto"/>
        <w:rPr>
          <w:sz w:val="20"/>
          <w:szCs w:val="20"/>
          <w:color w:val="auto"/>
        </w:rPr>
      </w:pPr>
      <w:r>
        <w:rPr>
          <w:rFonts w:ascii="Times New Roman" w:cs="Times New Roman" w:eastAsia="Times New Roman" w:hAnsi="Times New Roman"/>
          <w:sz w:val="18"/>
          <w:szCs w:val="18"/>
          <w:b w:val="1"/>
          <w:bCs w:val="1"/>
          <w:color w:val="auto"/>
        </w:rPr>
        <w:t>(DEFICIT)</w:t>
      </w:r>
    </w:p>
    <w:p>
      <w:pPr>
        <w:spacing w:after="0" w:line="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6"/>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Convertible Preferred Stock</w:t>
            </w: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60" w:type="dxa"/>
            <w:vAlign w:val="bottom"/>
            <w:tcBorders>
              <w:bottom w:val="single" w:sz="8" w:color="auto"/>
            </w:tcBorders>
            <w:gridSpan w:val="9"/>
          </w:tcPr>
          <w:p>
            <w:pPr>
              <w:ind w:left="120"/>
              <w:spacing w:after="0"/>
              <w:rPr>
                <w:sz w:val="20"/>
                <w:szCs w:val="20"/>
                <w:color w:val="auto"/>
              </w:rPr>
            </w:pPr>
            <w:r>
              <w:rPr>
                <w:rFonts w:ascii="Times New Roman" w:cs="Times New Roman" w:eastAsia="Times New Roman" w:hAnsi="Times New Roman"/>
                <w:sz w:val="11"/>
                <w:szCs w:val="11"/>
                <w:b w:val="1"/>
                <w:bCs w:val="1"/>
                <w:color w:val="auto"/>
              </w:rPr>
              <w:t>Stockholders' Equity (Deficit)</w:t>
            </w:r>
          </w:p>
        </w:tc>
        <w:tc>
          <w:tcPr>
            <w:tcW w:w="6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center"/>
              <w:ind w:right="126"/>
              <w:spacing w:after="0" w:line="113"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jc w:val="right"/>
              <w:ind w:right="26"/>
              <w:spacing w:after="0" w:line="113" w:lineRule="exact"/>
              <w:rPr>
                <w:sz w:val="20"/>
                <w:szCs w:val="20"/>
                <w:color w:val="auto"/>
              </w:rPr>
            </w:pPr>
            <w:r>
              <w:rPr>
                <w:rFonts w:ascii="Times New Roman" w:cs="Times New Roman" w:eastAsia="Times New Roman" w:hAnsi="Times New Roman"/>
                <w:sz w:val="11"/>
                <w:szCs w:val="11"/>
                <w:b w:val="1"/>
                <w:bCs w:val="1"/>
                <w:color w:val="auto"/>
                <w:w w:val="95"/>
              </w:rPr>
              <w:t>Additional</w:t>
            </w:r>
          </w:p>
        </w:tc>
        <w:tc>
          <w:tcPr>
            <w:tcW w:w="980" w:type="dxa"/>
            <w:vAlign w:val="bottom"/>
            <w:gridSpan w:val="4"/>
          </w:tcPr>
          <w:p>
            <w:pPr>
              <w:jc w:val="center"/>
              <w:spacing w:after="0" w:line="113" w:lineRule="exact"/>
              <w:rPr>
                <w:sz w:val="20"/>
                <w:szCs w:val="20"/>
                <w:color w:val="auto"/>
              </w:rPr>
            </w:pPr>
            <w:r>
              <w:rPr>
                <w:rFonts w:ascii="Times New Roman" w:cs="Times New Roman" w:eastAsia="Times New Roman" w:hAnsi="Times New Roman"/>
                <w:sz w:val="11"/>
                <w:szCs w:val="11"/>
                <w:b w:val="1"/>
                <w:bCs w:val="1"/>
                <w:color w:val="auto"/>
                <w:w w:val="99"/>
              </w:rPr>
              <w:t>Accumulated other</w:t>
            </w: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center"/>
              <w:ind w:right="46"/>
              <w:spacing w:after="0" w:line="113"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80" w:type="dxa"/>
            <w:vAlign w:val="bottom"/>
            <w:gridSpan w:val="5"/>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9"/>
              </w:rPr>
              <w:t>Series B</w:t>
            </w:r>
          </w:p>
        </w:tc>
        <w:tc>
          <w:tcPr>
            <w:tcW w:w="1280" w:type="dxa"/>
            <w:vAlign w:val="bottom"/>
            <w:gridSpan w:val="4"/>
          </w:tcPr>
          <w:p>
            <w:pPr>
              <w:jc w:val="right"/>
              <w:ind w:right="406"/>
              <w:spacing w:after="0"/>
              <w:rPr>
                <w:sz w:val="20"/>
                <w:szCs w:val="20"/>
                <w:color w:val="auto"/>
              </w:rPr>
            </w:pPr>
            <w:r>
              <w:rPr>
                <w:rFonts w:ascii="Times New Roman" w:cs="Times New Roman" w:eastAsia="Times New Roman" w:hAnsi="Times New Roman"/>
                <w:sz w:val="11"/>
                <w:szCs w:val="11"/>
                <w:b w:val="1"/>
                <w:bCs w:val="1"/>
                <w:color w:val="auto"/>
              </w:rPr>
              <w:t>Series A</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Convertible</w:t>
            </w: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w w:val="99"/>
              </w:rPr>
              <w:t>Class A Common Stock</w:t>
            </w:r>
          </w:p>
        </w:tc>
        <w:tc>
          <w:tcPr>
            <w:tcW w:w="1180" w:type="dxa"/>
            <w:vAlign w:val="bottom"/>
            <w:gridSpan w:val="6"/>
          </w:tcPr>
          <w:p>
            <w:pPr>
              <w:jc w:val="center"/>
              <w:ind w:left="6"/>
              <w:spacing w:after="0"/>
              <w:rPr>
                <w:sz w:val="20"/>
                <w:szCs w:val="20"/>
                <w:color w:val="auto"/>
              </w:rPr>
            </w:pPr>
            <w:r>
              <w:rPr>
                <w:rFonts w:ascii="Times New Roman" w:cs="Times New Roman" w:eastAsia="Times New Roman" w:hAnsi="Times New Roman"/>
                <w:sz w:val="11"/>
                <w:szCs w:val="11"/>
                <w:b w:val="1"/>
                <w:bCs w:val="1"/>
                <w:color w:val="auto"/>
                <w:w w:val="97"/>
              </w:rPr>
              <w:t>Class B Common Stock</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comprehensive</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80" w:type="dxa"/>
            <w:vAlign w:val="bottom"/>
          </w:tcPr>
          <w:p>
            <w:pPr>
              <w:spacing w:after="0"/>
              <w:rPr>
                <w:sz w:val="11"/>
                <w:szCs w:val="11"/>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Stockholders'</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520" w:type="dxa"/>
            <w:vAlign w:val="bottom"/>
            <w:tcBorders>
              <w:top w:val="single" w:sz="8" w:color="auto"/>
            </w:tcBorders>
          </w:tcPr>
          <w:p>
            <w:pPr>
              <w:jc w:val="right"/>
              <w:ind w:right="46"/>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86"/>
              <w:spacing w:after="0" w:line="115" w:lineRule="exact"/>
              <w:rPr>
                <w:sz w:val="20"/>
                <w:szCs w:val="20"/>
                <w:color w:val="auto"/>
              </w:rPr>
            </w:pPr>
            <w:r>
              <w:rPr>
                <w:rFonts w:ascii="Times New Roman" w:cs="Times New Roman" w:eastAsia="Times New Roman" w:hAnsi="Times New Roman"/>
                <w:sz w:val="11"/>
                <w:szCs w:val="11"/>
                <w:b w:val="1"/>
                <w:bCs w:val="1"/>
                <w:color w:val="auto"/>
              </w:rPr>
              <w:t>Amount</w:t>
            </w:r>
          </w:p>
        </w:tc>
        <w:tc>
          <w:tcPr>
            <w:tcW w:w="60" w:type="dxa"/>
            <w:vAlign w:val="bottom"/>
          </w:tcPr>
          <w:p>
            <w:pPr>
              <w:spacing w:after="0"/>
              <w:rPr>
                <w:sz w:val="10"/>
                <w:szCs w:val="10"/>
                <w:color w:val="auto"/>
              </w:rPr>
            </w:pPr>
          </w:p>
        </w:tc>
        <w:tc>
          <w:tcPr>
            <w:tcW w:w="580" w:type="dxa"/>
            <w:vAlign w:val="bottom"/>
            <w:tcBorders>
              <w:top w:val="single" w:sz="8" w:color="auto"/>
            </w:tcBorders>
          </w:tcPr>
          <w:p>
            <w:pPr>
              <w:jc w:val="right"/>
              <w:ind w:right="86"/>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86"/>
              <w:spacing w:after="0" w:line="115" w:lineRule="exact"/>
              <w:rPr>
                <w:sz w:val="20"/>
                <w:szCs w:val="20"/>
                <w:color w:val="auto"/>
              </w:rPr>
            </w:pPr>
            <w:r>
              <w:rPr>
                <w:rFonts w:ascii="Times New Roman" w:cs="Times New Roman" w:eastAsia="Times New Roman" w:hAnsi="Times New Roman"/>
                <w:sz w:val="11"/>
                <w:szCs w:val="11"/>
                <w:b w:val="1"/>
                <w:bCs w:val="1"/>
                <w:color w:val="auto"/>
              </w:rPr>
              <w:t>Amount</w:t>
            </w:r>
          </w:p>
        </w:tc>
        <w:tc>
          <w:tcPr>
            <w:tcW w:w="920" w:type="dxa"/>
            <w:vAlign w:val="bottom"/>
            <w:gridSpan w:val="4"/>
          </w:tcPr>
          <w:p>
            <w:pPr>
              <w:ind w:left="60"/>
              <w:spacing w:after="0" w:line="115" w:lineRule="exact"/>
              <w:rPr>
                <w:sz w:val="20"/>
                <w:szCs w:val="20"/>
                <w:color w:val="auto"/>
              </w:rPr>
            </w:pPr>
            <w:r>
              <w:rPr>
                <w:rFonts w:ascii="Times New Roman" w:cs="Times New Roman" w:eastAsia="Times New Roman" w:hAnsi="Times New Roman"/>
                <w:sz w:val="11"/>
                <w:szCs w:val="11"/>
                <w:b w:val="1"/>
                <w:bCs w:val="1"/>
                <w:color w:val="auto"/>
              </w:rPr>
              <w:t>Preferred Stock</w:t>
            </w:r>
          </w:p>
        </w:tc>
        <w:tc>
          <w:tcPr>
            <w:tcW w:w="600" w:type="dxa"/>
            <w:vAlign w:val="bottom"/>
            <w:tcBorders>
              <w:top w:val="single" w:sz="8" w:color="auto"/>
            </w:tcBorders>
          </w:tcPr>
          <w:p>
            <w:pPr>
              <w:jc w:val="right"/>
              <w:ind w:right="86"/>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gridSpan w:val="2"/>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w w:val="88"/>
              </w:rPr>
              <w:t>Par Value</w:t>
            </w:r>
          </w:p>
        </w:tc>
        <w:tc>
          <w:tcPr>
            <w:tcW w:w="80" w:type="dxa"/>
            <w:vAlign w:val="bottom"/>
          </w:tcPr>
          <w:p>
            <w:pPr>
              <w:spacing w:after="0"/>
              <w:rPr>
                <w:sz w:val="10"/>
                <w:szCs w:val="10"/>
                <w:color w:val="auto"/>
              </w:rPr>
            </w:pPr>
          </w:p>
        </w:tc>
        <w:tc>
          <w:tcPr>
            <w:tcW w:w="440" w:type="dxa"/>
            <w:vAlign w:val="bottom"/>
            <w:tcBorders>
              <w:top w:val="single" w:sz="8" w:color="auto"/>
            </w:tcBorders>
          </w:tcPr>
          <w:p>
            <w:pPr>
              <w:ind w:left="60"/>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gridSpan w:val="2"/>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97"/>
              </w:rPr>
              <w:t>Par Value</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right"/>
              <w:ind w:right="106"/>
              <w:spacing w:after="0" w:line="115" w:lineRule="exact"/>
              <w:rPr>
                <w:sz w:val="20"/>
                <w:szCs w:val="20"/>
                <w:color w:val="auto"/>
              </w:rPr>
            </w:pPr>
            <w:r>
              <w:rPr>
                <w:rFonts w:ascii="Times New Roman" w:cs="Times New Roman" w:eastAsia="Times New Roman" w:hAnsi="Times New Roman"/>
                <w:sz w:val="11"/>
                <w:szCs w:val="11"/>
                <w:b w:val="1"/>
                <w:bCs w:val="1"/>
                <w:color w:val="auto"/>
              </w:rPr>
              <w:t>Capital</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rPr>
              <w:t>loss</w:t>
            </w:r>
          </w:p>
        </w:tc>
        <w:tc>
          <w:tcPr>
            <w:tcW w:w="640" w:type="dxa"/>
            <w:vAlign w:val="bottom"/>
          </w:tcPr>
          <w:p>
            <w:pPr>
              <w:jc w:val="right"/>
              <w:ind w:right="106"/>
              <w:spacing w:after="0" w:line="115" w:lineRule="exact"/>
              <w:rPr>
                <w:sz w:val="20"/>
                <w:szCs w:val="20"/>
                <w:color w:val="auto"/>
              </w:rPr>
            </w:pPr>
            <w:r>
              <w:rPr>
                <w:rFonts w:ascii="Times New Roman" w:cs="Times New Roman" w:eastAsia="Times New Roman" w:hAnsi="Times New Roman"/>
                <w:sz w:val="11"/>
                <w:szCs w:val="11"/>
                <w:b w:val="1"/>
                <w:bCs w:val="1"/>
                <w:color w:val="auto"/>
              </w:rPr>
              <w:t>Deficit</w:t>
            </w:r>
          </w:p>
        </w:tc>
        <w:tc>
          <w:tcPr>
            <w:tcW w:w="780" w:type="dxa"/>
            <w:vAlign w:val="bottom"/>
            <w:gridSpan w:val="3"/>
          </w:tcPr>
          <w:p>
            <w:pPr>
              <w:jc w:val="center"/>
              <w:ind w:left="6"/>
              <w:spacing w:after="0" w:line="115" w:lineRule="exact"/>
              <w:rPr>
                <w:sz w:val="20"/>
                <w:szCs w:val="20"/>
                <w:color w:val="auto"/>
              </w:rPr>
            </w:pPr>
            <w:r>
              <w:rPr>
                <w:rFonts w:ascii="Times New Roman" w:cs="Times New Roman" w:eastAsia="Times New Roman" w:hAnsi="Times New Roman"/>
                <w:sz w:val="11"/>
                <w:szCs w:val="11"/>
                <w:b w:val="1"/>
                <w:bCs w:val="1"/>
                <w:color w:val="auto"/>
                <w:w w:val="98"/>
              </w:rPr>
              <w:t>Equity (Deficit)</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34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0" w:type="dxa"/>
            <w:vAlign w:val="bottom"/>
            <w:vMerge w:val="continue"/>
          </w:tcPr>
          <w:p>
            <w:pPr>
              <w:spacing w:after="0"/>
              <w:rPr>
                <w:sz w:val="9"/>
                <w:szCs w:val="9"/>
                <w:color w:val="auto"/>
              </w:rPr>
            </w:pPr>
          </w:p>
        </w:tc>
        <w:tc>
          <w:tcPr>
            <w:tcW w:w="134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1"/>
                <w:szCs w:val="11"/>
                <w:b w:val="1"/>
                <w:bCs w:val="1"/>
                <w:color w:val="auto"/>
              </w:rPr>
              <w:t>Balance at December 31,</w:t>
            </w: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tcBorders>
              <w:right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2020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3,619,292</w:t>
            </w:r>
          </w:p>
        </w:tc>
        <w:tc>
          <w:tcPr>
            <w:tcW w:w="120" w:type="dxa"/>
            <w:vAlign w:val="bottom"/>
            <w:gridSpan w:val="2"/>
            <w:shd w:val="clear" w:color="auto" w:fill="CCEEFF"/>
          </w:tcPr>
          <w:p>
            <w:pPr>
              <w:jc w:val="center"/>
              <w:ind w:left="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36,983,910</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2,495,933</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21,119,940</w:t>
            </w:r>
          </w:p>
        </w:tc>
        <w:tc>
          <w:tcPr>
            <w:tcW w:w="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right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58,103,850</w:t>
            </w: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4,950,129</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4,950</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3,251,240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5"/>
              </w:rPr>
              <w:t>$ (25,737,640)</w:t>
            </w:r>
          </w:p>
        </w:tc>
        <w:tc>
          <w:tcPr>
            <w:tcW w:w="16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(22,481,450)</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134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Stock-based compensation</w:t>
            </w: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tcBorders>
              <w:right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expense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tcBorders>
              <w:right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182,225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182,225</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3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5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tcBorders>
              <w:right w:val="single" w:sz="8" w:color="auto"/>
            </w:tcBorders>
            <w:shd w:val="clear" w:color="auto" w:fill="CCEEFF"/>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ind w:left="3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(6,229,651)</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(6,229,651)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40" w:type="dxa"/>
            <w:vAlign w:val="bottom"/>
            <w:tcBorders>
              <w:bottom w:val="single" w:sz="8" w:color="CCEEFF"/>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40" w:type="dxa"/>
            <w:vAlign w:val="bottom"/>
            <w:tcBorders>
              <w:bottom w:val="single" w:sz="8" w:color="auto"/>
              <w:right w:val="single" w:sz="8" w:color="auto"/>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340" w:type="dxa"/>
            <w:vAlign w:val="bottom"/>
            <w:tcBorders>
              <w:bottom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at March 31, 2021</w:t>
            </w:r>
          </w:p>
        </w:tc>
        <w:tc>
          <w:tcPr>
            <w:tcW w:w="52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3,619,292</w:t>
            </w: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jc w:val="center"/>
              <w:spacing w:after="0" w:line="115"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36,983,910</w:t>
            </w:r>
          </w:p>
        </w:tc>
        <w:tc>
          <w:tcPr>
            <w:tcW w:w="6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2,495,933</w:t>
            </w: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21,119,940</w:t>
            </w:r>
          </w:p>
        </w:tc>
        <w:tc>
          <w:tcPr>
            <w:tcW w:w="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auto"/>
              <w:right w:val="single" w:sz="8" w:color="auto"/>
            </w:tcBorders>
            <w:shd w:val="clear" w:color="auto" w:fill="CCEEFF"/>
          </w:tcPr>
          <w:p>
            <w:pPr>
              <w:jc w:val="right"/>
              <w:ind w:right="86"/>
              <w:spacing w:after="0" w:line="115" w:lineRule="exact"/>
              <w:rPr>
                <w:sz w:val="20"/>
                <w:szCs w:val="20"/>
                <w:color w:val="auto"/>
              </w:rPr>
            </w:pPr>
            <w:r>
              <w:rPr>
                <w:rFonts w:ascii="Times New Roman" w:cs="Times New Roman" w:eastAsia="Times New Roman" w:hAnsi="Times New Roman"/>
                <w:sz w:val="11"/>
                <w:szCs w:val="11"/>
                <w:color w:val="auto"/>
              </w:rPr>
              <w:t>58,103,850</w:t>
            </w:r>
          </w:p>
        </w:tc>
        <w:tc>
          <w:tcPr>
            <w:tcW w:w="40" w:type="dxa"/>
            <w:vAlign w:val="bottom"/>
            <w:tcBorders>
              <w:bottom w:val="single" w:sz="8" w:color="CCEEFF"/>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4,950,129</w:t>
            </w:r>
          </w:p>
        </w:tc>
        <w:tc>
          <w:tcPr>
            <w:tcW w:w="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36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4,950</w:t>
            </w:r>
          </w:p>
        </w:tc>
        <w:tc>
          <w:tcPr>
            <w:tcW w:w="8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ind w:left="300"/>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jc w:val="center"/>
              <w:ind w:right="46"/>
              <w:spacing w:after="0" w:line="115" w:lineRule="exact"/>
              <w:rPr>
                <w:sz w:val="20"/>
                <w:szCs w:val="20"/>
                <w:color w:val="auto"/>
              </w:rPr>
            </w:pPr>
            <w:r>
              <w:rPr>
                <w:rFonts w:ascii="Times New Roman" w:cs="Times New Roman" w:eastAsia="Times New Roman" w:hAnsi="Times New Roman"/>
                <w:sz w:val="11"/>
                <w:szCs w:val="11"/>
                <w:color w:val="auto"/>
              </w:rPr>
              <w:t>$</w:t>
            </w:r>
          </w:p>
        </w:tc>
        <w:tc>
          <w:tcPr>
            <w:tcW w:w="36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3,433,465</w:t>
            </w:r>
          </w:p>
        </w:tc>
        <w:tc>
          <w:tcPr>
            <w:tcW w:w="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95"/>
              </w:rPr>
              <w:t>$ (31,967,291)</w:t>
            </w: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(28,528,876)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1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134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Issuance of Series B</w:t>
            </w: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tcBorders>
              <w:right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convertible preferred stock,</w:t>
            </w: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of issuance costs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2,412,853</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24,788,851</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tcBorders>
              <w:right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24,788,851</w:t>
            </w: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134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Issuance of common stock</w:t>
            </w: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tcBorders>
              <w:right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upon exercise of stock</w:t>
            </w: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options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tcBorders>
              <w:right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17,499</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52,609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52,627</w:t>
            </w: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1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134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Issuance of common stock</w:t>
            </w: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tcBorders>
              <w:right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upon exercise of warrants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tcBorders>
              <w:right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308,308</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308</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926,817</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927,125</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134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Stock-based compensation</w:t>
            </w: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tcBorders>
              <w:right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expense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tcBorders>
              <w:right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351,009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351,009</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3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5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tcBorders>
              <w:right w:val="single" w:sz="8" w:color="auto"/>
            </w:tcBorders>
            <w:shd w:val="clear" w:color="auto" w:fill="CCEEFF"/>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ind w:left="3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(7,987,665)</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(7,987,665)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40" w:type="dxa"/>
            <w:vAlign w:val="bottom"/>
            <w:tcBorders>
              <w:bottom w:val="single" w:sz="8" w:color="CCEEFF"/>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40" w:type="dxa"/>
            <w:vAlign w:val="bottom"/>
            <w:tcBorders>
              <w:bottom w:val="single" w:sz="8" w:color="auto"/>
              <w:right w:val="single" w:sz="8" w:color="auto"/>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340" w:type="dxa"/>
            <w:vAlign w:val="bottom"/>
            <w:tcBorders>
              <w:bottom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at June 30, 2021</w:t>
            </w:r>
          </w:p>
        </w:tc>
        <w:tc>
          <w:tcPr>
            <w:tcW w:w="52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6,032,145</w:t>
            </w: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jc w:val="center"/>
              <w:spacing w:after="0" w:line="115"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61,772,761</w:t>
            </w:r>
          </w:p>
        </w:tc>
        <w:tc>
          <w:tcPr>
            <w:tcW w:w="6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2,495,933</w:t>
            </w: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21,119,940</w:t>
            </w:r>
          </w:p>
        </w:tc>
        <w:tc>
          <w:tcPr>
            <w:tcW w:w="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auto"/>
              <w:right w:val="single" w:sz="8" w:color="auto"/>
            </w:tcBorders>
            <w:shd w:val="clear" w:color="auto" w:fill="CCEEFF"/>
          </w:tcPr>
          <w:p>
            <w:pPr>
              <w:jc w:val="right"/>
              <w:ind w:right="86"/>
              <w:spacing w:after="0" w:line="115" w:lineRule="exact"/>
              <w:rPr>
                <w:sz w:val="20"/>
                <w:szCs w:val="20"/>
                <w:color w:val="auto"/>
              </w:rPr>
            </w:pPr>
            <w:r>
              <w:rPr>
                <w:rFonts w:ascii="Times New Roman" w:cs="Times New Roman" w:eastAsia="Times New Roman" w:hAnsi="Times New Roman"/>
                <w:sz w:val="11"/>
                <w:szCs w:val="11"/>
                <w:color w:val="auto"/>
              </w:rPr>
              <w:t>82,892,701</w:t>
            </w:r>
          </w:p>
        </w:tc>
        <w:tc>
          <w:tcPr>
            <w:tcW w:w="40" w:type="dxa"/>
            <w:vAlign w:val="bottom"/>
            <w:tcBorders>
              <w:bottom w:val="single" w:sz="8" w:color="CCEEFF"/>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5,275,936</w:t>
            </w:r>
          </w:p>
        </w:tc>
        <w:tc>
          <w:tcPr>
            <w:tcW w:w="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36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5,276</w:t>
            </w:r>
          </w:p>
        </w:tc>
        <w:tc>
          <w:tcPr>
            <w:tcW w:w="8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ind w:left="300"/>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jc w:val="center"/>
              <w:ind w:right="46"/>
              <w:spacing w:after="0" w:line="115" w:lineRule="exact"/>
              <w:rPr>
                <w:sz w:val="20"/>
                <w:szCs w:val="20"/>
                <w:color w:val="auto"/>
              </w:rPr>
            </w:pPr>
            <w:r>
              <w:rPr>
                <w:rFonts w:ascii="Times New Roman" w:cs="Times New Roman" w:eastAsia="Times New Roman" w:hAnsi="Times New Roman"/>
                <w:sz w:val="11"/>
                <w:szCs w:val="11"/>
                <w:color w:val="auto"/>
              </w:rPr>
              <w:t>$</w:t>
            </w:r>
          </w:p>
        </w:tc>
        <w:tc>
          <w:tcPr>
            <w:tcW w:w="36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4,763,900</w:t>
            </w:r>
          </w:p>
        </w:tc>
        <w:tc>
          <w:tcPr>
            <w:tcW w:w="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95"/>
              </w:rPr>
              <w:t>$ (39,954,956)</w:t>
            </w: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(35,185,780)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1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134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Conversion of Preferred</w:t>
            </w: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tcBorders>
              <w:right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Stock into common stock</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7"/>
              </w:rPr>
              <w:t>(6,032,145)</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8"/>
              </w:rPr>
              <w:t>(61,772,761)</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(2,495,933)</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8"/>
              </w:rPr>
              <w:t>(21,119,940)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tcBorders>
              <w:right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(82,892,701)</w:t>
            </w: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11,939,281</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9"/>
              </w:rPr>
              <w:t>11,939</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82,880,762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82,892,701</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134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Issuance of common stock</w:t>
            </w: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tcBorders>
              <w:right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upon exercise of stock</w:t>
            </w: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options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tcBorders>
              <w:right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97,847</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294,191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294,289</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134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Issuance of common stock</w:t>
            </w: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tcBorders>
              <w:right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upon initial public offering,</w:t>
            </w: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net of issuance costs</w:t>
            </w: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($2,124,317)</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tcBorders>
              <w:right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8,625,000</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8,625</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4"/>
              </w:rPr>
              <w:t>118,185,808</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118,194,433</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134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Stock-based compensation</w:t>
            </w: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tcBorders>
              <w:right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expense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tcBorders>
              <w:right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636,806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636,806</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3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5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tcBorders>
              <w:right w:val="single" w:sz="8" w:color="auto"/>
            </w:tcBorders>
            <w:shd w:val="clear" w:color="auto" w:fill="CCEEFF"/>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ind w:left="3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(8,534,073)</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(8,534,073)</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3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Other comprehensive loss</w:t>
            </w:r>
          </w:p>
        </w:tc>
        <w:tc>
          <w:tcPr>
            <w:tcW w:w="5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tcBorders>
              <w:right w:val="single" w:sz="8" w:color="auto"/>
            </w:tcBorders>
            <w:shd w:val="clear" w:color="auto" w:fill="CCEEFF"/>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ind w:left="3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(4,751)</w:t>
            </w: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(4,751)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40" w:type="dxa"/>
            <w:vAlign w:val="bottom"/>
            <w:tcBorders>
              <w:bottom w:val="single" w:sz="8" w:color="CCEEFF"/>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40" w:type="dxa"/>
            <w:vAlign w:val="bottom"/>
            <w:tcBorders>
              <w:bottom w:val="single" w:sz="8" w:color="auto"/>
              <w:right w:val="single" w:sz="8" w:color="auto"/>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340" w:type="dxa"/>
            <w:vAlign w:val="bottom"/>
            <w:shd w:val="clear" w:color="auto" w:fill="CCEEFF"/>
          </w:tcPr>
          <w:p>
            <w:pPr>
              <w:spacing w:after="0" w:line="86" w:lineRule="exact"/>
              <w:rPr>
                <w:sz w:val="20"/>
                <w:szCs w:val="20"/>
                <w:color w:val="auto"/>
              </w:rPr>
            </w:pPr>
            <w:r>
              <w:rPr>
                <w:rFonts w:ascii="Times New Roman" w:cs="Times New Roman" w:eastAsia="Times New Roman" w:hAnsi="Times New Roman"/>
                <w:sz w:val="9"/>
                <w:szCs w:val="9"/>
                <w:b w:val="1"/>
                <w:bCs w:val="1"/>
                <w:color w:val="auto"/>
              </w:rPr>
              <w:t>Balance at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gridSpan w:val="2"/>
            <w:vMerge w:val="restart"/>
            <w:shd w:val="clear" w:color="auto" w:fill="CCEEFF"/>
          </w:tcPr>
          <w:p>
            <w:pPr>
              <w:jc w:val="center"/>
              <w:ind w:left="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right w:val="single" w:sz="8" w:color="auto"/>
            </w:tcBorders>
            <w:vMerge w:val="restart"/>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7"/>
                <w:szCs w:val="7"/>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25,938,064</w:t>
            </w:r>
          </w:p>
        </w:tc>
        <w:tc>
          <w:tcPr>
            <w:tcW w:w="1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9"/>
              </w:rPr>
              <w:t>25,938</w:t>
            </w:r>
          </w:p>
        </w:tc>
        <w:tc>
          <w:tcPr>
            <w:tcW w:w="80" w:type="dxa"/>
            <w:vAlign w:val="bottom"/>
            <w:shd w:val="clear" w:color="auto" w:fill="CCEEFF"/>
          </w:tcPr>
          <w:p>
            <w:pPr>
              <w:spacing w:after="0"/>
              <w:rPr>
                <w:sz w:val="7"/>
                <w:szCs w:val="7"/>
                <w:color w:val="auto"/>
              </w:rPr>
            </w:pPr>
          </w:p>
        </w:tc>
        <w:tc>
          <w:tcPr>
            <w:tcW w:w="44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4"/>
              </w:rPr>
              <w:t>206,761,467</w:t>
            </w: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(4,751)</w:t>
            </w:r>
          </w:p>
        </w:tc>
        <w:tc>
          <w:tcPr>
            <w:tcW w:w="40" w:type="dxa"/>
            <w:vAlign w:val="bottom"/>
            <w:shd w:val="clear" w:color="auto" w:fill="CCEEFF"/>
          </w:tcPr>
          <w:p>
            <w:pPr>
              <w:spacing w:after="0"/>
              <w:rPr>
                <w:sz w:val="7"/>
                <w:szCs w:val="7"/>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5"/>
              </w:rPr>
              <w:t>$ (48,489,029)</w:t>
            </w:r>
          </w:p>
        </w:tc>
        <w:tc>
          <w:tcPr>
            <w:tcW w:w="160" w:type="dxa"/>
            <w:vAlign w:val="bottom"/>
            <w:gridSpan w:val="2"/>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158,293,625</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3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September 30, 2021</w:t>
            </w:r>
          </w:p>
        </w:tc>
        <w:tc>
          <w:tcPr>
            <w:tcW w:w="520" w:type="dxa"/>
            <w:vAlign w:val="bottom"/>
            <w:vMerge w:val="continue"/>
            <w:shd w:val="clear" w:color="auto" w:fill="CCEEFF"/>
          </w:tcPr>
          <w:p>
            <w:pPr>
              <w:spacing w:after="0"/>
              <w:rPr>
                <w:sz w:val="10"/>
                <w:szCs w:val="10"/>
                <w:color w:val="auto"/>
              </w:rPr>
            </w:pPr>
          </w:p>
        </w:tc>
        <w:tc>
          <w:tcPr>
            <w:tcW w:w="120" w:type="dxa"/>
            <w:vAlign w:val="bottom"/>
            <w:gridSpan w:val="2"/>
            <w:vMerge w:val="continue"/>
            <w:shd w:val="clear" w:color="auto" w:fill="CCEEFF"/>
          </w:tcPr>
          <w:p>
            <w:pPr>
              <w:spacing w:after="0"/>
              <w:rPr>
                <w:sz w:val="10"/>
                <w:szCs w:val="10"/>
                <w:color w:val="auto"/>
              </w:rPr>
            </w:pPr>
          </w:p>
        </w:tc>
        <w:tc>
          <w:tcPr>
            <w:tcW w:w="640" w:type="dxa"/>
            <w:vAlign w:val="bottom"/>
            <w:gridSpan w:val="2"/>
            <w:vMerge w:val="continue"/>
            <w:shd w:val="clear" w:color="auto" w:fill="CCEEFF"/>
          </w:tcPr>
          <w:p>
            <w:pPr>
              <w:spacing w:after="0"/>
              <w:rPr>
                <w:sz w:val="10"/>
                <w:szCs w:val="10"/>
                <w:color w:val="auto"/>
              </w:rPr>
            </w:pPr>
          </w:p>
        </w:tc>
        <w:tc>
          <w:tcPr>
            <w:tcW w:w="580" w:type="dxa"/>
            <w:vAlign w:val="bottom"/>
            <w:vMerge w:val="continue"/>
            <w:shd w:val="clear" w:color="auto" w:fill="CCEEFF"/>
          </w:tcPr>
          <w:p>
            <w:pPr>
              <w:spacing w:after="0"/>
              <w:rPr>
                <w:sz w:val="10"/>
                <w:szCs w:val="10"/>
                <w:color w:val="auto"/>
              </w:rPr>
            </w:pPr>
          </w:p>
        </w:tc>
        <w:tc>
          <w:tcPr>
            <w:tcW w:w="120" w:type="dxa"/>
            <w:vAlign w:val="bottom"/>
            <w:gridSpan w:val="2"/>
            <w:vMerge w:val="continue"/>
            <w:shd w:val="clear" w:color="auto" w:fill="CCEEFF"/>
          </w:tcPr>
          <w:p>
            <w:pPr>
              <w:spacing w:after="0"/>
              <w:rPr>
                <w:sz w:val="10"/>
                <w:szCs w:val="10"/>
                <w:color w:val="auto"/>
              </w:rPr>
            </w:pPr>
          </w:p>
        </w:tc>
        <w:tc>
          <w:tcPr>
            <w:tcW w:w="580" w:type="dxa"/>
            <w:vAlign w:val="bottom"/>
            <w:vMerge w:val="continue"/>
            <w:shd w:val="clear" w:color="auto" w:fill="CCEEFF"/>
          </w:tcPr>
          <w:p>
            <w:pPr>
              <w:spacing w:after="0"/>
              <w:rPr>
                <w:sz w:val="10"/>
                <w:szCs w:val="10"/>
                <w:color w:val="auto"/>
              </w:rPr>
            </w:pPr>
          </w:p>
        </w:tc>
        <w:tc>
          <w:tcPr>
            <w:tcW w:w="140" w:type="dxa"/>
            <w:vAlign w:val="bottom"/>
            <w:gridSpan w:val="2"/>
            <w:vMerge w:val="continue"/>
            <w:shd w:val="clear" w:color="auto" w:fill="CCEEFF"/>
          </w:tcPr>
          <w:p>
            <w:pPr>
              <w:spacing w:after="0"/>
              <w:rPr>
                <w:sz w:val="10"/>
                <w:szCs w:val="10"/>
                <w:color w:val="auto"/>
              </w:rPr>
            </w:pPr>
          </w:p>
        </w:tc>
        <w:tc>
          <w:tcPr>
            <w:tcW w:w="740" w:type="dxa"/>
            <w:vAlign w:val="bottom"/>
            <w:tcBorders>
              <w:right w:val="single" w:sz="8" w:color="auto"/>
            </w:tcBorders>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vMerge w:val="continue"/>
            <w:shd w:val="clear" w:color="auto" w:fill="CCEEFF"/>
          </w:tcPr>
          <w:p>
            <w:pPr>
              <w:spacing w:after="0"/>
              <w:rPr>
                <w:sz w:val="10"/>
                <w:szCs w:val="10"/>
                <w:color w:val="auto"/>
              </w:rPr>
            </w:pPr>
          </w:p>
        </w:tc>
        <w:tc>
          <w:tcPr>
            <w:tcW w:w="160" w:type="dxa"/>
            <w:vAlign w:val="bottom"/>
            <w:gridSpan w:val="2"/>
            <w:vMerge w:val="continue"/>
            <w:shd w:val="clear" w:color="auto" w:fill="CCEEFF"/>
          </w:tcPr>
          <w:p>
            <w:pPr>
              <w:spacing w:after="0"/>
              <w:rPr>
                <w:sz w:val="10"/>
                <w:szCs w:val="10"/>
                <w:color w:val="auto"/>
              </w:rPr>
            </w:pPr>
          </w:p>
        </w:tc>
        <w:tc>
          <w:tcPr>
            <w:tcW w:w="3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vMerge w:val="continue"/>
            <w:shd w:val="clear" w:color="auto" w:fill="CCEEFF"/>
          </w:tcPr>
          <w:p>
            <w:pPr>
              <w:spacing w:after="0"/>
              <w:rPr>
                <w:sz w:val="10"/>
                <w:szCs w:val="10"/>
                <w:color w:val="auto"/>
              </w:rPr>
            </w:pPr>
          </w:p>
        </w:tc>
        <w:tc>
          <w:tcPr>
            <w:tcW w:w="240" w:type="dxa"/>
            <w:vAlign w:val="bottom"/>
            <w:gridSpan w:val="2"/>
            <w:vMerge w:val="continue"/>
            <w:shd w:val="clear" w:color="auto" w:fill="CCEEFF"/>
          </w:tcPr>
          <w:p>
            <w:pPr>
              <w:spacing w:after="0"/>
              <w:rPr>
                <w:sz w:val="10"/>
                <w:szCs w:val="10"/>
                <w:color w:val="auto"/>
              </w:rPr>
            </w:pPr>
          </w:p>
        </w:tc>
        <w:tc>
          <w:tcPr>
            <w:tcW w:w="420" w:type="dxa"/>
            <w:vAlign w:val="bottom"/>
            <w:gridSpan w:val="2"/>
            <w:vMerge w:val="continue"/>
            <w:shd w:val="clear" w:color="auto" w:fill="CCEEFF"/>
          </w:tcPr>
          <w:p>
            <w:pPr>
              <w:spacing w:after="0"/>
              <w:rPr>
                <w:sz w:val="10"/>
                <w:szCs w:val="10"/>
                <w:color w:val="auto"/>
              </w:rPr>
            </w:pPr>
          </w:p>
        </w:tc>
        <w:tc>
          <w:tcPr>
            <w:tcW w:w="80" w:type="dxa"/>
            <w:vAlign w:val="bottom"/>
            <w:gridSpan w:val="2"/>
            <w:vMerge w:val="continue"/>
            <w:shd w:val="clear" w:color="auto" w:fill="CCEEFF"/>
          </w:tcPr>
          <w:p>
            <w:pPr>
              <w:spacing w:after="0"/>
              <w:rPr>
                <w:sz w:val="10"/>
                <w:szCs w:val="10"/>
                <w:color w:val="auto"/>
              </w:rPr>
            </w:pPr>
          </w:p>
        </w:tc>
        <w:tc>
          <w:tcPr>
            <w:tcW w:w="580" w:type="dxa"/>
            <w:vAlign w:val="bottom"/>
            <w:vMerge w:val="continue"/>
            <w:shd w:val="clear" w:color="auto" w:fill="CCEEFF"/>
          </w:tcPr>
          <w:p>
            <w:pPr>
              <w:spacing w:after="0"/>
              <w:rPr>
                <w:sz w:val="10"/>
                <w:szCs w:val="10"/>
                <w:color w:val="auto"/>
              </w:rPr>
            </w:pPr>
          </w:p>
        </w:tc>
        <w:tc>
          <w:tcPr>
            <w:tcW w:w="140" w:type="dxa"/>
            <w:vAlign w:val="bottom"/>
            <w:gridSpan w:val="2"/>
            <w:vMerge w:val="continue"/>
            <w:shd w:val="clear" w:color="auto" w:fill="CCEEFF"/>
          </w:tcPr>
          <w:p>
            <w:pPr>
              <w:spacing w:after="0"/>
              <w:rPr>
                <w:sz w:val="10"/>
                <w:szCs w:val="10"/>
                <w:color w:val="auto"/>
              </w:rPr>
            </w:pPr>
          </w:p>
        </w:tc>
        <w:tc>
          <w:tcPr>
            <w:tcW w:w="800" w:type="dxa"/>
            <w:vAlign w:val="bottom"/>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vMerge w:val="continue"/>
            <w:shd w:val="clear" w:color="auto" w:fill="CCEEFF"/>
          </w:tcPr>
          <w:p>
            <w:pPr>
              <w:spacing w:after="0"/>
              <w:rPr>
                <w:sz w:val="10"/>
                <w:szCs w:val="10"/>
                <w:color w:val="auto"/>
              </w:rPr>
            </w:pPr>
          </w:p>
        </w:tc>
        <w:tc>
          <w:tcPr>
            <w:tcW w:w="160" w:type="dxa"/>
            <w:vAlign w:val="bottom"/>
            <w:gridSpan w:val="2"/>
            <w:vMerge w:val="continue"/>
            <w:shd w:val="clear" w:color="auto" w:fill="CCEEFF"/>
          </w:tcPr>
          <w:p>
            <w:pPr>
              <w:spacing w:after="0"/>
              <w:rPr>
                <w:sz w:val="10"/>
                <w:szCs w:val="10"/>
                <w:color w:val="auto"/>
              </w:rPr>
            </w:pPr>
          </w:p>
        </w:tc>
        <w:tc>
          <w:tcPr>
            <w:tcW w:w="6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48081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80810" cy="25400"/>
                    </a:xfrm>
                    <a:prstGeom prst="rect">
                      <a:avLst/>
                    </a:prstGeom>
                    <a:noFill/>
                  </pic:spPr>
                </pic:pic>
              </a:graphicData>
            </a:graphic>
          </wp:anchor>
        </w:drawing>
      </w:r>
    </w:p>
    <w:p>
      <w:pPr>
        <w:sectPr>
          <w:pgSz w:w="11900" w:h="16838" w:orient="portrait"/>
          <w:cols w:equalWidth="0" w:num="1">
            <w:col w:w="10200"/>
          </w:cols>
          <w:pgMar w:left="840" w:top="513" w:right="8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7"/>
          </w:tcPr>
          <w:p>
            <w:pPr>
              <w:ind w:left="240"/>
              <w:spacing w:after="0"/>
              <w:rPr>
                <w:sz w:val="20"/>
                <w:szCs w:val="20"/>
                <w:color w:val="auto"/>
              </w:rPr>
            </w:pPr>
            <w:r>
              <w:rPr>
                <w:rFonts w:ascii="Times New Roman" w:cs="Times New Roman" w:eastAsia="Times New Roman" w:hAnsi="Times New Roman"/>
                <w:sz w:val="11"/>
                <w:szCs w:val="11"/>
                <w:b w:val="1"/>
                <w:bCs w:val="1"/>
                <w:color w:val="auto"/>
                <w:w w:val="96"/>
              </w:rPr>
              <w:t>Convertible Preferred Stock</w:t>
            </w: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100" w:type="dxa"/>
            <w:vAlign w:val="bottom"/>
            <w:tcBorders>
              <w:bottom w:val="single" w:sz="8" w:color="auto"/>
            </w:tcBorders>
            <w:gridSpan w:val="8"/>
          </w:tcPr>
          <w:p>
            <w:pPr>
              <w:ind w:left="120"/>
              <w:spacing w:after="0"/>
              <w:rPr>
                <w:sz w:val="20"/>
                <w:szCs w:val="20"/>
                <w:color w:val="auto"/>
              </w:rPr>
            </w:pPr>
            <w:r>
              <w:rPr>
                <w:rFonts w:ascii="Times New Roman" w:cs="Times New Roman" w:eastAsia="Times New Roman" w:hAnsi="Times New Roman"/>
                <w:sz w:val="11"/>
                <w:szCs w:val="11"/>
                <w:b w:val="1"/>
                <w:bCs w:val="1"/>
                <w:color w:val="auto"/>
              </w:rPr>
              <w:t>Stockholders' Equity (Deficit)</w:t>
            </w:r>
          </w:p>
        </w:tc>
        <w:tc>
          <w:tcPr>
            <w:tcW w:w="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ind w:left="180"/>
              <w:spacing w:after="0" w:line="113" w:lineRule="exact"/>
              <w:rPr>
                <w:sz w:val="20"/>
                <w:szCs w:val="20"/>
                <w:color w:val="auto"/>
              </w:rPr>
            </w:pPr>
            <w:r>
              <w:rPr>
                <w:rFonts w:ascii="Times New Roman" w:cs="Times New Roman" w:eastAsia="Times New Roman" w:hAnsi="Times New Roman"/>
                <w:sz w:val="11"/>
                <w:szCs w:val="11"/>
                <w:b w:val="1"/>
                <w:bCs w:val="1"/>
                <w:color w:val="auto"/>
              </w:rPr>
              <w:t>Total</w:t>
            </w:r>
          </w:p>
        </w:tc>
        <w:tc>
          <w:tcPr>
            <w:tcW w:w="160" w:type="dxa"/>
            <w:vAlign w:val="bottom"/>
            <w:gridSpan w:val="2"/>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jc w:val="right"/>
              <w:ind w:right="26"/>
              <w:spacing w:after="0" w:line="113" w:lineRule="exact"/>
              <w:rPr>
                <w:sz w:val="20"/>
                <w:szCs w:val="20"/>
                <w:color w:val="auto"/>
              </w:rPr>
            </w:pPr>
            <w:r>
              <w:rPr>
                <w:rFonts w:ascii="Times New Roman" w:cs="Times New Roman" w:eastAsia="Times New Roman" w:hAnsi="Times New Roman"/>
                <w:sz w:val="11"/>
                <w:szCs w:val="11"/>
                <w:b w:val="1"/>
                <w:bCs w:val="1"/>
                <w:color w:val="auto"/>
              </w:rPr>
              <w:t>Additional</w:t>
            </w:r>
          </w:p>
        </w:tc>
        <w:tc>
          <w:tcPr>
            <w:tcW w:w="1000" w:type="dxa"/>
            <w:vAlign w:val="bottom"/>
            <w:gridSpan w:val="4"/>
          </w:tcPr>
          <w:p>
            <w:pPr>
              <w:ind w:left="80"/>
              <w:spacing w:after="0" w:line="113" w:lineRule="exact"/>
              <w:rPr>
                <w:sz w:val="20"/>
                <w:szCs w:val="20"/>
                <w:color w:val="auto"/>
              </w:rPr>
            </w:pPr>
            <w:r>
              <w:rPr>
                <w:rFonts w:ascii="Times New Roman" w:cs="Times New Roman" w:eastAsia="Times New Roman" w:hAnsi="Times New Roman"/>
                <w:sz w:val="11"/>
                <w:szCs w:val="11"/>
                <w:b w:val="1"/>
                <w:bCs w:val="1"/>
                <w:color w:val="auto"/>
                <w:w w:val="99"/>
              </w:rPr>
              <w:t>Accumulated other</w:t>
            </w: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jc w:val="right"/>
              <w:ind w:right="186"/>
              <w:spacing w:after="0" w:line="113"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00" w:type="dxa"/>
            <w:vAlign w:val="bottom"/>
            <w:gridSpan w:val="5"/>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4"/>
              </w:rPr>
              <w:t>Series B</w:t>
            </w:r>
          </w:p>
        </w:tc>
        <w:tc>
          <w:tcPr>
            <w:tcW w:w="740" w:type="dxa"/>
            <w:vAlign w:val="bottom"/>
            <w:gridSpan w:val="3"/>
          </w:tcPr>
          <w:p>
            <w:pPr>
              <w:ind w:left="300"/>
              <w:spacing w:after="0"/>
              <w:rPr>
                <w:sz w:val="20"/>
                <w:szCs w:val="20"/>
                <w:color w:val="auto"/>
              </w:rPr>
            </w:pPr>
            <w:r>
              <w:rPr>
                <w:rFonts w:ascii="Times New Roman" w:cs="Times New Roman" w:eastAsia="Times New Roman" w:hAnsi="Times New Roman"/>
                <w:sz w:val="11"/>
                <w:szCs w:val="11"/>
                <w:b w:val="1"/>
                <w:bCs w:val="1"/>
                <w:color w:val="auto"/>
              </w:rPr>
              <w:t>Series A</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Convertible</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w w:val="99"/>
              </w:rPr>
              <w:t>Class A Common Stock</w:t>
            </w:r>
          </w:p>
        </w:tc>
        <w:tc>
          <w:tcPr>
            <w:tcW w:w="1200" w:type="dxa"/>
            <w:vAlign w:val="bottom"/>
            <w:gridSpan w:val="6"/>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Class B Common Stock</w:t>
            </w:r>
          </w:p>
        </w:tc>
        <w:tc>
          <w:tcPr>
            <w:tcW w:w="40" w:type="dxa"/>
            <w:vAlign w:val="bottom"/>
          </w:tcPr>
          <w:p>
            <w:pPr>
              <w:spacing w:after="0"/>
              <w:rPr>
                <w:sz w:val="11"/>
                <w:szCs w:val="11"/>
                <w:color w:val="auto"/>
              </w:rPr>
            </w:pPr>
          </w:p>
        </w:tc>
        <w:tc>
          <w:tcPr>
            <w:tcW w:w="66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comprehensive</w:t>
            </w:r>
          </w:p>
        </w:tc>
        <w:tc>
          <w:tcPr>
            <w:tcW w:w="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80" w:type="dxa"/>
            <w:vAlign w:val="bottom"/>
          </w:tcPr>
          <w:p>
            <w:pPr>
              <w:spacing w:after="0"/>
              <w:rPr>
                <w:sz w:val="11"/>
                <w:szCs w:val="1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0" w:type="dxa"/>
            <w:vAlign w:val="bottom"/>
            <w:tcBorders>
              <w:top w:val="single" w:sz="8" w:color="auto"/>
            </w:tcBorders>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Pr>
          <w:p>
            <w:pPr>
              <w:spacing w:after="0"/>
              <w:rPr>
                <w:sz w:val="10"/>
                <w:szCs w:val="10"/>
                <w:color w:val="auto"/>
              </w:rPr>
            </w:pPr>
          </w:p>
        </w:tc>
        <w:tc>
          <w:tcPr>
            <w:tcW w:w="420" w:type="dxa"/>
            <w:vAlign w:val="bottom"/>
            <w:tcBorders>
              <w:top w:val="single" w:sz="8" w:color="auto"/>
            </w:tcBorders>
          </w:tcPr>
          <w:p>
            <w:pPr>
              <w:ind w:left="60"/>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gridSpan w:val="2"/>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Pr>
          <w:p>
            <w:pPr>
              <w:spacing w:after="0"/>
              <w:rPr>
                <w:sz w:val="10"/>
                <w:szCs w:val="10"/>
                <w:color w:val="auto"/>
              </w:rPr>
            </w:pPr>
          </w:p>
        </w:tc>
        <w:tc>
          <w:tcPr>
            <w:tcW w:w="900" w:type="dxa"/>
            <w:vAlign w:val="bottom"/>
            <w:gridSpan w:val="4"/>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Preferred Stock</w:t>
            </w:r>
          </w:p>
        </w:tc>
        <w:tc>
          <w:tcPr>
            <w:tcW w:w="600" w:type="dxa"/>
            <w:vAlign w:val="bottom"/>
            <w:tcBorders>
              <w:top w:val="single" w:sz="8" w:color="auto"/>
            </w:tcBorders>
          </w:tcPr>
          <w:p>
            <w:pPr>
              <w:jc w:val="right"/>
              <w:ind w:right="86"/>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gridSpan w:val="2"/>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w w:val="92"/>
              </w:rPr>
              <w:t>Par Value</w:t>
            </w:r>
          </w:p>
        </w:tc>
        <w:tc>
          <w:tcPr>
            <w:tcW w:w="80" w:type="dxa"/>
            <w:vAlign w:val="bottom"/>
          </w:tcPr>
          <w:p>
            <w:pPr>
              <w:spacing w:after="0"/>
              <w:rPr>
                <w:sz w:val="10"/>
                <w:szCs w:val="10"/>
                <w:color w:val="auto"/>
              </w:rPr>
            </w:pPr>
          </w:p>
        </w:tc>
        <w:tc>
          <w:tcPr>
            <w:tcW w:w="440" w:type="dxa"/>
            <w:vAlign w:val="bottom"/>
            <w:tcBorders>
              <w:top w:val="single" w:sz="8" w:color="auto"/>
            </w:tcBorders>
          </w:tcPr>
          <w:p>
            <w:pPr>
              <w:ind w:left="60"/>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gridSpan w:val="2"/>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Par Value</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jc w:val="right"/>
              <w:ind w:right="106"/>
              <w:spacing w:after="0" w:line="115" w:lineRule="exact"/>
              <w:rPr>
                <w:sz w:val="20"/>
                <w:szCs w:val="20"/>
                <w:color w:val="auto"/>
              </w:rPr>
            </w:pPr>
            <w:r>
              <w:rPr>
                <w:rFonts w:ascii="Times New Roman" w:cs="Times New Roman" w:eastAsia="Times New Roman" w:hAnsi="Times New Roman"/>
                <w:sz w:val="11"/>
                <w:szCs w:val="11"/>
                <w:b w:val="1"/>
                <w:bCs w:val="1"/>
                <w:color w:val="auto"/>
              </w:rPr>
              <w:t>Capital</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120"/>
              <w:spacing w:after="0" w:line="115" w:lineRule="exact"/>
              <w:rPr>
                <w:sz w:val="20"/>
                <w:szCs w:val="20"/>
                <w:color w:val="auto"/>
              </w:rPr>
            </w:pPr>
            <w:r>
              <w:rPr>
                <w:rFonts w:ascii="Times New Roman" w:cs="Times New Roman" w:eastAsia="Times New Roman" w:hAnsi="Times New Roman"/>
                <w:sz w:val="11"/>
                <w:szCs w:val="11"/>
                <w:b w:val="1"/>
                <w:bCs w:val="1"/>
                <w:color w:val="auto"/>
                <w:w w:val="93"/>
              </w:rPr>
              <w:t>loss</w:t>
            </w:r>
          </w:p>
        </w:tc>
        <w:tc>
          <w:tcPr>
            <w:tcW w:w="20" w:type="dxa"/>
            <w:vAlign w:val="bottom"/>
          </w:tcPr>
          <w:p>
            <w:pPr>
              <w:spacing w:after="0"/>
              <w:rPr>
                <w:sz w:val="10"/>
                <w:szCs w:val="10"/>
                <w:color w:val="auto"/>
              </w:rPr>
            </w:pPr>
          </w:p>
        </w:tc>
        <w:tc>
          <w:tcPr>
            <w:tcW w:w="660" w:type="dxa"/>
            <w:vAlign w:val="bottom"/>
          </w:tcPr>
          <w:p>
            <w:pPr>
              <w:jc w:val="right"/>
              <w:ind w:right="126"/>
              <w:spacing w:after="0" w:line="115" w:lineRule="exact"/>
              <w:rPr>
                <w:sz w:val="20"/>
                <w:szCs w:val="20"/>
                <w:color w:val="auto"/>
              </w:rPr>
            </w:pPr>
            <w:r>
              <w:rPr>
                <w:rFonts w:ascii="Times New Roman" w:cs="Times New Roman" w:eastAsia="Times New Roman" w:hAnsi="Times New Roman"/>
                <w:sz w:val="11"/>
                <w:szCs w:val="11"/>
                <w:b w:val="1"/>
                <w:bCs w:val="1"/>
                <w:color w:val="auto"/>
              </w:rPr>
              <w:t>Deficit</w:t>
            </w:r>
          </w:p>
        </w:tc>
        <w:tc>
          <w:tcPr>
            <w:tcW w:w="80" w:type="dxa"/>
            <w:vAlign w:val="bottom"/>
          </w:tcPr>
          <w:p>
            <w:pPr>
              <w:spacing w:after="0"/>
              <w:rPr>
                <w:sz w:val="10"/>
                <w:szCs w:val="10"/>
                <w:color w:val="auto"/>
              </w:rPr>
            </w:pPr>
          </w:p>
        </w:tc>
        <w:tc>
          <w:tcPr>
            <w:tcW w:w="720" w:type="dxa"/>
            <w:vAlign w:val="bottom"/>
            <w:gridSpan w:val="2"/>
          </w:tcPr>
          <w:p>
            <w:pPr>
              <w:spacing w:after="0" w:line="115" w:lineRule="exact"/>
              <w:rPr>
                <w:sz w:val="20"/>
                <w:szCs w:val="20"/>
                <w:color w:val="auto"/>
              </w:rPr>
            </w:pPr>
            <w:r>
              <w:rPr>
                <w:rFonts w:ascii="Times New Roman" w:cs="Times New Roman" w:eastAsia="Times New Roman" w:hAnsi="Times New Roman"/>
                <w:sz w:val="11"/>
                <w:szCs w:val="11"/>
                <w:b w:val="1"/>
                <w:bCs w:val="1"/>
                <w:color w:val="auto"/>
                <w:w w:val="95"/>
              </w:rPr>
              <w:t>Equity (Deficit)</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70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7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Balance at December 31, 2021</w:t>
            </w:r>
          </w:p>
        </w:tc>
        <w:tc>
          <w:tcPr>
            <w:tcW w:w="360" w:type="dxa"/>
            <w:vAlign w:val="bottom"/>
            <w:shd w:val="clear" w:color="auto" w:fill="CCEEFF"/>
          </w:tcPr>
          <w:p>
            <w:pPr>
              <w:ind w:lef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gridSpan w:val="2"/>
            <w:shd w:val="clear" w:color="auto" w:fill="CCEEFF"/>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shd w:val="clear" w:color="auto" w:fill="CCEEFF"/>
          </w:tcPr>
          <w:p>
            <w:pPr>
              <w:ind w:left="2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ind w:left="2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shd w:val="clear" w:color="auto" w:fill="CCEEFF"/>
          </w:tcPr>
          <w:p>
            <w:pPr>
              <w:jc w:val="right"/>
              <w:ind w:right="126"/>
              <w:spacing w:after="0" w:line="122" w:lineRule="exact"/>
              <w:rPr>
                <w:sz w:val="20"/>
                <w:szCs w:val="20"/>
                <w:color w:val="auto"/>
              </w:rPr>
            </w:pPr>
            <w:r>
              <w:rPr>
                <w:rFonts w:ascii="Times New Roman" w:cs="Times New Roman" w:eastAsia="Times New Roman" w:hAnsi="Times New Roman"/>
                <w:sz w:val="11"/>
                <w:szCs w:val="11"/>
                <w:color w:val="auto"/>
              </w:rPr>
              <w:t>$</w:t>
            </w:r>
          </w:p>
        </w:tc>
        <w:tc>
          <w:tcPr>
            <w:tcW w:w="300" w:type="dxa"/>
            <w:vAlign w:val="bottom"/>
            <w:gridSpan w:val="2"/>
            <w:shd w:val="clear" w:color="auto" w:fill="CCEE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right w:val="single" w:sz="8" w:color="auto"/>
            </w:tcBorders>
            <w:gridSpan w:val="2"/>
            <w:shd w:val="clear" w:color="auto" w:fill="CCEEFF"/>
          </w:tcPr>
          <w:p>
            <w:pPr>
              <w:ind w:left="5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26,320,199</w:t>
            </w:r>
          </w:p>
        </w:tc>
        <w:tc>
          <w:tcPr>
            <w:tcW w:w="180" w:type="dxa"/>
            <w:vAlign w:val="bottom"/>
            <w:gridSpan w:val="2"/>
            <w:shd w:val="clear" w:color="auto" w:fill="CCEEFF"/>
          </w:tcPr>
          <w:p>
            <w:pPr>
              <w:ind w:lef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26,320</w:t>
            </w: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ind w:left="3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shd w:val="clear" w:color="auto" w:fill="CCEEFF"/>
          </w:tcPr>
          <w:p>
            <w:pPr>
              <w:jc w:val="center"/>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$ 215,276,186</w:t>
            </w:r>
          </w:p>
        </w:tc>
        <w:tc>
          <w:tcPr>
            <w:tcW w:w="160" w:type="dxa"/>
            <w:vAlign w:val="bottom"/>
            <w:gridSpan w:val="2"/>
            <w:shd w:val="clear" w:color="auto" w:fill="CCEEFF"/>
          </w:tcPr>
          <w:p>
            <w:pPr>
              <w:ind w:lef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(49,009)</w:t>
            </w:r>
          </w:p>
        </w:tc>
        <w:tc>
          <w:tcPr>
            <w:tcW w:w="4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 (59,273,388)</w:t>
            </w:r>
          </w:p>
        </w:tc>
        <w:tc>
          <w:tcPr>
            <w:tcW w:w="180" w:type="dxa"/>
            <w:vAlign w:val="bottom"/>
            <w:gridSpan w:val="2"/>
            <w:shd w:val="clear" w:color="auto" w:fill="CCEEFF"/>
          </w:tcPr>
          <w:p>
            <w:pPr>
              <w:ind w:lef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155,980,109</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170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Issuance of common stock upon</w:t>
            </w: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exercise of stock options</w:t>
            </w:r>
          </w:p>
        </w:tc>
        <w:tc>
          <w:tcPr>
            <w:tcW w:w="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760" w:type="dxa"/>
            <w:vAlign w:val="bottom"/>
            <w:tcBorders>
              <w:right w:val="single" w:sz="8" w:color="auto"/>
            </w:tcBorders>
            <w:gridSpan w:val="2"/>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63,100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193,048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193,111</w:t>
            </w: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1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7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Stock-based compensation expense</w:t>
            </w:r>
          </w:p>
        </w:tc>
        <w:tc>
          <w:tcPr>
            <w:tcW w:w="360" w:type="dxa"/>
            <w:vAlign w:val="bottom"/>
            <w:shd w:val="clear" w:color="auto" w:fill="CCEEFF"/>
          </w:tcPr>
          <w:p>
            <w:pPr>
              <w:ind w:lef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shd w:val="clear" w:color="auto" w:fill="CCEEFF"/>
          </w:tcPr>
          <w:p>
            <w:pPr>
              <w:ind w:left="2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ind w:left="2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00" w:type="dxa"/>
            <w:vAlign w:val="bottom"/>
            <w:gridSpan w:val="2"/>
            <w:shd w:val="clear" w:color="auto" w:fill="CCEE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760" w:type="dxa"/>
            <w:vAlign w:val="bottom"/>
            <w:tcBorders>
              <w:right w:val="single" w:sz="8" w:color="auto"/>
            </w:tcBorders>
            <w:gridSpan w:val="2"/>
            <w:shd w:val="clear" w:color="auto" w:fill="CCEEFF"/>
          </w:tcPr>
          <w:p>
            <w:pPr>
              <w:ind w:left="5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ind w:left="3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897,650</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897,650</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7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360" w:type="dxa"/>
            <w:vAlign w:val="bottom"/>
            <w:shd w:val="clear" w:color="auto" w:fill="CCEEFF"/>
          </w:tcPr>
          <w:p>
            <w:pPr>
              <w:ind w:lef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shd w:val="clear" w:color="auto" w:fill="CCEEFF"/>
          </w:tcPr>
          <w:p>
            <w:pPr>
              <w:ind w:left="2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ind w:left="2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00" w:type="dxa"/>
            <w:vAlign w:val="bottom"/>
            <w:gridSpan w:val="2"/>
            <w:shd w:val="clear" w:color="auto" w:fill="CCEE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760" w:type="dxa"/>
            <w:vAlign w:val="bottom"/>
            <w:tcBorders>
              <w:right w:val="single" w:sz="8" w:color="auto"/>
            </w:tcBorders>
            <w:gridSpan w:val="2"/>
            <w:shd w:val="clear" w:color="auto" w:fill="CCEEFF"/>
          </w:tcPr>
          <w:p>
            <w:pPr>
              <w:ind w:left="5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ind w:left="3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(12,896,374)</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(12,896,374)</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7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Other comprehensive loss</w:t>
            </w:r>
          </w:p>
        </w:tc>
        <w:tc>
          <w:tcPr>
            <w:tcW w:w="360" w:type="dxa"/>
            <w:vAlign w:val="bottom"/>
            <w:shd w:val="clear" w:color="auto" w:fill="CCEEFF"/>
          </w:tcPr>
          <w:p>
            <w:pPr>
              <w:ind w:lef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shd w:val="clear" w:color="auto" w:fill="CCEEFF"/>
          </w:tcPr>
          <w:p>
            <w:pPr>
              <w:ind w:left="2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ind w:left="2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00" w:type="dxa"/>
            <w:vAlign w:val="bottom"/>
            <w:gridSpan w:val="2"/>
            <w:shd w:val="clear" w:color="auto" w:fill="CCEE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760" w:type="dxa"/>
            <w:vAlign w:val="bottom"/>
            <w:tcBorders>
              <w:right w:val="single" w:sz="8" w:color="auto"/>
            </w:tcBorders>
            <w:gridSpan w:val="2"/>
            <w:shd w:val="clear" w:color="auto" w:fill="CCEEFF"/>
          </w:tcPr>
          <w:p>
            <w:pPr>
              <w:ind w:left="5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ind w:left="3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(118,386)</w:t>
            </w: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(118,386)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0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0" w:type="dxa"/>
            <w:vAlign w:val="bottom"/>
            <w:tcBorders>
              <w:bottom w:val="single" w:sz="8" w:color="CCEEFF"/>
              <w:right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700" w:type="dxa"/>
            <w:vAlign w:val="bottom"/>
            <w:tcBorders>
              <w:bottom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at March 31, 2022</w:t>
            </w:r>
          </w:p>
        </w:tc>
        <w:tc>
          <w:tcPr>
            <w:tcW w:w="360" w:type="dxa"/>
            <w:vAlign w:val="bottom"/>
            <w:tcBorders>
              <w:bottom w:val="single" w:sz="8" w:color="auto"/>
            </w:tcBorders>
            <w:shd w:val="clear" w:color="auto" w:fill="CCEEFF"/>
          </w:tcPr>
          <w:p>
            <w:pPr>
              <w:ind w:left="200"/>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jc w:val="center"/>
              <w:spacing w:after="0" w:line="115" w:lineRule="exact"/>
              <w:rPr>
                <w:sz w:val="20"/>
                <w:szCs w:val="20"/>
                <w:color w:val="auto"/>
              </w:rPr>
            </w:pPr>
            <w:r>
              <w:rPr>
                <w:rFonts w:ascii="Times New Roman" w:cs="Times New Roman" w:eastAsia="Times New Roman" w:hAnsi="Times New Roman"/>
                <w:sz w:val="11"/>
                <w:szCs w:val="11"/>
                <w:color w:val="auto"/>
              </w:rPr>
              <w:t>$</w:t>
            </w:r>
          </w:p>
        </w:tc>
        <w:tc>
          <w:tcPr>
            <w:tcW w:w="420" w:type="dxa"/>
            <w:vAlign w:val="bottom"/>
            <w:tcBorders>
              <w:bottom w:val="single" w:sz="8" w:color="auto"/>
            </w:tcBorders>
            <w:shd w:val="clear" w:color="auto" w:fill="CCEEFF"/>
          </w:tcPr>
          <w:p>
            <w:pPr>
              <w:ind w:left="280"/>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ind w:left="280"/>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jc w:val="right"/>
              <w:ind w:right="1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shd w:val="clear" w:color="auto" w:fill="CCEEFF"/>
          </w:tcPr>
          <w:p>
            <w:pPr>
              <w:ind w:left="50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right w:val="single" w:sz="8" w:color="auto"/>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26,383,299</w:t>
            </w: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26,383</w:t>
            </w:r>
          </w:p>
        </w:tc>
        <w:tc>
          <w:tcPr>
            <w:tcW w:w="8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ind w:left="30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jc w:val="center"/>
              <w:ind w:right="66"/>
              <w:spacing w:after="0" w:line="115" w:lineRule="exact"/>
              <w:rPr>
                <w:sz w:val="20"/>
                <w:szCs w:val="20"/>
                <w:color w:val="auto"/>
              </w:rPr>
            </w:pPr>
            <w:r>
              <w:rPr>
                <w:rFonts w:ascii="Times New Roman" w:cs="Times New Roman" w:eastAsia="Times New Roman" w:hAnsi="Times New Roman"/>
                <w:sz w:val="11"/>
                <w:szCs w:val="11"/>
                <w:color w:val="auto"/>
              </w:rPr>
              <w:t>$</w:t>
            </w:r>
          </w:p>
        </w:tc>
        <w:tc>
          <w:tcPr>
            <w:tcW w:w="36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94"/>
              </w:rPr>
              <w:t>$ 216,366,884</w:t>
            </w: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(167,395)</w:t>
            </w:r>
          </w:p>
        </w:tc>
        <w:tc>
          <w:tcPr>
            <w:tcW w:w="4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98"/>
              </w:rPr>
              <w:t>$ (72,169,762)</w:t>
            </w: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144,056,110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1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170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Issuance of common stock upon</w:t>
            </w: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exercise of stock options</w:t>
            </w:r>
          </w:p>
        </w:tc>
        <w:tc>
          <w:tcPr>
            <w:tcW w:w="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760" w:type="dxa"/>
            <w:vAlign w:val="bottom"/>
            <w:tcBorders>
              <w:right w:val="single" w:sz="8" w:color="auto"/>
            </w:tcBorders>
            <w:gridSpan w:val="2"/>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9,000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27,775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27,784</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7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Stock-based compensation expense</w:t>
            </w:r>
          </w:p>
        </w:tc>
        <w:tc>
          <w:tcPr>
            <w:tcW w:w="360" w:type="dxa"/>
            <w:vAlign w:val="bottom"/>
            <w:shd w:val="clear" w:color="auto" w:fill="CCEEFF"/>
          </w:tcPr>
          <w:p>
            <w:pPr>
              <w:ind w:lef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shd w:val="clear" w:color="auto" w:fill="CCEEFF"/>
          </w:tcPr>
          <w:p>
            <w:pPr>
              <w:ind w:left="2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ind w:left="2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00" w:type="dxa"/>
            <w:vAlign w:val="bottom"/>
            <w:gridSpan w:val="2"/>
            <w:shd w:val="clear" w:color="auto" w:fill="CCEE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760" w:type="dxa"/>
            <w:vAlign w:val="bottom"/>
            <w:tcBorders>
              <w:right w:val="single" w:sz="8" w:color="auto"/>
            </w:tcBorders>
            <w:gridSpan w:val="2"/>
            <w:shd w:val="clear" w:color="auto" w:fill="CCEEFF"/>
          </w:tcPr>
          <w:p>
            <w:pPr>
              <w:ind w:left="5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ind w:left="3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1,052,421</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1,052,421</w:t>
            </w: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1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7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360" w:type="dxa"/>
            <w:vAlign w:val="bottom"/>
            <w:shd w:val="clear" w:color="auto" w:fill="CCEEFF"/>
          </w:tcPr>
          <w:p>
            <w:pPr>
              <w:ind w:lef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shd w:val="clear" w:color="auto" w:fill="CCEEFF"/>
          </w:tcPr>
          <w:p>
            <w:pPr>
              <w:ind w:left="2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ind w:left="2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00" w:type="dxa"/>
            <w:vAlign w:val="bottom"/>
            <w:gridSpan w:val="2"/>
            <w:shd w:val="clear" w:color="auto" w:fill="CCEE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760" w:type="dxa"/>
            <w:vAlign w:val="bottom"/>
            <w:tcBorders>
              <w:right w:val="single" w:sz="8" w:color="auto"/>
            </w:tcBorders>
            <w:gridSpan w:val="2"/>
            <w:shd w:val="clear" w:color="auto" w:fill="CCEEFF"/>
          </w:tcPr>
          <w:p>
            <w:pPr>
              <w:ind w:left="5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ind w:left="3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(11,527,303)</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(11,527,303)</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7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Other comprehensive loss</w:t>
            </w:r>
          </w:p>
        </w:tc>
        <w:tc>
          <w:tcPr>
            <w:tcW w:w="360" w:type="dxa"/>
            <w:vAlign w:val="bottom"/>
            <w:shd w:val="clear" w:color="auto" w:fill="CCEEFF"/>
          </w:tcPr>
          <w:p>
            <w:pPr>
              <w:ind w:lef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shd w:val="clear" w:color="auto" w:fill="CCEEFF"/>
          </w:tcPr>
          <w:p>
            <w:pPr>
              <w:ind w:left="2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ind w:left="2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00" w:type="dxa"/>
            <w:vAlign w:val="bottom"/>
            <w:gridSpan w:val="2"/>
            <w:shd w:val="clear" w:color="auto" w:fill="CCEE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760" w:type="dxa"/>
            <w:vAlign w:val="bottom"/>
            <w:tcBorders>
              <w:right w:val="single" w:sz="8" w:color="auto"/>
            </w:tcBorders>
            <w:gridSpan w:val="2"/>
            <w:shd w:val="clear" w:color="auto" w:fill="CCEEFF"/>
          </w:tcPr>
          <w:p>
            <w:pPr>
              <w:ind w:left="5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ind w:left="3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(14,166)</w:t>
            </w: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(14,166)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0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0" w:type="dxa"/>
            <w:vAlign w:val="bottom"/>
            <w:tcBorders>
              <w:bottom w:val="single" w:sz="8" w:color="CCEEFF"/>
              <w:right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700" w:type="dxa"/>
            <w:vAlign w:val="bottom"/>
            <w:tcBorders>
              <w:bottom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at June 30, 2022</w:t>
            </w:r>
          </w:p>
        </w:tc>
        <w:tc>
          <w:tcPr>
            <w:tcW w:w="360" w:type="dxa"/>
            <w:vAlign w:val="bottom"/>
            <w:tcBorders>
              <w:bottom w:val="single" w:sz="8" w:color="auto"/>
            </w:tcBorders>
            <w:shd w:val="clear" w:color="auto" w:fill="CCEEFF"/>
          </w:tcPr>
          <w:p>
            <w:pPr>
              <w:ind w:left="200"/>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jc w:val="center"/>
              <w:spacing w:after="0" w:line="115" w:lineRule="exact"/>
              <w:rPr>
                <w:sz w:val="20"/>
                <w:szCs w:val="20"/>
                <w:color w:val="auto"/>
              </w:rPr>
            </w:pPr>
            <w:r>
              <w:rPr>
                <w:rFonts w:ascii="Times New Roman" w:cs="Times New Roman" w:eastAsia="Times New Roman" w:hAnsi="Times New Roman"/>
                <w:sz w:val="11"/>
                <w:szCs w:val="11"/>
                <w:color w:val="auto"/>
              </w:rPr>
              <w:t>$</w:t>
            </w:r>
          </w:p>
        </w:tc>
        <w:tc>
          <w:tcPr>
            <w:tcW w:w="420" w:type="dxa"/>
            <w:vAlign w:val="bottom"/>
            <w:tcBorders>
              <w:bottom w:val="single" w:sz="8" w:color="auto"/>
            </w:tcBorders>
            <w:shd w:val="clear" w:color="auto" w:fill="CCEEFF"/>
          </w:tcPr>
          <w:p>
            <w:pPr>
              <w:ind w:left="280"/>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ind w:left="280"/>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jc w:val="right"/>
              <w:ind w:right="1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shd w:val="clear" w:color="auto" w:fill="CCEEFF"/>
          </w:tcPr>
          <w:p>
            <w:pPr>
              <w:ind w:left="50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right w:val="single" w:sz="8" w:color="auto"/>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26,392,299</w:t>
            </w: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26,392</w:t>
            </w:r>
          </w:p>
        </w:tc>
        <w:tc>
          <w:tcPr>
            <w:tcW w:w="8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ind w:left="30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jc w:val="center"/>
              <w:ind w:right="66"/>
              <w:spacing w:after="0" w:line="115" w:lineRule="exact"/>
              <w:rPr>
                <w:sz w:val="20"/>
                <w:szCs w:val="20"/>
                <w:color w:val="auto"/>
              </w:rPr>
            </w:pPr>
            <w:r>
              <w:rPr>
                <w:rFonts w:ascii="Times New Roman" w:cs="Times New Roman" w:eastAsia="Times New Roman" w:hAnsi="Times New Roman"/>
                <w:sz w:val="11"/>
                <w:szCs w:val="11"/>
                <w:color w:val="auto"/>
              </w:rPr>
              <w:t>$</w:t>
            </w:r>
          </w:p>
        </w:tc>
        <w:tc>
          <w:tcPr>
            <w:tcW w:w="36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94"/>
              </w:rPr>
              <w:t>$ 217,447,080</w:t>
            </w: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(181,561)</w:t>
            </w:r>
          </w:p>
        </w:tc>
        <w:tc>
          <w:tcPr>
            <w:tcW w:w="4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98"/>
              </w:rPr>
              <w:t>$ (83,697,065)</w:t>
            </w: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133,594,846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1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170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Issuance of common stock upon</w:t>
            </w: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exercise of stock options</w:t>
            </w:r>
          </w:p>
        </w:tc>
        <w:tc>
          <w:tcPr>
            <w:tcW w:w="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760" w:type="dxa"/>
            <w:vAlign w:val="bottom"/>
            <w:tcBorders>
              <w:right w:val="single" w:sz="8" w:color="auto"/>
            </w:tcBorders>
            <w:gridSpan w:val="2"/>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12,433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37,373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37,386</w:t>
            </w: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1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7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Stock-based compensation expense</w:t>
            </w:r>
          </w:p>
        </w:tc>
        <w:tc>
          <w:tcPr>
            <w:tcW w:w="360" w:type="dxa"/>
            <w:vAlign w:val="bottom"/>
            <w:shd w:val="clear" w:color="auto" w:fill="CCEEFF"/>
          </w:tcPr>
          <w:p>
            <w:pPr>
              <w:ind w:lef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shd w:val="clear" w:color="auto" w:fill="CCEEFF"/>
          </w:tcPr>
          <w:p>
            <w:pPr>
              <w:ind w:left="2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ind w:left="2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00" w:type="dxa"/>
            <w:vAlign w:val="bottom"/>
            <w:gridSpan w:val="2"/>
            <w:shd w:val="clear" w:color="auto" w:fill="CCEE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760" w:type="dxa"/>
            <w:vAlign w:val="bottom"/>
            <w:tcBorders>
              <w:right w:val="single" w:sz="8" w:color="auto"/>
            </w:tcBorders>
            <w:gridSpan w:val="2"/>
            <w:shd w:val="clear" w:color="auto" w:fill="CCEEFF"/>
          </w:tcPr>
          <w:p>
            <w:pPr>
              <w:ind w:left="5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ind w:left="3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1,066,212</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1,066,212</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7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360" w:type="dxa"/>
            <w:vAlign w:val="bottom"/>
            <w:shd w:val="clear" w:color="auto" w:fill="CCEEFF"/>
          </w:tcPr>
          <w:p>
            <w:pPr>
              <w:ind w:lef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shd w:val="clear" w:color="auto" w:fill="CCEEFF"/>
          </w:tcPr>
          <w:p>
            <w:pPr>
              <w:ind w:left="2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ind w:left="2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00" w:type="dxa"/>
            <w:vAlign w:val="bottom"/>
            <w:gridSpan w:val="2"/>
            <w:shd w:val="clear" w:color="auto" w:fill="CCEE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760" w:type="dxa"/>
            <w:vAlign w:val="bottom"/>
            <w:tcBorders>
              <w:right w:val="single" w:sz="8" w:color="auto"/>
            </w:tcBorders>
            <w:gridSpan w:val="2"/>
            <w:shd w:val="clear" w:color="auto" w:fill="CCEEFF"/>
          </w:tcPr>
          <w:p>
            <w:pPr>
              <w:ind w:left="5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ind w:left="3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(12,844,330)</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(12,844,330)</w:t>
            </w: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1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7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Other comprehensive gain</w:t>
            </w:r>
          </w:p>
        </w:tc>
        <w:tc>
          <w:tcPr>
            <w:tcW w:w="360" w:type="dxa"/>
            <w:vAlign w:val="bottom"/>
            <w:shd w:val="clear" w:color="auto" w:fill="CCEEFF"/>
          </w:tcPr>
          <w:p>
            <w:pPr>
              <w:ind w:lef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shd w:val="clear" w:color="auto" w:fill="CCEEFF"/>
          </w:tcPr>
          <w:p>
            <w:pPr>
              <w:ind w:left="2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ind w:left="2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00" w:type="dxa"/>
            <w:vAlign w:val="bottom"/>
            <w:gridSpan w:val="2"/>
            <w:shd w:val="clear" w:color="auto" w:fill="CCEE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760" w:type="dxa"/>
            <w:vAlign w:val="bottom"/>
            <w:tcBorders>
              <w:right w:val="single" w:sz="8" w:color="auto"/>
            </w:tcBorders>
            <w:gridSpan w:val="2"/>
            <w:shd w:val="clear" w:color="auto" w:fill="CCEEFF"/>
          </w:tcPr>
          <w:p>
            <w:pPr>
              <w:ind w:left="5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ind w:left="3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39,088</w:t>
            </w: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39,088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0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0" w:type="dxa"/>
            <w:vAlign w:val="bottom"/>
            <w:tcBorders>
              <w:bottom w:val="single" w:sz="8" w:color="CCEEFF"/>
              <w:right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700" w:type="dxa"/>
            <w:vAlign w:val="bottom"/>
            <w:tcBorders>
              <w:bottom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at September 30, 2022</w:t>
            </w:r>
          </w:p>
        </w:tc>
        <w:tc>
          <w:tcPr>
            <w:tcW w:w="360" w:type="dxa"/>
            <w:vAlign w:val="bottom"/>
            <w:tcBorders>
              <w:bottom w:val="single" w:sz="8" w:color="auto"/>
            </w:tcBorders>
            <w:shd w:val="clear" w:color="auto" w:fill="CCEEFF"/>
          </w:tcPr>
          <w:p>
            <w:pPr>
              <w:ind w:left="200"/>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jc w:val="center"/>
              <w:spacing w:after="0" w:line="115" w:lineRule="exact"/>
              <w:rPr>
                <w:sz w:val="20"/>
                <w:szCs w:val="20"/>
                <w:color w:val="auto"/>
              </w:rPr>
            </w:pPr>
            <w:r>
              <w:rPr>
                <w:rFonts w:ascii="Times New Roman" w:cs="Times New Roman" w:eastAsia="Times New Roman" w:hAnsi="Times New Roman"/>
                <w:sz w:val="11"/>
                <w:szCs w:val="11"/>
                <w:color w:val="auto"/>
              </w:rPr>
              <w:t>$</w:t>
            </w:r>
          </w:p>
        </w:tc>
        <w:tc>
          <w:tcPr>
            <w:tcW w:w="420" w:type="dxa"/>
            <w:vAlign w:val="bottom"/>
            <w:tcBorders>
              <w:bottom w:val="single" w:sz="8" w:color="auto"/>
            </w:tcBorders>
            <w:shd w:val="clear" w:color="auto" w:fill="CCEEFF"/>
          </w:tcPr>
          <w:p>
            <w:pPr>
              <w:ind w:left="280"/>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ind w:left="280"/>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jc w:val="right"/>
              <w:ind w:right="1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shd w:val="clear" w:color="auto" w:fill="CCEEFF"/>
          </w:tcPr>
          <w:p>
            <w:pPr>
              <w:ind w:left="50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right w:val="single" w:sz="8" w:color="auto"/>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26,404,732</w:t>
            </w: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26,405</w:t>
            </w:r>
          </w:p>
        </w:tc>
        <w:tc>
          <w:tcPr>
            <w:tcW w:w="8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ind w:left="30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jc w:val="center"/>
              <w:ind w:right="66"/>
              <w:spacing w:after="0" w:line="115" w:lineRule="exact"/>
              <w:rPr>
                <w:sz w:val="20"/>
                <w:szCs w:val="20"/>
                <w:color w:val="auto"/>
              </w:rPr>
            </w:pPr>
            <w:r>
              <w:rPr>
                <w:rFonts w:ascii="Times New Roman" w:cs="Times New Roman" w:eastAsia="Times New Roman" w:hAnsi="Times New Roman"/>
                <w:sz w:val="11"/>
                <w:szCs w:val="11"/>
                <w:color w:val="auto"/>
              </w:rPr>
              <w:t>$</w:t>
            </w:r>
          </w:p>
        </w:tc>
        <w:tc>
          <w:tcPr>
            <w:tcW w:w="36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94"/>
              </w:rPr>
              <w:t>$ 218,550,665</w:t>
            </w: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(142,473)</w:t>
            </w:r>
          </w:p>
        </w:tc>
        <w:tc>
          <w:tcPr>
            <w:tcW w:w="4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98"/>
              </w:rPr>
              <w:t>$ (96,541,395)</w:t>
            </w: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121,893,202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48081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80810" cy="17145"/>
                    </a:xfrm>
                    <a:prstGeom prst="rect">
                      <a:avLst/>
                    </a:prstGeom>
                    <a:noFill/>
                  </pic:spPr>
                </pic:pic>
              </a:graphicData>
            </a:graphic>
          </wp:anchor>
        </w:drawing>
      </w:r>
    </w:p>
    <w:p>
      <w:pPr>
        <w:sectPr>
          <w:pgSz w:w="11900" w:h="16838" w:orient="portrait"/>
          <w:cols w:equalWidth="0" w:num="1">
            <w:col w:w="10200"/>
          </w:cols>
          <w:pgMar w:left="840" w:top="513" w:right="859"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IMMUNEERING CORPORATION</w:t>
      </w:r>
    </w:p>
    <w:p>
      <w:pPr>
        <w:spacing w:after="0" w:line="225" w:lineRule="exact"/>
        <w:rPr>
          <w:sz w:val="20"/>
          <w:szCs w:val="20"/>
          <w:color w:val="auto"/>
        </w:rPr>
      </w:pPr>
    </w:p>
    <w:p>
      <w:pPr>
        <w:jc w:val="center"/>
        <w:ind w:left="1500" w:right="1740"/>
        <w:spacing w:after="0" w:line="259" w:lineRule="auto"/>
        <w:rPr>
          <w:sz w:val="20"/>
          <w:szCs w:val="20"/>
          <w:color w:val="auto"/>
        </w:rPr>
      </w:pPr>
      <w:r>
        <w:rPr>
          <w:rFonts w:ascii="Times New Roman" w:cs="Times New Roman" w:eastAsia="Times New Roman" w:hAnsi="Times New Roman"/>
          <w:sz w:val="18"/>
          <w:szCs w:val="18"/>
          <w:b w:val="1"/>
          <w:bCs w:val="1"/>
          <w:color w:val="auto"/>
        </w:rPr>
        <w:t>CONDENSED CONSOLIDATED STATEMENTS OF CASH FLOWS FOR THE NINE MONTHS ENDED SEPTEMBER 30, 2022 and 2021 (Unaudited)</w:t>
      </w:r>
    </w:p>
    <w:tbl>
      <w:tblPr>
        <w:tblLayout w:type="fixed"/>
        <w:tblInd w:w="40" w:type="dxa"/>
        <w:tblCellMar>
          <w:top w:w="0" w:type="dxa"/>
          <w:left w:w="0" w:type="dxa"/>
          <w:bottom w:w="0" w:type="dxa"/>
          <w:right w:w="0" w:type="dxa"/>
        </w:tblCellMar>
      </w:tblPr>
      <w:tr>
        <w:trPr>
          <w:trHeight w:val="162"/>
        </w:trPr>
        <w:tc>
          <w:tcPr>
            <w:tcW w:w="6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(37,268,007)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(22,751,389)</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 to reconcile to net loss to net cash used in operating activities: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expense</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170,337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30,652</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Right-of-use asset amortization</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414,444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75,922</w:t>
            </w:r>
          </w:p>
        </w:tc>
        <w:tc>
          <w:tcPr>
            <w:tcW w:w="0" w:type="dxa"/>
            <w:vAlign w:val="bottom"/>
          </w:tcPr>
          <w:p>
            <w:pPr>
              <w:spacing w:after="0"/>
              <w:rPr>
                <w:sz w:val="1"/>
                <w:szCs w:val="1"/>
                <w:color w:val="auto"/>
              </w:rPr>
            </w:pPr>
          </w:p>
        </w:tc>
      </w:tr>
      <w:tr>
        <w:trPr>
          <w:trHeight w:val="216"/>
        </w:trPr>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3,016,283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1,170,040</w:t>
            </w:r>
          </w:p>
        </w:tc>
        <w:tc>
          <w:tcPr>
            <w:tcW w:w="0" w:type="dxa"/>
            <w:vAlign w:val="bottom"/>
          </w:tcPr>
          <w:p>
            <w:pPr>
              <w:spacing w:after="0"/>
              <w:rPr>
                <w:sz w:val="1"/>
                <w:szCs w:val="1"/>
                <w:color w:val="auto"/>
              </w:rPr>
            </w:pPr>
          </w:p>
        </w:tc>
      </w:tr>
      <w:tr>
        <w:trPr>
          <w:trHeight w:val="216"/>
        </w:trPr>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amortization of premium on marketable securities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47,979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8,548</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(Increase) decrease in:</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175,860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28,735</w:t>
            </w:r>
          </w:p>
        </w:tc>
        <w:tc>
          <w:tcPr>
            <w:tcW w:w="0" w:type="dxa"/>
            <w:vAlign w:val="bottom"/>
          </w:tcPr>
          <w:p>
            <w:pPr>
              <w:spacing w:after="0"/>
              <w:rPr>
                <w:sz w:val="1"/>
                <w:szCs w:val="1"/>
                <w:color w:val="auto"/>
              </w:rPr>
            </w:pPr>
          </w:p>
        </w:tc>
      </w:tr>
      <w:tr>
        <w:trPr>
          <w:trHeight w:val="216"/>
        </w:trPr>
        <w:tc>
          <w:tcPr>
            <w:tcW w:w="6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166,413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(3,122,547)</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(356,117)</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Increase (decrease) in:</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944,040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314,616</w:t>
            </w:r>
          </w:p>
        </w:tc>
        <w:tc>
          <w:tcPr>
            <w:tcW w:w="0" w:type="dxa"/>
            <w:vAlign w:val="bottom"/>
          </w:tcPr>
          <w:p>
            <w:pPr>
              <w:spacing w:after="0"/>
              <w:rPr>
                <w:sz w:val="1"/>
                <w:szCs w:val="1"/>
                <w:color w:val="auto"/>
              </w:rPr>
            </w:pPr>
          </w:p>
        </w:tc>
      </w:tr>
      <w:tr>
        <w:trPr>
          <w:trHeight w:val="216"/>
        </w:trPr>
        <w:tc>
          <w:tcPr>
            <w:tcW w:w="6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385,536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2,689,860</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Lease liability</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(116,718)</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(56,329)</w:t>
            </w:r>
          </w:p>
        </w:tc>
        <w:tc>
          <w:tcPr>
            <w:tcW w:w="0" w:type="dxa"/>
            <w:vAlign w:val="bottom"/>
          </w:tcPr>
          <w:p>
            <w:pPr>
              <w:spacing w:after="0"/>
              <w:rPr>
                <w:sz w:val="1"/>
                <w:szCs w:val="1"/>
                <w:color w:val="auto"/>
              </w:rPr>
            </w:pPr>
          </w:p>
        </w:tc>
      </w:tr>
      <w:tr>
        <w:trPr>
          <w:trHeight w:val="216"/>
        </w:trPr>
        <w:tc>
          <w:tcPr>
            <w:tcW w:w="65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44,562</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(32,352,651)</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(21,611,892)</w:t>
            </w:r>
          </w:p>
        </w:tc>
        <w:tc>
          <w:tcPr>
            <w:tcW w:w="0" w:type="dxa"/>
            <w:vAlign w:val="bottom"/>
          </w:tcPr>
          <w:p>
            <w:pPr>
              <w:spacing w:after="0"/>
              <w:rPr>
                <w:sz w:val="1"/>
                <w:szCs w:val="1"/>
                <w:color w:val="auto"/>
              </w:rPr>
            </w:pPr>
          </w:p>
        </w:tc>
      </w:tr>
      <w:tr>
        <w:trPr>
          <w:trHeight w:val="21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(673,181)</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(47,734)</w:t>
            </w:r>
          </w:p>
        </w:tc>
        <w:tc>
          <w:tcPr>
            <w:tcW w:w="0" w:type="dxa"/>
            <w:vAlign w:val="bottom"/>
          </w:tcPr>
          <w:p>
            <w:pPr>
              <w:spacing w:after="0"/>
              <w:rPr>
                <w:sz w:val="1"/>
                <w:szCs w:val="1"/>
                <w:color w:val="auto"/>
              </w:rPr>
            </w:pPr>
          </w:p>
        </w:tc>
      </w:tr>
      <w:tr>
        <w:trPr>
          <w:trHeight w:val="216"/>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(37,726,144)</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(52,760,299)</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72,078,000</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52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33,678,675</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(52,808,033)</w:t>
            </w:r>
          </w:p>
        </w:tc>
        <w:tc>
          <w:tcPr>
            <w:tcW w:w="0" w:type="dxa"/>
            <w:vAlign w:val="bottom"/>
          </w:tcPr>
          <w:p>
            <w:pPr>
              <w:spacing w:after="0"/>
              <w:rPr>
                <w:sz w:val="1"/>
                <w:szCs w:val="1"/>
                <w:color w:val="auto"/>
              </w:rPr>
            </w:pPr>
          </w:p>
        </w:tc>
      </w:tr>
      <w:tr>
        <w:trPr>
          <w:trHeight w:val="20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258,281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346,915</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the issuance of Series B preferred stock, net of issuance costs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24,788,851</w:t>
            </w:r>
          </w:p>
        </w:tc>
        <w:tc>
          <w:tcPr>
            <w:tcW w:w="0" w:type="dxa"/>
            <w:vAlign w:val="bottom"/>
          </w:tcPr>
          <w:p>
            <w:pPr>
              <w:spacing w:after="0"/>
              <w:rPr>
                <w:sz w:val="1"/>
                <w:szCs w:val="1"/>
                <w:color w:val="auto"/>
              </w:rPr>
            </w:pPr>
          </w:p>
        </w:tc>
      </w:tr>
      <w:tr>
        <w:trPr>
          <w:trHeight w:val="198"/>
        </w:trPr>
        <w:tc>
          <w:tcPr>
            <w:tcW w:w="65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Proceeds from initial public offering of common stock, net of commissions and</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underwriting</w:t>
            </w:r>
          </w:p>
        </w:tc>
        <w:tc>
          <w:tcPr>
            <w:tcW w:w="14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120,318,750</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Payment of initial public offering costs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(2,124,317)</w:t>
            </w:r>
          </w:p>
        </w:tc>
        <w:tc>
          <w:tcPr>
            <w:tcW w:w="0" w:type="dxa"/>
            <w:vAlign w:val="bottom"/>
          </w:tcPr>
          <w:p>
            <w:pPr>
              <w:spacing w:after="0"/>
              <w:rPr>
                <w:sz w:val="1"/>
                <w:szCs w:val="1"/>
                <w:color w:val="auto"/>
              </w:rPr>
            </w:pPr>
          </w:p>
        </w:tc>
      </w:tr>
      <w:tr>
        <w:trPr>
          <w:trHeight w:val="216"/>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of offering costs</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(54,600)</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exercise of warrants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927,125</w:t>
            </w:r>
          </w:p>
        </w:tc>
        <w:tc>
          <w:tcPr>
            <w:tcW w:w="0" w:type="dxa"/>
            <w:vAlign w:val="bottom"/>
          </w:tcPr>
          <w:p>
            <w:pPr>
              <w:spacing w:after="0"/>
              <w:rPr>
                <w:sz w:val="1"/>
                <w:szCs w:val="1"/>
                <w:color w:val="auto"/>
              </w:rPr>
            </w:pPr>
          </w:p>
        </w:tc>
      </w:tr>
      <w:tr>
        <w:trPr>
          <w:trHeight w:val="210"/>
        </w:trPr>
        <w:tc>
          <w:tcPr>
            <w:tcW w:w="652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203,681</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144,257,324</w:t>
            </w:r>
          </w:p>
        </w:tc>
        <w:tc>
          <w:tcPr>
            <w:tcW w:w="0" w:type="dxa"/>
            <w:vAlign w:val="bottom"/>
          </w:tcPr>
          <w:p>
            <w:pPr>
              <w:spacing w:after="0"/>
              <w:rPr>
                <w:sz w:val="1"/>
                <w:szCs w:val="1"/>
                <w:color w:val="auto"/>
              </w:rPr>
            </w:pPr>
          </w:p>
        </w:tc>
      </w:tr>
      <w:tr>
        <w:trPr>
          <w:trHeight w:val="20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1,529,705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69,837,399</w:t>
            </w:r>
          </w:p>
        </w:tc>
        <w:tc>
          <w:tcPr>
            <w:tcW w:w="0" w:type="dxa"/>
            <w:vAlign w:val="bottom"/>
          </w:tcPr>
          <w:p>
            <w:pPr>
              <w:spacing w:after="0"/>
              <w:rPr>
                <w:sz w:val="1"/>
                <w:szCs w:val="1"/>
                <w:color w:val="auto"/>
              </w:rPr>
            </w:pPr>
          </w:p>
        </w:tc>
      </w:tr>
      <w:tr>
        <w:trPr>
          <w:trHeight w:val="216"/>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period</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74,888,145</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37,090,151</w:t>
            </w:r>
          </w:p>
        </w:tc>
        <w:tc>
          <w:tcPr>
            <w:tcW w:w="0" w:type="dxa"/>
            <w:vAlign w:val="bottom"/>
          </w:tcPr>
          <w:p>
            <w:pPr>
              <w:spacing w:after="0"/>
              <w:rPr>
                <w:sz w:val="1"/>
                <w:szCs w:val="1"/>
                <w:color w:val="auto"/>
              </w:rPr>
            </w:pPr>
          </w:p>
        </w:tc>
      </w:tr>
      <w:tr>
        <w:trPr>
          <w:trHeight w:val="209"/>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76,417,850</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106,927,550</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information:</w:t>
            </w: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Conversion of convertible Series A and B preferred stock into common stock</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82,892,701</w:t>
            </w:r>
          </w:p>
        </w:tc>
        <w:tc>
          <w:tcPr>
            <w:tcW w:w="0" w:type="dxa"/>
            <w:vAlign w:val="bottom"/>
          </w:tcPr>
          <w:p>
            <w:pPr>
              <w:spacing w:after="0"/>
              <w:rPr>
                <w:sz w:val="1"/>
                <w:szCs w:val="1"/>
                <w:color w:val="auto"/>
              </w:rPr>
            </w:pPr>
          </w:p>
        </w:tc>
      </w:tr>
      <w:tr>
        <w:trPr>
          <w:trHeight w:val="198"/>
        </w:trPr>
        <w:tc>
          <w:tcPr>
            <w:tcW w:w="65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Reduction of right of use asset and lease liability in connection with lease</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modification</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396,901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5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offering costs included in accounts payable and accrued expenses</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224,448</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IMMUNEERING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 – Organization and Nature of Business</w:t>
      </w:r>
    </w:p>
    <w:p>
      <w:pPr>
        <w:spacing w:after="0" w:line="20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Immuneering Corporation, a Delaware corporation, (“Immuneering” or the “Company”) was incorporated in 2008. The Company aims to create medicines for all patients with solid tumors driven by RAS mutations and other MAPK pathway activation events. The Company has more than a decade of experience applying translational bioinformatics to generate insights into drug mechanism of action and patient treatment response. Building on this experience, the Company’s disease-agnostic discovery platform enables the Company to create product candidates based on 1) biological insights that are both counterintuitive and deeply rooted in data, and 2) novel chemistry.</w:t>
      </w:r>
    </w:p>
    <w:p>
      <w:pPr>
        <w:spacing w:after="0" w:line="187"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On October 30, 2019, Immuneering formed a wholly owned subsidiary, Immuneering Securities Corporation (“ISC”), a Massachusetts securities corporation, for the sole purpose of buying, selling and holding securities on the Company’s behalf.</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On December 22, 2021, the Company acquired all outstanding shares of capital stock of BioArkive, Inc. (“BioArkive”), a California corporation, which as a result became a wholly owned subsidiary.</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Immuneering, ISC and BioArkive are collectively referred to as “the Company” throughout these condensed consolidated financial statements.</w:t>
      </w:r>
    </w:p>
    <w:p>
      <w:pPr>
        <w:spacing w:after="0" w:line="16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is subject to a number of inherent risks associated with any biotechnology company that has substantial expenditures for research and development. These risks include, but are not limited to, the need to obtain adequate additional funding, possible failure of clinical trials or other events demonstrating lack of clinical safety or efficacy of its product candidates, dependence on key personnel, reliance on third-party service providers for manufacturing drug product and conducting clinical trials, the ability to successfully secure its proprietary technology, and risks related to the regulatory approval and commercialization of a product candidate. There can be no assurance that the Company’s research and development program will be successful. In addition, the Company operates in an environment of rapid technological change and is largely dependent on the services of its employees, advisors, and consultants.</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August 3, 2021, the Company completed its initial public offering (“IPO”) pursuant to which it issued and sold 8,625,000 shares of its Class A common stock, inclusive of 1,125,000 shares of its Class A common stock sold pursuant to the full exercise of the underwriters’ option to purchase additional shares. The aggregate net proceeds received by the Company from the IPO were $120,318,750, after deducting underwriting discounts and commissions, but before deducting offering costs payable by the Company, which were $2,124,317. Upon the closing of the IPO, all 8,528,078 shares of the Company’s convertible preferred stock then outstanding automatically converted into 11,939,281 shares of Class A common stock. Upon the conversion of the convertible preferred stock, the Company reclassified the carrying value of the convertible preferred stock to common stock (at par value) and additional paid-in capital.</w:t>
      </w:r>
    </w:p>
    <w:p>
      <w:pPr>
        <w:spacing w:after="0" w:line="19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To date, the Company has funded its operations through service revenues, and with proceeds from the sale of its capital stock and convertible notes and, most recently, with proceeds from the IPO. The Company has incurred recurring losses over the past several years and as of September 30, 2022, the Company had an accumulated deficit of $96,541,395. The Company expects to continue to generate operating losses for the foreseeable future.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assurances that additional funding will be available on terms acceptable to the Company, or at all. If the Company is unable to raise additional funds when needed, it may be required to delay, reduce the scope of, or eliminate development programs, which may adversely affect its business and operations. Management considered whether or not there are conditions or events, in the aggregate, that raise substantial doubt about the entity’s ability to continue as a going concern, and concluded that there are none as it estimates that its cash and cash equivalents and marketable securities will be sufficient to fund its operating expenses and capital expenditure requirements for at least 12 months from the issuance date of the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full extent to which coronavirus (“COVID-19”) pandemic will directly or indirectly impact the Company’s business, results of operations and financial condition, including expenses and research and development costs, will depend on future developments that are highly uncertain, including as a result of new information that may emerge concerning COVID-19 and its variants and the actions taken to contain or treat COVID-19 and its variants, as well as the economic impact on local, regional, national and international markets. The Company has considered potential impacts arising from the pandemic related to COVID-19 and its variants and is not presently aware of any events or circumstances that would require the Company to update its estimates, judgements or revise the carrying values of its assets or liabilities.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condensed consolidated financial statements have been prepared in accordance with accounting standards set by the Financial Accounting Standards Board (“FASB”). The FASB sets generally accepted accounting principles (“GAAP”) to ensure the condensed consolidated financial statements are consistently reported. References to GAAP issued by the FASB in these footnotes are to the FASB Accounting Standards Codifications (“ASC”). The condensed consolidated financial statements include the accounts of the Company and its wholly owned subsidiary. All intercompany balances and transactions have been eliminated in consolidation.</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accounting policies of the Company as those set forth in Note 2 to the audited consolidated financial statements contained in the Annual Report on Form 10-K for the fiscal period ended December 31, 2021.</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Unaudited Interim Financial Information</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of the Company have been prepared, without audit, in accordance with GAAP and in accordance with the rules and regulations of the Securities and Exchange Commission (“SEC”) regarding interim financial reporting. Certain information and footnote disclosures normally included in the annual financial statements prepared in accordance with GAAP have been omitted from the unaudited interim condensed consolidated financial statements, as is permitted by such rules and regulations. While we believe that the disclosures presented are adequate in order to make the information not misleading, these unaudited interim condensed consolidated financial statements should be read in conjunction with the Company’s audited consolidated financial statements and notes for the year ended December 31, 2021.</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It is management’s opinion that these financial statements include all normal and recurring adjustments necessary for a fair presentation of the Company’s financial position, operating results and cash flows. Revenues and net loss for any interim period are not necessarily indicative of future or annual results.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liabilities, revenues and expenses during the reporting periods. These estimates and assumptions are based on current facts, historical experience and various other factors believed to be reasonable under the circumstances, the results of which form the basis for making judgements about the carrying values of assets, liabilities and the recording of expenses that are not readily apparent from other sources. Significant estimates reflected in these condensed consolidated financial statements included but are not limited to, the research and development expenses, determination of fair value of stock-based awards, the valuation of common stock prior to the IPO, and the right-to-use assets and operating lease liability. Actual results may differ materially and adversely from these estimates.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fair value of the acquiree over the recognized bases of the net identifiable assets acquired and includes the future economic benefits from other assets that could not be individually identified and separately</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recognized. Goodwill is not amortized, but instead is periodically reviewed for impairment and an impairment charge is recorded in the periods in which the recorded carrying value of goodwill exceeds its fair value.</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On a quarterly basis, the Company performs a review of its business to determine if events or changes in circumstances have occurred which could have a material adverse effect on the fair value of the Company and its goodwill. If such events or changes in circumstances were deemed to have occurred, the Company would perform an impairment test of goodwill as of the end of the quarter and record any noted impairment loss.</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goodwill test is performed at least annually, or more frequently if events or changes in circumstances indicate that the asset might be impaired.</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performs its annual impairment test during the fourth quarter of each fiscal year. There were no impairments in 2021. There were no triggering events identified in the third quarter.</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Deferred Offering Costs</w:t>
      </w:r>
    </w:p>
    <w:p>
      <w:pPr>
        <w:spacing w:after="0" w:line="229"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The Company capitalizes certain legal, professional, and other third-party charges related to ongoing equity financings as deferred offering costs until fully consummated. These costs are to be recorded as a reduction of the offering’s proceeds which are recorded to additional paid-in capital within stockholders’ equity. Should the Company choose not to initiate such financing, the deferred offering costs would be immediately expensed as operating expenses.</w:t>
      </w:r>
    </w:p>
    <w:p>
      <w:pPr>
        <w:spacing w:after="0" w:line="180"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On August 10, 2022, the Company entered into an Equity Distribution Agreement (“the Sales Agreement”) with Piper Sandler &amp; Co, (“the Sales Agent”) to sell shares of the Company’s common stock, par value $0.001 per share, with aggregate gross sales proceeds of up to $50 million, from time to time, through an “at the market” equity offering program. Deferred offering costs associated with the Sales Agreement are reclassified to additional paid in capital on a pro-rata basis when the Company completes offerings under the Sales Agreement. Any remaining deferred costs will be expensed to the statement of operations should the planned offering be abandoned. The Company had approximately $0.3 million and $0 of deferred offering costs as of September 30, 2022 and 2021, respectively.</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and adopted by the Company as of the specified effective date. The Company is an “emerging growth company” as defined in the Jumpstart Our Business Startups Act of 2012, as amended (“JOBS Act”).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The Company elected to avail itself of this extended transition period and, as a result, we will not be required to adopt new or revised accounting standards on the relevant dates on which adoption of such standards is required for other public companies.</w:t>
      </w:r>
    </w:p>
    <w:p>
      <w:pPr>
        <w:spacing w:after="0" w:line="19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2016, the FASB issued Accounting Standards Update (“ASU”) No. 2016-13, Financial Instruments – Credit Losses (Topic 326): Measurement of Credit Losses on Financial Statements. The new standard, as amended, requires that expected credit losses relating to financial assets measured on an amortized cost basis and available-for-sale debt securities be recorded through an allowance for credit losses. It also limits the amount of credit losses to be recognized for available-for-sale debt securities to the amount by which carrying value exceeds fair value and also requires the reversal of previously recognized credit losses if fair value increases. The targeted transition relief standard allows filers an option to irrevocably elect the fair value option of ASC 825-10, Financial Instruments - Overall, applied on an instrument-by-instrument basis for eligible instruments. ASU 2016-13, Financial Instruments - Credit Losses (Topic 326) will become effective for the Company on January 1, 2023. The Company is currently evaluating the new guidance and assessing the potential impact on its condensed consolidated financial statements.</w:t>
      </w:r>
    </w:p>
    <w:p>
      <w:pPr>
        <w:spacing w:after="0" w:line="192"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8"/>
          <w:szCs w:val="18"/>
          <w:color w:val="auto"/>
        </w:rPr>
        <w:t>In January 2017, the FASB issued ASU 2017-04, Intangibles - Goodwill and Other (Topic 350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which eliminates Step 2 from the goodwill impairment test. Step 2 measures a goodwill impairment loss by comparing the implied fair value of a reporting unit’s goodwill with the carrying amount of that goodwill. Instead, entities will record an impairment charge</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based on the excess of a reporting unit’s carrying amount over its fair value (i.e., measure the charge based on today’s Step 1). This update is effective for annual and interim impairment tests performed in periods beginning after December 15, 2022. Early adoption of the standard is permitted. The Company is currently evaluating the new guidance and assessing the potential impact on its condensed consolidated financial statements.</w:t>
      </w:r>
    </w:p>
    <w:p>
      <w:pPr>
        <w:spacing w:after="0" w:line="200" w:lineRule="exact"/>
        <w:rPr>
          <w:sz w:val="20"/>
          <w:szCs w:val="20"/>
          <w:color w:val="auto"/>
        </w:rPr>
      </w:pP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 – Marketable Securities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marketable securities are classified as available-for-sale pursuant to ASC 320, Investments – Debt and Equity Securities and are recorded at fair value. Unrealized gains/(losses) are included as a component of accumulated other comprehensive loss in the condensed consolidated balance sheets and statements of convertible preferred stock and stockholders’ equity and a component of total comprehensive loss in the condensed consolidated statements of comprehensive loss, until realized. The Company assesses its available-for-sale marketable securities for impairment on a quarterly basis. There were no impairments of the Company’s available-for-sale marketable securities measured and carried at fair value during the three and nine months ended September 30, 2022 or 2021. Realized gains and losses are included in other expense on a specific-identification basis. There were no realized gains or losses on marketable securities for the three and nine months ended September 30, 2022 or 2021.</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Marketable securities as of September 30, 2022 consisted of the following:</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40" w:type="dxa"/>
            <w:vAlign w:val="bottom"/>
          </w:tcPr>
          <w:p>
            <w:pPr>
              <w:spacing w:after="0"/>
              <w:rPr>
                <w:sz w:val="16"/>
                <w:szCs w:val="16"/>
                <w:color w:val="auto"/>
              </w:rPr>
            </w:pPr>
          </w:p>
        </w:tc>
        <w:tc>
          <w:tcPr>
            <w:tcW w:w="1300" w:type="dxa"/>
            <w:vAlign w:val="bottom"/>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60" w:type="dxa"/>
            <w:vAlign w:val="bottom"/>
          </w:tcPr>
          <w:p>
            <w:pPr>
              <w:spacing w:after="0"/>
              <w:rPr>
                <w:sz w:val="16"/>
                <w:szCs w:val="16"/>
                <w:color w:val="auto"/>
              </w:rPr>
            </w:pPr>
          </w:p>
        </w:tc>
        <w:tc>
          <w:tcPr>
            <w:tcW w:w="1380" w:type="dxa"/>
            <w:vAlign w:val="bottom"/>
            <w:gridSpan w:val="2"/>
          </w:tcPr>
          <w:p>
            <w:pPr>
              <w:jc w:val="center"/>
              <w:ind w:right="400"/>
              <w:spacing w:after="0" w:line="188"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200" w:type="dxa"/>
            <w:vAlign w:val="bottom"/>
          </w:tcPr>
          <w:p>
            <w:pPr>
              <w:spacing w:after="0"/>
              <w:rPr>
                <w:sz w:val="16"/>
                <w:szCs w:val="16"/>
                <w:color w:val="auto"/>
              </w:rPr>
            </w:pPr>
          </w:p>
        </w:tc>
        <w:tc>
          <w:tcPr>
            <w:tcW w:w="126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130"/>
        </w:trPr>
        <w:tc>
          <w:tcPr>
            <w:tcW w:w="3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40" w:type="dxa"/>
            <w:vAlign w:val="bottom"/>
          </w:tcPr>
          <w:p>
            <w:pPr>
              <w:spacing w:after="0"/>
              <w:rPr>
                <w:sz w:val="11"/>
                <w:szCs w:val="11"/>
                <w:color w:val="auto"/>
              </w:rPr>
            </w:pPr>
          </w:p>
        </w:tc>
        <w:tc>
          <w:tcPr>
            <w:tcW w:w="13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60" w:type="dxa"/>
            <w:vAlign w:val="bottom"/>
          </w:tcPr>
          <w:p>
            <w:pPr>
              <w:spacing w:after="0"/>
              <w:rPr>
                <w:sz w:val="11"/>
                <w:szCs w:val="11"/>
                <w:color w:val="auto"/>
              </w:rPr>
            </w:pPr>
          </w:p>
        </w:tc>
        <w:tc>
          <w:tcPr>
            <w:tcW w:w="13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0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060" w:type="dxa"/>
            <w:vAlign w:val="bottom"/>
            <w:vMerge w:val="restart"/>
          </w:tcPr>
          <w:p>
            <w:pPr>
              <w:jc w:val="right"/>
              <w:ind w:right="241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2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3060" w:type="dxa"/>
            <w:vAlign w:val="bottom"/>
            <w:vMerge w:val="continue"/>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060" w:type="dxa"/>
            <w:vAlign w:val="bottom"/>
          </w:tcPr>
          <w:p>
            <w:pPr>
              <w:jc w:val="right"/>
              <w:ind w:right="169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U.S. Treasuries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25,425,287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(115,102)</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25,310,185</w:t>
            </w:r>
          </w:p>
        </w:tc>
        <w:tc>
          <w:tcPr>
            <w:tcW w:w="0" w:type="dxa"/>
            <w:vAlign w:val="bottom"/>
          </w:tcPr>
          <w:p>
            <w:pPr>
              <w:spacing w:after="0"/>
              <w:rPr>
                <w:sz w:val="1"/>
                <w:szCs w:val="1"/>
                <w:color w:val="auto"/>
              </w:rPr>
            </w:pPr>
          </w:p>
        </w:tc>
      </w:tr>
      <w:tr>
        <w:trPr>
          <w:trHeight w:val="216"/>
        </w:trPr>
        <w:tc>
          <w:tcPr>
            <w:tcW w:w="30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Government securities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8,057,184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(16,444)</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8,040,740</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7,439,442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(10,927)</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7,428,515</w:t>
            </w:r>
          </w:p>
        </w:tc>
        <w:tc>
          <w:tcPr>
            <w:tcW w:w="0" w:type="dxa"/>
            <w:vAlign w:val="bottom"/>
          </w:tcPr>
          <w:p>
            <w:pPr>
              <w:spacing w:after="0"/>
              <w:rPr>
                <w:sz w:val="1"/>
                <w:szCs w:val="1"/>
                <w:color w:val="auto"/>
              </w:rPr>
            </w:pPr>
          </w:p>
        </w:tc>
      </w:tr>
      <w:tr>
        <w:trPr>
          <w:trHeight w:val="210"/>
        </w:trPr>
        <w:tc>
          <w:tcPr>
            <w:tcW w:w="30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 marketable securities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40,921,913</w:t>
            </w:r>
          </w:p>
        </w:tc>
        <w:tc>
          <w:tcPr>
            <w:tcW w:w="2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(142,473)</w:t>
            </w: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40,779,440</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Marketable securities as of December 31, 2021 consisted of the following: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40" w:type="dxa"/>
            <w:vAlign w:val="bottom"/>
          </w:tcPr>
          <w:p>
            <w:pPr>
              <w:spacing w:after="0"/>
              <w:rPr>
                <w:sz w:val="16"/>
                <w:szCs w:val="16"/>
                <w:color w:val="auto"/>
              </w:rPr>
            </w:pPr>
          </w:p>
        </w:tc>
        <w:tc>
          <w:tcPr>
            <w:tcW w:w="1300" w:type="dxa"/>
            <w:vAlign w:val="bottom"/>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60" w:type="dxa"/>
            <w:vAlign w:val="bottom"/>
          </w:tcPr>
          <w:p>
            <w:pPr>
              <w:spacing w:after="0"/>
              <w:rPr>
                <w:sz w:val="16"/>
                <w:szCs w:val="16"/>
                <w:color w:val="auto"/>
              </w:rPr>
            </w:pPr>
          </w:p>
        </w:tc>
        <w:tc>
          <w:tcPr>
            <w:tcW w:w="1380" w:type="dxa"/>
            <w:vAlign w:val="bottom"/>
            <w:gridSpan w:val="2"/>
          </w:tcPr>
          <w:p>
            <w:pPr>
              <w:jc w:val="center"/>
              <w:ind w:right="400"/>
              <w:spacing w:after="0" w:line="188"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200" w:type="dxa"/>
            <w:vAlign w:val="bottom"/>
          </w:tcPr>
          <w:p>
            <w:pPr>
              <w:spacing w:after="0"/>
              <w:rPr>
                <w:sz w:val="16"/>
                <w:szCs w:val="16"/>
                <w:color w:val="auto"/>
              </w:rPr>
            </w:pPr>
          </w:p>
        </w:tc>
        <w:tc>
          <w:tcPr>
            <w:tcW w:w="126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130"/>
        </w:trPr>
        <w:tc>
          <w:tcPr>
            <w:tcW w:w="3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40" w:type="dxa"/>
            <w:vAlign w:val="bottom"/>
          </w:tcPr>
          <w:p>
            <w:pPr>
              <w:spacing w:after="0"/>
              <w:rPr>
                <w:sz w:val="11"/>
                <w:szCs w:val="11"/>
                <w:color w:val="auto"/>
              </w:rPr>
            </w:pPr>
          </w:p>
        </w:tc>
        <w:tc>
          <w:tcPr>
            <w:tcW w:w="13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60" w:type="dxa"/>
            <w:vAlign w:val="bottom"/>
          </w:tcPr>
          <w:p>
            <w:pPr>
              <w:spacing w:after="0"/>
              <w:rPr>
                <w:sz w:val="11"/>
                <w:szCs w:val="11"/>
                <w:color w:val="auto"/>
              </w:rPr>
            </w:pPr>
          </w:p>
        </w:tc>
        <w:tc>
          <w:tcPr>
            <w:tcW w:w="13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0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060" w:type="dxa"/>
            <w:vAlign w:val="bottom"/>
            <w:vMerge w:val="restart"/>
          </w:tcPr>
          <w:p>
            <w:pPr>
              <w:jc w:val="right"/>
              <w:ind w:right="241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2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3060" w:type="dxa"/>
            <w:vAlign w:val="bottom"/>
            <w:vMerge w:val="continue"/>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060" w:type="dxa"/>
            <w:vAlign w:val="bottom"/>
          </w:tcPr>
          <w:p>
            <w:pPr>
              <w:jc w:val="right"/>
              <w:ind w:right="169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U.S. Treasuries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42,147,385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(28,575)</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42,118,810</w:t>
            </w:r>
          </w:p>
        </w:tc>
        <w:tc>
          <w:tcPr>
            <w:tcW w:w="0" w:type="dxa"/>
            <w:vAlign w:val="bottom"/>
          </w:tcPr>
          <w:p>
            <w:pPr>
              <w:spacing w:after="0"/>
              <w:rPr>
                <w:sz w:val="1"/>
                <w:szCs w:val="1"/>
                <w:color w:val="auto"/>
              </w:rPr>
            </w:pPr>
          </w:p>
        </w:tc>
      </w:tr>
      <w:tr>
        <w:trPr>
          <w:trHeight w:val="216"/>
        </w:trPr>
        <w:tc>
          <w:tcPr>
            <w:tcW w:w="30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Government securities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19,218,057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(13,689)</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19,204,368</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12,992,165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(4,197)</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12,988,025</w:t>
            </w:r>
          </w:p>
        </w:tc>
        <w:tc>
          <w:tcPr>
            <w:tcW w:w="0" w:type="dxa"/>
            <w:vAlign w:val="bottom"/>
          </w:tcPr>
          <w:p>
            <w:pPr>
              <w:spacing w:after="0"/>
              <w:rPr>
                <w:sz w:val="1"/>
                <w:szCs w:val="1"/>
                <w:color w:val="auto"/>
              </w:rPr>
            </w:pPr>
          </w:p>
        </w:tc>
      </w:tr>
      <w:tr>
        <w:trPr>
          <w:trHeight w:val="210"/>
        </w:trPr>
        <w:tc>
          <w:tcPr>
            <w:tcW w:w="30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 Current</w:t>
            </w: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74,357,607</w:t>
            </w: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(46,461)</w:t>
            </w: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74,311,203</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jc w:val="right"/>
              <w:ind w:right="1450"/>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U.S. Treasuries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999,186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(2,626)</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996,560</w:t>
            </w:r>
          </w:p>
        </w:tc>
        <w:tc>
          <w:tcPr>
            <w:tcW w:w="0" w:type="dxa"/>
            <w:vAlign w:val="bottom"/>
          </w:tcPr>
          <w:p>
            <w:pPr>
              <w:spacing w:after="0"/>
              <w:rPr>
                <w:sz w:val="1"/>
                <w:szCs w:val="1"/>
                <w:color w:val="auto"/>
              </w:rPr>
            </w:pPr>
          </w:p>
        </w:tc>
      </w:tr>
      <w:tr>
        <w:trPr>
          <w:trHeight w:val="210"/>
        </w:trPr>
        <w:tc>
          <w:tcPr>
            <w:tcW w:w="3060" w:type="dxa"/>
            <w:vAlign w:val="bottom"/>
            <w:tcBorders>
              <w:bottom w:val="single" w:sz="8" w:color="CCEEFF"/>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 Non-current</w:t>
            </w: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999,186</w:t>
            </w:r>
          </w:p>
        </w:tc>
        <w:tc>
          <w:tcPr>
            <w:tcW w:w="2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2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996,560</w:t>
            </w:r>
          </w:p>
        </w:tc>
        <w:tc>
          <w:tcPr>
            <w:tcW w:w="0" w:type="dxa"/>
            <w:vAlign w:val="bottom"/>
          </w:tcPr>
          <w:p>
            <w:pPr>
              <w:spacing w:after="0"/>
              <w:rPr>
                <w:sz w:val="1"/>
                <w:szCs w:val="1"/>
                <w:color w:val="auto"/>
              </w:rPr>
            </w:pPr>
          </w:p>
        </w:tc>
      </w:tr>
      <w:tr>
        <w:trPr>
          <w:trHeight w:val="210"/>
        </w:trPr>
        <w:tc>
          <w:tcPr>
            <w:tcW w:w="306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 marketable securities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75,356,793</w:t>
            </w:r>
          </w:p>
        </w:tc>
        <w:tc>
          <w:tcPr>
            <w:tcW w:w="2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(49,087)</w:t>
            </w:r>
          </w:p>
        </w:tc>
        <w:tc>
          <w:tcPr>
            <w:tcW w:w="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75,307,763</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4 – Fair Value Measurements</w:t>
      </w:r>
    </w:p>
    <w:p>
      <w:pPr>
        <w:spacing w:after="0" w:line="229" w:lineRule="exact"/>
        <w:rPr>
          <w:sz w:val="20"/>
          <w:szCs w:val="20"/>
          <w:color w:val="auto"/>
        </w:rPr>
      </w:pPr>
    </w:p>
    <w:p>
      <w:pPr>
        <w:jc w:val="both"/>
        <w:ind w:left="60" w:right="79"/>
        <w:spacing w:after="0" w:line="289" w:lineRule="auto"/>
        <w:rPr>
          <w:sz w:val="20"/>
          <w:szCs w:val="20"/>
          <w:color w:val="auto"/>
        </w:rPr>
      </w:pPr>
      <w:r>
        <w:rPr>
          <w:rFonts w:ascii="Times New Roman" w:cs="Times New Roman" w:eastAsia="Times New Roman" w:hAnsi="Times New Roman"/>
          <w:sz w:val="17"/>
          <w:szCs w:val="17"/>
          <w:color w:val="auto"/>
        </w:rPr>
        <w:t>We record cash equivalents and marketable securities at fair value. ASC 820, Fair Value Measurements and Disclosures, establishes a fair value hierarchy for those instruments measured at fair value that distinguishes between assumptions based on market data (observable inputs) and our own assumptions (unobservable inputs). The hierarchy consists of three levels:</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Unadjusted quoted prices in active markets for identical assets or liabilities.</w:t>
      </w:r>
    </w:p>
    <w:p>
      <w:pPr>
        <w:spacing w:after="0" w:line="225" w:lineRule="exact"/>
        <w:rPr>
          <w:sz w:val="20"/>
          <w:szCs w:val="20"/>
          <w:color w:val="auto"/>
        </w:rPr>
      </w:pPr>
    </w:p>
    <w:p>
      <w:pPr>
        <w:jc w:val="both"/>
        <w:ind w:left="60" w:right="5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Quoted prices for similar assets and liabilities in active markets, quoted prices in markets that are not active,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inputs which are observable, directly or indirectly, for substantially the full term of the asset or liability.</w:t>
      </w:r>
    </w:p>
    <w:p>
      <w:pPr>
        <w:spacing w:after="0" w:line="158" w:lineRule="exact"/>
        <w:rPr>
          <w:sz w:val="20"/>
          <w:szCs w:val="20"/>
          <w:color w:val="auto"/>
        </w:rPr>
      </w:pPr>
    </w:p>
    <w:p>
      <w:pPr>
        <w:jc w:val="both"/>
        <w:ind w:left="60" w:right="5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Unobservable inputs that reflect our own assumptions about the assumptions market participants would use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pricing the asset or liability in which there is little, if any, market activity for the asset or liability at the measurement date.</w:t>
      </w:r>
    </w:p>
    <w:p>
      <w:pPr>
        <w:spacing w:after="0" w:line="16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cash equivalents and marketable securities measured at fair value on a recurring basis as of September 30,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Pr>
          <w:p>
            <w:pPr>
              <w:spacing w:after="0"/>
              <w:rPr>
                <w:sz w:val="20"/>
                <w:szCs w:val="20"/>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0"/>
                <w:szCs w:val="20"/>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Pr>
          <w:p>
            <w:pPr>
              <w:spacing w:after="0"/>
              <w:rPr>
                <w:sz w:val="20"/>
                <w:szCs w:val="20"/>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00" w:type="dxa"/>
            <w:vAlign w:val="bottom"/>
          </w:tcPr>
          <w:p>
            <w:pPr>
              <w:spacing w:after="0"/>
              <w:rPr>
                <w:sz w:val="20"/>
                <w:szCs w:val="20"/>
                <w:color w:val="auto"/>
              </w:rPr>
            </w:pP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780" w:type="dxa"/>
            <w:vAlign w:val="bottom"/>
            <w:tcBorders>
              <w:bottom w:val="single" w:sz="8" w:color="CCEEFF"/>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Money market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27,020,980</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27,020,980</w:t>
            </w:r>
          </w:p>
        </w:tc>
        <w:tc>
          <w:tcPr>
            <w:tcW w:w="0" w:type="dxa"/>
            <w:vAlign w:val="bottom"/>
          </w:tcPr>
          <w:p>
            <w:pPr>
              <w:spacing w:after="0"/>
              <w:rPr>
                <w:sz w:val="1"/>
                <w:szCs w:val="1"/>
                <w:color w:val="auto"/>
              </w:rPr>
            </w:pPr>
          </w:p>
        </w:tc>
      </w:tr>
      <w:tr>
        <w:trPr>
          <w:trHeight w:val="209"/>
        </w:trPr>
        <w:tc>
          <w:tcPr>
            <w:tcW w:w="37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cash equivalents</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27,020,980</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27,020,980</w:t>
            </w:r>
          </w:p>
        </w:tc>
        <w:tc>
          <w:tcPr>
            <w:tcW w:w="0" w:type="dxa"/>
            <w:vAlign w:val="bottom"/>
          </w:tcPr>
          <w:p>
            <w:pPr>
              <w:spacing w:after="0"/>
              <w:rPr>
                <w:sz w:val="1"/>
                <w:szCs w:val="1"/>
                <w:color w:val="auto"/>
              </w:rPr>
            </w:pPr>
          </w:p>
        </w:tc>
      </w:tr>
      <w:tr>
        <w:trPr>
          <w:trHeight w:val="209"/>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U.S. Treasuries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25,310,185</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25,310,185</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Government securities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8,040,740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8,040,740</w:t>
            </w:r>
          </w:p>
        </w:tc>
        <w:tc>
          <w:tcPr>
            <w:tcW w:w="0" w:type="dxa"/>
            <w:vAlign w:val="bottom"/>
          </w:tcPr>
          <w:p>
            <w:pPr>
              <w:spacing w:after="0"/>
              <w:rPr>
                <w:sz w:val="1"/>
                <w:szCs w:val="1"/>
                <w:color w:val="auto"/>
              </w:rPr>
            </w:pPr>
          </w:p>
        </w:tc>
      </w:tr>
      <w:tr>
        <w:trPr>
          <w:trHeight w:val="216"/>
        </w:trPr>
        <w:tc>
          <w:tcPr>
            <w:tcW w:w="37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7,428,515</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7,428,515</w:t>
            </w: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25,310,185</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15,469,255</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40,779,440</w:t>
            </w:r>
          </w:p>
        </w:tc>
        <w:tc>
          <w:tcPr>
            <w:tcW w:w="0" w:type="dxa"/>
            <w:vAlign w:val="bottom"/>
          </w:tcPr>
          <w:p>
            <w:pPr>
              <w:spacing w:after="0"/>
              <w:rPr>
                <w:sz w:val="1"/>
                <w:szCs w:val="1"/>
                <w:color w:val="auto"/>
              </w:rPr>
            </w:pPr>
          </w:p>
        </w:tc>
      </w:tr>
      <w:tr>
        <w:trPr>
          <w:trHeight w:val="21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52,331,165</w:t>
            </w:r>
          </w:p>
        </w:tc>
        <w:tc>
          <w:tcPr>
            <w:tcW w:w="20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15,469,255</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67,800,420</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Cash equivalents and marketable securities have been initially valued at the transaction price and subsequently, at the end of each reporting period, valued utilizing third-party pricing services or other observable market data. The pricing services utilize industry standard valuation models, including both income and market-based approaches, and observable market inputs to determine value. After completing our valuation procedures, we did not adjust or override any fair value measurements provided by the pricing services as of September 30, 2022.</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There have been no changes to the valuation methods during the nine months ended September 30, 2022. There were no transfers between Level 1 and Level 2 and we had no financial assets or liabilities that were classified as Level 3 at any point during the nine months ended September 30, 2022.</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cash equivalents and marketable securities measured at fair value on a recurring basis as of December 31, 2021:</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Pr>
          <w:p>
            <w:pPr>
              <w:spacing w:after="0"/>
              <w:rPr>
                <w:sz w:val="20"/>
                <w:szCs w:val="20"/>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0"/>
                <w:szCs w:val="20"/>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Pr>
          <w:p>
            <w:pPr>
              <w:spacing w:after="0"/>
              <w:rPr>
                <w:sz w:val="20"/>
                <w:szCs w:val="20"/>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60" w:type="dxa"/>
            <w:vAlign w:val="bottom"/>
          </w:tcPr>
          <w:p>
            <w:pPr>
              <w:spacing w:after="0"/>
              <w:rPr>
                <w:sz w:val="20"/>
                <w:szCs w:val="20"/>
                <w:color w:val="auto"/>
              </w:rPr>
            </w:pP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780" w:type="dxa"/>
            <w:vAlign w:val="bottom"/>
            <w:tcBorders>
              <w:bottom w:val="single" w:sz="8" w:color="CCEEFF"/>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Money market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33,961,344</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33,961,344</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0" w:type="dxa"/>
            <w:vAlign w:val="bottom"/>
          </w:tcPr>
          <w:p>
            <w:pPr>
              <w:spacing w:after="0"/>
              <w:rPr>
                <w:sz w:val="1"/>
                <w:szCs w:val="1"/>
                <w:color w:val="auto"/>
              </w:rPr>
            </w:pPr>
          </w:p>
        </w:tc>
      </w:tr>
      <w:tr>
        <w:trPr>
          <w:trHeight w:val="209"/>
        </w:trPr>
        <w:tc>
          <w:tcPr>
            <w:tcW w:w="378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Total cash equivalents</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33,961,344</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35,961,344</w:t>
            </w: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U.S. Treasuries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43,115,370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43,115,370</w:t>
            </w:r>
          </w:p>
        </w:tc>
        <w:tc>
          <w:tcPr>
            <w:tcW w:w="0" w:type="dxa"/>
            <w:vAlign w:val="bottom"/>
          </w:tcPr>
          <w:p>
            <w:pPr>
              <w:spacing w:after="0"/>
              <w:rPr>
                <w:sz w:val="1"/>
                <w:szCs w:val="1"/>
                <w:color w:val="auto"/>
              </w:rPr>
            </w:pPr>
          </w:p>
        </w:tc>
      </w:tr>
      <w:tr>
        <w:trPr>
          <w:trHeight w:val="216"/>
        </w:trPr>
        <w:tc>
          <w:tcPr>
            <w:tcW w:w="3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Government securities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19,204,368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19,204,368</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12,988,025</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12,988,025</w:t>
            </w:r>
          </w:p>
        </w:tc>
        <w:tc>
          <w:tcPr>
            <w:tcW w:w="0" w:type="dxa"/>
            <w:vAlign w:val="bottom"/>
          </w:tcPr>
          <w:p>
            <w:pPr>
              <w:spacing w:after="0"/>
              <w:rPr>
                <w:sz w:val="1"/>
                <w:szCs w:val="1"/>
                <w:color w:val="auto"/>
              </w:rPr>
            </w:pPr>
          </w:p>
        </w:tc>
      </w:tr>
      <w:tr>
        <w:trPr>
          <w:trHeight w:val="209"/>
        </w:trPr>
        <w:tc>
          <w:tcPr>
            <w:tcW w:w="378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43,115,370</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32,192,393</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75,307,763</w:t>
            </w:r>
          </w:p>
        </w:tc>
        <w:tc>
          <w:tcPr>
            <w:tcW w:w="0" w:type="dxa"/>
            <w:vAlign w:val="bottom"/>
          </w:tcPr>
          <w:p>
            <w:pPr>
              <w:spacing w:after="0"/>
              <w:rPr>
                <w:sz w:val="1"/>
                <w:szCs w:val="1"/>
                <w:color w:val="auto"/>
              </w:rPr>
            </w:pPr>
          </w:p>
        </w:tc>
      </w:tr>
      <w:tr>
        <w:trPr>
          <w:trHeight w:val="210"/>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77,076,714</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34,192,393</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111,269,107</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5 – Property and Equipment, net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00" w:type="dxa"/>
            <w:vAlign w:val="bottom"/>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8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6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422,898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281,666</w:t>
            </w:r>
          </w:p>
        </w:tc>
      </w:tr>
      <w:tr>
        <w:trPr>
          <w:trHeight w:val="216"/>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91,317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84,477</w:t>
            </w:r>
          </w:p>
        </w:tc>
      </w:tr>
      <w:tr>
        <w:trPr>
          <w:trHeight w:val="21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 equipment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889,510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463,182</w:t>
            </w:r>
          </w:p>
        </w:tc>
      </w:tr>
      <w:tr>
        <w:trPr>
          <w:trHeight w:val="216"/>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250,898</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152,117</w:t>
            </w:r>
          </w:p>
        </w:tc>
      </w:tr>
      <w:tr>
        <w:trPr>
          <w:trHeight w:val="20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1,654,623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981,442</w:t>
            </w:r>
          </w:p>
        </w:tc>
      </w:tr>
      <w:tr>
        <w:trPr>
          <w:trHeight w:val="216"/>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(344,556)</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(174,219)</w:t>
            </w:r>
          </w:p>
        </w:tc>
      </w:tr>
      <w:tr>
        <w:trPr>
          <w:trHeight w:val="209"/>
        </w:trPr>
        <w:tc>
          <w:tcPr>
            <w:tcW w:w="680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1,310,067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807,223</w:t>
            </w:r>
          </w:p>
        </w:tc>
      </w:tr>
      <w:tr>
        <w:trPr>
          <w:trHeight w:val="20"/>
        </w:trPr>
        <w:tc>
          <w:tcPr>
            <w:tcW w:w="6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Depreciation expense totaled $68,075 and $11,978 for the three months ended September 30, 2022 and 2021, respectively.</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Depreciation expense totaled $170,337 and $30,652 for the nine months ended September 30, 2022 and 2021, respectively.</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6 – Business Combination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BioArkive Acquisition</w:t>
      </w:r>
    </w:p>
    <w:p>
      <w:pPr>
        <w:spacing w:after="0" w:line="229"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On December 22, 2021, the Company completed the acquisition of all outstanding shares of capital stock of BioArkive, Inc., a California corporation, for a market value of $8.75 million.</w:t>
      </w:r>
    </w:p>
    <w:p>
      <w:pPr>
        <w:spacing w:after="0" w:line="162" w:lineRule="exact"/>
        <w:rPr>
          <w:sz w:val="20"/>
          <w:szCs w:val="20"/>
          <w:color w:val="auto"/>
        </w:rPr>
      </w:pPr>
    </w:p>
    <w:p>
      <w:pPr>
        <w:jc w:val="both"/>
        <w:ind w:left="60" w:right="299"/>
        <w:spacing w:after="0" w:line="289" w:lineRule="auto"/>
        <w:rPr>
          <w:sz w:val="20"/>
          <w:szCs w:val="20"/>
          <w:color w:val="auto"/>
        </w:rPr>
      </w:pPr>
      <w:r>
        <w:rPr>
          <w:rFonts w:ascii="Times New Roman" w:cs="Times New Roman" w:eastAsia="Times New Roman" w:hAnsi="Times New Roman"/>
          <w:sz w:val="17"/>
          <w:szCs w:val="17"/>
          <w:color w:val="auto"/>
        </w:rPr>
        <w:t>BioArkive is a San Diego based contract research organization that has previously provided preclinical research services and biosample storage to the Company and other biotechnology companies. BioArkive has been fully integrated into the Company to exclusively support the Company's internal preclinical research activities for its oncology pipeline.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connection with the acquisition, the Company has assumed the obligations under BioArkive’s three lease agreements.</w:t>
      </w:r>
    </w:p>
    <w:p>
      <w:pPr>
        <w:spacing w:after="0" w:line="225"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The purchase price was paid by Immuneering through the issuance of an aggregate of 379,635 shares of Immuneering’s Class A common stock. The number of shares of common stock issued was calculated using a value based on the average of the daily volume weighted average prices of the common stock on the Nasdaq Stock Exchange for the 30-trading day period ending on and including the trading day immediately prior to the closing date. The sellers of BioArkive were restricted from selling these shares for a six-month period from the date of the acquisition. As such, we estimated that there was an approximate 10% discount for the lack of marketability of the shares. The fair value of the purchase price in the acquisition was $7,875,000.</w:t>
      </w:r>
    </w:p>
    <w:p>
      <w:pPr>
        <w:spacing w:after="0" w:line="18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Prior to the acquisition, Brett Hall, Chief Scientific Officer of Immuneering and the Founder and Chairman of the board of directors of BioArkive, held the majority of the outstanding shares of BioArkive capital stock. BioArkive provided contract services to the Company. Research and development expenses in the consolidated statement of operations include the cost of services provided by BioArkive to the Company which amounted to $4,548,780 in 2021 through the date of the acquisition. The results of BioArkive’s operations are included in accounts payable or accrued contract research expenses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Assets Acquired and Liabilities Assumed at Fair Value</w:t>
      </w:r>
    </w:p>
    <w:p>
      <w:pPr>
        <w:spacing w:after="0" w:line="225"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The BioArkive acquisition has been accounted for using the acquisition method of accounting. This method requires assets acquired and liabilities assumed in a business combination to be recognized at their fair values as of the acquisition date. As of March 31, 2022, the purchase accounting had been finalized, and there was an immaterial measurement period adjustment related to accrued expenses and goodwill. No other adjustments were identified.</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Intangible Assets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estimated fair value of the intangible assets was determined using the relief from royalty approach.</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Goodwill</w:t>
      </w:r>
    </w:p>
    <w:p>
      <w:pPr>
        <w:spacing w:after="0" w:line="225" w:lineRule="exact"/>
        <w:rPr>
          <w:sz w:val="20"/>
          <w:szCs w:val="20"/>
          <w:color w:val="auto"/>
        </w:rPr>
      </w:pPr>
    </w:p>
    <w:p>
      <w:pPr>
        <w:ind w:left="60" w:right="279"/>
        <w:spacing w:after="0" w:line="258" w:lineRule="auto"/>
        <w:rPr>
          <w:sz w:val="20"/>
          <w:szCs w:val="20"/>
          <w:color w:val="auto"/>
        </w:rPr>
      </w:pPr>
      <w:r>
        <w:rPr>
          <w:rFonts w:ascii="Times New Roman" w:cs="Times New Roman" w:eastAsia="Times New Roman" w:hAnsi="Times New Roman"/>
          <w:sz w:val="18"/>
          <w:szCs w:val="18"/>
          <w:color w:val="auto"/>
        </w:rPr>
        <w:t>Goodwill is the excess of the consideration transferred over the net assets recognized and represents the expected cost savings of the combined company and assembled workforce. One of the key factors that contributes to the recognition of goodwill, and a driver for the Company's acquisition of BioArkive, is the planned investment in the internal preclinical research activities for our oncology pipeline. Goodwill recognized as a result of this acquisition is non-deductible for income tax purposes.</w:t>
      </w:r>
    </w:p>
    <w:p>
      <w:pPr>
        <w:spacing w:after="0" w:line="183"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Pro forma results are not presented for this acquisition as they are not material to the consolidated results of the Company’s operations.</w:t>
      </w:r>
    </w:p>
    <w:tbl>
      <w:tblPr>
        <w:tblLayout w:type="fixed"/>
        <w:tblInd w:w="40" w:type="dxa"/>
        <w:tblCellMar>
          <w:top w:w="0" w:type="dxa"/>
          <w:left w:w="0" w:type="dxa"/>
          <w:bottom w:w="0" w:type="dxa"/>
          <w:right w:w="0" w:type="dxa"/>
        </w:tblCellMar>
      </w:tblPr>
      <w:tr>
        <w:trPr>
          <w:trHeight w:val="137"/>
        </w:trPr>
        <w:tc>
          <w:tcPr>
            <w:tcW w:w="4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Preliminary</w:t>
            </w:r>
          </w:p>
        </w:tc>
        <w:tc>
          <w:tcPr>
            <w:tcW w:w="100" w:type="dxa"/>
            <w:vAlign w:val="bottom"/>
          </w:tcPr>
          <w:p>
            <w:pPr>
              <w:spacing w:after="0"/>
              <w:rPr>
                <w:sz w:val="11"/>
                <w:szCs w:val="11"/>
                <w:color w:val="auto"/>
              </w:rPr>
            </w:pPr>
          </w:p>
        </w:tc>
        <w:tc>
          <w:tcPr>
            <w:tcW w:w="1240" w:type="dxa"/>
            <w:vAlign w:val="bottom"/>
            <w:gridSpan w:val="3"/>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Measurement</w:t>
            </w:r>
          </w:p>
        </w:tc>
        <w:tc>
          <w:tcPr>
            <w:tcW w:w="120" w:type="dxa"/>
            <w:vAlign w:val="bottom"/>
          </w:tcPr>
          <w:p>
            <w:pPr>
              <w:spacing w:after="0"/>
              <w:rPr>
                <w:sz w:val="11"/>
                <w:szCs w:val="11"/>
                <w:color w:val="auto"/>
              </w:rPr>
            </w:pPr>
          </w:p>
        </w:tc>
        <w:tc>
          <w:tcPr>
            <w:tcW w:w="8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Final</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3"/>
        </w:trPr>
        <w:tc>
          <w:tcPr>
            <w:tcW w:w="4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Valuation</w:t>
            </w:r>
          </w:p>
        </w:tc>
        <w:tc>
          <w:tcPr>
            <w:tcW w:w="100" w:type="dxa"/>
            <w:vAlign w:val="bottom"/>
          </w:tcPr>
          <w:p>
            <w:pPr>
              <w:spacing w:after="0"/>
              <w:rPr>
                <w:sz w:val="15"/>
                <w:szCs w:val="15"/>
                <w:color w:val="auto"/>
              </w:rPr>
            </w:pP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20" w:type="dxa"/>
            <w:vAlign w:val="bottom"/>
          </w:tcPr>
          <w:p>
            <w:pPr>
              <w:spacing w:after="0"/>
              <w:rPr>
                <w:sz w:val="15"/>
                <w:szCs w:val="15"/>
                <w:color w:val="auto"/>
              </w:rPr>
            </w:pPr>
          </w:p>
        </w:tc>
        <w:tc>
          <w:tcPr>
            <w:tcW w:w="8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0" w:type="dxa"/>
            <w:vAlign w:val="bottom"/>
          </w:tcPr>
          <w:p>
            <w:pPr>
              <w:spacing w:after="0"/>
              <w:rPr>
                <w:sz w:val="1"/>
                <w:szCs w:val="1"/>
                <w:color w:val="auto"/>
              </w:rPr>
            </w:pPr>
          </w:p>
        </w:tc>
      </w:tr>
      <w:tr>
        <w:trPr>
          <w:trHeight w:val="209"/>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70,348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70,348</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currents assets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225,790</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 term assets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87,796</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727,539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727,539</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assets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4,824,700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4,824,700</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439,000</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 years</w:t>
            </w:r>
          </w:p>
        </w:tc>
        <w:tc>
          <w:tcPr>
            <w:tcW w:w="0" w:type="dxa"/>
            <w:vAlign w:val="bottom"/>
          </w:tcPr>
          <w:p>
            <w:pPr>
              <w:spacing w:after="0"/>
              <w:rPr>
                <w:sz w:val="1"/>
                <w:szCs w:val="1"/>
                <w:color w:val="auto"/>
              </w:rPr>
            </w:pPr>
          </w:p>
        </w:tc>
      </w:tr>
      <w:tr>
        <w:trPr>
          <w:trHeight w:val="216"/>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6,701,726</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11,295</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6,690,431</w:t>
            </w: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acquired</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13,076,899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13,065,604</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(11,295)</w:t>
            </w:r>
          </w:p>
        </w:tc>
        <w:tc>
          <w:tcPr>
            <w:tcW w:w="12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58,419</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307,485</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4,824,700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4,824,700</w:t>
            </w: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7,875,000</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7,875,000</w:t>
            </w:r>
          </w:p>
        </w:tc>
        <w:tc>
          <w:tcPr>
            <w:tcW w:w="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Note 7 – Accrued Expenses</w:t>
            </w: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3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consisted of the following:</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4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467,658</w:t>
            </w: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250,977</w:t>
            </w: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employee expenses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2,234,420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2,917,282</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contract research expenses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1,691,583</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585,416</w:t>
            </w:r>
          </w:p>
        </w:tc>
        <w:tc>
          <w:tcPr>
            <w:tcW w:w="0" w:type="dxa"/>
            <w:vAlign w:val="bottom"/>
          </w:tcPr>
          <w:p>
            <w:pPr>
              <w:spacing w:after="0"/>
              <w:rPr>
                <w:sz w:val="1"/>
                <w:szCs w:val="1"/>
                <w:color w:val="auto"/>
              </w:rPr>
            </w:pPr>
          </w:p>
        </w:tc>
      </w:tr>
      <w:tr>
        <w:trPr>
          <w:trHeight w:val="216"/>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other</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170,475</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211,772</w:t>
            </w:r>
          </w:p>
        </w:tc>
        <w:tc>
          <w:tcPr>
            <w:tcW w:w="0" w:type="dxa"/>
            <w:vAlign w:val="bottom"/>
          </w:tcPr>
          <w:p>
            <w:pPr>
              <w:spacing w:after="0"/>
              <w:rPr>
                <w:sz w:val="1"/>
                <w:szCs w:val="1"/>
                <w:color w:val="auto"/>
              </w:rPr>
            </w:pPr>
          </w:p>
        </w:tc>
      </w:tr>
      <w:tr>
        <w:trPr>
          <w:trHeight w:val="209"/>
        </w:trPr>
        <w:tc>
          <w:tcPr>
            <w:tcW w:w="43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$ 4,564,136</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3,965,447</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8 – Preferred Stock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Series B Preferred Stock</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April and May 2021, 2,412,853 shares of the second tranche of Series B Preferred Stock were issued based on the voluntary election of substantially all of the holders of Series B Preferred Stock. The Company received gross proceeds of $24,799,786. The Company incurred issuance costs of $10,935 in connection with the second tranche of Series B Preferred Stock.</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Upon the closing of the IPO on August 3, 2021, all 8,528,078 shares of the Company’s convertible Series A and B Preferred Stock then outstanding automatically converted into 11,939,281 shares of Class A common stock.</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9 - Common Stock</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had 200,000,000 authorized shares of Class A common stock, $0.001 par value per share as of September 30, 2022 and December 31, 2021 of which 26,404,732 and 26,320,199 were issued and outstanding, respectively. The holders of Class A common stock are entitled one vote for each share of common stock. Dividends may be paid when, and if declared by the Board of Directors, subject to the limitations, powers and preferences granted to the Preferred Stockholders and on a proportionate basis with holders of Class B common stock.</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of September 30, 2022 and December 31, 2021, the following number of shares of Class A common stock have been reserved:</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92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920" w:type="dxa"/>
            <w:vAlign w:val="bottom"/>
          </w:tcPr>
          <w:p>
            <w:pPr>
              <w:spacing w:after="0"/>
              <w:rPr>
                <w:sz w:val="15"/>
                <w:szCs w:val="15"/>
                <w:color w:val="auto"/>
              </w:rPr>
            </w:pPr>
          </w:p>
        </w:tc>
        <w:tc>
          <w:tcPr>
            <w:tcW w:w="9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5"/>
                <w:szCs w:val="15"/>
                <w:color w:val="auto"/>
              </w:rPr>
            </w:pPr>
          </w:p>
        </w:tc>
        <w:tc>
          <w:tcPr>
            <w:tcW w:w="8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6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3,598,026</w:t>
            </w:r>
          </w:p>
        </w:tc>
        <w:tc>
          <w:tcPr>
            <w:tcW w:w="1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2,859,544</w:t>
            </w:r>
          </w:p>
        </w:tc>
      </w:tr>
      <w:tr>
        <w:trPr>
          <w:trHeight w:val="210"/>
        </w:trPr>
        <w:tc>
          <w:tcPr>
            <w:tcW w:w="69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3,598,026</w:t>
            </w:r>
          </w:p>
        </w:tc>
        <w:tc>
          <w:tcPr>
            <w:tcW w:w="1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2,859,544</w:t>
            </w:r>
          </w:p>
        </w:tc>
      </w:tr>
      <w:tr>
        <w:trPr>
          <w:trHeight w:val="20"/>
        </w:trPr>
        <w:tc>
          <w:tcPr>
            <w:tcW w:w="69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had 20,000,000 authorized shares of Class B common stock, $0.001 par value per share as of September 30, 2022 and December 31, 2021, of which no shares have been issued nor are outstanding. The holders of Class B common stock have no voting rights. Dividends may be paid when, and if, declared by the Board of Directors, subject to the limitations, powers and preferences granted to the preferred stockholders and on a proportionate basis with holders of Class A common stock.</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IPO</w:t>
      </w:r>
    </w:p>
    <w:p>
      <w:pPr>
        <w:spacing w:after="0" w:line="22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On August 3, 2021, the Company completed its initial public offering pursuant to which it issued and sold 8,625,000 shares of its Class A common stock, inclusive of 1,125,000 shares of its Class A common stock sold pursuant to the full exercise of the underwriters’ option to purchase additional shares. The aggregate net proceeds received by the Company from the IPO were $120,318,750, after deducting underwriting discounts and commissions, but before deducting offering costs payable by the Company, which were $2,124,317. Upon the closing of the IPO, all 8,528,078 shares of the Company’s convertible preferred stock then outstanding automatically converted into 11,939,281 shares of Class A common stock. Upon the conversion of the convertible preferred stock, the Company reclassified the carrying value of the convertible preferred stock to common stock (at par value) and additional paid-in capital.</w:t>
      </w:r>
    </w:p>
    <w:p>
      <w:pPr>
        <w:spacing w:after="0" w:line="30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August 3, 2021 in connection with the closing of the IPO, the Company filed a restated certificate of incorporation, which amended and restated the Company’s certificate of incorporation to, among other things: (i) increase the number of authorized shares of common stock to 200,000,000 shares of Class A common stock, 20,000,000 shares of Class B common stock, par value $0.001 per share, and (ii) authorize 10,000,000 shares of Preferred Stock; and (iii) authorize the Board of Directors to establish the rights, preferences and restrictions on any unissued series of Preferred Stock.</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Equity Offering</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On August 10, 2022, the Company entered into the Sales Agreement with the Sales Agent to sell shares of the Company’s common stock, par value $0.001 per share, with aggregate gross sales proceeds of up to $50 million, from time to time, through an “at the market” equity offering program. Subject to the terms and conditions of the Sales Agreement, the Sales Agent may sell the shares by methods deemed to be an “at the market offering” as defined in Rule 415 promulgated under the Securities Act, including sales made through The Nasdaq Global Market, on any other existing trading market for the common stock, to or through a market maker, or, if expressly authorized by the Company, in privately negotiated transactions. The Company or Sales Agent may terminate the Sales Agreement upon notice to the other party and subject to other conditions. The Company will pay the Sales Agent a commission equal to 3.0% of the gross proceeds of any Common Stock sold through the Sales Agent under the Sales Agreement and has provided the Sales Agent with customary indemnification rights.</w:t>
      </w:r>
    </w:p>
    <w:p>
      <w:pPr>
        <w:spacing w:after="0" w:line="194"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Issuance costs incurred related to the Sales Agreement are classified as long-term assets on the balance sheet at September 30, 2022. The Company had approximately $0.3 million and $0 of deferred offering costs as of September 30, 2022 and 2021, respectively. No shares were sold during the three and nine months ended September 30, 2022.</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10 - Net Loss Per Share Attributable to Common Stockholders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Net loss per share of common stock is computed using the two-class method required for multiple classes of common stock and participating securities based upon their respective rights to receive dividends as if all income for the period has been distributed. The rights, including the liquidation and dividend rights and sharing of losses, of the Class A and Class B common stock are identical, other than voting rights. As the liquidation and dividend rights and sharing of losses are identical, the undistributed earnings are allocated on a proportionate basis and the resulting net loss per share attributed to common stockholders is therefore the same for Class A and Class B common stock on an individual or combined basis.</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Company’s participating securities include the Company’s Preferred Stock, as the holders are entitled to receive noncumulative dividends in the event that a dividend is paid on common stock. The holders of Preferred Stock do not have a contractual obligation to share in losses of the Company, and therefore during periods of loss there is no allocation required under the two-class method.</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calculated by dividing the net loss attributable to common stockholders by the weighted-average number of shares of common stock outstanding during the period, adjusted for outstanding shares that are subject to repurchase.</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Diluted net loss per share is computed by giving effect to all potentially dilutive securities outstanding for the period using the treasury stock method or the if-converted method based on the nature of such securities. The Company has reported net losses for all periods presented, therefore diluted net loss per common share attributable to common stockholders is the same as basic net loss per common share attributable to common stockholders, because potentially dilutive common shares are not assumed to have been issued if their effect is anti-dilutive.</w:t>
      </w:r>
    </w:p>
    <w:p>
      <w:pPr>
        <w:spacing w:after="0" w:line="18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was calculated at September 30, 2022 and 2021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040" w:type="dxa"/>
            <w:vAlign w:val="bottom"/>
          </w:tcPr>
          <w:p>
            <w:pPr>
              <w:spacing w:after="0"/>
              <w:rPr>
                <w:sz w:val="15"/>
                <w:szCs w:val="15"/>
                <w:color w:val="auto"/>
              </w:rPr>
            </w:pPr>
          </w:p>
        </w:tc>
        <w:tc>
          <w:tcPr>
            <w:tcW w:w="2520" w:type="dxa"/>
            <w:vAlign w:val="bottom"/>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340" w:type="dxa"/>
            <w:vAlign w:val="bottom"/>
            <w:gridSpan w:val="5"/>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40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142"/>
        </w:trPr>
        <w:tc>
          <w:tcPr>
            <w:tcW w:w="4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(12,844,330)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(8,534,073)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(37,268,007)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(22,751,389)</w:t>
            </w:r>
          </w:p>
        </w:tc>
      </w:tr>
      <w:tr>
        <w:trPr>
          <w:trHeight w:val="21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 - basic and diluted:</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98"/>
        </w:trPr>
        <w:tc>
          <w:tcPr>
            <w:tcW w:w="404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Weighted-average common shares outstanding,</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4"/>
        </w:trPr>
        <w:tc>
          <w:tcPr>
            <w:tcW w:w="40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basic and diluted</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26,394,490</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18,286,352</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26,380,101</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9,445,862</w:t>
            </w:r>
          </w:p>
        </w:tc>
      </w:tr>
      <w:tr>
        <w:trPr>
          <w:trHeight w:val="210"/>
        </w:trPr>
        <w:tc>
          <w:tcPr>
            <w:tcW w:w="40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0"/>
        </w:trPr>
        <w:tc>
          <w:tcPr>
            <w:tcW w:w="4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potentially dilutive securities that have been excluded from the calculation of diluted net loss per share because to include them would be anti-dilutive (in common stock equivalent shares) at September 30, 2022 and 2021:</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04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10"/>
        </w:trPr>
        <w:tc>
          <w:tcPr>
            <w:tcW w:w="7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8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3,598,026</w:t>
            </w:r>
          </w:p>
        </w:tc>
        <w:tc>
          <w:tcPr>
            <w:tcW w:w="14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2,763,245</w:t>
            </w:r>
          </w:p>
        </w:tc>
      </w:tr>
      <w:tr>
        <w:trPr>
          <w:trHeight w:val="209"/>
        </w:trPr>
        <w:tc>
          <w:tcPr>
            <w:tcW w:w="7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shares of common stock equivalents</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3,598,026</w:t>
            </w:r>
          </w:p>
        </w:tc>
        <w:tc>
          <w:tcPr>
            <w:tcW w:w="14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2,763,245</w:t>
            </w:r>
          </w:p>
        </w:tc>
      </w:tr>
      <w:tr>
        <w:trPr>
          <w:trHeight w:val="20"/>
        </w:trPr>
        <w:tc>
          <w:tcPr>
            <w:tcW w:w="70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11 – Stock-Based Compensation</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During 2015, the Company established the Long Term Incentive Plan (“Incentive Plan”), under which incentive stock options, nonqualified stock options, restricted stock or other awards may be awarded to employees, directors or consultants of the Company. The options typically vest over a four-year period. As of September 30, 2022, the maximum number of shares available for issuance under the Incentive Plan was 2,825,173 shares. Upon the effectiveness of the Company’s 2021 Incentive Award Plan, the Company ceased granting awards under the Incentive Plan. However, the Incentive Plan continues to govern awards outstanding thereunder.</w:t>
      </w:r>
    </w:p>
    <w:p>
      <w:pPr>
        <w:spacing w:after="0" w:line="18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On July 23, 2021, the Company’s Board of Directors adopted, and on July 23, 2021 its stockholders approved, the 2021 Incentive Award Plan (the “2021 Plan”), which became effective on July 29, 2021. The 2021 Plan provides for the grant of incentive stock options, stock appreciation rights, restricted stock awards, restricted stock units, and other stock-based awards. The number of shares reserved for issuance under the 2021 Plan was initially equal to 2,590,000 plus an annual increase on the first day of each calendar year, beginning on January 1, 2022 and ending on and including January 1, 2031, equal to the lesser of (i) 4% of the aggregate number of shares of Class A common stock outstanding on the final day of the immediately preceding calendar year and (ii) such smaller number of shares of Class A common stock as determined by the Board of Directors. No more than 15,350,000 shares of Class A common stock may be issued under the 2021 Plan upon the exercise of incentive stock options. Shares issued under the 2021 Plan may be authorized but unissued shares, shares purchased on the open market or treasury shares. If an award under the 2021 Plan expires, lapses or is terminated, exchanged for or settled in cash, surrendered, repurchased, cancelled without having been fully exercised/settled or forfeited, any unused shares subject to the award will, as applicable, become or again be available for new grants under the 2021 Plan. In addition, shares subject to stock options issued under the Incentive Plan may become available for issuance under the 2021 Plan to the extent such stock options are canceled, forfeited, exchanged, settled in cash or otherwise terminated. As of September 30, 2022, there were 2,528,225 shares available for future issuance under the 2021 Plan.</w:t>
      </w:r>
    </w:p>
    <w:p>
      <w:pPr>
        <w:spacing w:after="0" w:line="19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July 23, 2021, the Company’s Board of Directors adopted, and on July 23, 2021 its stockholders approved, the 2021 Employee Stock Purchase Plan (the “2021 ESPP”), which became effective on July 29, 2021. A total of 250,000 shares of Class A common stock were initially reserved for issuance under this plan. The number of shares of Class A common stock that may be issued under the 2021 ESPP will automatically increase on the first day of each calendar year, beginning on January 1, 2022 and ending on and including January 1, 2031, equal to the lesser of (i) 1% of the shares of Class A common stock outstanding on the final day of the immediately preceding calendar year and (ii) such smaller number of shares of Class A common stock as determined by the board of directors, provided that not more than 3,340,000 shares of Class A common stock may be issued under the 2021 ESPP. As of September 30, 2022, no shares had been issued under the 2021 ESPP.</w:t>
      </w:r>
    </w:p>
    <w:p>
      <w:pPr>
        <w:spacing w:after="0" w:line="18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During the three and nine months ended September 30, 2022, the Company recognized stock-based compensation expense of $1,066,212 and $3,016,283, respectively. During the three and nine months ended September 30, 2021, the Company recognized stock-based compensation expense of $636,806 and $1,170,040, respectively. As of September 30, 2022, compensation expense remaining to be recognized for outstanding stock options was $10,147,422 and to be recognized over a weighted-average period of 2.60 years.</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 xml:space="preserve">The fair value of options granted is calculated on the grant date using the Black-Scholes option valuation model. </w:t>
      </w:r>
      <w:r>
        <w:rPr>
          <w:rFonts w:ascii="Times New Roman" w:cs="Times New Roman" w:eastAsia="Times New Roman" w:hAnsi="Times New Roman"/>
          <w:sz w:val="17"/>
          <w:szCs w:val="17"/>
          <w:color w:val="auto"/>
        </w:rPr>
        <w:t>The</w:t>
      </w:r>
      <w:r>
        <w:rPr>
          <w:rFonts w:ascii="Times New Roman" w:cs="Times New Roman" w:eastAsia="Times New Roman" w:hAnsi="Times New Roman"/>
          <w:sz w:val="18"/>
          <w:szCs w:val="18"/>
          <w:color w:val="auto"/>
        </w:rPr>
        <w:t xml:space="preserve"> Company historically has been a private company and lacks company-specific historical and implied volatility information.</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Therefore, it estimates its expected stock volatility based on the historical volatility of a publicly traded set of peer public companies and expects to continue to do so until such time as it has adequate historical data regarding the volatility of its own traded stock price. For the nine months ended September 30, 2022, the Company granted 1,099,810 shares of stock options at a weighted-average grant date fair value of $9.39.</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used the following assumptions in its application of the Black-Scholes option pricing model for grants during the nine months ended September 30, 2022 and 2021:</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200" w:type="dxa"/>
            <w:vAlign w:val="bottom"/>
          </w:tcPr>
          <w:p>
            <w:pPr>
              <w:spacing w:after="0"/>
              <w:rPr>
                <w:sz w:val="15"/>
                <w:szCs w:val="15"/>
                <w:color w:val="auto"/>
              </w:rPr>
            </w:pPr>
          </w:p>
        </w:tc>
        <w:tc>
          <w:tcPr>
            <w:tcW w:w="270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6200" w:type="dxa"/>
            <w:vAlign w:val="bottom"/>
          </w:tcPr>
          <w:p>
            <w:pPr>
              <w:spacing w:after="0"/>
              <w:rPr>
                <w:sz w:val="12"/>
                <w:szCs w:val="12"/>
                <w:color w:val="auto"/>
              </w:rPr>
            </w:pPr>
          </w:p>
        </w:tc>
        <w:tc>
          <w:tcPr>
            <w:tcW w:w="12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140" w:type="dxa"/>
            <w:vAlign w:val="bottom"/>
          </w:tcPr>
          <w:p>
            <w:pPr>
              <w:spacing w:after="0"/>
              <w:rPr>
                <w:sz w:val="12"/>
                <w:szCs w:val="12"/>
                <w:color w:val="auto"/>
              </w:rPr>
            </w:pPr>
          </w:p>
        </w:tc>
        <w:tc>
          <w:tcPr>
            <w:tcW w:w="12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142"/>
        </w:trPr>
        <w:tc>
          <w:tcPr>
            <w:tcW w:w="6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risk-free interest rate</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1.35% - 3.31%</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0.885% - 1.71%</w:t>
            </w: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5.00 - 10 years</w:t>
            </w:r>
          </w:p>
        </w:tc>
        <w:tc>
          <w:tcPr>
            <w:tcW w:w="1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5.83 - 10 years</w:t>
            </w:r>
          </w:p>
        </w:tc>
      </w:tr>
      <w:tr>
        <w:trPr>
          <w:trHeight w:val="21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34"/>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64.78% - 78.12%</w:t>
            </w:r>
          </w:p>
        </w:tc>
        <w:tc>
          <w:tcPr>
            <w:tcW w:w="14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68.92% - 80.99%</w:t>
            </w:r>
          </w:p>
        </w:tc>
      </w:tr>
    </w:tbl>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 during the nine months ended September 30, 2022 under the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Plan:</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80" w:type="dxa"/>
            <w:vAlign w:val="bottom"/>
          </w:tcPr>
          <w:p>
            <w:pPr>
              <w:spacing w:after="0"/>
              <w:rPr>
                <w:sz w:val="12"/>
                <w:szCs w:val="12"/>
                <w:color w:val="auto"/>
              </w:rPr>
            </w:pPr>
          </w:p>
        </w:tc>
        <w:tc>
          <w:tcPr>
            <w:tcW w:w="90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720" w:type="dxa"/>
            <w:vAlign w:val="bottom"/>
          </w:tcPr>
          <w:p>
            <w:pPr>
              <w:spacing w:after="0"/>
              <w:rPr>
                <w:sz w:val="15"/>
                <w:szCs w:val="15"/>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Term (in Years)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10"/>
        </w:trPr>
        <w:tc>
          <w:tcPr>
            <w:tcW w:w="47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of December 31, 2021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2,859,544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1,099,810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(84,533)</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Cancelled</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(276,795)</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2022</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3,598,026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2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25,888,461</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exercisable at September 30, 2022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1,759,343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16,143,887</w:t>
            </w:r>
          </w:p>
        </w:tc>
        <w:tc>
          <w:tcPr>
            <w:tcW w:w="0" w:type="dxa"/>
            <w:vAlign w:val="bottom"/>
          </w:tcPr>
          <w:p>
            <w:pPr>
              <w:spacing w:after="0"/>
              <w:rPr>
                <w:sz w:val="1"/>
                <w:szCs w:val="1"/>
                <w:color w:val="auto"/>
              </w:rPr>
            </w:pPr>
          </w:p>
        </w:tc>
      </w:tr>
      <w:tr>
        <w:trPr>
          <w:trHeight w:val="234"/>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September 30, 2022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3,598,026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25,888,461</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2022 and 2021, the Company recognized share-based compensation expense recognized on the accompanying condensed consolidated statements of operations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244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2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424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142"/>
        </w:trPr>
        <w:tc>
          <w:tcPr>
            <w:tcW w:w="4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83,389</w:t>
            </w:r>
          </w:p>
        </w:tc>
      </w:tr>
      <w:tr>
        <w:trPr>
          <w:trHeight w:val="21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507,489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305,739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1,445,145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571,359</w:t>
            </w:r>
          </w:p>
        </w:tc>
      </w:tr>
      <w:tr>
        <w:trPr>
          <w:trHeight w:val="21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557,665</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292,560</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1,561,435</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515,292</w:t>
            </w:r>
          </w:p>
        </w:tc>
      </w:tr>
      <w:tr>
        <w:trPr>
          <w:trHeight w:val="20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1,066,212</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636,806</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3,016,283</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1,170,040</w:t>
            </w:r>
          </w:p>
        </w:tc>
      </w:tr>
      <w:tr>
        <w:trPr>
          <w:trHeight w:val="20"/>
        </w:trPr>
        <w:tc>
          <w:tcPr>
            <w:tcW w:w="4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12 – Commitments and Contingencies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Operating Leases</w:t>
      </w:r>
    </w:p>
    <w:p>
      <w:pPr>
        <w:spacing w:after="0" w:line="22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leases office space in Cambridge, Massachusetts, New York, New York and San Francisco, California, pursuant to short-term arrangements. The Cambridge and San Francisco leases are on a month-to-month basis, requiring one month’s notice before termination. The New York lease is renewable on an annual basis and the last renewal extended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 lease term until March 31, 2023. These lease agreements include payments for lease and non-lease components and the Company has elected to not separate such components and these payments were recognized as rent expense.</w:t>
      </w:r>
    </w:p>
    <w:p>
      <w:pPr>
        <w:spacing w:after="0" w:line="162"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As of September 30, 2022, total future minimum lease payments for its short-term leases in Cambridge, Massachusetts, New York, New York and San Francisco, California was $26,556 due in 2022.</w:t>
      </w:r>
    </w:p>
    <w:p>
      <w:pPr>
        <w:spacing w:after="0" w:line="162"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In October 2020, the Company entered into an office lease (“Via Frontera Lease”) in San Diego, California with a lease term of 67 months. At the lease commencement date, a right-to-use asset and lease liability was recognized by the Company for $637,863. In January 2022, the Company exercised its option to terminate the Via Frontera Lease 20 months early. The lease will terminate on October 1, 2023. This was accounted for as a lease modification which reduces the term of the existing lease and the Company adjusted the value of its right-of-use asset and operating lease liability by $347,739 using an incremental borrowing rate of approximately 6%.</w:t>
      </w:r>
    </w:p>
    <w:p>
      <w:pPr>
        <w:spacing w:after="0" w:line="187"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The modification is reflected as a non-cash operating activity in the statement of cash flows for the nine months ended September 30, 2022.</w:t>
      </w:r>
    </w:p>
    <w:p>
      <w:pPr>
        <w:spacing w:after="0" w:line="162" w:lineRule="exact"/>
        <w:rPr>
          <w:sz w:val="20"/>
          <w:szCs w:val="20"/>
          <w:color w:val="auto"/>
        </w:rPr>
      </w:pPr>
    </w:p>
    <w:p>
      <w:pPr>
        <w:jc w:val="both"/>
        <w:ind w:left="60" w:right="419"/>
        <w:spacing w:after="0" w:line="266" w:lineRule="auto"/>
        <w:rPr>
          <w:sz w:val="20"/>
          <w:szCs w:val="20"/>
          <w:color w:val="auto"/>
        </w:rPr>
      </w:pPr>
      <w:r>
        <w:rPr>
          <w:rFonts w:ascii="Times New Roman" w:cs="Times New Roman" w:eastAsia="Times New Roman" w:hAnsi="Times New Roman"/>
          <w:sz w:val="18"/>
          <w:szCs w:val="18"/>
          <w:color w:val="auto"/>
        </w:rPr>
        <w:t>The Company subsequently entered into a sublease of the Via Frontera Lease, the term of which commenced in March 2022 and continues through the full remaining obligation. Sublease income will be accounted for as a reduction of rent expense in the statement of operations.</w:t>
      </w:r>
    </w:p>
    <w:p>
      <w:pPr>
        <w:spacing w:after="0" w:line="1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As part of the BioArkive acquisition, the Company assumed the obligations of three leases in San Diego, California. One is for 38,613 square feet of office and laboratory space, under a lease that terminates on April 30, 2032, the second is for a 6,100 square feet of office and laboratory space under a lease that terminates on December 31, 2022 (the “Site 2 Lease”), and the third is for a lease for 4,760 square feet of office and laboratory space under a lease that terminates on March 31, 2024. As a result, the Company recorded right-to-use assets and lease liabilities of $4,824,700 on the acquisition date of December 22, 2021. In February 2022, the Company entered into a sublease of the Site 2 Lease, the term of which continues through the remaining term of the Site 2 Lease. In August 2022, the Company terminated the Site 2 lease and sublease early as the building was sold. As such, the remaining right-of-use asset and lease liability were written off during the quarter ended September 30, 2022. This is reflected as a non-cash operating activity in the statement of cash flows for the nine months ended September 30, 2022.</w:t>
      </w:r>
    </w:p>
    <w:p>
      <w:pPr>
        <w:spacing w:after="0" w:line="194"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Future minimum lease payments for operating leases with initial or remaining terms in excess of one year at September 30, 2022 were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26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3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2022</w:t>
            </w:r>
          </w:p>
        </w:tc>
        <w:tc>
          <w:tcPr>
            <w:tcW w:w="45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843,463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732,546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739,689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761,877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5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4,467,246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4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7,674,636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Less: Imputed interest</w:t>
            </w:r>
          </w:p>
        </w:tc>
        <w:tc>
          <w:tcPr>
            <w:tcW w:w="45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(2,823,289)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lease liabilities</w:t>
            </w:r>
          </w:p>
        </w:tc>
        <w:tc>
          <w:tcPr>
            <w:tcW w:w="45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4,851,347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Current portion lease liability</w:t>
            </w:r>
          </w:p>
        </w:tc>
        <w:tc>
          <w:tcPr>
            <w:tcW w:w="456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60" w:type="dxa"/>
            <w:vAlign w:val="bottom"/>
            <w:vMerge w:val="continue"/>
          </w:tcPr>
          <w:p>
            <w:pPr>
              <w:spacing w:after="0"/>
              <w:rPr>
                <w:sz w:val="17"/>
                <w:szCs w:val="17"/>
                <w:color w:val="auto"/>
              </w:rPr>
            </w:pPr>
          </w:p>
        </w:tc>
        <w:tc>
          <w:tcPr>
            <w:tcW w:w="4560" w:type="dxa"/>
            <w:vAlign w:val="bottom"/>
            <w:vMerge w:val="continue"/>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308,694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liability, noncurrent</w:t>
            </w:r>
          </w:p>
        </w:tc>
        <w:tc>
          <w:tcPr>
            <w:tcW w:w="45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4,542,653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lease liability</w:t>
            </w:r>
          </w:p>
        </w:tc>
        <w:tc>
          <w:tcPr>
            <w:tcW w:w="45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4,851,347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4560" w:type="dxa"/>
            <w:vAlign w:val="bottom"/>
            <w:vMerge w:val="restart"/>
          </w:tcPr>
          <w:p>
            <w:pPr>
              <w:jc w:val="right"/>
              <w:ind w:right="317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260" w:type="dxa"/>
            <w:vAlign w:val="bottom"/>
          </w:tcPr>
          <w:p>
            <w:pPr>
              <w:spacing w:after="0"/>
              <w:rPr>
                <w:sz w:val="24"/>
                <w:szCs w:val="24"/>
                <w:color w:val="auto"/>
              </w:rPr>
            </w:pPr>
          </w:p>
        </w:tc>
        <w:tc>
          <w:tcPr>
            <w:tcW w:w="45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26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Quantitative information regarding the Company’s leases for the nine months ended September 30, 2022 and 2021 is as follows: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Pr>
          <w:p>
            <w:pPr>
              <w:spacing w:after="0"/>
              <w:rPr>
                <w:sz w:val="13"/>
                <w:szCs w:val="13"/>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578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costs: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cost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777,741</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102,753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Short-term lease cost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225,839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188,074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Sublease income</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(149,260)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7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lease costs</w:t>
            </w: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854,320</w:t>
            </w: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290,827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8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479,976</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83,160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Operating cash flows from short-term leases</w:t>
            </w:r>
          </w:p>
        </w:tc>
        <w:tc>
          <w:tcPr>
            <w:tcW w:w="6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225,839</w:t>
            </w:r>
          </w:p>
        </w:tc>
        <w:tc>
          <w:tcPr>
            <w:tcW w:w="4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188,074</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705,815</w:t>
            </w:r>
          </w:p>
        </w:tc>
        <w:tc>
          <w:tcPr>
            <w:tcW w:w="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271,234</w:t>
            </w: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8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9.36 years</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4.58 years</w:t>
            </w: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the Company’s leases typically do not provide an implicit rate, the Company uses an estimate of its incremental borrowing rate based on the information available at the lease commencement date in determining the present value of lease payments.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Litigation</w:t>
      </w:r>
    </w:p>
    <w:p>
      <w:pPr>
        <w:spacing w:after="0" w:line="22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From time to time, the Company may have certain contingent liabilities that arise in the ordinary course of its business activities and may be exposed to litigation in connection with its products and operations. The Company’s policy is to assess the likelihood of any adverse judgments or outcomes related to legal matters, as well as ranges of probable losses. When it is probable that future expenditures will be made and can be reasonably estimated the Company will accrue a liability for such matters. Significant judgement is required to determine both probability and estimated amount. The Company is not aware of any material legal matters.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Clinical Research Contracts</w:t>
      </w:r>
    </w:p>
    <w:p>
      <w:pPr>
        <w:spacing w:after="0" w:line="22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may enter into contracts in the normal course of business with clinical research organizations for clinical trials, with contract manufacturing organizations for clinical supplies, and with other vendors for preclinical studies, supplies and other services for our operating purposes. These contracts generally provide for termination with a 30-day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condensed consolidated financial statements and related notes appearing elsewhere in this Quarterly Report on Form 10-Q and with our Annual Report on Form 10-K for the fiscal year ended December 31, 2021, including the audited consolidated financial statements and notes thereto.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As a result of many factors, including those factors set forth in the “Risk Factors” section of this Quarterly Report on Form 10-Q, our actual results could differ materially from the results described in or implied by the forward-looking statements contained in the following discussion and analysis.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0A0A0A"/>
        </w:rPr>
        <w:t xml:space="preserve">We aim to </w:t>
      </w:r>
      <w:r>
        <w:rPr>
          <w:rFonts w:ascii="Times New Roman" w:cs="Times New Roman" w:eastAsia="Times New Roman" w:hAnsi="Times New Roman"/>
          <w:sz w:val="18"/>
          <w:szCs w:val="18"/>
          <w:color w:val="000000"/>
        </w:rPr>
        <w:t>create medicines for all patients with solid tumors driven by RAS mutations and other MAPK pathway</w:t>
      </w:r>
      <w:r>
        <w:rPr>
          <w:rFonts w:ascii="Times New Roman" w:cs="Times New Roman" w:eastAsia="Times New Roman" w:hAnsi="Times New Roman"/>
          <w:sz w:val="18"/>
          <w:szCs w:val="18"/>
          <w:color w:val="0A0A0A"/>
        </w:rPr>
        <w:t xml:space="preserve"> </w:t>
      </w:r>
      <w:r>
        <w:rPr>
          <w:rFonts w:ascii="Times New Roman" w:cs="Times New Roman" w:eastAsia="Times New Roman" w:hAnsi="Times New Roman"/>
          <w:sz w:val="18"/>
          <w:szCs w:val="18"/>
          <w:color w:val="000000"/>
        </w:rPr>
        <w:t>activation events</w:t>
      </w:r>
      <w:r>
        <w:rPr>
          <w:rFonts w:ascii="Times New Roman" w:cs="Times New Roman" w:eastAsia="Times New Roman" w:hAnsi="Times New Roman"/>
          <w:sz w:val="18"/>
          <w:szCs w:val="18"/>
          <w:color w:val="0A0A0A"/>
        </w:rPr>
        <w:t>. We have more than a decade of experience applying translational bioinformatics to generate insights into</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A0A0A"/>
        </w:rPr>
        <w:t>drug mechanism of action and patient treatment response. Building on this experience, our disease-agnostic discovery platform enables the company to create product candidates based on 1) biological insights that are both counterintuitive and deeply rooted in data, and 2) novel chemistry. Our lead product candidate, IMM-1-104, aims to achieve pan-RAS activity that selectively impacts cancer cells to a greater extent than healthy cells. IMM-1-104 is designed to be a highly selective third generation dual MEK inhibitor that modulates the signaling dynamics of the MAPK pathway by driving deep cyclic inhibition that deprives tumor cells of the sustained proliferative signaling required for rapid growth, while providing a cadenced, normalized level of signaling designed to spare healthy cells. IMM-1-104 is being developed to treat advanced solid tumors in patients harboring RAS mutations, and is translationally guided by Immuneering's proprietary, human-aligned 3D tumor modeling platform combined with patient-aligned bioinformatics. In addition to IMM-1-104, we are currently evaluating IMM-6-415 in IND-enabling studies. Our earlier drug discovery pipeline includes five additional oncology programs as well as two neuroscience programs.</w:t>
      </w:r>
    </w:p>
    <w:p>
      <w:pPr>
        <w:spacing w:after="0" w:line="214"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On September 30, 2022, the U.S. Food and Drug Administration allowed our Phase 1/2a clinical trial of IMM-1-104 for the treatment of advanced RAS mutant solid tumors to proceed. We are currently recruiting for the trial and we plan to dose the first patient in the trial in the fourth quarter of 2022. The Phase 1/2a clinical trial is designed to assess the safety, tolerability, pharmacokinetics, pharmacodynamics and preliminary anti-tumor activity of IMM-1-104. The Phase 1 portion of the clinical trial will evaluate IMM-1-104 in order to establish a recommended Phase 2 dose in solid tumor patients with evidence of any RAS mutation. The Phase 2a portion will evaluate dose expansion of IMM-1-104 in patients with certain RAS mutated cancers, including pancreatic, melanoma, colorectal and lung. In addition, we plan to submit an Investigational New Drug Application (“IND”) for IMM-6-415 to the FDA in the fourth quarter of 2023. We anticipate submitting at least one additional IND for our other oncology programs in 2024.</w:t>
      </w:r>
    </w:p>
    <w:p>
      <w:pPr>
        <w:spacing w:after="0" w:line="21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For the period from inception through 2017, we devoted substantially all of our efforts to business planning, service revenue generation, developing tools to aid in drug discovery, and recruiting management and technical staff. Since 2018, we have also focused significant effort on our own internal research and development programs. We have financed our operations through service revenues, the issuance of convertible debt and the sale of convertible preferred stock and common stock.</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On December 22, 2021, we completed the acquisition of all outstanding shares of capital stock of BioArkive, Inc., a California corporation (“BioArkive”) for a market value of $8.75 million.</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BioArkive is a San Diego based contract research organization that has previously provided preclinical research services and biosample storage to us and other biotechnology companies. BioArkive was fully integrated into our operations and exclusively supports our internal preclinical research activities for our oncology pipeline. In connection with the acquisition, we assumed the obligations under BioArkive’s three lease agreements.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purchase price was paid by us through the issuance of an aggregate of 379,635 shares of our Class A common stock. The number of shares of Class A common stock issued was calculated using a value based on the average of the daily volume weighted average prices of our Class A common stock on the Nasdaq Stock Exchange for the 30-trading day period ending on and including the trading day immediately prior to the closing date. The sellers of BioArkive were restricted from selling these shares for a six month period from the date of the acquisition. As such, we estimated that there was an approximate 10% discount for the lack of marketability of the shares. The fair value of the purchase price in the acquisition was $7.88 million.</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operations have been financed primarily by service revenues and aggregate net proceeds of approximately $81.4 million from the issuance of convertible notes payable, convertible preferred stock (Series A and B) including gross proceeds of approximately $24.8 million from the issuance of shares in the second tranche of Series B Preferred in April and May 2021, common stock, exercise of stock options. On August 3, 2021, we completed our IPO pursuant to which we issued and sold 8,625,000 shares of Class A common stock, inclusive of 1,125,000 shares sold by us pursuant to the full exercise of the underwriters’ option to purchase additional shares. We received aggregate net proceeds of approximately $120.3 million from the IPO, after deducting underwriting discounts and commissions, but before deducting offering costs payable by us, which were $2.1 million.</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Since inception, we have had significant annual operating losses. Our net loss was approximately $37.3 million, for the nine months ended September 30, 2022 and $33.5 million for the year ended December 31, 2021. As of September 30, 2022, we had an accumulated deficit of approximately $96.5 million and approximately $117.2 million in cash and cash equivalents and marketable securities.</w:t>
      </w:r>
    </w:p>
    <w:p>
      <w:pPr>
        <w:spacing w:after="0" w:line="18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Cash used to fund operating expenses is impacted by the timing of when we pay these expenses, as reflected in the change in our accounts payable and accrued expenses. We expect to continue to incur net losses for the foreseeable future, and we expect our research and development expenses, general and administrative expenses, and capital expenditures will continue to increase. In particular, we expect our expenses to increase as we continue our development of, and seek regulatory approvals for, our internally developed product candidates as well as add operational, financial and management informational systems and personnel to support our product development. In addition, if and when we seek and obtain regulatory approval to commercialize any product candidate, we will also incur increased expenses in connection with commercialization and marketing of any such product. Our net losses may fluctuate significantly from quarter-to-quarter and year-to-year, depending on the timing of our clinical trials and our expenditures on other research and development activities.</w:t>
      </w:r>
    </w:p>
    <w:p>
      <w:pPr>
        <w:spacing w:after="0" w:line="194"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Based upon our current business plans, we believe that our existing cash and cash equivalents and marketable securities will be sufficient to fund our development activities and other operations into the third quarter of 2024. We have based this estimate on assumptions that may prove to be wrong, and we could exhaust our available capital resources sooner than we expect. To finance our operations beyond that point we will need to raise additional capital, which cannot be assured.</w:t>
      </w:r>
    </w:p>
    <w:p>
      <w:pPr>
        <w:spacing w:after="0" w:line="18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have not had any internally developed products approved for sale. We do not expect to generate any product sales unless and until we successfully complete development and obtain regulatory approval for one or more of our internally developed product candidates. If we obtain regulatory approval for any of our internally developed product candidates, we expect to incur significant commercialization expenses related to product sales, marketing, manufacturing and distribution. As a result, until such time, if ever, that we can generate substantial product revenue, we expect to finance our cash needs through equity offerings, debt financings or other capital sources, including collaborations, licenses or similar arrangements. However, we may be unable to raise additional funds or enter into such other arrangements when needed or on favorable terms, if at all. Any failure to raise capital as and when needed could have a negative impact on our financial condition and on our ability to pursue our business plans and strategies, including our research and development activities. If we are unable to raise capital, we will need to delay, reduce or terminate planned activities to reduce costs.</w:t>
      </w:r>
    </w:p>
    <w:p>
      <w:pPr>
        <w:spacing w:after="0" w:line="194"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March 2020, the World Health Organization declared the coronavirus (“COVID-19”) outbreak a pandemic and we continue to monitor the ongoing impacts of the COVID-19 pandemic. We cannot presently predict the scope and severity of any future potential business shutdowns or disruptions, but if we or any of the third parties with whom we engage, including personnel at third-party manufacturing facilities and other third parties with whom we conduct business, were to experience shutdowns or other business disruptions, our ability to conduct our business in the manner and on the timeline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presently planned could be materially and adversely impacted. While to date we have been able to continue to execute our overall business plan, it is unknown how long these conditions will last and what the complete effect will be on us. Overall, we recognize the challenges the pandemic may pose to our business, will continue to closely monitor events as they develop and plan for alternative and mitigating measures that we can implement if needed.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revenue is generated by providing computational biology professional services to pharmaceutical and biotechnology companies. We charge an agreed upon rate per hour based on the aggregate level of personnel assigned to work on the project or a fixed fee for a defined scope of work. Our contracts specify the period of time over which these professional services will be provided. We recognize revenue over time by measuring the progress toward complete satisfaction of the performance obligation using a single method of measuring progress, which depicts the performance in transferring control of the associated services to the customer. We use input methods to measure the progress toward the complete satisfaction of performance obligations and evaluate the measure of progress each reporting period and, if necessary, adjust the measure of performance and related revenue recognition. Any such adjustments are recorded on a cumulative catch-up basis, which would affect revenue and net loss in the period of adjustment.</w:t>
      </w:r>
    </w:p>
    <w:p>
      <w:pPr>
        <w:spacing w:after="0" w:line="18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expect revenue to continue to decrease as we have deprioritized new services work in order to focus on developing our wholly owned pipeline. In September 2022, we completed our last remaining services contract associated with the computational biology professional services business. At this time, we do not anticipate entering into any new service contracts or agreements.</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are in the process of discontinuing biosample storage, which was acquired through the BioArkive transaction, to external parties and expect it to complete by the end of 2022. The revenue earned associated with this is immaterial to the financial statements and is expected to continue to decrease until these external services are discontinued.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cost of revenue expenses consists primarily of costs related to providing professional services to our customers. These costs include salaries, bonuses, benefits, and stock-based compensation expense, depreciation, facilities, and other outside services.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operating expenses consist of (i) research and development expenses and (ii) general and administrative expenses.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account for a significant portion of our operating expenses. Our research and development expenses consist primarily of direct and indirect costs incurred in connection with the development of our research platform, product candidates, discovery efforts and preclinical and clinical activities related to our program pipeline.</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direct costs include:</w:t>
      </w:r>
    </w:p>
    <w:p>
      <w:pPr>
        <w:spacing w:after="0" w:line="225" w:lineRule="exact"/>
        <w:rPr>
          <w:sz w:val="20"/>
          <w:szCs w:val="20"/>
          <w:color w:val="auto"/>
        </w:rPr>
      </w:pPr>
    </w:p>
    <w:p>
      <w:pPr>
        <w:jc w:val="both"/>
        <w:ind w:left="1040" w:right="79" w:hanging="315"/>
        <w:spacing w:after="0" w:line="257"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third-party contract research organizations, or CROs, and other vendors that conduct our preclinical and clinical activities on our behalf; including clinical trial sites that conduct research and development activities on our behalf.</w:t>
      </w:r>
    </w:p>
    <w:p>
      <w:pPr>
        <w:spacing w:after="0" w:line="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expenses related to the execution of discovery programs, preclinical studies and clinical trials;</w:t>
      </w:r>
    </w:p>
    <w:p>
      <w:pPr>
        <w:spacing w:after="0" w:line="9" w:lineRule="exact"/>
        <w:rPr>
          <w:rFonts w:ascii="Times New Roman" w:cs="Times New Roman" w:eastAsia="Times New Roman" w:hAnsi="Times New Roman"/>
          <w:sz w:val="18"/>
          <w:szCs w:val="18"/>
          <w:color w:val="auto"/>
        </w:rPr>
      </w:pPr>
    </w:p>
    <w:p>
      <w:pPr>
        <w:ind w:left="1040" w:right="79" w:hanging="315"/>
        <w:spacing w:after="0" w:line="260"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production of clinical and preclinical materials, including fees paid to contract manufacturers; and</w:t>
      </w:r>
    </w:p>
    <w:p>
      <w:pPr>
        <w:sectPr>
          <w:pgSz w:w="11900" w:h="16838" w:orient="portrait"/>
          <w:cols w:equalWidth="0" w:num="1">
            <w:col w:w="9019"/>
          </w:cols>
          <w:pgMar w:left="1440" w:top="513"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2239" w:firstLine="25"/>
        <w:spacing w:after="0" w:line="500" w:lineRule="auto"/>
        <w:tabs>
          <w:tab w:leader="none" w:pos="105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fees and expenses related to preparation of initiation of clinical trials Our indirect costs include:</w:t>
      </w:r>
    </w:p>
    <w:p>
      <w:pPr>
        <w:spacing w:after="0" w:line="1" w:lineRule="exact"/>
        <w:rPr>
          <w:rFonts w:ascii="Times New Roman" w:cs="Times New Roman" w:eastAsia="Times New Roman" w:hAnsi="Times New Roman"/>
          <w:sz w:val="18"/>
          <w:szCs w:val="18"/>
          <w:color w:val="auto"/>
        </w:rPr>
      </w:pPr>
    </w:p>
    <w:p>
      <w:pPr>
        <w:ind w:left="1040" w:right="79" w:hanging="315"/>
        <w:spacing w:after="0" w:line="261"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expenses, consisting of employee salaries, bonuses, benefits and stock-based compensation expense and recruiting costs for personnel engaged in research and development activities; and</w:t>
      </w:r>
    </w:p>
    <w:p>
      <w:pPr>
        <w:ind w:left="1040" w:right="79" w:hanging="315"/>
        <w:spacing w:after="0" w:line="260"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and equipment related expenses, consisting of indirect and allocated expenses for rent, depreciation, maintenance of facilities, insurance, and other supplies.</w:t>
      </w:r>
    </w:p>
    <w:p>
      <w:pPr>
        <w:spacing w:after="0" w:line="181"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expense research and development costs in the periods in which they are incurred. Our direct research and development expenses are not currently tracked on a program-by-program basis, but we anticipate tracking costs on a program-by-program basis at the time IMM-1-104 enters clinical trials, which we expect to occur in the fourth quarter of 2022. We use our personnel and infrastructure resources across multiple research and development programs directed toward identifying and developing product candidates.</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Due to the inherently unpredictable nature and numerous risks and uncertainties associated with product development and the current stage of development of our product candidates and programs, we cannot reasonably estimate or know the nature, timing and estimated costs necessary to complete the remainder of the development of our product candidates or programs. We are also unable to predict if, when, or to what extent we will obtain approval and generate revenues from the commercialization and sale of any of our product candidates.</w:t>
      </w:r>
    </w:p>
    <w:p>
      <w:pPr>
        <w:spacing w:after="0" w:line="18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duration, costs and timing of preclinical studies and clinical trials and development of our product candidates will depend on a variety of factors, such as:</w:t>
      </w:r>
    </w:p>
    <w:p>
      <w:pPr>
        <w:spacing w:after="0" w:line="162" w:lineRule="exact"/>
        <w:rPr>
          <w:sz w:val="20"/>
          <w:szCs w:val="20"/>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preclinical studies and initiation of clinical trials for future product candidates;</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and completion of clinical trials for our current product candidates;</w:t>
      </w:r>
    </w:p>
    <w:p>
      <w:pPr>
        <w:spacing w:after="0" w:line="9"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from our clinical programs that support an acceptable risk-benefit profile of our product candidates in the intended patient populations;</w:t>
      </w:r>
    </w:p>
    <w:p>
      <w:pPr>
        <w:ind w:left="1040" w:right="79" w:hanging="315"/>
        <w:spacing w:after="0" w:line="250"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the FDA or other applicable regulatory agencies of IND applications, clinical trial applications and/or other regulatory filings for our product candidates;</w:t>
      </w:r>
    </w:p>
    <w:p>
      <w:pPr>
        <w:ind w:left="1040" w:right="79" w:hanging="315"/>
        <w:spacing w:after="0" w:line="250"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and maintenance of a workforce of experienced scientists and others to continue to develop our product candidates;</w:t>
      </w: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application for and receipt of marketing approvals from applicable regulatory authorities;</w:t>
      </w:r>
    </w:p>
    <w:p>
      <w:pPr>
        <w:spacing w:after="0" w:line="9"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obtainment and maintenance of intellectual property protection and regulatory exclusivity for our product candidates;</w:t>
      </w:r>
    </w:p>
    <w:p>
      <w:pPr>
        <w:ind w:left="1040" w:right="79" w:hanging="315"/>
        <w:spacing w:after="0" w:line="250"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of arrangements with contract manufacturing organizations for, or establishment of, commercial manufacturing capabilities;</w:t>
      </w:r>
    </w:p>
    <w:p>
      <w:pPr>
        <w:ind w:left="1040" w:right="79" w:hanging="315"/>
        <w:spacing w:after="0" w:line="250"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sales, marketing and distribution capabilities and successful launch of commercial sales of our product candidates, if and when approved, whether alone or in collaboration with others;</w:t>
      </w:r>
    </w:p>
    <w:p>
      <w:pPr>
        <w:ind w:left="1040" w:right="79" w:hanging="315"/>
        <w:spacing w:after="0" w:line="250"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 candidates, if and when approved, by patients, the medical community and third-party payors;</w:t>
      </w: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competition with other therapies;</w:t>
      </w:r>
    </w:p>
    <w:p>
      <w:pPr>
        <w:spacing w:after="0" w:line="9"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obtainment and maintenance of coverage, adequate pricing and adequate reimbursement from third-party payors, including government payors;</w:t>
      </w: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enforcement, defense and protection of our rights in our intellectual property portfolio;</w:t>
      </w:r>
    </w:p>
    <w:p>
      <w:pPr>
        <w:spacing w:after="0" w:line="9" w:lineRule="exact"/>
        <w:rPr>
          <w:rFonts w:ascii="Times New Roman" w:cs="Times New Roman" w:eastAsia="Times New Roman" w:hAnsi="Times New Roman"/>
          <w:sz w:val="18"/>
          <w:szCs w:val="18"/>
          <w:color w:val="auto"/>
        </w:rPr>
      </w:pPr>
    </w:p>
    <w:p>
      <w:pPr>
        <w:ind w:left="1040" w:right="79" w:hanging="315"/>
        <w:spacing w:after="0" w:line="249"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avoidance of infringement, misappropriation or other violations with respect to others</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intellectual property or proprietary rights; and</w:t>
      </w:r>
    </w:p>
    <w:p>
      <w:pPr>
        <w:spacing w:after="0" w:line="1" w:lineRule="exact"/>
        <w:rPr>
          <w:rFonts w:ascii="Times New Roman" w:cs="Times New Roman" w:eastAsia="Times New Roman" w:hAnsi="Times New Roman"/>
          <w:sz w:val="18"/>
          <w:szCs w:val="18"/>
          <w:color w:val="auto"/>
        </w:rPr>
      </w:pPr>
    </w:p>
    <w:p>
      <w:pPr>
        <w:ind w:left="1040" w:right="79" w:hanging="315"/>
        <w:spacing w:after="0" w:line="260"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a continued acceptable safety profile of our products following receipt of any marketing approvals.</w:t>
      </w:r>
    </w:p>
    <w:p>
      <w:pPr>
        <w:spacing w:after="0" w:line="181"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of our product candidates could significantly change the costs and timing associated with the development of that product candidate.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process of conducting the necessary preclinical and clinical research to obtain regulatory approval is costly and time-consuming. The actual probability of success for our product candidates may be affected by a variety of factors.</w:t>
      </w:r>
    </w:p>
    <w:p>
      <w:pPr>
        <w:spacing w:after="0" w:line="16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may never succeed in achieving regulatory approval for any of our product candidates. Further, a number of factors, including those outside of our control, could adversely impact the timing and duration of our product candidates’ development, which could increase our research and development expense. We may obtain unexpected results from our preclinical studies and clinical trials. We may elect to discontinue, delay or modify clinical trials of some product candidates or focus on others. A change in the outcome of any of these factors could mean a significant change in the costs and timing associated with the development of our current and future preclinical and clinical product candidates. For example, if the FDA or another regulatory authority were to require us to conduct clinical trials beyond those that we currently anticipate will be required for the completion of clinical development, or if we experience significant delays in execution of or enrollment in any of our preclinical studies or clinical trials, we could be required to expend significant additional financial resources and time on the completion of preclinical and clinical development.</w:t>
      </w:r>
    </w:p>
    <w:p>
      <w:pPr>
        <w:spacing w:after="0" w:line="194"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expect that our research and development expenses will substantially increase for the foreseeable future as we continue to implement our business strategy, which includes advancing our product candidates through clinical development, expanding our research and development efforts, including hiring additional personnel to support our research and development efforts, and seeking regulatory approvals for our product candidates that successfully complete clinical trials. In addition, product candidates in later stages of clinical development generally incur higher development costs than those in earlier stages of clinical development, primarily due to the increased size and duration of later-stage clinical trials. As a result, we expect our research and development expenses to increase as our product candidates advance into later stages of clinical development. As of the date of this Quarterly Report on Form 10-Q, we cannot reasonably determine or accurately project total program-specific expenses through commercialization. There are numerous factors associated with the successful commercialization of any of our product candidates, including future trial design and various regulatory requirements, many of which cannot be determined with accuracy at this time based on our stage of development.</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general and administrative expenses consist primarily of personnel-related expenses, including employee salaries, bonuses, benefits, stock-based compensation, and recruiting costs for personnel in executive, finance, and other administrative functions. Other significant general and administrative expenses include legal fees relating to intellectual property and corporate matters, professional fees for accounting, tax and consulting services, insurance costs, travel expenses and facility related expenses not otherwise included in research and development expenses.</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expect our general and administrative expenses will substantially increase for the foreseeable future as we continue to increase our general and administrative headcount to support our continued research and development activities and, if any product candidates receive marketing approval, commercialization activities, as well as to support our operations generally. As we expand our operations, we also expect to incur increased expenses associated with operating as a public company, including costs related to accounting, audit, legal, regulatory, and tax-related services associated with maintaining compliance with exchange listing and rules and regulations of the SEC, Sarbanes-Oxley Act, director and officer insurance costs, and investor and public relations costs.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Amortization of intangible asset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Amortization of intangible asset relates to the technology acquired in the BioArkive acquisition.</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9" w:lineRule="exact"/>
        <w:rPr>
          <w:sz w:val="20"/>
          <w:szCs w:val="20"/>
          <w:color w:val="auto"/>
        </w:rPr>
      </w:pPr>
    </w:p>
    <w:p>
      <w:pPr>
        <w:ind w:left="60" w:right="339"/>
        <w:spacing w:after="0" w:line="260" w:lineRule="auto"/>
        <w:rPr>
          <w:sz w:val="20"/>
          <w:szCs w:val="20"/>
          <w:color w:val="auto"/>
        </w:rPr>
      </w:pPr>
      <w:r>
        <w:rPr>
          <w:rFonts w:ascii="Times New Roman" w:cs="Times New Roman" w:eastAsia="Times New Roman" w:hAnsi="Times New Roman"/>
          <w:sz w:val="18"/>
          <w:szCs w:val="18"/>
          <w:color w:val="auto"/>
        </w:rPr>
        <w:t>Interest income consists of interest earned on our cash and cash equivalents balances and our marketable securities. The primary objective of our investment policy is capital preservation.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expense</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expense consists of the amortization of premiums or accretion of discounts related to our marketable securities.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September 30, 2022 and 2021</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indicated:</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860" w:type="dxa"/>
            <w:vAlign w:val="bottom"/>
          </w:tcPr>
          <w:p>
            <w:pPr>
              <w:spacing w:after="0"/>
              <w:rPr>
                <w:sz w:val="15"/>
                <w:szCs w:val="15"/>
                <w:color w:val="auto"/>
              </w:rPr>
            </w:pPr>
          </w:p>
        </w:tc>
        <w:tc>
          <w:tcPr>
            <w:tcW w:w="252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52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42"/>
        </w:trPr>
        <w:tc>
          <w:tcPr>
            <w:tcW w:w="486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2"/>
                <w:szCs w:val="12"/>
                <w:color w:val="auto"/>
              </w:rPr>
            </w:pPr>
          </w:p>
        </w:tc>
        <w:tc>
          <w:tcPr>
            <w:tcW w:w="680" w:type="dxa"/>
            <w:vAlign w:val="bottom"/>
            <w:tcBorders>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500" w:type="dxa"/>
            <w:vAlign w:val="bottom"/>
            <w:tcBorders>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r>
      <w:tr>
        <w:trPr>
          <w:trHeight w:val="184"/>
        </w:trPr>
        <w:tc>
          <w:tcPr>
            <w:tcW w:w="4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0" w:type="dxa"/>
            <w:vAlign w:val="bottom"/>
            <w:gridSpan w:val="6"/>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61"/>
        </w:trPr>
        <w:tc>
          <w:tcPr>
            <w:tcW w:w="4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(444)</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(92.1)%</w:t>
            </w:r>
          </w:p>
        </w:tc>
      </w:tr>
      <w:tr>
        <w:trPr>
          <w:trHeight w:val="216"/>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w:t>
            </w:r>
          </w:p>
        </w:tc>
        <w:tc>
          <w:tcPr>
            <w:tcW w:w="68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(91.3)%</w:t>
            </w:r>
          </w:p>
        </w:tc>
      </w:tr>
      <w:tr>
        <w:trPr>
          <w:trHeight w:val="20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(244)</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(92.8)%</w:t>
            </w:r>
          </w:p>
        </w:tc>
      </w:tr>
      <w:tr>
        <w:trPr>
          <w:trHeight w:val="20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6,207</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50.9 %</w:t>
            </w:r>
          </w:p>
        </w:tc>
      </w:tr>
      <w:tr>
        <w:trPr>
          <w:trHeight w:val="216"/>
        </w:trPr>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47.6 %</w:t>
            </w:r>
          </w:p>
        </w:tc>
      </w:tr>
      <w:tr>
        <w:trPr>
          <w:trHeight w:val="216"/>
        </w:trPr>
        <w:tc>
          <w:tcPr>
            <w:tcW w:w="4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Amortization of intangible asset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N/M %</w:t>
            </w:r>
          </w:p>
        </w:tc>
      </w:tr>
      <w:tr>
        <w:trPr>
          <w:trHeight w:val="209"/>
        </w:trPr>
        <w:tc>
          <w:tcPr>
            <w:tcW w:w="4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13,207</w:t>
            </w:r>
          </w:p>
        </w:tc>
        <w:tc>
          <w:tcPr>
            <w:tcW w:w="2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8,806</w:t>
            </w:r>
          </w:p>
        </w:tc>
        <w:tc>
          <w:tcPr>
            <w:tcW w:w="14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4,401</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50.0 %</w:t>
            </w:r>
          </w:p>
        </w:tc>
      </w:tr>
      <w:tr>
        <w:trPr>
          <w:trHeight w:val="210"/>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(8,543)</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(4,645)</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54.4 %</w:t>
            </w: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N/M %</w:t>
            </w:r>
          </w:p>
        </w:tc>
      </w:tr>
      <w:tr>
        <w:trPr>
          <w:trHeight w:val="216"/>
        </w:trPr>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N/M %</w:t>
            </w:r>
          </w:p>
        </w:tc>
      </w:tr>
      <w:tr>
        <w:trPr>
          <w:trHeight w:val="210"/>
        </w:trPr>
        <w:tc>
          <w:tcPr>
            <w:tcW w:w="48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CCEEFF"/>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(4,310)</w:t>
            </w:r>
          </w:p>
        </w:tc>
        <w:tc>
          <w:tcPr>
            <w:tcW w:w="68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50.5 %</w:t>
            </w:r>
          </w:p>
        </w:tc>
      </w:tr>
      <w:tr>
        <w:trPr>
          <w:trHeight w:val="20"/>
        </w:trPr>
        <w:tc>
          <w:tcPr>
            <w:tcW w:w="4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the revenue recognized for the periods indicated:</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960" w:type="dxa"/>
            <w:vAlign w:val="bottom"/>
          </w:tcPr>
          <w:p>
            <w:pPr>
              <w:spacing w:after="0"/>
              <w:rPr>
                <w:sz w:val="15"/>
                <w:szCs w:val="15"/>
                <w:color w:val="auto"/>
              </w:rPr>
            </w:pPr>
          </w:p>
        </w:tc>
        <w:tc>
          <w:tcPr>
            <w:tcW w:w="250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4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42"/>
        </w:trPr>
        <w:tc>
          <w:tcPr>
            <w:tcW w:w="496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1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16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r>
      <w:tr>
        <w:trPr>
          <w:trHeight w:val="184"/>
        </w:trPr>
        <w:tc>
          <w:tcPr>
            <w:tcW w:w="4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32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61"/>
        </w:trPr>
        <w:tc>
          <w:tcPr>
            <w:tcW w:w="4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(444)</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(92.1) %</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Revenue decreased by approximately $0.4 million, or 92.1%, to approximately $38 thousand for the three months ended September 30, 2022 compared to approximately $0.5 million for the three months ended September 30, 2021. The decrease in revenue was due to the decrease and wind down of the numbers and scope of customer agreements in the three months ended September 30, 2022 compared to September 30, 2021 (approximately $0.4 million).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229"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Cost of revenue decreased by approximately $0.2 million, or 91.3%, to approximately $19 thousand for the three months ended September 30, 2022 compared to approximately $0.2 million for the three months September 30, 2021. The decrease was primarily due to decreased employee-related costs of approximately $0.2 million related to services contracts that were terminated during this period.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the components of our research and development expenses for the periods indicated:</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250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80" w:type="dxa"/>
            <w:vAlign w:val="bottom"/>
            <w:gridSpan w:val="3"/>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5"/>
                <w:szCs w:val="15"/>
                <w:color w:val="auto"/>
              </w:rPr>
            </w:pPr>
          </w:p>
        </w:tc>
      </w:tr>
      <w:tr>
        <w:trPr>
          <w:trHeight w:val="142"/>
        </w:trPr>
        <w:tc>
          <w:tcPr>
            <w:tcW w:w="49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r>
      <w:tr>
        <w:trPr>
          <w:trHeight w:val="184"/>
        </w:trPr>
        <w:tc>
          <w:tcPr>
            <w:tcW w:w="4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20" w:type="dxa"/>
            <w:vAlign w:val="bottom"/>
            <w:gridSpan w:val="6"/>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61"/>
        </w:trPr>
        <w:tc>
          <w:tcPr>
            <w:tcW w:w="4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Employee-related costs</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$ 1,587</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Outside contract research services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(659)</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 %</w:t>
            </w: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Facilities and other allocated expenses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N/M %</w:t>
            </w:r>
          </w:p>
        </w:tc>
      </w:tr>
      <w:tr>
        <w:trPr>
          <w:trHeight w:val="21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r>
      <w:tr>
        <w:trPr>
          <w:trHeight w:val="209"/>
        </w:trPr>
        <w:tc>
          <w:tcPr>
            <w:tcW w:w="490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9,364</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6,207</w:t>
            </w:r>
          </w:p>
        </w:tc>
        <w:tc>
          <w:tcPr>
            <w:tcW w:w="1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$ 3,157</w:t>
            </w:r>
          </w:p>
        </w:tc>
        <w:tc>
          <w:tcPr>
            <w:tcW w:w="1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4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increased by approximately $3.2 million, or 50.9%, to approximately $9.4 million for the three months ended September 30, 2022 as compared to approximately $6.2 million for the three months ended September 30, 2021. The increase of approximately $3.2 million was primarily due to an increase of approximately $1.6 million related to additional employee-related costs and $0.2 million related to equity-based compensation expense, primarily driven by increased headcount. Depreciation, facilities and other allocated expense also increased by approximately $2.0 million in aggregate. Increases in total research and development are partially offset by a decrease of $0.7 million in outside contract research services for preclinical candidates which is due to savings in outside consultant costs that were related to BioArkive which are now incorporated in the employee and facility related costs.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the components of our general and administrative expenses for the periods indicated:</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840" w:type="dxa"/>
            <w:vAlign w:val="bottom"/>
          </w:tcPr>
          <w:p>
            <w:pPr>
              <w:spacing w:after="0"/>
              <w:rPr>
                <w:sz w:val="15"/>
                <w:szCs w:val="15"/>
                <w:color w:val="auto"/>
              </w:rPr>
            </w:pPr>
          </w:p>
        </w:tc>
        <w:tc>
          <w:tcPr>
            <w:tcW w:w="252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15"/>
                <w:szCs w:val="15"/>
                <w:color w:val="auto"/>
              </w:rPr>
            </w:pPr>
          </w:p>
        </w:tc>
        <w:tc>
          <w:tcPr>
            <w:tcW w:w="1460" w:type="dxa"/>
            <w:vAlign w:val="bottom"/>
            <w:gridSpan w:val="3"/>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42"/>
        </w:trPr>
        <w:tc>
          <w:tcPr>
            <w:tcW w:w="48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620" w:type="dxa"/>
            <w:vAlign w:val="bottom"/>
            <w:tcBorders>
              <w:top w:val="single" w:sz="8" w:color="auto"/>
              <w:bottom w:val="single" w:sz="8" w:color="auto"/>
            </w:tcBorders>
            <w:gridSpan w:val="2"/>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r>
      <w:tr>
        <w:trPr>
          <w:trHeight w:val="184"/>
        </w:trPr>
        <w:tc>
          <w:tcPr>
            <w:tcW w:w="4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8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61"/>
        </w:trPr>
        <w:tc>
          <w:tcPr>
            <w:tcW w:w="4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16"/>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Employee-related costs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379</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26.7 %</w:t>
            </w:r>
          </w:p>
        </w:tc>
      </w:tr>
      <w:tr>
        <w:trPr>
          <w:trHeight w:val="216"/>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90.4 %</w:t>
            </w:r>
          </w:p>
        </w:tc>
      </w:tr>
      <w:tr>
        <w:trPr>
          <w:trHeight w:val="216"/>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21.1 %</w:t>
            </w:r>
          </w:p>
        </w:tc>
      </w:tr>
      <w:tr>
        <w:trPr>
          <w:trHeight w:val="216"/>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Outside consultants</w:t>
            </w:r>
          </w:p>
        </w:tc>
        <w:tc>
          <w:tcPr>
            <w:tcW w:w="1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(24)</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Facilities and other allocated expenses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380.4 %</w:t>
            </w:r>
          </w:p>
        </w:tc>
      </w:tr>
      <w:tr>
        <w:trPr>
          <w:trHeight w:val="216"/>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370.0 %</w:t>
            </w:r>
          </w:p>
        </w:tc>
      </w:tr>
      <w:tr>
        <w:trPr>
          <w:trHeight w:val="209"/>
        </w:trPr>
        <w:tc>
          <w:tcPr>
            <w:tcW w:w="48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r>
      <w:tr>
        <w:trPr>
          <w:trHeight w:val="210"/>
        </w:trPr>
        <w:tc>
          <w:tcPr>
            <w:tcW w:w="4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general and administrative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3,836</w:t>
            </w: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160" w:type="dxa"/>
            <w:vAlign w:val="bottom"/>
          </w:tcPr>
          <w:p>
            <w:pPr>
              <w:spacing w:after="0"/>
              <w:rPr>
                <w:sz w:val="18"/>
                <w:szCs w:val="18"/>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$ 1,237</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47.6 %</w:t>
            </w:r>
          </w:p>
        </w:tc>
      </w:tr>
      <w:tr>
        <w:trPr>
          <w:trHeight w:val="20"/>
        </w:trPr>
        <w:tc>
          <w:tcPr>
            <w:tcW w:w="4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by approximately $1.2 million, or 47.6%, to approximately $3.8 million for the three months ended September 30, 2022 compared to approximately $2.6 million for the three months ended September 30, 2021. The increase of approximately $1.2 million was primarily due to an increase in employee-related costs of approximately $0.4 million, increased equity-based compensation expense of $0.3 million, increased facilities and</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allocated expenses of approximately $0.4 million, increased professional fees for accounting, auditing and legal of $0.2 million, and approximately $0.1 million in other expenses as a result of the Company becoming a public company in the third quarter of 2021.</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Amortization of Intangible Asset</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Amortization of intangible asset of $7,317 in the three months ended September 30, 2022 is related to the technology acquired for the BioArkive acquisition completed in December 2021.</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Interest income increased by approximately $0.2 million due to the interest earned on our cash and cash equivalents and marketable securities balances due to the higher balances as a result of the IPO proceeds.</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Other expense increased by approximately $129 thousand as a result of the increase in the amortization of premiums related to our marketable securities.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Comparison of the Nine Months September 30, 2022 and 2021</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indicated:</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2440" w:type="dxa"/>
            <w:vAlign w:val="bottom"/>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64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42"/>
        </w:trPr>
        <w:tc>
          <w:tcPr>
            <w:tcW w:w="482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78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540" w:type="dxa"/>
            <w:vAlign w:val="bottom"/>
            <w:tcBorders>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r>
      <w:tr>
        <w:trPr>
          <w:trHeight w:val="128"/>
        </w:trPr>
        <w:tc>
          <w:tcPr>
            <w:tcW w:w="4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980" w:type="dxa"/>
            <w:vAlign w:val="bottom"/>
            <w:gridSpan w:val="6"/>
          </w:tcPr>
          <w:p>
            <w:pPr>
              <w:jc w:val="right"/>
              <w:ind w:right="133"/>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1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(1,574)</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(83.3)%</w:t>
            </w:r>
          </w:p>
        </w:tc>
      </w:tr>
      <w:tr>
        <w:trPr>
          <w:trHeight w:val="216"/>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6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(789)</w:t>
            </w:r>
          </w:p>
        </w:tc>
        <w:tc>
          <w:tcPr>
            <w:tcW w:w="72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(83.3)%</w:t>
            </w:r>
          </w:p>
        </w:tc>
      </w:tr>
      <w:tr>
        <w:trPr>
          <w:trHeight w:val="20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(785)</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(83.2)%</w:t>
            </w:r>
          </w:p>
        </w:tc>
      </w:tr>
      <w:tr>
        <w:trPr>
          <w:trHeight w:val="21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7,805</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42.0 %</w:t>
            </w:r>
          </w:p>
        </w:tc>
      </w:tr>
      <w:tr>
        <w:trPr>
          <w:trHeight w:val="216"/>
        </w:trPr>
        <w:tc>
          <w:tcPr>
            <w:tcW w:w="4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5,123</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6,377</w:t>
            </w: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124.5 %</w:t>
            </w:r>
          </w:p>
        </w:tc>
      </w:tr>
      <w:tr>
        <w:trPr>
          <w:trHeight w:val="216"/>
        </w:trPr>
        <w:tc>
          <w:tcPr>
            <w:tcW w:w="4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Amortization of intangible asset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N/M %</w:t>
            </w:r>
          </w:p>
        </w:tc>
      </w:tr>
      <w:tr>
        <w:trPr>
          <w:trHeight w:val="210"/>
        </w:trPr>
        <w:tc>
          <w:tcPr>
            <w:tcW w:w="48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37,918</w:t>
            </w:r>
          </w:p>
        </w:tc>
        <w:tc>
          <w:tcPr>
            <w:tcW w:w="2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23,713</w:t>
            </w:r>
          </w:p>
        </w:tc>
        <w:tc>
          <w:tcPr>
            <w:tcW w:w="16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14,205</w:t>
            </w:r>
          </w:p>
        </w:tc>
        <w:tc>
          <w:tcPr>
            <w:tcW w:w="14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59.9 %</w:t>
            </w:r>
          </w:p>
        </w:tc>
      </w:tr>
      <w:tr>
        <w:trPr>
          <w:trHeight w:val="210"/>
        </w:trPr>
        <w:tc>
          <w:tcPr>
            <w:tcW w:w="48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(22,770)</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(14,990)</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65.8 %</w:t>
            </w:r>
          </w:p>
        </w:tc>
      </w:tr>
      <w:tr>
        <w:trPr>
          <w:trHeight w:val="21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N/M %</w:t>
            </w:r>
          </w:p>
        </w:tc>
      </w:tr>
      <w:tr>
        <w:trPr>
          <w:trHeight w:val="216"/>
        </w:trPr>
        <w:tc>
          <w:tcPr>
            <w:tcW w:w="4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(20.5)%</w:t>
            </w:r>
          </w:p>
        </w:tc>
      </w:tr>
      <w:tr>
        <w:trPr>
          <w:trHeight w:val="210"/>
        </w:trPr>
        <w:tc>
          <w:tcPr>
            <w:tcW w:w="482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(37,268)</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(22,751)</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(14,517)</w:t>
            </w:r>
          </w:p>
        </w:tc>
        <w:tc>
          <w:tcPr>
            <w:tcW w:w="72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63.8 %</w:t>
            </w:r>
          </w:p>
        </w:tc>
      </w:tr>
    </w:tbl>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the revenue recognized for the periods indicated:</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244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92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49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22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r>
      <w:tr>
        <w:trPr>
          <w:trHeight w:val="184"/>
        </w:trPr>
        <w:tc>
          <w:tcPr>
            <w:tcW w:w="4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2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61"/>
        </w:trPr>
        <w:tc>
          <w:tcPr>
            <w:tcW w:w="4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700" w:type="dxa"/>
            <w:vAlign w:val="bottom"/>
            <w:shd w:val="clear" w:color="auto" w:fill="CCEEFF"/>
          </w:tcPr>
          <w:p>
            <w:pPr>
              <w:jc w:val="right"/>
              <w:ind w:right="52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316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(1,574)</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(83.3)%</w:t>
            </w:r>
          </w:p>
        </w:tc>
      </w:tr>
      <w:tr>
        <w:trPr>
          <w:trHeight w:val="20"/>
        </w:trPr>
        <w:tc>
          <w:tcPr>
            <w:tcW w:w="49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Revenue decreased by approximately $1.6 million, or 83.3%, to approximately $0.3 million for the nine months ended September 30, 2022 compared to approximately $1.9 million for the nine months ended September 30, 2021. The decrease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 revenue was due to the decrease and wind down of the numbers and scope of customer agreements in 2022 compared to 2021.</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Costs of Revenue</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Cost of revenue decreased by approximately $0.8 million, or 83.3%, to approximately $0.2 million for the nine months ended September 30, 2022 compared to approximately $0.9 million for the nine months ended September 30, 2021. The decrease was primarily due to decreased employee related costs as a result of the wind down of the customer agreements in 2022 compared to 2021.</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the components of research and development expenses for the periods indicated:</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244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 w:type="dxa"/>
            <w:vAlign w:val="bottom"/>
          </w:tcPr>
          <w:p>
            <w:pPr>
              <w:spacing w:after="0"/>
              <w:rPr>
                <w:sz w:val="15"/>
                <w:szCs w:val="15"/>
                <w:color w:val="auto"/>
              </w:rPr>
            </w:pPr>
          </w:p>
        </w:tc>
        <w:tc>
          <w:tcPr>
            <w:tcW w:w="142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80" w:type="dxa"/>
            <w:vAlign w:val="bottom"/>
            <w:gridSpan w:val="7"/>
          </w:tcPr>
          <w:p>
            <w:pPr>
              <w:jc w:val="right"/>
              <w:ind w:right="135"/>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4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Employee-related costs</w:t>
            </w:r>
          </w:p>
        </w:tc>
        <w:tc>
          <w:tcPr>
            <w:tcW w:w="2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4,494</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79.8 %</w:t>
            </w: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153.1 %</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Outside contract research services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(2,084)</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Facilities and other allocated expenses</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4,438</w:t>
            </w: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N/M %</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360.9 %</w:t>
            </w:r>
          </w:p>
        </w:tc>
        <w:tc>
          <w:tcPr>
            <w:tcW w:w="0" w:type="dxa"/>
            <w:vAlign w:val="bottom"/>
          </w:tcPr>
          <w:p>
            <w:pPr>
              <w:spacing w:after="0"/>
              <w:rPr>
                <w:sz w:val="1"/>
                <w:szCs w:val="1"/>
                <w:color w:val="auto"/>
              </w:rPr>
            </w:pPr>
          </w:p>
        </w:tc>
      </w:tr>
      <w:tr>
        <w:trPr>
          <w:trHeight w:val="209"/>
        </w:trPr>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26,395</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18,590</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7,805</w:t>
            </w:r>
          </w:p>
        </w:tc>
        <w:tc>
          <w:tcPr>
            <w:tcW w:w="1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42.0 %</w:t>
            </w:r>
          </w:p>
        </w:tc>
        <w:tc>
          <w:tcPr>
            <w:tcW w:w="0" w:type="dxa"/>
            <w:vAlign w:val="bottom"/>
          </w:tcPr>
          <w:p>
            <w:pPr>
              <w:spacing w:after="0"/>
              <w:rPr>
                <w:sz w:val="1"/>
                <w:szCs w:val="1"/>
                <w:color w:val="auto"/>
              </w:rPr>
            </w:pPr>
          </w:p>
        </w:tc>
      </w:tr>
      <w:tr>
        <w:trPr>
          <w:trHeight w:val="20"/>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N/M – Not meaningful</w:t>
            </w: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49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increased by approximately $7.8 million, or 42.0%, to approximately $26.4 million for the nine months ended September 30, 2022 as compared to approximately $18.6 million for the year ended September 30, 2021. The increase of approximately $7.8 million was primarily due to an increase of approximately $4.5 million related to additional employee-related costs and $0.9 million related to equity-based compensation expense, primarily driven by increased headcount. Depreciation, facilities and other allocated expense also increased by approximately $4.5 million in aggregate. Increases in total research and development are partially offset by a decrease of $2.1 million in outside contract research services for preclinical candidates which is due to savings in outside consultant costs that were related to BioArkive which are now incorporated in the employee and facility related costs.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the components of general and administrative expenses for the periods indicated:</w:t>
      </w: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000" w:type="dxa"/>
            <w:vAlign w:val="bottom"/>
          </w:tcPr>
          <w:p>
            <w:pPr>
              <w:spacing w:after="0"/>
              <w:rPr>
                <w:sz w:val="15"/>
                <w:szCs w:val="15"/>
                <w:color w:val="auto"/>
              </w:rPr>
            </w:pPr>
          </w:p>
        </w:tc>
        <w:tc>
          <w:tcPr>
            <w:tcW w:w="244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46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42"/>
        </w:trPr>
        <w:tc>
          <w:tcPr>
            <w:tcW w:w="500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r>
      <w:tr>
        <w:trPr>
          <w:trHeight w:val="182"/>
        </w:trPr>
        <w:tc>
          <w:tcPr>
            <w:tcW w:w="5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20" w:type="dxa"/>
            <w:vAlign w:val="bottom"/>
            <w:gridSpan w:val="6"/>
          </w:tcPr>
          <w:p>
            <w:pPr>
              <w:jc w:val="right"/>
              <w:ind w:right="114"/>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63"/>
        </w:trPr>
        <w:tc>
          <w:tcPr>
            <w:tcW w:w="5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Employee-related costs</w:t>
            </w:r>
          </w:p>
        </w:tc>
        <w:tc>
          <w:tcPr>
            <w:tcW w:w="2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$ 3,463</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135.1 %</w:t>
            </w:r>
          </w:p>
        </w:tc>
      </w:tr>
      <w:tr>
        <w:trPr>
          <w:trHeight w:val="216"/>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203.1 %</w:t>
            </w:r>
          </w:p>
        </w:tc>
      </w:tr>
      <w:tr>
        <w:trPr>
          <w:trHeight w:val="216"/>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16.0 %</w:t>
            </w:r>
          </w:p>
        </w:tc>
      </w:tr>
      <w:tr>
        <w:trPr>
          <w:trHeight w:val="216"/>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Outside consultants</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88.9 %</w:t>
            </w:r>
          </w:p>
        </w:tc>
      </w:tr>
      <w:tr>
        <w:trPr>
          <w:trHeight w:val="216"/>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Facilities and other allocated expenses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 %</w:t>
            </w:r>
          </w:p>
        </w:tc>
      </w:tr>
      <w:tr>
        <w:trPr>
          <w:trHeight w:val="216"/>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84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526.1 %</w:t>
            </w:r>
          </w:p>
        </w:tc>
      </w:tr>
      <w:tr>
        <w:trPr>
          <w:trHeight w:val="209"/>
        </w:trPr>
        <w:tc>
          <w:tcPr>
            <w:tcW w:w="5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general and administrative</w:t>
            </w:r>
          </w:p>
        </w:tc>
        <w:tc>
          <w:tcPr>
            <w:tcW w:w="2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11,500</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5,123</w:t>
            </w:r>
          </w:p>
        </w:tc>
        <w:tc>
          <w:tcPr>
            <w:tcW w:w="16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$ 6,377</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124.5 %</w:t>
            </w:r>
          </w:p>
        </w:tc>
      </w:tr>
      <w:tr>
        <w:trPr>
          <w:trHeight w:val="20"/>
        </w:trPr>
        <w:tc>
          <w:tcPr>
            <w:tcW w:w="5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08"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increased by approximately $6.4 million, or 124.5%, to approximately $11.5 million for the nine months ended September 30, 2022 compared to approximately $5.1 million for the nine months ended September 30, 2021 as a result of the Company becoming a public company in third quarter of 2021. The increase of approximately $6.4 million was primarily due to increased employee related costs of $3.5 million, an increase of $1.1 million for facilities and other allocated expense, increased equity-based compensation expense of approximately $1.0 million, increased professional fees incurred for accounting, auditing, legal, and tax services of approximately $0.3 million, and an increase of $0.5 million in other expenses.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Amortization of Intangible Asset</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Amortization of intangible asset of $22,737 in the nine months ended September 30, 2022 is related to the technology acquired for the BioArkive acquisition completed in December 2021.</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Interest income increased by approximately $0.5 million due to the interest earned on our cash and cash equivalents and marketable securities balances due to the higher balances as a result of the IPO proceeds.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expense decreased as a result of the increase in the amortization of premiums related to our marketable securities.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Sources of Liquidity</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Since our inception, we have financed our operations through service revenues, the issuance of convertible notes payable, convertible preferred stock, common stock, and the exercise of stock options. In September 2022, we completed our last remaining services contract and, at this time, we do not anticipate entering into any new service contracts or agreements. Based upon our current business plans, we believe that our existing cash and cash equivalents and marketable securities will be sufficient to fund our development activities and other operations into the third quarter of 2024.</w:t>
      </w:r>
    </w:p>
    <w:p>
      <w:pPr>
        <w:spacing w:after="0" w:line="183"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We have not yet commercialized any of our product candidates, and we do not expect to generate revenue from sales of any product candidates for the next several years, if at all. To date, our operations have been financed primarily by service revenues and aggregate net proceeds of approximately $81.4 million from the issuance of convertible notes payable, convertible preferred stock including gross proceeds of approximately $24.8 million from the issuance of shares in the second tranche of Series B Preferred in April and May 2021, common stock, and the exercise of stock options. In August 2021, we completed our IPO pursuant to which we issued and sold 8,625,000 shares of Class A common stock, inclusive of 1,125,000 shares sold by us pursuant to the full exercise of the underwriters’ option to purchase additional shares. We received aggregate net proceeds of approximately $120.3 million from the IPO, after deducting underwriting discounts and commissions, but before deducting offering costs payable by us, which were $2.1 million.</w:t>
      </w:r>
    </w:p>
    <w:p>
      <w:pPr>
        <w:spacing w:after="0" w:line="194"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On August 10, 2022, we entered into an Equity Distribution Agreement, or the Sales Agreement, with Piper Sandler &amp; Co, or the Sales Agent, to sell shares of our common stock with aggregate gross proceeds of up to $50 million, from time to time, through an “at the market” equity offering program. For the three months ended September 30, 2022, we did not sell any shares of common stock under the Sales Agreement.</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As of September 30, 2022, we have contractual obligations related to various leases of $0.1 million for 2022, $0.8 million for 2023, $0.7 million for 2024, $0.7 million for 2025, $0.8 million for 2026 and $4.5 million for the periods thereafter.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have no off-balance sheet arrangements that have a material current effect or that are reasonably likely to have a material future effect on our financial condition, changes in financial condition, revenues or expenses, results of operations, liquidity, capital expenditures, or capital resources.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the periods indicated:</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620" w:type="dxa"/>
            <w:vAlign w:val="bottom"/>
          </w:tcPr>
          <w:p>
            <w:pPr>
              <w:spacing w:after="0"/>
              <w:rPr>
                <w:sz w:val="15"/>
                <w:szCs w:val="15"/>
                <w:color w:val="auto"/>
              </w:rPr>
            </w:pPr>
          </w:p>
        </w:tc>
        <w:tc>
          <w:tcPr>
            <w:tcW w:w="22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66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128"/>
        </w:trPr>
        <w:tc>
          <w:tcPr>
            <w:tcW w:w="6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activities</w:t>
            </w: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(32,353)</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(21,612)</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Investing activities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33,679</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(52,808)</w:t>
            </w:r>
          </w:p>
        </w:tc>
        <w:tc>
          <w:tcPr>
            <w:tcW w:w="0" w:type="dxa"/>
            <w:vAlign w:val="bottom"/>
          </w:tcPr>
          <w:p>
            <w:pPr>
              <w:spacing w:after="0"/>
              <w:rPr>
                <w:sz w:val="1"/>
                <w:szCs w:val="1"/>
                <w:color w:val="auto"/>
              </w:rPr>
            </w:pPr>
          </w:p>
        </w:tc>
      </w:tr>
      <w:tr>
        <w:trPr>
          <w:trHeight w:val="216"/>
        </w:trPr>
        <w:tc>
          <w:tcPr>
            <w:tcW w:w="66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Financing activities</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144,257</w:t>
            </w:r>
          </w:p>
        </w:tc>
        <w:tc>
          <w:tcPr>
            <w:tcW w:w="0" w:type="dxa"/>
            <w:vAlign w:val="bottom"/>
          </w:tcPr>
          <w:p>
            <w:pPr>
              <w:spacing w:after="0"/>
              <w:rPr>
                <w:sz w:val="1"/>
                <w:szCs w:val="1"/>
                <w:color w:val="auto"/>
              </w:rPr>
            </w:pPr>
          </w:p>
        </w:tc>
      </w:tr>
      <w:tr>
        <w:trPr>
          <w:trHeight w:val="209"/>
        </w:trPr>
        <w:tc>
          <w:tcPr>
            <w:tcW w:w="6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220" w:type="dxa"/>
            <w:vAlign w:val="bottom"/>
          </w:tcPr>
          <w:p>
            <w:pPr>
              <w:spacing w:after="0"/>
              <w:rPr>
                <w:sz w:val="18"/>
                <w:szCs w:val="18"/>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69,837</w:t>
            </w:r>
          </w:p>
        </w:tc>
        <w:tc>
          <w:tcPr>
            <w:tcW w:w="0" w:type="dxa"/>
            <w:vAlign w:val="bottom"/>
          </w:tcPr>
          <w:p>
            <w:pPr>
              <w:spacing w:after="0"/>
              <w:rPr>
                <w:sz w:val="1"/>
                <w:szCs w:val="1"/>
                <w:color w:val="auto"/>
              </w:rPr>
            </w:pPr>
          </w:p>
        </w:tc>
      </w:tr>
      <w:tr>
        <w:trPr>
          <w:trHeight w:val="20"/>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2022, operating activities used approximately $32.4 million of cash, primarily resulting from our net loss of approximately $37.3 million, partially offset by right-of-use asset amortization of $0.4 million and equity-based compensation expense of approximately $3.0 million.</w:t>
      </w:r>
    </w:p>
    <w:p>
      <w:pPr>
        <w:spacing w:after="0" w:line="176"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2021, operating activities used approximately $21.6 million of cash, primarily resulting from our net loss of approximately $22.8 million and cash provided by changes in our operating assets and liabilities of approximately $0.1 million, partially offset by equity-based compensation expense of approximately $1.2 million.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2022, investing activities provided approximately $33.7 million of cash, primarily resulting from the maturities of marketable securities of approximately $72.1 million, partially offset by purchases of marketable securities for $37.7 million and purchases of property and equipment of $0.7 million.</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2021, investing activities used approximately $52.8 million, primarily resulting from the purchases of marketable securities of approximately $52.8 million.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2022, net cash provided by financing activities was approximately $0.2 million, consisting of approximately $0.3 million from the exercise of stock options, offset by $0.1 million of payments towards offering costs.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81" w:lineRule="auto"/>
        <w:rPr>
          <w:sz w:val="20"/>
          <w:szCs w:val="20"/>
          <w:color w:val="auto"/>
        </w:rPr>
      </w:pPr>
      <w:r>
        <w:rPr>
          <w:rFonts w:ascii="Times New Roman" w:cs="Times New Roman" w:eastAsia="Times New Roman" w:hAnsi="Times New Roman"/>
          <w:sz w:val="17"/>
          <w:szCs w:val="17"/>
          <w:color w:val="auto"/>
        </w:rPr>
        <w:t>During the nine months ended September 30, 2021, net cash provided by financing activities was approximately $144.3 million, consisting primarily of approximately $24.8 million in net proceeds received from the issuance of Series B preferred stock, approximately $118.2 million from the proceeds from our initial public offering, approximately $1.0 million in net proceeds from the exercise of warrants and approximately $0.3 million from the exercise of stock options.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Future Funding Requirements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expect that our expenses will increase substantially in connection with our ongoing activities, particularly as we advance the preclinical activities and clinical trials for our product candidates in development. The timing and amount of our operating and capital expenditures will depend largely on:</w:t>
      </w:r>
    </w:p>
    <w:p>
      <w:pPr>
        <w:spacing w:after="0" w:line="176" w:lineRule="exact"/>
        <w:rPr>
          <w:sz w:val="20"/>
          <w:szCs w:val="20"/>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the pandemic related to COVID-19 and its variants and potential future pandemics;</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results of our current and future clinical trials for our product candidates;</w:t>
      </w:r>
    </w:p>
    <w:p>
      <w:pPr>
        <w:spacing w:after="0" w:line="9"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discovery research, preclinical development, laboratory testing and clinical trials for our product candidates;</w:t>
      </w: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9"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contract manufacturing arrangements for supply of active pharmaceutical ingredient, or API, and manufacture of our product candidates and the terms of such arrangements;</w:t>
      </w: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or receipt of milestones and receipt of other collaboration-based revenues, if any;</w:t>
      </w:r>
    </w:p>
    <w:p>
      <w:pPr>
        <w:spacing w:after="0" w:line="9"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any future commercialization activities, including product manufacturing, sales, marketing and distribution, for any of our product candidates for which we may receive marketing approval;</w:t>
      </w:r>
    </w:p>
    <w:p>
      <w:pPr>
        <w:ind w:left="1040" w:right="79" w:hanging="315"/>
        <w:spacing w:after="0" w:line="250"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revenue, if any, received from commercial sales of our product candidates for which we receive marketing approval;</w:t>
      </w:r>
    </w:p>
    <w:p>
      <w:pPr>
        <w:ind w:left="1040" w:right="79" w:hanging="315"/>
        <w:spacing w:after="0" w:line="250"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and proprietary rights and defending any intellectual property related claims;</w:t>
      </w:r>
    </w:p>
    <w:p>
      <w:pPr>
        <w:ind w:left="1040" w:right="79" w:hanging="315"/>
        <w:spacing w:after="0" w:line="250"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products, product candidates, technologies or data referencing rights;</w:t>
      </w:r>
    </w:p>
    <w:p>
      <w:pPr>
        <w:ind w:left="1040" w:right="79" w:hanging="315"/>
        <w:spacing w:after="0" w:line="250"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collaborations, licensing or other arrangements and the financial terms of such arrangements;</w:t>
      </w:r>
    </w:p>
    <w:p>
      <w:pPr>
        <w:ind w:left="1040" w:right="79" w:hanging="315"/>
        <w:spacing w:after="0" w:line="250"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the private and public capital markets or to obtain financing at commercially reasonable rate;</w:t>
      </w:r>
    </w:p>
    <w:p>
      <w:pPr>
        <w:ind w:left="1040" w:right="79" w:hanging="315"/>
        <w:spacing w:after="0" w:line="250"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receive additional non-dilutive funding, including grants from organizations and foundations; and</w:t>
      </w: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0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Based on our current business plans, we believe that our existing cash, cash equivalents and marketable securities, will enable us to fund our operating expenses and capital expenditure requirements into the third quarter of 2024. We have based this estimate on assumptions that may prove to be wrong, and we could utilize our available capital resources sooner than we expect.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financial statements are prepared in accordance with generally accepted accounting principles in the United States. The preparation of our financial statements and related disclosures requires us to make estimates, assumptions and judgments that affect the reported amount of assets, liabilities, revenue, costs and expenses, and related disclosures. Our critical accounting policies are described under the heading “Management’s Discussion and Analysis of Financial Condition and Results of Operations—Critical Accounting Policies and Use of Estimates” in our Annual Report on 10-K for the fiscal year ending December 31, 2021. If actual results or events differ materially from the estimates, judgments and assumptions used by us in applying these policies, our reported financial condition and results of operations could be materially affected. There have been no significant changes to our critical accounting policies from those described in the 10-K.</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results of operations or cash flows is disclosed in Note 2 to our condensed consolidated financial statements appearing elsewhere in this Quarterly Report on Form 10-Q.</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As an emerging growth company, or EGC, under the Jumpstart Our Business Startups Act of 2012, or JOBS Act, we may delay the adoption of certain accounting standards until such time as those standards apply to private companies. Other exemptions and reduced reporting requirements under the JOBS Act for EGCs include presentation of only two years of audited consolidated financial statements in a registration statement for an IPO, an exemption from the requirement to provide an auditor’s report on internal controls over financial reporting pursuant to Section 404(b) of the Sarbanes-Oxley Act, an exemption from any requirement that may be adopted by the Public Company Accounting Oversight Board, and less extensive disclosure about our executive compensation arrangements.</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addition, the JOBS Act provides that an EGC can take advantage of an extended transition period for complying with new or revised accounting standards. This provision allows an EGC to delay the adoption of some accounting standards until those standards would otherwise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condensed consolidated financial statements may not be comparable to companies that comply with new or revised accounting pronouncements as of public company effective dates.</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may remain classified as an EGC until the end of the fiscal year following the fifth anniversary of our IPO, although if the market value of our common stock that is held by non-affiliates exceeds $700 million as of September 30 of any year before that time, or if we have annual gross revenues of $1.235 billion or more in any fiscal year, we would cease to be an EGC as of December 31 of the applicable year. We also would cease to be an EGC if we issue more than $1.0 billion of non-convertible debt over a three-year period.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As a smaller reporting company, as defined by Rule 12b-2 of the Securities Exchange Act of 1934, as amended, we are not required to provide this information.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Vice President of Finance (our principal financial officer and principal accounting officer, respectively), evaluated the effectiveness of our disclosure controls and procedures (as defined in Rules 13a-15(e) and 15d-15(e) under the Exchange Act) as of September 30, 2022. Based on that evaluation, our Chief Executive Officer and Vice President of Finance concluded that, as of September 30, 2022, our disclosure controls and procedures were effective at the reasonable assurance level.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Rules 13a-15(f) and 15d-15(f) under the Exchange Act) occurred during the three months ended September 30, 2022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From time to time we may be involved in claims and proceedings arising in the course of our business. The outcome of any such claims or proceedings, regardless of the merits, is inherently uncertain. We are not currently party to any material legal proceedings</w:t>
      </w:r>
    </w:p>
    <w:p>
      <w:pPr>
        <w:spacing w:after="0" w:line="3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31"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i w:val="1"/>
          <w:iCs w:val="1"/>
          <w:color w:val="auto"/>
        </w:rPr>
        <w:t>Our future operating results could differ materially from the results described in this Quarterly Report on Form 10-Q due to the risks and uncertainties described below. You should consider carefully the following information about risks below in evaluating our business. If any of the following risks actually occur, our business, financial conditions, results of operations and future growth prospects would likely be materially and adversely affected. Additional risks and uncertainties not presently known to us or that we currently deem immaterial also may impair our business operations. In these circumstances, the market price of our Class A common stock would likely decline. In addition, we cannot assure investors that our assumptions and expectations will prove to be correct. Important factors could cause our actual results to differ materially from those indicated or implied by forward-looking statements. See “Forward Looking Statements” for a discussion of some of the forward-looking statements that are qualified by these risk factors. Factors that could cause or contribute to such differences include those factors discussed below.</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Capital Requirements</w:t>
      </w:r>
    </w:p>
    <w:p>
      <w:pPr>
        <w:spacing w:after="0" w:line="225"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in developing pharmaceutical products, have not completed any clinical trials and have no products approved for commercial sale, which may make it difficult for you to evaluate our current business and predict our future success and viability.</w:t>
      </w:r>
    </w:p>
    <w:p>
      <w:pPr>
        <w:spacing w:after="0" w:line="175"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Pharmaceutical product development is a highly speculative undertaking and involves a substantial degree of risk. We are a biopharmaceutical company with a limited operating history in developing pharmaceutical products which makes it difficult to evaluate our business and prospects in future product development. We have no products approved for commercial sale and have not generated any revenue from product sales. To date, we have devoted substantially all of our resources and efforts to providing computational biology services to pharmaceutical and biotechnology companies, organizing and staffing our company, business planning, executing partnerships, raising capital, discovering, identifying and developing potential product candidates, securing related intellectual property rights and undertaking research and preclinical and clinical studies of our product candidates, including the anticipated Phase 1/2a clinical trial of IMM-1-104 for the treatment of advanced solid tumors in patients harboring RAS mutant tumors for which we are currently recruiting and plan to dose the first patient in the trial in the fourth quarter of 2022. We have not yet demonstrated our ability to successfully complete any clinical trials, obtain marketing approvals, manufacture a commercial-scale product or arrange for a third party to do so on our behalf, or conduct sales and marketing activities necessary for successful product commercialization. As a result, it may be more difficult for you to accurately predict our future success or viability to develop new pharmaceutical products than it could be if we had a longer operating history.</w:t>
      </w:r>
    </w:p>
    <w:p>
      <w:pPr>
        <w:spacing w:after="0" w:line="19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addition, we may encounter unforeseen expenses, difficulties, complications, delays and other known and unknown factors and risks frequently experienced by biopharmaceutical companies developing products in rapidly evolving fields. We also may need to transition from a company with a research and development focus to a company capable of supporting</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commercial activities. If we do not adequately address these risks and difficulties or successfully make such a transition, our business will suffer.</w:t>
      </w:r>
    </w:p>
    <w:p>
      <w:pPr>
        <w:spacing w:after="0" w:line="158"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net losses for the past several years and we expect to continue to incur significant net losses for the foreseeable future and may never obtain profitability.</w:t>
      </w:r>
    </w:p>
    <w:p>
      <w:pPr>
        <w:spacing w:after="0" w:line="15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have incurred net losses in each reporting period for the past several years, have not generated any revenue from product sales to date and have financed our operations principally through our computational biology services to pharmaceutical and biotechnology companies, the issuance of convertible debt and the sale of our convertible preferred stock and Class A common stock. We have incurred net losses of approximately $37.3 million and $33.5 million for the nine months ended September 30, 2022 and year ended December 31, 2021 respectively. As of September 30, 2022, we had an accumulated deficit of approximately $96.5 million. Our losses have resulted principally from expenses incurred in research and development of our product candidates, from management and administrative costs and other expenses that we have incurred while building our business infrastructure. The IND for our lead product candidate, IMM-1-104 was allowed to proceed by the FDA during the third quarter of 2022. We are currently recruiting for the trial and we plan to dose the first patient in the trial in the fourth quarter of 2022 the treatment of advanced solid tumors in patients harboring RAS mutant tumors. Our other product candidates are in earlier stages of drug development. As a result, we expect that it will be several years, if ever, before we have a commercialized product and generate revenue from product sales. Even if we succeed in receiving marketing approval for and commercializing one or more of our product candidates, we expect that we will continue to incur substantial research and development and other expenses as we discover, develop and market additional potential product candidates.</w:t>
      </w:r>
    </w:p>
    <w:p>
      <w:pPr>
        <w:spacing w:after="0" w:line="19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expect to continue to incur significant losses for the foreseeable future, and we expect these losses to increase substantially if and as we:</w:t>
      </w:r>
    </w:p>
    <w:p>
      <w:pPr>
        <w:spacing w:after="0" w:line="162" w:lineRule="exact"/>
        <w:rPr>
          <w:sz w:val="20"/>
          <w:szCs w:val="20"/>
          <w:color w:val="auto"/>
        </w:rPr>
      </w:pPr>
    </w:p>
    <w:p>
      <w:pPr>
        <w:jc w:val="both"/>
        <w:ind w:left="60" w:right="59" w:hanging="10"/>
        <w:spacing w:after="0" w:line="266" w:lineRule="auto"/>
        <w:tabs>
          <w:tab w:leader="none" w:pos="16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the development of our lead product candidate, IMM-1-104, and our other product candidates, including IMM-6-415, through preclinical and clinical development, and, if approved by the FDA or other comparable foreign regulatory authorities, commercialization;</w:t>
      </w:r>
    </w:p>
    <w:p>
      <w:pPr>
        <w:spacing w:after="0" w:line="189"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manufacturing costs for our product candidates;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of our product candidates that successfully complete clinical trials;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research and development activities to identify and develop new product candidates;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personnel;</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operational, financial and management systems;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measures to protect and expand our intellectual property;</w:t>
      </w:r>
    </w:p>
    <w:p>
      <w:pPr>
        <w:spacing w:after="0" w:line="252" w:lineRule="exact"/>
        <w:rPr>
          <w:rFonts w:ascii="Times New Roman" w:cs="Times New Roman" w:eastAsia="Times New Roman" w:hAnsi="Times New Roman"/>
          <w:sz w:val="18"/>
          <w:szCs w:val="18"/>
          <w:color w:val="auto"/>
        </w:rPr>
      </w:pPr>
    </w:p>
    <w:p>
      <w:pPr>
        <w:ind w:left="60" w:right="79" w:hanging="10"/>
        <w:spacing w:after="0" w:line="282" w:lineRule="auto"/>
        <w:tabs>
          <w:tab w:leader="none" w:pos="18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medical affairs and distribution infrastructure to commercialize any product candidates for which we may obtain marketing approval and intend to commercialize;</w:t>
      </w:r>
    </w:p>
    <w:p>
      <w:pPr>
        <w:spacing w:after="0" w:line="17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manufacturing and develop our commercialization efforts; and</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as a public company.</w:t>
      </w:r>
    </w:p>
    <w:p>
      <w:pPr>
        <w:spacing w:after="0" w:line="239" w:lineRule="exact"/>
        <w:rPr>
          <w:sz w:val="20"/>
          <w:szCs w:val="20"/>
          <w:color w:val="auto"/>
        </w:rPr>
      </w:pPr>
    </w:p>
    <w:p>
      <w:pPr>
        <w:jc w:val="both"/>
        <w:ind w:left="60" w:right="139"/>
        <w:spacing w:after="0" w:line="266" w:lineRule="auto"/>
        <w:rPr>
          <w:sz w:val="20"/>
          <w:szCs w:val="20"/>
          <w:color w:val="auto"/>
        </w:rPr>
      </w:pPr>
      <w:r>
        <w:rPr>
          <w:rFonts w:ascii="Times New Roman" w:cs="Times New Roman" w:eastAsia="Times New Roman" w:hAnsi="Times New Roman"/>
          <w:sz w:val="18"/>
          <w:szCs w:val="18"/>
          <w:color w:val="auto"/>
        </w:rPr>
        <w:t>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9"/>
        <w:spacing w:after="0" w:line="282" w:lineRule="auto"/>
        <w:rPr>
          <w:sz w:val="20"/>
          <w:szCs w:val="20"/>
          <w:color w:val="auto"/>
        </w:rPr>
      </w:pPr>
      <w:r>
        <w:rPr>
          <w:rFonts w:ascii="Times New Roman" w:cs="Times New Roman" w:eastAsia="Times New Roman" w:hAnsi="Times New Roman"/>
          <w:sz w:val="18"/>
          <w:szCs w:val="18"/>
          <w:color w:val="auto"/>
        </w:rPr>
        <w:t>expected future losses have had and will continue to have an adverse effect on our working capital and our ability to achieve and maintain profitability.</w:t>
      </w:r>
    </w:p>
    <w:p>
      <w:pPr>
        <w:spacing w:after="0" w:line="158"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175"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initiate and conduct clinical trials of, and seek marketing approval for our current and any future product candidates. Even if one or more of the product candidates that we develop is approved for commercial sale, we anticipate incurring significant costs associated with commercializing any approved product candidate. Our expenses could increase beyond expectations if we are required by the FDA or other comparable foreign regulatory authorities to perform clinical trials or preclinical studies in addition to those that we currently anticipate. Other unanticipated costs may also arise. In addition, if we obtain marketing approval for any of our product candidates, we expect to incur significant commercialization expenses related to drug sales, marketing, manufacturing and distribution. Because the design and outcome of our current and anticipated clinical trials are highly uncertain, we cannot reasonably estimate the actual amounts necessary to successfully complete the development and commercialization of any product candidate we develop. We also expect to incur additional costs associated with operating as a public company. Accordingly, it is likely that we will need to obtain substantial additional funding in order to maintain our continuing operations in the future.</w:t>
      </w:r>
    </w:p>
    <w:p>
      <w:pPr>
        <w:spacing w:after="0" w:line="19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As of September 30, 2022, we had approximately $117.2 million in cash and cash equivalents and marketable securities. Based on our current business plans, we believe that our existing cash and cash equivalents and marketable securities will be sufficient to fund our operating expenses and capital expenditures requirements into the third quarter of 2024. Our estimate as to how long we expect our existing cash and cash equivalents and marketable securities to be able to continue to fund our operating expenses and capital expenditures requirements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future funding requirements will depend on many factors, including, but not limited to:</w:t>
      </w:r>
    </w:p>
    <w:p>
      <w:pPr>
        <w:spacing w:after="0" w:line="225" w:lineRule="exact"/>
        <w:rPr>
          <w:sz w:val="20"/>
          <w:szCs w:val="20"/>
          <w:color w:val="auto"/>
        </w:rPr>
      </w:pPr>
    </w:p>
    <w:p>
      <w:pPr>
        <w:ind w:left="160" w:hanging="110"/>
        <w:spacing w:after="0"/>
        <w:tabs>
          <w:tab w:leader="none" w:pos="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timeline, cost and results of our clinical trials for our product candidates;</w:t>
      </w:r>
    </w:p>
    <w:p>
      <w:pPr>
        <w:spacing w:after="0" w:line="238" w:lineRule="exact"/>
        <w:rPr>
          <w:rFonts w:ascii="Times New Roman" w:cs="Times New Roman" w:eastAsia="Times New Roman" w:hAnsi="Times New Roman"/>
          <w:sz w:val="18"/>
          <w:szCs w:val="18"/>
          <w:color w:val="auto"/>
        </w:rPr>
      </w:pPr>
    </w:p>
    <w:p>
      <w:pPr>
        <w:ind w:left="60" w:right="59" w:hanging="10"/>
        <w:spacing w:after="0" w:line="282" w:lineRule="auto"/>
        <w:tabs>
          <w:tab w:leader="none" w:pos="21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timeline, cost and results of additional research and preclinical studies related to pipeline development and other research programs we initiate in the future;</w:t>
      </w:r>
    </w:p>
    <w:p>
      <w:pPr>
        <w:spacing w:after="0" w:line="175" w:lineRule="exact"/>
        <w:rPr>
          <w:rFonts w:ascii="Times New Roman" w:cs="Times New Roman" w:eastAsia="Times New Roman" w:hAnsi="Times New Roman"/>
          <w:sz w:val="18"/>
          <w:szCs w:val="18"/>
          <w:color w:val="auto"/>
        </w:rPr>
      </w:pPr>
    </w:p>
    <w:p>
      <w:pPr>
        <w:ind w:left="60" w:right="59" w:hanging="10"/>
        <w:spacing w:after="0" w:line="282" w:lineRule="auto"/>
        <w:tabs>
          <w:tab w:leader="none" w:pos="19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manufacturing activities as we advance our product candidates through preclinical and clinical development, and commercialization;</w:t>
      </w:r>
    </w:p>
    <w:p>
      <w:pPr>
        <w:spacing w:after="0" w:line="17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expansion of our current development programs to seek new indications;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negative impact of the COVID-19 pandemic or future pandemics on our business;</w:t>
      </w:r>
    </w:p>
    <w:p>
      <w:pPr>
        <w:spacing w:after="0" w:line="238" w:lineRule="exact"/>
        <w:rPr>
          <w:rFonts w:ascii="Times New Roman" w:cs="Times New Roman" w:eastAsia="Times New Roman" w:hAnsi="Times New Roman"/>
          <w:sz w:val="18"/>
          <w:szCs w:val="18"/>
          <w:color w:val="auto"/>
        </w:rPr>
      </w:pPr>
    </w:p>
    <w:p>
      <w:pPr>
        <w:ind w:left="60" w:right="59" w:hanging="10"/>
        <w:spacing w:after="0" w:line="282" w:lineRule="auto"/>
        <w:tabs>
          <w:tab w:leader="none" w:pos="18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meeting regulatory requirements established by the FDA and other comparable foreign regulatory authorities;</w:t>
      </w:r>
    </w:p>
    <w:p>
      <w:pPr>
        <w:spacing w:after="0" w:line="175" w:lineRule="exact"/>
        <w:rPr>
          <w:rFonts w:ascii="Times New Roman" w:cs="Times New Roman" w:eastAsia="Times New Roman" w:hAnsi="Times New Roman"/>
          <w:sz w:val="18"/>
          <w:szCs w:val="18"/>
          <w:color w:val="auto"/>
        </w:rPr>
      </w:pPr>
    </w:p>
    <w:p>
      <w:pPr>
        <w:ind w:left="60" w:right="79" w:hanging="10"/>
        <w:spacing w:after="0" w:line="282" w:lineRule="auto"/>
        <w:tabs>
          <w:tab w:leader="none" w:pos="17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prosecuting, defending and enforcing patent claims and other intellectual property rights, in-licensed or otherwise;</w:t>
      </w:r>
    </w:p>
    <w:p>
      <w:pPr>
        <w:spacing w:after="0" w:line="17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60" w:hanging="110"/>
        <w:spacing w:after="0"/>
        <w:tabs>
          <w:tab w:leader="none" w:pos="1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licensing fees, potential royalty payments and potential milestone payments;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general operating expenses;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completion of commercial-scale manufacturing activities;</w:t>
      </w:r>
    </w:p>
    <w:p>
      <w:pPr>
        <w:spacing w:after="0" w:line="238" w:lineRule="exact"/>
        <w:rPr>
          <w:rFonts w:ascii="Times New Roman" w:cs="Times New Roman" w:eastAsia="Times New Roman" w:hAnsi="Times New Roman"/>
          <w:sz w:val="18"/>
          <w:szCs w:val="18"/>
          <w:color w:val="auto"/>
        </w:rPr>
      </w:pPr>
    </w:p>
    <w:p>
      <w:pPr>
        <w:ind w:left="60" w:right="79" w:hanging="10"/>
        <w:spacing w:after="0" w:line="282" w:lineRule="auto"/>
        <w:tabs>
          <w:tab w:leader="none" w:pos="19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any product candidates for which we may receive regulatory approval in regions where we choose to commercialize our products on our own; and</w:t>
      </w:r>
    </w:p>
    <w:p>
      <w:pPr>
        <w:spacing w:after="0" w:line="17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operating as a public company.</w:t>
      </w:r>
    </w:p>
    <w:p>
      <w:pPr>
        <w:spacing w:after="0" w:line="23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Advancing the development of our product candidates will require a significant amount of capital. Our existing cash and cash equivalents will not be sufficient to fund all of the activities that are necessary to complete the development of our product candidates.</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will be required to obtain further funding through public or private equity offerings, debt financings, collaborations and licensing arrangements or other sources, which may dilute our stockholders or restrict our operating activities. We do not have any committed external source of funds. Adequate additional financing may not be available to us on acceptable terms, or at all. 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spacing w:after="0" w:line="183"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stockholders, restrict our operations or require us to relinquish rights to our product candidates on unfavorable terms to us.</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may seek additional capital through a variety of means, including through public or private equity offering made pursuant to the Sales Agreement or otherwise, debt financings or other sources, including up-front payments and milestone payments from strategic collaborations. To the extent that we raise additional capital through the sale of equity or convertible debt or equity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and other tax attributes may be limited.</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As of December 31, 2021, we had approximately $56.5 million of federal and $51.3 million of state net operating loss carryforwards, or NOLs, available to offset future taxable income. Under Sections 382 and 383 of the U.S. Internal Revenue Code of 1986, as amended, or the Code, a corporation that undergoes an “ownership change,” generally defined as a greater than 50% change by value in its equity ownership over a three-year period is subject to limitations on its ability to utilize its pre-change NOLs and other tax attributes such as research tax credits to offset future taxable income. We have not performed an analysis to determine whether our past issuances of stock and other changes in our stock ownership may have resulted in other ownership changes. If it is determined that we have in the past experienced other ownership changes, or if we undergo one or more ownership changes as a result of future transactions in our stock, which may be outside our control, then our ability to utilize NOLs and other pre-change tax attributes could be further limited by Sections 382 and 383 of the Code, and certain of our NOLs and other pre-change tax attributes may expire unused. As a result, if or when we earn net taxable income, our ability to use our pre-change NOLs or other tax attributes to offset such taxable income or otherwise reduce any liability for income taxes may be subject to limitations, which could adversely affect our future cash flows.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Development, Regulatory Approval and Commercialization</w:t>
      </w:r>
    </w:p>
    <w:p>
      <w:pPr>
        <w:spacing w:after="0" w:line="225"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other comparable foreign regulatory authorities are lengthy, time consuming and inherently unpredictable. If we are ultimately unable to obtain regulatory approval for our product candidates, or to obtain regulatory approval to treat the indications we seek to treat with our product candidates, we will be unable to generate product revenue or the level of planned product revenue and our business will be substantially harmed.</w:t>
      </w:r>
    </w:p>
    <w:p>
      <w:pPr>
        <w:spacing w:after="0" w:line="183"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are not permitted to commercialize, market, promote or sell any product candidate in the United States without obtaining marketing approval from the FDA. Foreign regulatory authorities impose similar requirements. The time required to obtain approval by the FDA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Even if we eventually complete clinical testing and receive approval of any regulatory filing for our product candidates, the FDA and other comparable foreign regulatory authorities may approve our product candidates for a more limited indication or a narrower patient population than we originally requested. We have not submitted for, or obtained, regulatory approval for any product candidate, and it is possible that none of our existing product candidates or any product candidates we may seek to develop in the future will ever obtain regulatory approval.</w:t>
      </w:r>
    </w:p>
    <w:p>
      <w:pPr>
        <w:spacing w:after="0" w:line="19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Applications for our product candidates could fail to receive regulatory approval for many reasons, including the following:</w:t>
      </w:r>
    </w:p>
    <w:p>
      <w:pPr>
        <w:spacing w:after="0" w:line="162" w:lineRule="exact"/>
        <w:rPr>
          <w:sz w:val="20"/>
          <w:szCs w:val="20"/>
          <w:color w:val="auto"/>
        </w:rPr>
      </w:pPr>
    </w:p>
    <w:p>
      <w:pPr>
        <w:ind w:left="60" w:right="59" w:hanging="10"/>
        <w:spacing w:after="0" w:line="282" w:lineRule="auto"/>
        <w:tabs>
          <w:tab w:leader="none" w:pos="18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comparable foreign regulatory authorities may disagree with the design, implementation or results of our clinical trials;</w:t>
      </w:r>
    </w:p>
    <w:p>
      <w:pPr>
        <w:spacing w:after="0" w:line="175" w:lineRule="exact"/>
        <w:rPr>
          <w:rFonts w:ascii="Times New Roman" w:cs="Times New Roman" w:eastAsia="Times New Roman" w:hAnsi="Times New Roman"/>
          <w:sz w:val="18"/>
          <w:szCs w:val="18"/>
          <w:color w:val="auto"/>
        </w:rPr>
      </w:pPr>
    </w:p>
    <w:p>
      <w:pPr>
        <w:jc w:val="both"/>
        <w:ind w:left="60" w:right="59" w:hanging="10"/>
        <w:spacing w:after="0" w:line="266" w:lineRule="auto"/>
        <w:tabs>
          <w:tab w:leader="none" w:pos="18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comparable foreign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w:t>
      </w:r>
    </w:p>
    <w:p>
      <w:pPr>
        <w:spacing w:after="0" w:line="189" w:lineRule="exact"/>
        <w:rPr>
          <w:rFonts w:ascii="Times New Roman" w:cs="Times New Roman" w:eastAsia="Times New Roman" w:hAnsi="Times New Roman"/>
          <w:sz w:val="18"/>
          <w:szCs w:val="18"/>
          <w:color w:val="auto"/>
        </w:rPr>
      </w:pPr>
    </w:p>
    <w:p>
      <w:pPr>
        <w:ind w:left="60" w:right="59" w:hanging="10"/>
        <w:spacing w:after="0" w:line="282" w:lineRule="auto"/>
        <w:tabs>
          <w:tab w:leader="none" w:pos="17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 studied in the clinical trial may not be sufficiently broad or representative to assure efficacy and safety in the full population for which we seek approval;</w:t>
      </w:r>
    </w:p>
    <w:p>
      <w:pPr>
        <w:spacing w:after="0" w:line="175" w:lineRule="exact"/>
        <w:rPr>
          <w:rFonts w:ascii="Times New Roman" w:cs="Times New Roman" w:eastAsia="Times New Roman" w:hAnsi="Times New Roman"/>
          <w:sz w:val="18"/>
          <w:szCs w:val="18"/>
          <w:color w:val="auto"/>
        </w:rPr>
      </w:pPr>
    </w:p>
    <w:p>
      <w:pPr>
        <w:ind w:left="60" w:right="59" w:hanging="10"/>
        <w:spacing w:after="0" w:line="282" w:lineRule="auto"/>
        <w:tabs>
          <w:tab w:leader="none" w:pos="1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comparable foreign regulatory authorities may disagree with our interpretation of data from preclinical studies or clinical trials;</w:t>
      </w:r>
    </w:p>
    <w:p>
      <w:pPr>
        <w:spacing w:after="0" w:line="175" w:lineRule="exact"/>
        <w:rPr>
          <w:rFonts w:ascii="Times New Roman" w:cs="Times New Roman" w:eastAsia="Times New Roman" w:hAnsi="Times New Roman"/>
          <w:sz w:val="18"/>
          <w:szCs w:val="18"/>
          <w:color w:val="auto"/>
        </w:rPr>
      </w:pPr>
    </w:p>
    <w:p>
      <w:pPr>
        <w:ind w:left="60" w:right="59" w:hanging="10"/>
        <w:spacing w:after="0" w:line="282" w:lineRule="auto"/>
        <w:tabs>
          <w:tab w:leader="none" w:pos="17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 New Drug Application, or NDA, or other submission or to obtain regulatory approval in the United States or elsewhere;</w:t>
      </w:r>
    </w:p>
    <w:p>
      <w:pPr>
        <w:spacing w:after="0" w:line="175" w:lineRule="exact"/>
        <w:rPr>
          <w:rFonts w:ascii="Times New Roman" w:cs="Times New Roman" w:eastAsia="Times New Roman" w:hAnsi="Times New Roman"/>
          <w:sz w:val="18"/>
          <w:szCs w:val="18"/>
          <w:color w:val="auto"/>
        </w:rPr>
      </w:pPr>
    </w:p>
    <w:p>
      <w:pPr>
        <w:ind w:left="60" w:right="79" w:hanging="10"/>
        <w:spacing w:after="0" w:line="282" w:lineRule="auto"/>
        <w:tabs>
          <w:tab w:leader="none" w:pos="2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FDA or other comparable foreign regulatory authorities that a product candidate’s risk-benefit ratio for its proposed indication is acceptable;</w:t>
      </w:r>
    </w:p>
    <w:p>
      <w:pPr>
        <w:spacing w:after="0" w:line="175" w:lineRule="exact"/>
        <w:rPr>
          <w:rFonts w:ascii="Times New Roman" w:cs="Times New Roman" w:eastAsia="Times New Roman" w:hAnsi="Times New Roman"/>
          <w:sz w:val="18"/>
          <w:szCs w:val="18"/>
          <w:color w:val="auto"/>
        </w:rPr>
      </w:pPr>
    </w:p>
    <w:p>
      <w:pPr>
        <w:jc w:val="both"/>
        <w:ind w:left="60" w:right="79" w:hanging="10"/>
        <w:spacing w:after="0" w:line="266" w:lineRule="auto"/>
        <w:tabs>
          <w:tab w:leader="none" w:pos="20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comparable foreign regulatory authorities may fail to approve the manufacturing processes, test procedures and specifications or facilities of third-party manufacturers with which we contract for clinical and commercial supplies; and</w:t>
      </w:r>
    </w:p>
    <w:p>
      <w:pPr>
        <w:spacing w:after="0" w:line="189" w:lineRule="exact"/>
        <w:rPr>
          <w:rFonts w:ascii="Times New Roman" w:cs="Times New Roman" w:eastAsia="Times New Roman" w:hAnsi="Times New Roman"/>
          <w:sz w:val="18"/>
          <w:szCs w:val="18"/>
          <w:color w:val="auto"/>
        </w:rPr>
      </w:pPr>
    </w:p>
    <w:p>
      <w:pPr>
        <w:ind w:left="60" w:right="59" w:hanging="10"/>
        <w:spacing w:after="0" w:line="282" w:lineRule="auto"/>
        <w:tabs>
          <w:tab w:leader="none" w:pos="19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other comparable foreign regulatory authorities may significantly change in a manner rendering our clinical data insufficient for approval.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the results of clinical trials, may result in our failing to obtain regulatory approval to market any of our product candidates, which would significantly harm our business, results of operations and prospects. In addition, the FDA or comparable foreign regulatory authorities may change their policies, adopt additional regulations or revise existing regulations or take other actions, which may prevent or delay approval of our future product candidates under development on a timely basis. Such policy or regulatory changes could impose additional requirements upon us that could delay our ability to obtain approvals, increase the costs of compliance or restrict our ability to maintain any marketing authorizations we may have obtained.</w:t>
      </w:r>
    </w:p>
    <w:p>
      <w:pPr>
        <w:spacing w:after="0" w:line="18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addition, even if we obtain approval of our product candidates, regulatory authorities may approve any of our product candidates for fewer or more limited indications than we request, may impose significant limitations in the form of narrow indications, warnings, or a Risk Evaluation and Mitigation Strategy, or REMS. Regulatory authorities may not approve the price we intend to charge for products we may develop,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seriously harm our business.</w:t>
      </w:r>
    </w:p>
    <w:p>
      <w:pPr>
        <w:spacing w:after="0" w:line="185" w:lineRule="exact"/>
        <w:rPr>
          <w:sz w:val="20"/>
          <w:szCs w:val="20"/>
          <w:color w:val="auto"/>
        </w:rPr>
      </w:pPr>
    </w:p>
    <w:p>
      <w:pPr>
        <w:jc w:val="both"/>
        <w:ind w:left="60" w:right="5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may not be able to submit INDs or IND amendments or comparable documents in foreign jurisdictions to commence additional clinical trials on the timelines we expect, and even if we are able to, the FDA may not permit us to proceed.</w:t>
      </w:r>
    </w:p>
    <w:p>
      <w:pPr>
        <w:spacing w:after="0" w:line="13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While we submitted our IND for IMM-1-104 with the FDA and received authorization to proceed in the third quarter of 2022, we may not be able to submit additional INDs or comparable documents for IMM-1-104 or our other potential product candidates on the timeline we expect. We may also experience manufacturing delays or other delays with IND-enabling studies. Moreover, we cannot be sure that submission of an IND or comparable document will result in the FDA or other comparable foreign regulatory authorities allowing further clinical trials to begin, or that, once begun, issues will not arise that suspend or terminate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 or to a new IND. Any failure to file INDs on the timelines we expect or to obtain regulatory approvals for our trials may prevent us from completing our clinical trials or commercializing our products on a timely basis, if at all.</w:t>
      </w:r>
    </w:p>
    <w:p>
      <w:pPr>
        <w:spacing w:after="0" w:line="188"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company has limited experience in designing clinical trials and may experience delays or unexpected difficulties in obtaining regulatory approval for our current and future product candidates.</w:t>
      </w:r>
    </w:p>
    <w:p>
      <w:pPr>
        <w:spacing w:after="0" w:line="15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have limited experience in designing clinical trials and may be unable to design and execute a clinical trial to support marketing approval. We cannot be certain that our ongoing or planned clinical trials or any future clinical trials will be successful. It is possible that the FDA may refuse to accept any or all of our planned NDAs for substantive review or may conclude after review of our data that our application is insufficient to obtain regulatory approval for any product candidates. If the FDA does not approve any of our planned NDAs, it may require that we conduct additional costly clinical trials, preclinical studies or manufacturing validation studies before it will reconsider our applications. Depending on the extent of these or any other FDA-required studies, approval of any NDA or other application that we submit may be significantly delayed, possibly for several years, or may require us to expend more resources than we have available. Any failure or delay in obtaining regulatory approvals would prevent us from commercializing our product candidates, generating revenues and achieving and sustaining profitability. It is also possible that additional studies, if performed and completed, may not be considered sufficient by the FDA to approve any NDA or other application that we submit. If any of these outcomes occur, we may be forced to abandon the development of our product candidates, which would materially adversely affect our business and could potentially cause us to cease operations. We face similar risks for our applications in foreign jurisdictions.</w:t>
      </w:r>
    </w:p>
    <w:p>
      <w:pPr>
        <w:spacing w:after="0" w:line="193"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encounter substantial delays in completing, or ultimately be unable to complete, the development and commercialization of our product candidates.</w:t>
      </w:r>
    </w:p>
    <w:p>
      <w:pPr>
        <w:spacing w:after="0" w:line="15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Before obtaining marketing approval from the FDA or other comparable foreign regulatory authorities for the sale of our product candidates, we must complete preclinical development and extensive clinical trials to demonstrate the safety and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efficacy of our product candidates. Clinical testing is expensive, difficult to design and implement, can take many years to complete and its ultimate outcome is uncertain. A failure of one or more clinical trials can occur at any stage of the process.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 The outcome of preclinical studies and early-stage clinical trials may not be predictive of the success of later clinical trials.</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addition, we are substantially dependent on preclinical, clinical and quality data generated by CROs and other third parties for regulatory submissions for our product candidates. While we have or will have agreements governing these third parties’ services, we have limited influence over their actual performance. If these third parties do not make data available to us, or, if applicable, make regulatory submissions in a timely manner, in each case pursuant to our agreements with them, our development programs may be significantly delayed, and we may need to conduct additional studies or collect additional data independently. In either case, our development costs would increase, perhaps substantially.</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do not know whether our future clinical trials will begin on time or enroll patients on time, or whether our future clinical trials will be completed on schedule or at all. Clinical trials can be delayed for a variety of reasons, including delays related to:</w:t>
      </w:r>
    </w:p>
    <w:p>
      <w:pPr>
        <w:spacing w:after="0" w:line="176" w:lineRule="exact"/>
        <w:rPr>
          <w:sz w:val="20"/>
          <w:szCs w:val="20"/>
          <w:color w:val="auto"/>
        </w:rPr>
      </w:pPr>
    </w:p>
    <w:p>
      <w:pPr>
        <w:ind w:left="60" w:right="79" w:hanging="10"/>
        <w:spacing w:after="0" w:line="282" w:lineRule="auto"/>
        <w:tabs>
          <w:tab w:leader="none" w:pos="19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disagreeing as to the design or implementation of our clinical studies;</w:t>
      </w:r>
    </w:p>
    <w:p>
      <w:pPr>
        <w:spacing w:after="0" w:line="175" w:lineRule="exact"/>
        <w:rPr>
          <w:rFonts w:ascii="Times New Roman" w:cs="Times New Roman" w:eastAsia="Times New Roman" w:hAnsi="Times New Roman"/>
          <w:sz w:val="18"/>
          <w:szCs w:val="18"/>
          <w:color w:val="auto"/>
        </w:rPr>
      </w:pPr>
    </w:p>
    <w:p>
      <w:pPr>
        <w:ind w:left="60" w:right="59" w:hanging="10"/>
        <w:spacing w:after="0" w:line="282" w:lineRule="auto"/>
        <w:tabs>
          <w:tab w:leader="none" w:pos="20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authorizations to commence a trial or reaching a consensus with regulatory authorities on trial design;</w:t>
      </w:r>
    </w:p>
    <w:p>
      <w:pPr>
        <w:spacing w:after="0" w:line="175" w:lineRule="exact"/>
        <w:rPr>
          <w:rFonts w:ascii="Times New Roman" w:cs="Times New Roman" w:eastAsia="Times New Roman" w:hAnsi="Times New Roman"/>
          <w:sz w:val="18"/>
          <w:szCs w:val="18"/>
          <w:color w:val="auto"/>
        </w:rPr>
      </w:pPr>
    </w:p>
    <w:p>
      <w:pPr>
        <w:ind w:left="60" w:right="59" w:hanging="10"/>
        <w:spacing w:after="0" w:line="282" w:lineRule="auto"/>
        <w:tabs>
          <w:tab w:leader="none" w:pos="18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or delay in reaching an agreement with CROs and clinical trial sites, the terms of which can be subject to extensive negotiation and may vary significantly among different CROs and trial sites;</w:t>
      </w:r>
    </w:p>
    <w:p>
      <w:pPr>
        <w:spacing w:after="0" w:line="17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approval from one or more institutional review boards, or IRBs;</w:t>
      </w:r>
    </w:p>
    <w:p>
      <w:pPr>
        <w:spacing w:after="0" w:line="212"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•IRBs refusing to approve, suspending or terminating the trial at an investigational site, precluding enrollment of additional subjects, or withdrawing their approval of the trial;</w:t>
      </w:r>
    </w:p>
    <w:p>
      <w:pPr>
        <w:spacing w:after="0" w:line="175"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•delays in enrollment due to travel or quarantine policies, or other factors related to COVID-19 and its variants, other pandemics or other events outside our control;</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•changes to clinical trial protocol;</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•clinical sites deviating from trial protocol or dropping out of a trial;</w:t>
      </w:r>
    </w:p>
    <w:p>
      <w:pPr>
        <w:spacing w:after="0" w:line="23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•manufacturing sufficient quantities of product candidates or obtaining sufficient quantities of combination therapies for use in clinical trials;</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•subjects failing to enroll or remain in our trial at the rate we expect, or failing to return for post-treatment follow-up;</w:t>
      </w:r>
    </w:p>
    <w:p>
      <w:pPr>
        <w:spacing w:after="0" w:line="23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•subjects choosing an alternative treatment for the indication for which we are developing our product candidates, or participating in competing clinical trials;</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•lack of adequate funding to continue the clinical trial;</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•subjects experiencing severe or unexpected drug-related adverse effects;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•occurrence of serious adverse events in trials of the same class of agents conducted by other companies;</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•selection of clinical end points that require prolonged periods of clinical observation or analysis of the resulting data;</w:t>
      </w:r>
    </w:p>
    <w:p>
      <w:pPr>
        <w:spacing w:after="0" w:line="23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 facility manufacturing our product candidates or any of their components being ordered by the FDA or comparable foreign regulatory authorities to temporarily or permanently shut down due to violations of current good manufacturing practice, or cGMP, regulations or other applicable requirements, or infections or cross-contaminations of product candidates in the manufacturing process;</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•any changes to our manufacturing process that may be necessary or desired;</w:t>
      </w:r>
    </w:p>
    <w:p>
      <w:pPr>
        <w:spacing w:after="0" w:line="23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•third-party clinical investigators losing the licenses or permits necessary to perform our clinical trials, not performing our clinical trials on our anticipated schedule or consistent with the clinical trial protocol, good clinical practices, or GCP, or other regulatory requirements;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•third-party contractors not performing data collection or analysis in a timely or accurate manner; or</w:t>
      </w:r>
    </w:p>
    <w:p>
      <w:pPr>
        <w:spacing w:after="0" w:line="23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19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addition, the ongoing pandemic related to COVID-19 and its variants and the measures taken by the governmental authorities could disrupt the supply chain and the manufacture or shipment of drug substances and finished drug products for our product candidates for use in our research and clinical trials, delay, limit or prevent our employees and CROs from continuing research and development activities, impede the ability of patients to enroll or continue in clinical trials, or impede testing, monitoring, data collection and analysis or other related activities, any of which could delay our clinical trials and increase our development costs, and have a material adverse effect on our business, financial condition and results of operations.</w:t>
      </w:r>
    </w:p>
    <w:p>
      <w:pPr>
        <w:spacing w:after="0" w:line="18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w:t>
      </w:r>
    </w:p>
    <w:p>
      <w:pPr>
        <w:spacing w:after="0" w:line="194"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Further, conducting clinical trials in foreign countries, as we may do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Additionally, if the results of our clinical trials are inconclusive or if there are safety concerns or serious adverse events associated with our product candidates, we may: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be delayed in obtaining marketing approval, if at all;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60" w:hanging="110"/>
        <w:spacing w:after="0"/>
        <w:tabs>
          <w:tab w:leader="none" w:pos="1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w:t>
      </w:r>
    </w:p>
    <w:p>
      <w:pPr>
        <w:spacing w:after="0" w:line="238" w:lineRule="exact"/>
        <w:rPr>
          <w:rFonts w:ascii="Times New Roman" w:cs="Times New Roman" w:eastAsia="Times New Roman" w:hAnsi="Times New Roman"/>
          <w:sz w:val="18"/>
          <w:szCs w:val="18"/>
          <w:color w:val="auto"/>
        </w:rPr>
      </w:pPr>
    </w:p>
    <w:p>
      <w:pPr>
        <w:ind w:left="60" w:right="79" w:hanging="10"/>
        <w:spacing w:after="0" w:line="282" w:lineRule="auto"/>
        <w:tabs>
          <w:tab w:leader="none" w:pos="19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perform additional clinical trials to support approval or be subject to additional post-marketing testing requirements;</w:t>
      </w:r>
    </w:p>
    <w:p>
      <w:pPr>
        <w:spacing w:after="0" w:line="175" w:lineRule="exact"/>
        <w:rPr>
          <w:rFonts w:ascii="Times New Roman" w:cs="Times New Roman" w:eastAsia="Times New Roman" w:hAnsi="Times New Roman"/>
          <w:sz w:val="18"/>
          <w:szCs w:val="18"/>
          <w:color w:val="auto"/>
        </w:rPr>
      </w:pPr>
    </w:p>
    <w:p>
      <w:pPr>
        <w:ind w:left="60" w:right="59" w:hanging="10"/>
        <w:spacing w:after="0" w:line="282" w:lineRule="auto"/>
        <w:tabs>
          <w:tab w:leader="none" w:pos="18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regulatory authorities withdraw, or suspend, their approval of the drug or impose restrictions on its distribution in the form of a modified REMS;</w:t>
      </w:r>
    </w:p>
    <w:p>
      <w:pPr>
        <w:spacing w:after="0" w:line="17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the addition of labeling statements, such as warnings or contraindications;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sued; or</w:t>
      </w:r>
    </w:p>
    <w:p>
      <w:pPr>
        <w:spacing w:after="0" w:line="252"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damage to our reputation.</w:t>
      </w:r>
    </w:p>
    <w:p>
      <w:pPr>
        <w:spacing w:after="0" w:line="23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development costs will also increase if we experience delays in testing or obtaining marketing approvals. We do not know whether any of our preclinical studies or clinical trials will begin as planned, need to be restructured or be completed on schedule, if at all. Any delay in, or termination of, our clinical trials will delay the submission of an NDA to the FDA or similar applications with comparable foreign regulatory authorities and, ultimately, our ability to commercialize our product candidates, if approved, and generate product revenue. Even if our clinical trials are completed as planned, we cannot be certain that their results will support our claims for differentiation or the effectiveness or safety of our product candidate. The FDA has substantial discretion in the review and approval process and may disagree that our data support the claims we propose.</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authorities may conclude that a financial relationship between us and a principal investigator has created a conflict of interest or otherwise affected interpretation of the study. The FDA or comparable foreign regulatory authorities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authorities, as the case may be, and may ultimately lead to the denial of marketing approval of one or more of our product candidates.</w:t>
      </w:r>
    </w:p>
    <w:p>
      <w:pPr>
        <w:spacing w:after="0" w:line="18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Moreover, any delays in completing our clinical trials will increase our costs, slow down our product candidate development and approval process and jeopardize our ability to commence product sales and generate revenues.</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addition, many of the factors that cause, or lead to, termination or suspension of, or a delay in the commencement or completion of, clinical trials may also ultimately lead to the denial of regulatory approval of a product candidate. Any delays to our clinical trials that occur as a result could shorten any period during which we may have the exclusive right to commercialize our product candidates and our competitors may be able to bring products to market before we do, and the commercial viability of our product candidates could be significantly reduced. Any of these occurrences may harm our business, financial condition and prospects significantly.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outcome of preclinical studies and early clinical trials may not be predictive of the success of later clinical trials, and the results of our clinical trials may not satisfy the requirements of the FDA or other comparable foreign regulatory authorities.</w:t>
      </w:r>
    </w:p>
    <w:p>
      <w:pPr>
        <w:spacing w:after="0" w:line="17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any of our product candidates, we will be required to demonstrate with substantial evidence through well-controlled clinical trials that our product candidates are safe and effective for their intended uses. Clinical testing is expensive and can take many years to complete, and its outcome is inherently uncertain. Failure can occur at any time during the clinical trial process. Success in preclinical studies and early-stage clinical trials does not mean that future clinical trials will be successful. We do not know whether any of our product candidates will perform in current or future clinical trials as they have performed in preclinical studies. Product candidates in later-stage clinical trials may fail to demonstrate sufficient safety and efficacy to the satisfaction of the FDA or other comparable foreign regulatory authorities despite having progressed through preclinical studies and early-stage clinical trials.</w:t>
      </w:r>
    </w:p>
    <w:p>
      <w:pPr>
        <w:spacing w:after="0" w:line="188"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dosing regimen and other trial protocols and the rate of dropout among clinical trial participants. Patients treated with our product candidates may also be undergoing surgical, radiation and chemotherapy treatments and may be using other approved products or investigational new drugs, which can cause side effects or adverse events that are unrelated to our product candidate. As a result, assessments of efficacy can vary widely for a particular patient, and from patient to patient and site to site within a clinical trial. This subjectivity can increase the uncertainty of, and adversely impact, our clinical trial outcomes. We do not know whether any clinical trials we may conduct will demonstrate consistent or adequate efficacy and safety sufficient to obtain marketing approval to market our product candidates. Most product candidates that begin clinical trials are never approved by regulatory authorities for commercialization.</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have limited experience in designing clinical trials and may be unable to design and execute a clinical trial to support marketing approval. We cannot be certain that our planned clinical trials or any other future clinical trials will be successful. Additionally, any safety concerns observed in any one of our clinical trials in our targeted indications could limit the prospects for regulatory approval of our product candidates in those and other indications, which could seriously harm our business.</w:t>
      </w:r>
    </w:p>
    <w:p>
      <w:pPr>
        <w:spacing w:after="0" w:line="183"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Moreover, preclinical and clinical data are often susceptible to varying interpretations and analyses and many companies that believed their product candidates performed satisfactorily in preclinical studies and clinical trials nonetheless failed to obtain FDA or comparable foreign regulatory authority approval. We cannot guarantee that the FDA or comparable foreign regulatory authorities will interpret trial results as we do, and more trials could be required before we are able to submit applications seeking approval of our product candidates. To the extent that the results of the trials are not satisfactory to the FDA or comparable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 Furthermore, the approval policies or regulations of the FDA or comparable foreign regulatory authorities may significantly change in a manner rendering our clinical data insufficient for approval, which may lead to the FDA or comparable foreign regulatory authorities delaying, limiting or denying approval of our product candidates.</w:t>
      </w:r>
    </w:p>
    <w:p>
      <w:pPr>
        <w:spacing w:after="0" w:line="186"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7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From time to time, we may publicly disclose interim,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Top-line and preliminary data also remain subject to audit</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and verification procedures that may result in the final data being materially different from the top-line or preliminary data we previously published. As a result, top-line and preliminary data should be viewed with caution until the final data are available.</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top-line, preliminary or interim data and final data could significantly harm our business prospects. Further, disclosure of interim data by us or by our competitors could result in volatility in the trading price of our Class A common stock.</w:t>
      </w:r>
    </w:p>
    <w:p>
      <w:pPr>
        <w:spacing w:after="0" w:line="18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results of operations, prospects or financial condition. Moreover, such disclosure could adversely affect the trading price of our Class A common stock.</w:t>
      </w:r>
    </w:p>
    <w:p>
      <w:pPr>
        <w:spacing w:after="0" w:line="190"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current or future product candidates may cause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As is the case with pharmaceuticals generally, it is likely that there may be side effects and adverse events associated with the use of our product candidates. Results of our preclinical studies and clinical trials could reveal a high and unacceptable severity and prevalence of side effects or unexpected characteristics. Undesirable side effects caused by our product candidates could cause us or regulatory authorities to interrupt, delay or halt clinical trials and could result in a more restrictive label or the delay or denial of regulatory approval by the FDA or comparable foreign regulatory authorities.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If our product candidates are associated with undesirable side effects or have unexpected characteristics in preclinical studies or clinical trials when used alone or in combination with approved or other investigational products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trial, or result in potential product liability claims. Any of these occurrences may prevent us from achieving or maintaining market acceptance of the affected product candidate and may harm our business, financial condition and prospects significantly.</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Patients in our clinical trials may in the future suffer significant adverse events or other side effects not observed in our preclinical studies or previous clinical trials. Some of our product candidates may be used as chronic therapies or be used in pediatric populations, for which safety concerns may be particularly scrutinized by regulatory agencies. In addition, if our product candidates are used in combination with other therapies, our product candidates may exacerbate adverse events associated with the therapy. Patients treated with our product candidates may also be undergoing surgical, radiation and chemotherapy treatments, which can cause side effects or adverse events that are unrelated to our product candidate,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If significant adverse events or other side effects are observed in any of our future clinical trials, we may have difficulty recruiting patients to the clinical trials, patients may drop out of our trials, or we may be required to abandon the trials or our development efforts of that product candidate altogether. We, the FDA, other comparable regulatory authorities or an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harm our business, financial condition and prospects.</w:t>
      </w:r>
    </w:p>
    <w:p>
      <w:pPr>
        <w:spacing w:after="0" w:line="18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Additionally, if any of our product candidates receives regulatory approval, and we or others later identify undesirable side effects caused by such product, a number of potentially significant negative consequences could result. For example, the FDA could require us to adopt a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costlier than what is typical for the industry. We or our collaborators may also be required to adopt a REMS or engage in similar actions, such as patient education, certification of health care professionals or specific monitoring, if we or others later identify undesirable side effects caused by any product that we develop alone or with collaborators. Other potentially significant negative consequences include that:</w:t>
      </w:r>
    </w:p>
    <w:p>
      <w:pPr>
        <w:spacing w:after="0" w:line="188" w:lineRule="exact"/>
        <w:rPr>
          <w:sz w:val="20"/>
          <w:szCs w:val="20"/>
          <w:color w:val="auto"/>
        </w:rPr>
      </w:pPr>
    </w:p>
    <w:p>
      <w:pPr>
        <w:ind w:left="60" w:right="79" w:hanging="10"/>
        <w:spacing w:after="0" w:line="282" w:lineRule="auto"/>
        <w:tabs>
          <w:tab w:leader="none" w:pos="19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forced to suspend marketing of that product, or be forced to or decide to remove the product form the marketplace;</w:t>
      </w:r>
    </w:p>
    <w:p>
      <w:pPr>
        <w:spacing w:after="0" w:line="17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or change their approvals of that product in one or more countries;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or limit access of that product to selective</w:t>
      </w:r>
    </w:p>
    <w:p>
      <w:pPr>
        <w:spacing w:after="0" w:line="27" w:lineRule="exact"/>
        <w:rPr>
          <w:sz w:val="20"/>
          <w:szCs w:val="20"/>
          <w:color w:val="auto"/>
        </w:rPr>
      </w:pPr>
    </w:p>
    <w:p>
      <w:pPr>
        <w:ind w:left="60" w:right="59"/>
        <w:spacing w:after="0" w:line="260" w:lineRule="auto"/>
        <w:rPr>
          <w:sz w:val="20"/>
          <w:szCs w:val="20"/>
          <w:color w:val="auto"/>
        </w:rPr>
      </w:pPr>
      <w:r>
        <w:rPr>
          <w:rFonts w:ascii="Times New Roman" w:cs="Times New Roman" w:eastAsia="Times New Roman" w:hAnsi="Times New Roman"/>
          <w:sz w:val="18"/>
          <w:szCs w:val="18"/>
          <w:color w:val="auto"/>
        </w:rPr>
        <w:t>specialized centers with additional safety reporting and with requirements that patients be geographically close to these centers for all or part of their treatment;</w:t>
      </w:r>
    </w:p>
    <w:p>
      <w:pPr>
        <w:spacing w:after="0" w:line="195" w:lineRule="exact"/>
        <w:rPr>
          <w:sz w:val="20"/>
          <w:szCs w:val="20"/>
          <w:color w:val="auto"/>
        </w:rPr>
      </w:pPr>
    </w:p>
    <w:p>
      <w:pPr>
        <w:ind w:left="60" w:right="59" w:hanging="10"/>
        <w:spacing w:after="0" w:line="282" w:lineRule="auto"/>
        <w:tabs>
          <w:tab w:leader="none" w:pos="19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the product for patients, or to conduct post-marketing studies;</w:t>
      </w:r>
    </w:p>
    <w:p>
      <w:pPr>
        <w:spacing w:after="0" w:line="17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administered;</w:t>
      </w:r>
    </w:p>
    <w:p>
      <w:pPr>
        <w:spacing w:after="0" w:line="238" w:lineRule="exact"/>
        <w:rPr>
          <w:rFonts w:ascii="Times New Roman" w:cs="Times New Roman" w:eastAsia="Times New Roman" w:hAnsi="Times New Roman"/>
          <w:sz w:val="18"/>
          <w:szCs w:val="18"/>
          <w:color w:val="auto"/>
        </w:rPr>
      </w:pPr>
    </w:p>
    <w:p>
      <w:pPr>
        <w:ind w:left="60" w:right="79" w:hanging="10"/>
        <w:spacing w:after="0" w:line="282" w:lineRule="auto"/>
        <w:tabs>
          <w:tab w:leader="none" w:pos="17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subject to fines, injunctions, or the imposition of criminal or civil penalties, or to be sued and held liable for harm caused to subjects or patients; and</w:t>
      </w:r>
    </w:p>
    <w:p>
      <w:pPr>
        <w:spacing w:after="0" w:line="17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 our reputation may suffer.</w:t>
      </w:r>
    </w:p>
    <w:p>
      <w:pPr>
        <w:spacing w:after="0" w:line="23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Any of these events could diminish the usage or otherwise limit the commercial success of our product candidates and prevent us from achieving or maintaining market acceptance of the affected product candidate, if approved by applicable regulatory authorities.</w:t>
      </w:r>
    </w:p>
    <w:p>
      <w:pPr>
        <w:spacing w:after="0" w:line="1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and/or maintenance of patients in clinical trials, our clinical development activities could be delayed or otherwise adversely affected.</w:t>
      </w:r>
    </w:p>
    <w:p>
      <w:pPr>
        <w:spacing w:after="0" w:line="15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Patient enrollment is a significant factor in the timing of clinical trials, and the timing of our clinical trials depends, in part, on the speed at which we can recruit patients to participate in our trials, as well as completion of required follow-up periods. We may not be able to initiate or continue clinical trials for our product candidates if we are unable to locate and enroll a sufficient number of eligible patients to participate in these trials to such trial’s conclusion as required by the FDA or other comparable foreign regulatory authorities. Additionally, our clinical trials will compete with other clinical trials for product candidates that focusing on the same therapeutic targets (e.g., evaluating patients harboring RAS mutant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tumors) as our current and potential future product candidates, which may further limit enrollment of eligible patients or may result in slower enrollment than we anticipate. The eligibility criteria of our clinical trials, once established, may further limit the pool of available trial participants.</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Patient enrollment may also be affected if our competitors have ongoing clinical trials for product candidates that are under development for the same indications as our product candidates, and patients who would otherwise be eligible for our clinical trials instead enroll in clinical trials of our competitors’ product candidates. Patient enrollment for any of our clinical trials may be affected by other factors, including:</w:t>
      </w:r>
    </w:p>
    <w:p>
      <w:pPr>
        <w:spacing w:after="0" w:line="180" w:lineRule="exact"/>
        <w:rPr>
          <w:sz w:val="20"/>
          <w:szCs w:val="20"/>
          <w:color w:val="auto"/>
        </w:rPr>
      </w:pPr>
    </w:p>
    <w:p>
      <w:pPr>
        <w:ind w:left="160" w:hanging="110"/>
        <w:spacing w:after="0"/>
        <w:tabs>
          <w:tab w:leader="none" w:pos="1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and nature of the patient population;</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efficacy of approved drugs for the disease under investigation;</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eligibility criteria for the trial in question as defined in the protocol;</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study;</w:t>
      </w:r>
    </w:p>
    <w:p>
      <w:pPr>
        <w:spacing w:after="0" w:line="238" w:lineRule="exact"/>
        <w:rPr>
          <w:rFonts w:ascii="Times New Roman" w:cs="Times New Roman" w:eastAsia="Times New Roman" w:hAnsi="Times New Roman"/>
          <w:sz w:val="18"/>
          <w:szCs w:val="18"/>
          <w:color w:val="auto"/>
        </w:rPr>
      </w:pPr>
    </w:p>
    <w:p>
      <w:pPr>
        <w:ind w:left="60" w:right="79" w:hanging="10"/>
        <w:spacing w:after="0" w:line="282" w:lineRule="auto"/>
        <w:tabs>
          <w:tab w:leader="none" w:pos="18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of the product candidate being studied in relation to other available therapies, including any new products that may be approved for the indications we are investigating;</w:t>
      </w:r>
    </w:p>
    <w:p>
      <w:pPr>
        <w:spacing w:after="0" w:line="17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facilitate timely enrollment in clinical trials;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prospective patients;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enrollment of prospective patients by clinical trial sites;</w:t>
      </w:r>
    </w:p>
    <w:p>
      <w:pPr>
        <w:spacing w:after="0" w:line="238" w:lineRule="exact"/>
        <w:rPr>
          <w:rFonts w:ascii="Times New Roman" w:cs="Times New Roman" w:eastAsia="Times New Roman" w:hAnsi="Times New Roman"/>
          <w:sz w:val="18"/>
          <w:szCs w:val="18"/>
          <w:color w:val="auto"/>
        </w:rPr>
      </w:pPr>
    </w:p>
    <w:p>
      <w:pPr>
        <w:ind w:left="60" w:right="79" w:hanging="10"/>
        <w:spacing w:after="0" w:line="282" w:lineRule="auto"/>
        <w:tabs>
          <w:tab w:leader="none" w:pos="17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the trials before completion or, because they may be late-stage cancer patients, will not survive the full terms of the clinical trials; and</w:t>
      </w:r>
    </w:p>
    <w:p>
      <w:pPr>
        <w:spacing w:after="0" w:line="175" w:lineRule="exact"/>
        <w:rPr>
          <w:rFonts w:ascii="Times New Roman" w:cs="Times New Roman" w:eastAsia="Times New Roman" w:hAnsi="Times New Roman"/>
          <w:sz w:val="18"/>
          <w:szCs w:val="18"/>
          <w:color w:val="auto"/>
        </w:rPr>
      </w:pPr>
    </w:p>
    <w:p>
      <w:pPr>
        <w:ind w:left="60" w:right="79" w:hanging="10"/>
        <w:spacing w:after="0" w:line="282" w:lineRule="auto"/>
        <w:tabs>
          <w:tab w:leader="none" w:pos="16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enrollment and completion of studies due to the pandemic related to COVID-19 and its variants or any future pandemic.</w:t>
      </w:r>
    </w:p>
    <w:p>
      <w:pPr>
        <w:spacing w:after="0" w:line="175"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enrollment of such patients in our clinical trials.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approved, our product candidates may not achieve adequate market acceptance among physicians, patients, healthcare payors and others in the medical community necessary for commercial success.</w:t>
      </w:r>
    </w:p>
    <w:p>
      <w:pPr>
        <w:spacing w:after="0" w:line="15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Even if our product candidates receive regulatory approval, they may not gain adequate market acceptance among physicians, patients, healthcare payors and others in the medical community. The degree of market acceptance of any of our approved product candidates will depend on a number of factors, including:</w:t>
      </w:r>
    </w:p>
    <w:p>
      <w:pPr>
        <w:spacing w:after="0" w:line="176" w:lineRule="exact"/>
        <w:rPr>
          <w:sz w:val="20"/>
          <w:szCs w:val="20"/>
          <w:color w:val="auto"/>
        </w:rPr>
      </w:pPr>
    </w:p>
    <w:p>
      <w:pPr>
        <w:ind w:left="160" w:hanging="110"/>
        <w:spacing w:after="0"/>
        <w:tabs>
          <w:tab w:leader="none" w:pos="1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as demonstrated in clinical trials compared to alternative treatments;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the product candidate as well as competitive products;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candidate is approved;</w:t>
      </w:r>
    </w:p>
    <w:p>
      <w:pPr>
        <w:spacing w:after="0" w:line="238" w:lineRule="exact"/>
        <w:rPr>
          <w:rFonts w:ascii="Times New Roman" w:cs="Times New Roman" w:eastAsia="Times New Roman" w:hAnsi="Times New Roman"/>
          <w:sz w:val="18"/>
          <w:szCs w:val="18"/>
          <w:color w:val="auto"/>
        </w:rPr>
      </w:pPr>
    </w:p>
    <w:p>
      <w:pPr>
        <w:ind w:left="60" w:right="59" w:hanging="10"/>
        <w:spacing w:after="0" w:line="282" w:lineRule="auto"/>
        <w:tabs>
          <w:tab w:leader="none" w:pos="1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use of our product candidates, such as boxed warnings or contraindications in labeling, or a REMS, if any, which may not be required of alternative treatments and competitor products;</w:t>
      </w:r>
    </w:p>
    <w:p>
      <w:pPr>
        <w:spacing w:after="0" w:line="17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product candidates over alternative treatments;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w:t>
      </w:r>
    </w:p>
    <w:p>
      <w:pPr>
        <w:spacing w:after="0" w:line="238" w:lineRule="exact"/>
        <w:rPr>
          <w:rFonts w:ascii="Times New Roman" w:cs="Times New Roman" w:eastAsia="Times New Roman" w:hAnsi="Times New Roman"/>
          <w:sz w:val="18"/>
          <w:szCs w:val="18"/>
          <w:color w:val="auto"/>
        </w:rPr>
      </w:pPr>
    </w:p>
    <w:p>
      <w:pPr>
        <w:ind w:left="60" w:right="59" w:hanging="10"/>
        <w:spacing w:after="0" w:line="282" w:lineRule="auto"/>
        <w:tabs>
          <w:tab w:leader="none" w:pos="17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as well as pricing, by third-party payors, including government authorities;</w:t>
      </w:r>
    </w:p>
    <w:p>
      <w:pPr>
        <w:spacing w:after="0" w:line="17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the approved product candidate for use as a combination therapy;</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and marketing efforts;</w:t>
      </w:r>
    </w:p>
    <w:p>
      <w:pPr>
        <w:spacing w:after="0" w:line="265" w:lineRule="exact"/>
        <w:rPr>
          <w:rFonts w:ascii="Times New Roman" w:cs="Times New Roman" w:eastAsia="Times New Roman" w:hAnsi="Times New Roman"/>
          <w:sz w:val="18"/>
          <w:szCs w:val="18"/>
          <w:color w:val="auto"/>
        </w:rPr>
      </w:pPr>
    </w:p>
    <w:p>
      <w:pPr>
        <w:ind w:left="60" w:right="79" w:hanging="10"/>
        <w:spacing w:after="0" w:line="282" w:lineRule="auto"/>
        <w:tabs>
          <w:tab w:leader="none" w:pos="17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relating to our products or product candidates or similar approved products or product candidates in development by third parties; and</w:t>
      </w:r>
    </w:p>
    <w:p>
      <w:pPr>
        <w:spacing w:after="0" w:line="17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other new therapies for the same indications.</w:t>
      </w:r>
    </w:p>
    <w:p>
      <w:pPr>
        <w:spacing w:after="0" w:line="23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If any of our product candidates is approved but does not achieve an adequate level of acceptance by physicians, hospitals, healthcare payors and patients, we may not generate or derive sufficient revenue from that product candidate and our financial results could be negatively impacted.</w:t>
      </w:r>
    </w:p>
    <w:p>
      <w:pPr>
        <w:spacing w:after="0" w:line="172"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obtain U.S. or foreign regulatory approvals and, as a result, may be unable to commercialize our product candidates.</w:t>
      </w:r>
    </w:p>
    <w:p>
      <w:pPr>
        <w:spacing w:after="0" w:line="159" w:lineRule="exact"/>
        <w:rPr>
          <w:sz w:val="20"/>
          <w:szCs w:val="20"/>
          <w:color w:val="auto"/>
        </w:rPr>
      </w:pPr>
    </w:p>
    <w:p>
      <w:pPr>
        <w:jc w:val="both"/>
        <w:ind w:left="60" w:right="59"/>
        <w:spacing w:after="0" w:line="273" w:lineRule="auto"/>
        <w:rPr>
          <w:sz w:val="20"/>
          <w:szCs w:val="20"/>
          <w:color w:val="auto"/>
        </w:rPr>
      </w:pPr>
      <w:r>
        <w:rPr>
          <w:rFonts w:ascii="Times New Roman" w:cs="Times New Roman" w:eastAsia="Times New Roman" w:hAnsi="Times New Roman"/>
          <w:sz w:val="17"/>
          <w:szCs w:val="17"/>
          <w:color w:val="auto"/>
        </w:rPr>
        <w:t>Our product candidates are subject to extensive governmental regulations relating to, among other things, research, testing, development, manufacturing, safety, efficacy, approval, recordkeeping, reporting, labeling, storage, packaging, advertising and promotion, pricing, marketing and distribution of drugs. Rigorous preclinical testing and clinical trials and an extensive regulatory approval process must be successfully completed in the United States and in many foreign jurisdictions before a new drug can be marketed. Satisfaction of these and other regulatory requirements is costly, time consuming, uncertain and subject to unanticipated delays. We cannot provide any assurance that any product candidate we may develop will progress through required clinical testing and obtain the regulatory approvals necessary for us to begin selling them.</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have not conducted, managed or completed large-scale or pivotal clinical trials nor managed the regulatory approval process with the FDA or any other regulatory authority. The time required to obtain approvals from the FDA and other regulatory authorities is unpredictable, and requires successful completion of extensive clinical trials which typically takes many years, depending upon the type, complexity and novelty of the product candidate. The standards that the FDA and its foreign counterparts use when evaluating clinical trial data can and often changes during drug development, which makes it difficult to predict with any certainty how they will be applied. We may also encounter unexpected delays or increased costs due to new government regulations, including future legislation or administrative action, or changes in FDA policy during the period of drug development, clinical trials and FDA regulatory review.</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Any delay or failure in seeking or obtaining required approvals would have a material and adverse effect on our ability to generate revenue from the particular product candidate for which we are developing and seeking approval. Furthermore, any regulatory approval to market a drug may be subject to significant limitations on the approved uses or indications for which we may market the drug or the labeling or other restrictions. In addition, the FDA has the authority to require a REMS as part of approving a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spacing w:after="0" w:line="18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are also subject to numerous foreign regulatory requirements governing, among other things, the conduct of clinical trials, manufacturing and marketing authorization, pricing and third-party reimbursement. The foreign regulatory approval process varies among countries, and generally includes all of the risks associated with FDA approval described above as well as risks attributable to the satisfaction of local regulations in foreign jurisdictions. Moreover, the time required to obtain approval may differ from that required to obtain FDA approval.</w:t>
      </w:r>
    </w:p>
    <w:p>
      <w:pPr>
        <w:spacing w:after="0" w:line="15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approach to the discovery and development of product candidates is unproven, and we may not be successful in our efforts to use and expand our DCT platform to build a pipeline of product candidates with commercial value.</w:t>
      </w:r>
    </w:p>
    <w:p>
      <w:pPr>
        <w:spacing w:after="0" w:line="15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 key element of our strategy is to use and expand our DCT platform to build a pipeline of product candidates and progress these product candidates through clinical development for the treatment of various cancers. Although our research and development efforts to date have resulted in our discovery, preclinical and clinical development of IMM-1-104, it and other product candidates may not be safe or effective for the indications for which we study them in clinical trials, and we may not be able to develop any other product candidates. Our DCT platform is evolving and may not reach a state at which building a pipeline of product candidates is possible.</w:t>
      </w:r>
    </w:p>
    <w:p>
      <w:pPr>
        <w:spacing w:after="0" w:line="201"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scientific research that forms the basis of our efforts to develop product candidates with our platforms is still ongoing. Further, the scientific evidence to support the feasibility of developing therapeutic treatments based on our DCT platform is both preliminary and limited. As a result, we are exposed to a number of unforeseen risks and it is difficult to predict the types of challenges and risks that we may encounter during development of our product candidates. For example, we have not tested any of the product candidates being developed using our DCT platform in humans, and our current data is limited to animal models and preclinical cell lines, the results of which may not translate into humans. As a result, it is possible that safety events or concerns could negatively affect the development of our product candidates, including adversely affecting patient enrollment among the patient populations that we intend to treat.</w:t>
      </w:r>
    </w:p>
    <w:p>
      <w:pPr>
        <w:spacing w:after="0" w:line="20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Given the novelty of our technologies, we intend to work closely with the FDA and comparable foreign regulatory authorities to perform the requisite scientific analyses and evaluation of our methods to obtain regulatory approval for our product candidates; however, due to a lack of comparable experiences, the regulatory pathway with the FDA and comparable regulatory authorities may be more complex and time-consuming relative to other more well-known therapeutics. Even if we obtain human data to support our product candidates, the FDA or comparable foreign regulatory agencies may lack experience in evaluating the safety and efficacy of our product candidates developed using our platforms, which could result in a longer than expected regulatory review process, increase our expected development costs, and delay or prevent commercialization of our product candidates. The validation process takes time and resources,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may require independent third-party analyses, and may not be accepted or approved by the FDA and comparable foreign regulatory authorities. We cannot be certain that our approach will lead to the development of approvable or marketable products, alone or in combination with other therapies.</w:t>
      </w:r>
    </w:p>
    <w:p>
      <w:pPr>
        <w:spacing w:after="0" w:line="18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Additionally, a key element of our strategy is to use and expand our platforms to build a pipeline of product candidates and progress those product candidates through clinical development for the treatment of a variety of different types of diseases. Although our research and development efforts to date have been focused on identifying a pipeline of product candidates directed at various disease types, we may not be able to develop product candidates that are safe and effective. Even if we are successful in building our pipeline, the potential product candidates that we identify may not be suitable for clinical development, including as a result of being shown to have harmful side effects or other characteristics that indicate that they are unlikely to be approvable or marketable products that will receive marketing approval and achieve market acceptance. If we do not continue to successfully develop, get approval for and begin to commercialize any product candidates, we will face difficulty in obtaining product revenue in future periods, which could result in significant harm to our financial position and adversely affect our share price.</w:t>
      </w:r>
    </w:p>
    <w:p>
      <w:pPr>
        <w:spacing w:after="0" w:line="20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Even if we are successful in building our pipeline of product candidates, the potential product candidates that we identify may not be suitable for clinical development or generate acceptable clinical data, including as a result of being shown to have unacceptable toxicity or other characteristics that indicate that they are unlikely to be products that will receive marketing approval from the FDA or other regulatory authorities or achieve market acceptance. If we do not successfully develop and commercialize product candidates, we will not be able to generate product revenue in the future, which likely would result in significant harm to our financial position and adversely affect our stock price.</w:t>
      </w:r>
    </w:p>
    <w:p>
      <w:pPr>
        <w:spacing w:after="0" w:line="183"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develop our current and future product candidates in combination with other therapies, which exposes us to additional risks.</w:t>
      </w:r>
    </w:p>
    <w:p>
      <w:pPr>
        <w:spacing w:after="0" w:line="15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may also develop certain product candidates as biologic/drug combination products. Additional time may be required to obtain regulatory approval for our product candidates if they are combination products. Our product candidates that may be biologic/drug combination products will require coordination within the FDA and other comparable foreign regulatory authorities for review of their biologic and drug components. Although the FDA and other comparable foreign regulatory authorities have systems in place for the review and approval of combination products, we may experience delays in the development and commercialization of our product candidates that may be combination products due to regulatory timing constraints and uncertainties in the product development and approval process.</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addition, even if any product candidate we develop were to receive marketing approval or be commercialized for use in combination with other existing therapies, we would continue to be subject to the risks that the FDA or comparable foreign regulatory authorities outside of the United States could revoke approval of the therapy used in combination with our product or that safety, efficacy, manufacturing or supply issues could arise with any of those existing therapies. If the therapies we use in combination with our product candidates are replaced as the standard of care for the indications we choose for any of our product candidates, the FDA or comparable foreign regulatory authorities may require us to conduct additional clinical trials. The occurrence of any of these risks could result in our own products, if approved, being removed from the market or being less successful commercially.</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also may choose to evaluate our current product candidates or any other future product candidates in combination with one or more cancer therapies that have not yet been approved for marketing by the FDA or comparable foreign regulatory authorities. We will not be able to market and sell our product candidates we develop in combination with an unapproved cancer therapy for a combination indication if that unapproved therapy does not ultimately obtain marketing approval either alone or in combination with our product. In addition, unapproved cancer therapies face the same risks described with respect to our product candidates currently in development and clinical trials, including the potential for serious adverse effects, delay in their clinical trials and lack of FDA approval.</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If the FDA or comparable foreign regulatory authorities do not approve these other drugs or revoke their approval of, or if safety, efficacy, quality, manufacturing or supply issues arise with, the drugs we choose to evaluate in combination with our product candidate we develop, we may be unable to obtain approval of or market such combination therapy.</w:t>
      </w:r>
    </w:p>
    <w:p>
      <w:pPr>
        <w:spacing w:after="0" w:line="172"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If we successfully develop our product candidates, we may seek approval from the FDA through the use of accelerated approval pathways. If we are unable to obtain such approval, we may be required to conduct additional preclinical studies or clinical trials beyond those that we initially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spacing w:after="0" w:line="18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may in the future seek an accelerated approval for one or more of our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w:t>
      </w:r>
    </w:p>
    <w:p>
      <w:pPr>
        <w:spacing w:after="0" w:line="19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product candidates,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w:t>
      </w:r>
    </w:p>
    <w:p>
      <w:pPr>
        <w:spacing w:after="0" w:line="183"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5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research programs, therapeutic platforms and product candidates that we identify for specific indications. As a result, we may forego or delay pursuit of opportunities with other therapeutic platforms or product candidates or for other indications that later prove to have greater commercial potential or a greater likelihood of success than our product candidates. Our resource allocation decisions may cause us to fail to capitalize on viable commercial products or profitable market opportunities. Our spending on current and future research and development programs, therapeutic platforms and product candidates for specific indications may not yield any commercially viable products.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are early in our development efforts. Our business is substantially dependent on the successful development of our current and future product candidates. If we are unable to advance our current or future product candidates through clinical trials, obtain marketing approval to treat the indications we seek to treat with our product candidates, and ultimately commercialize any product candidates we develop, or experience significant delays in doing so, our business will be materially harmed.</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are early in our development efforts and we have not yet completed our Phase 1/2a clinical trial for our lead product candidate, IMM-1-104. We have also not yet submitted our IND application for IMM-6-415. Our other product candidates are in earlier stages of drug development. We have invested substantially all of our efforts and financial resources in the identification of targets and preclinical development of small molecules targeting the MAPK and mTOR pathways in cancer therapy and small molecules targeting central nervous system disorders, including AD.</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success of our business, including our ability to finance our company and generate revenue from products in the future, which we do not expect will occur for several years, if ever, will depend heavily on the successful development and eventual commercialization of the product candidates we develop, which may never occur. Our current product candidates, and any future product candidates we develop, will require additional preclinical and clinical development, management of clinical, preclinical and manufacturing activities, marketing approval in the United States and other markets, demonstrating effectiveness to pricing and reimbursement authorities, obtaining sufficient manufacturing supply for both clinical development and commercial production, building of a commercial organization, and substantial investment and significant marketing efforts before we generate any revenues from product sales.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success of our current and future product candidates will depend on several factors, including the following:</w:t>
      </w:r>
    </w:p>
    <w:p>
      <w:pPr>
        <w:spacing w:after="0" w:line="225" w:lineRule="exact"/>
        <w:rPr>
          <w:sz w:val="20"/>
          <w:szCs w:val="20"/>
          <w:color w:val="auto"/>
        </w:rPr>
      </w:pPr>
    </w:p>
    <w:p>
      <w:pPr>
        <w:ind w:left="160" w:hanging="110"/>
        <w:spacing w:after="0"/>
        <w:tabs>
          <w:tab w:leader="none" w:pos="1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and timely completion of additional preclinical studies;</w:t>
      </w:r>
    </w:p>
    <w:p>
      <w:pPr>
        <w:spacing w:after="0" w:line="238" w:lineRule="exact"/>
        <w:rPr>
          <w:rFonts w:ascii="Times New Roman" w:cs="Times New Roman" w:eastAsia="Times New Roman" w:hAnsi="Times New Roman"/>
          <w:sz w:val="18"/>
          <w:szCs w:val="18"/>
          <w:color w:val="auto"/>
        </w:rPr>
      </w:pPr>
    </w:p>
    <w:p>
      <w:pPr>
        <w:jc w:val="both"/>
        <w:ind w:left="60" w:right="59" w:hanging="10"/>
        <w:spacing w:after="0" w:line="266" w:lineRule="auto"/>
        <w:tabs>
          <w:tab w:leader="none" w:pos="17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initiation, patient enrollment and completion of our clinical trial for which we are currently recruiting and future clinical trials which we may initiate, on a timely basis, including any delays arising out of the pandemic related to COVID-19 and its variants or any future pandemic;</w:t>
      </w:r>
    </w:p>
    <w:p>
      <w:pPr>
        <w:spacing w:after="0" w:line="189" w:lineRule="exact"/>
        <w:rPr>
          <w:rFonts w:ascii="Times New Roman" w:cs="Times New Roman" w:eastAsia="Times New Roman" w:hAnsi="Times New Roman"/>
          <w:sz w:val="18"/>
          <w:szCs w:val="18"/>
          <w:color w:val="auto"/>
        </w:rPr>
      </w:pPr>
    </w:p>
    <w:p>
      <w:pPr>
        <w:ind w:left="60" w:right="59" w:hanging="10"/>
        <w:spacing w:after="0" w:line="282" w:lineRule="auto"/>
        <w:tabs>
          <w:tab w:leader="none" w:pos="19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establishing relationships with CROs and clinical sites for clinical development, both in the United States and internationally;</w:t>
      </w:r>
    </w:p>
    <w:p>
      <w:pPr>
        <w:spacing w:after="0" w:line="17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adverse events in the clinical trials;</w:t>
      </w:r>
    </w:p>
    <w:p>
      <w:pPr>
        <w:spacing w:after="0" w:line="238" w:lineRule="exact"/>
        <w:rPr>
          <w:rFonts w:ascii="Times New Roman" w:cs="Times New Roman" w:eastAsia="Times New Roman" w:hAnsi="Times New Roman"/>
          <w:sz w:val="18"/>
          <w:szCs w:val="18"/>
          <w:color w:val="auto"/>
        </w:rPr>
      </w:pPr>
    </w:p>
    <w:p>
      <w:pPr>
        <w:ind w:left="60" w:right="59" w:hanging="10"/>
        <w:spacing w:after="0" w:line="282" w:lineRule="auto"/>
        <w:tabs>
          <w:tab w:leader="none" w:pos="20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safety and tolerability profiles that are satisfactory to the FDA or any comparable foreign regulatory authority for marketing approval;</w:t>
      </w:r>
    </w:p>
    <w:p>
      <w:pPr>
        <w:spacing w:after="0" w:line="17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receipt of marketing approvals from applicable regulatory authorities;</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extent of any required post-marketing approval commitments to applicable regulatory authorities;</w:t>
      </w:r>
    </w:p>
    <w:p>
      <w:pPr>
        <w:spacing w:after="0" w:line="239" w:lineRule="exact"/>
        <w:rPr>
          <w:sz w:val="20"/>
          <w:szCs w:val="20"/>
          <w:color w:val="auto"/>
        </w:rPr>
      </w:pPr>
    </w:p>
    <w:p>
      <w:pPr>
        <w:ind w:left="60" w:right="59" w:hanging="10"/>
        <w:spacing w:after="0" w:line="282" w:lineRule="auto"/>
        <w:tabs>
          <w:tab w:leader="none" w:pos="17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of existing or the establishment of new supply arrangements with third-party drug product suppliers and manufacturers for clinical development;</w:t>
      </w:r>
    </w:p>
    <w:p>
      <w:pPr>
        <w:spacing w:after="0" w:line="175" w:lineRule="exact"/>
        <w:rPr>
          <w:rFonts w:ascii="Times New Roman" w:cs="Times New Roman" w:eastAsia="Times New Roman" w:hAnsi="Times New Roman"/>
          <w:sz w:val="18"/>
          <w:szCs w:val="18"/>
          <w:color w:val="auto"/>
        </w:rPr>
      </w:pPr>
    </w:p>
    <w:p>
      <w:pPr>
        <w:ind w:left="60" w:right="79" w:hanging="10"/>
        <w:spacing w:after="0" w:line="282" w:lineRule="auto"/>
        <w:tabs>
          <w:tab w:leader="none" w:pos="1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of existing, or the establishment of new, scaled production arrangements with third-party manufacturers to obtain finished products that are appropriate for commercial sale of our product candidates, if approved;</w:t>
      </w:r>
    </w:p>
    <w:p>
      <w:pPr>
        <w:spacing w:after="0" w:line="175" w:lineRule="exact"/>
        <w:rPr>
          <w:rFonts w:ascii="Times New Roman" w:cs="Times New Roman" w:eastAsia="Times New Roman" w:hAnsi="Times New Roman"/>
          <w:sz w:val="18"/>
          <w:szCs w:val="18"/>
          <w:color w:val="auto"/>
        </w:rPr>
      </w:pPr>
    </w:p>
    <w:p>
      <w:pPr>
        <w:ind w:left="60" w:right="59" w:hanging="10"/>
        <w:spacing w:after="0" w:line="282" w:lineRule="auto"/>
        <w:tabs>
          <w:tab w:leader="none" w:pos="17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protection, trade secret protection and regulatory exclusivity, both in the United States and internationally;</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60" w:hanging="110"/>
        <w:spacing w:after="0"/>
        <w:tabs>
          <w:tab w:leader="none" w:pos="1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protection of our rights in our intellectual property portfolio;</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launch of commercial sales following any marketing approval;</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following any marketing approval;</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acceptance by patients, the medical community and third-party payors; and</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other therapies.</w:t>
      </w:r>
    </w:p>
    <w:p>
      <w:pPr>
        <w:spacing w:after="0" w:line="23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 If we are not successful with respect to one or more of these factors in a timely manner or at all, we could experience significant delays or an inability to successfully commercialize the product candidates we develop, which would materially harm our business. If we do not receive marketing approvals for IMM-1-104, or any other product candidate we develop, we may not be able to continue our operations.</w:t>
      </w:r>
    </w:p>
    <w:p>
      <w:pPr>
        <w:spacing w:after="0" w:line="183"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our platform, including our proprietary technologies such as DCT and Fluency, which are supported by our information technology systems. Any failure of these or other elements of our platform will materially harm our business.</w:t>
      </w:r>
    </w:p>
    <w:p>
      <w:pPr>
        <w:spacing w:after="0" w:line="17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are substantially dependent on our platform, including our proprietary technologies such as DCT and Fluency, which are supported by our information technology systems, for significant elements of our drug discovery process, bioinformatics and computational biology software systems, database of information relating to our product candidates and their role in the targeted disease process, amongst others. Although we invest substantially in the backup/restore, high-availability architecture, monitoring and reporting, documentation and preventive security controls of our systems and proprietary technologies, these elements of our platform are still vulnerable to damage from a variety of sources, including telecommunications or network failures, malicious or inadvertent human acts, and natural disasters. Our information technology systems and proprietary technologies are potentially also vulnerable to physical or electronic break-ins, employee errors, computer viruses and similar disruptive problems. Despite the precautionary measures we have taken to prevent unanticipated problems that could affect our information technology systems and proprietary technologies, failures or significant downtime of these systems could prevent us from conducting research and development activities for our current and future product candidates, and ultimately delay our drug discovery process. Any failure of our information technology systems and proprietary technologies will materially harm our business.</w:t>
      </w:r>
    </w:p>
    <w:p>
      <w:pPr>
        <w:spacing w:after="0" w:line="183"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long-term prospects depend in part upon discovering, developing and commercializing product candidates, which may fail in development or suffer delays that adversely affect their commercial viability.</w:t>
      </w:r>
    </w:p>
    <w:p>
      <w:pPr>
        <w:spacing w:after="0" w:line="15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future results of operations are dependent on our ability to successfully discover, develop, obtain regulatory approval for and commercialize product candidates beyond those we currently have in preclinical studies and early stage development. A product candidate can unexpectedly fail at any stage of preclinical and clinical development. The historical failure rate for product candidates is high due to risks relating to safety, efficacy, clinical execution, changing standards of medical care and other unpredictable variables. The results from preclinical studies or early clinical trials of a product candidate may not be predictive of the results that will be obtained in later stage clinical trials of the product candidate.</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success of the product candidates we have or may develop will depend on many factors, including the following:</w:t>
      </w:r>
    </w:p>
    <w:p>
      <w:pPr>
        <w:spacing w:after="0" w:line="225" w:lineRule="exact"/>
        <w:rPr>
          <w:sz w:val="20"/>
          <w:szCs w:val="20"/>
          <w:color w:val="auto"/>
        </w:rPr>
      </w:pPr>
    </w:p>
    <w:p>
      <w:pPr>
        <w:ind w:left="160" w:hanging="110"/>
        <w:spacing w:after="0"/>
        <w:tabs>
          <w:tab w:leader="none" w:pos="1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research methodology in identifying potential indications or product candidates;</w:t>
      </w:r>
    </w:p>
    <w:p>
      <w:pPr>
        <w:spacing w:after="0" w:line="252"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sufficient data to support the initiation or continuation of clinical trials;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permission to initiate clinical trials;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60" w:hanging="110"/>
        <w:spacing w:after="0"/>
        <w:tabs>
          <w:tab w:leader="none" w:pos="1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contracting with the necessary parties to conduct clinical trials;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of patients in, and the completion of, clinical trials on a timely basis;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manufacture of sufficient quantities of the product candidate for use in clinical trials;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events in the clinical trials; and</w:t>
      </w:r>
    </w:p>
    <w:p>
      <w:pPr>
        <w:spacing w:after="0" w:line="238" w:lineRule="exact"/>
        <w:rPr>
          <w:rFonts w:ascii="Times New Roman" w:cs="Times New Roman" w:eastAsia="Times New Roman" w:hAnsi="Times New Roman"/>
          <w:sz w:val="18"/>
          <w:szCs w:val="18"/>
          <w:color w:val="auto"/>
        </w:rPr>
      </w:pPr>
    </w:p>
    <w:p>
      <w:pPr>
        <w:ind w:left="60" w:right="79" w:hanging="10"/>
        <w:spacing w:after="0" w:line="282" w:lineRule="auto"/>
        <w:tabs>
          <w:tab w:leader="none" w:pos="17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potential interruptions or delays resulting from factors related to the pandemic related to COVID-19 and its variants or any future pandemic.</w:t>
      </w:r>
    </w:p>
    <w:p>
      <w:pPr>
        <w:spacing w:after="0" w:line="17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Even if we successfully advance any other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our other product candidates.</w:t>
      </w:r>
    </w:p>
    <w:p>
      <w:pPr>
        <w:spacing w:after="0" w:line="176"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never commercialized a product candidate before and may lack the necessary expertise, personnel and resources to successfully commercialize any products on our own or together with suitable collaborators.</w:t>
      </w:r>
    </w:p>
    <w:p>
      <w:pPr>
        <w:spacing w:after="0" w:line="15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have never commercialized a product candidate, and we currently have no sales force, marketing or distribution capabilities. We will have to develop our own sales, marketing and supply organization or outsource these activities to a third party to commercialize our products. If we decide to license our product candidate to others, we may need to rely on the marketing assistance and guidance of those collaborators.</w:t>
      </w:r>
    </w:p>
    <w:p>
      <w:pPr>
        <w:spacing w:after="0" w:line="180" w:lineRule="exact"/>
        <w:rPr>
          <w:sz w:val="20"/>
          <w:szCs w:val="20"/>
          <w:color w:val="auto"/>
        </w:rPr>
      </w:pPr>
    </w:p>
    <w:p>
      <w:pPr>
        <w:jc w:val="both"/>
        <w:ind w:left="60" w:right="59"/>
        <w:spacing w:after="0" w:line="273" w:lineRule="auto"/>
        <w:rPr>
          <w:sz w:val="20"/>
          <w:szCs w:val="20"/>
          <w:color w:val="auto"/>
        </w:rPr>
      </w:pPr>
      <w:r>
        <w:rPr>
          <w:rFonts w:ascii="Times New Roman" w:cs="Times New Roman" w:eastAsia="Times New Roman" w:hAnsi="Times New Roman"/>
          <w:sz w:val="17"/>
          <w:szCs w:val="17"/>
          <w:color w:val="auto"/>
        </w:rPr>
        <w:t>Factors that may affect our ability to commercialize our product candidates on our own include recruiting and retaining adequate numbers of effective sales and marketing personnel, obtaining access to or persuading adequate numbers of physicians to prescribe our product candidates and other unforeseen costs associated with creating an independent sales and marketing organization. Developing a sales and marketing organization will be expensive and time-consuming and could delay the launch of our product candidates. We may not be able to build an effective sales and marketing organization. If we are unable to build our own distribution and marketing capabilities or to find suitable partners for the commercialization of our product candidates, we may not generate revenues from them or be able to reach or sustain profitability.</w:t>
      </w:r>
    </w:p>
    <w:p>
      <w:pPr>
        <w:spacing w:after="0" w:line="167"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and if our competitors develop and market technologies or products more rapidly than we do or that are more effective, safer or less expensive than the product candidates we develop, our commercial opportunities will be negatively impacted.</w:t>
      </w:r>
    </w:p>
    <w:p>
      <w:pPr>
        <w:spacing w:after="0" w:line="17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pharmaceutical and biotechnology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our product candidates.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may attempt to develop product candidates. In addition, our products may need to compete with off-label drugs used by physicians to treat the indications for which we seek approval. This may make it difficult for us to replace existing therapies with our products.</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particular, there is intense competition in the fields of oncology we are pursuing. We have competitors both in the United States and internationally, including major multinational biopharmaceutical companies, established biotechnology companies, specialty biopharmaceutical companies, emerging and start-up companies, universities and other research institutions. For example, our product candidates and programs for oncology and neuroscience will compete with products or programs being advanced by certain pharmaceutical and biotechnology companies. We also compete with these organizations to recruit management, scientists and clinical development personnel, which could negatively affect our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level of expertise and our ability to execute our business plan. We will also face competition in establishing clinical trial sites, enrolling subjects for clinical trials and in identifying and in-licensing new product candidates.</w:t>
      </w:r>
    </w:p>
    <w:p>
      <w:pPr>
        <w:spacing w:after="0" w:line="162"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have chosen to initially address well-validated biochemical targets, and therefore expect to face competition from existing products and products in development for each of our product candidates. There are a large number of companies developing or marketing treatments for cancer, including many major pharmaceutical and biotechnology companies. Many of these current and potential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and experience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or other comparable foreign regulatory authorities or in discovering, developing and commercializing products in our field before we do.</w:t>
      </w:r>
    </w:p>
    <w:p>
      <w:pPr>
        <w:spacing w:after="0" w:line="19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Our commercial opportunities could be reduced or eliminated if our competitors develop and commercialize products that are safer, more effective, have fewer or less severe effects, are more convenient, have a broader label, are marketed more effectively, are reimbursed or are less expensive than any products that we may develop. Our competitors also may obtain marketing approval from the FDA or other comparable foreign regulatory authorities for their products more rapidly than we may obtain approval for ours, which could result in our competitors establishing a strong market position before we are able to enter the market. Even if the product candidates we develop achieve marketing approval, they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our products we may develop, if approved, could be adversely affected.</w:t>
      </w:r>
    </w:p>
    <w:p>
      <w:pPr>
        <w:spacing w:after="0" w:line="190"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opportunity for any product candidate that we develop is smaller than we believe, our revenue may be adversely affected and our business may suffer.</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intend to initially focus our product candidate development on treatments for various oncology indications. Our projections of addressable patient populations that may benefit from treatment with our product candidates are based on our estimates. These estimates, which have been derived from a variety of sources, including scientific literature, surveys of clinics, patient foundations and market research, may prove to be incorrect. Further, new studies may change the estimated incidence or prevalence of these cancers. Additionally, the potentially addressable patient population for our product candidates may not ultimately be amenable to treatment with our product candidates. Our market opportunity may also be limited by future competitor treatments that enter the market. If any of our estimates prove to be inaccurate, the market opportunity for any product candidate that we develop could be significantly diminished and have an adverse material impact on our business.</w:t>
      </w:r>
    </w:p>
    <w:p>
      <w:pPr>
        <w:spacing w:after="0" w:line="184"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never obtained marketing approval for a product candidate and we may be unable to obtain, or may be delayed in obtaining, marketing approval for any product candidate.</w:t>
      </w:r>
    </w:p>
    <w:p>
      <w:pPr>
        <w:spacing w:after="0" w:line="15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have never obtained marketing approval for a product candidate. It is possible that the FDA may refuse to accept for substantive review any NDAs that we submit for our product candidates or may conclude after review of our data that our applications are insufficient to obtain marketing approval of our product candidates. We believe our approach of treating conditions or diseases through neuroregeneration is novel and, as a result, the process for, and the outcome of, FDA approval is especially uncertain. If the FDA does not accept or approve our NDAs for our product candidates, it may require that we conduct additional clinical, preclinical, or manufacturing validation studies and submit that data before it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will reconsider our applications. Depending on the extent of these or any other FDA-required studies, approval of any NDA that we submit may be delayed or may require us to expend more resources than we have available. It is also possible that additional studies, if performed and completed, may not be considered sufficient by the FDA to approve our NDAs.</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Any delay in obtaining, or an inability to obtain, marketing approvals would prevent us from commercializing our product candidates, generating revenues, and achieving and sustaining profitability. If any of these outcomes occur, we may be forced to abandon our development efforts for our product candidates, which could significantly harm our business.</w:t>
      </w:r>
    </w:p>
    <w:p>
      <w:pPr>
        <w:spacing w:after="0" w:line="1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and potential future pandemics could continue to adversely impact our business, including our current and future clinical trials, supply chain and business development activities.</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December 2019, SARS-CoV-2, a novel strain of coronavirus, was first reported in Wuhan, China and has since become a global pandemic. The President of the United States declared the COVID-19 pandemic a national emergency and many states and municipalities in the United States have announced aggressive actions to reduce the spread of the disease, including limiting non-essential gatherings of people, ceasing all non-essential travel, ordering certain businesses and government agencies to cease non-essential operations at physical locations and issuing “shelter-in-place” orders which direct individuals to shelter at their places of residence (subject to limited exceptions). We may experience limitations on employee resources in the future, including because of sickness of employees or their families. The effects of government actions and our own policies and those of third parties to reduce the spread of COVID-19 and its variants may negatively impact productivity and slow down or delay our future clinical trials, preclinical studies and research and development activities, and may cause disruptions to our supply chain and impair our ability to execute our business development strategy. In the event that government authorities were to enhance current restrictions, our employees who currently are not telecommuting may no longer be able to access our facilities, and our operations may be further limited or curtailed.</w:t>
      </w:r>
    </w:p>
    <w:p>
      <w:pPr>
        <w:spacing w:after="0" w:line="19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As COVID-19 and its variants continues to spread, we may experience ongoing disruptions that could severely impact our business, preclinical studies and clinical trials, including:</w:t>
      </w:r>
    </w:p>
    <w:p>
      <w:pPr>
        <w:spacing w:after="0" w:line="162" w:lineRule="exact"/>
        <w:rPr>
          <w:sz w:val="20"/>
          <w:szCs w:val="20"/>
          <w:color w:val="auto"/>
        </w:rPr>
      </w:pPr>
    </w:p>
    <w:p>
      <w:pPr>
        <w:ind w:left="60" w:right="59" w:hanging="10"/>
        <w:spacing w:after="0" w:line="282" w:lineRule="auto"/>
        <w:tabs>
          <w:tab w:leader="none" w:pos="17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in our operations, which may impact our ability to conduct and produce preclinical results required for submission of an IND;</w:t>
      </w:r>
    </w:p>
    <w:p>
      <w:pPr>
        <w:spacing w:after="0" w:line="17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receiving approval from local regulatory authorities to initiate or conduct our ongoing or planned clinical trials;</w:t>
      </w:r>
    </w:p>
    <w:p>
      <w:pPr>
        <w:spacing w:after="0" w:line="252"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enrolling patients in our clinical trials;</w:t>
      </w:r>
    </w:p>
    <w:p>
      <w:pPr>
        <w:spacing w:after="0" w:line="238" w:lineRule="exact"/>
        <w:rPr>
          <w:rFonts w:ascii="Times New Roman" w:cs="Times New Roman" w:eastAsia="Times New Roman" w:hAnsi="Times New Roman"/>
          <w:sz w:val="18"/>
          <w:szCs w:val="18"/>
          <w:color w:val="auto"/>
        </w:rPr>
      </w:pPr>
    </w:p>
    <w:p>
      <w:pPr>
        <w:ind w:left="60" w:right="59" w:hanging="10"/>
        <w:spacing w:after="0" w:line="282" w:lineRule="auto"/>
        <w:tabs>
          <w:tab w:leader="none" w:pos="17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clinical site initiation, including difficulties in recruiting clinical site investigators and clinical site staff;</w:t>
      </w:r>
    </w:p>
    <w:p>
      <w:pPr>
        <w:spacing w:after="0" w:line="175" w:lineRule="exact"/>
        <w:rPr>
          <w:rFonts w:ascii="Times New Roman" w:cs="Times New Roman" w:eastAsia="Times New Roman" w:hAnsi="Times New Roman"/>
          <w:sz w:val="18"/>
          <w:szCs w:val="18"/>
          <w:color w:val="auto"/>
        </w:rPr>
      </w:pPr>
    </w:p>
    <w:p>
      <w:pPr>
        <w:ind w:left="60" w:right="59" w:hanging="10"/>
        <w:spacing w:after="0" w:line="282" w:lineRule="auto"/>
        <w:tabs>
          <w:tab w:leader="none" w:pos="1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clinical sites receiving the supplies and materials needed to conduct our clinical trials, including interruption in global shipping that may affect the transport of clinical trial materials;</w:t>
      </w:r>
    </w:p>
    <w:p>
      <w:pPr>
        <w:spacing w:after="0" w:line="161" w:lineRule="exact"/>
        <w:rPr>
          <w:rFonts w:ascii="Times New Roman" w:cs="Times New Roman" w:eastAsia="Times New Roman" w:hAnsi="Times New Roman"/>
          <w:sz w:val="18"/>
          <w:szCs w:val="18"/>
          <w:color w:val="auto"/>
        </w:rPr>
      </w:pPr>
    </w:p>
    <w:p>
      <w:pPr>
        <w:jc w:val="both"/>
        <w:ind w:left="60" w:right="59" w:hanging="10"/>
        <w:spacing w:after="0" w:line="266" w:lineRule="auto"/>
        <w:tabs>
          <w:tab w:leader="none" w:pos="19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regulations as part of a response to the pandemic related to COVID-19 and its variants which may require us to change the ways in which our clinical trials are conducted, which may result in unexpected costs, or to discontinue such clinical trials altogether;</w:t>
      </w:r>
    </w:p>
    <w:p>
      <w:pPr>
        <w:spacing w:after="0" w:line="189" w:lineRule="exact"/>
        <w:rPr>
          <w:rFonts w:ascii="Times New Roman" w:cs="Times New Roman" w:eastAsia="Times New Roman" w:hAnsi="Times New Roman"/>
          <w:sz w:val="18"/>
          <w:szCs w:val="18"/>
          <w:color w:val="auto"/>
        </w:rPr>
      </w:pPr>
    </w:p>
    <w:p>
      <w:pPr>
        <w:ind w:left="60" w:right="59" w:hanging="10"/>
        <w:spacing w:after="0" w:line="282" w:lineRule="auto"/>
        <w:tabs>
          <w:tab w:leader="none" w:pos="17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175" w:lineRule="exact"/>
        <w:rPr>
          <w:rFonts w:ascii="Times New Roman" w:cs="Times New Roman" w:eastAsia="Times New Roman" w:hAnsi="Times New Roman"/>
          <w:sz w:val="18"/>
          <w:szCs w:val="18"/>
          <w:color w:val="auto"/>
        </w:rPr>
      </w:pPr>
    </w:p>
    <w:p>
      <w:pPr>
        <w:jc w:val="both"/>
        <w:ind w:left="60" w:right="59" w:hanging="10"/>
        <w:spacing w:after="0" w:line="266" w:lineRule="auto"/>
        <w:tabs>
          <w:tab w:leader="none" w:pos="18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clinical trial activities, such as clinical trial site monitoring, due to limitations on travel imposed or recommended by federal or state governments, employers and others, or interruption of clinical trial subject visits and study procedures, the occurrence of which could affect the integrity of clinical trial data;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hanging="10"/>
        <w:spacing w:after="0" w:line="282" w:lineRule="auto"/>
        <w:tabs>
          <w:tab w:leader="none" w:pos="16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in the operations of the FDA or other regulatory authorities, which may impact review and approval timelines;</w:t>
      </w:r>
    </w:p>
    <w:p>
      <w:pPr>
        <w:spacing w:after="0" w:line="175" w:lineRule="exact"/>
        <w:rPr>
          <w:rFonts w:ascii="Times New Roman" w:cs="Times New Roman" w:eastAsia="Times New Roman" w:hAnsi="Times New Roman"/>
          <w:sz w:val="18"/>
          <w:szCs w:val="18"/>
          <w:color w:val="auto"/>
        </w:rPr>
      </w:pPr>
    </w:p>
    <w:p>
      <w:pPr>
        <w:ind w:left="60" w:right="79" w:hanging="10"/>
        <w:spacing w:after="0" w:line="282" w:lineRule="auto"/>
        <w:tabs>
          <w:tab w:leader="none" w:pos="17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participants enrolled in our clinical trials will contract COVID-19 while the clinical trial is ongoing, which could impact the results of the clinical trial, including by increasing the number of observed adverse events; and</w:t>
      </w:r>
    </w:p>
    <w:p>
      <w:pPr>
        <w:spacing w:after="0" w:line="17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accept data from clinical trials in affected geographies.</w:t>
      </w:r>
    </w:p>
    <w:p>
      <w:pPr>
        <w:spacing w:after="0" w:line="23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These and other disruptions in our operations and the global economy could negatively impact our business, results of operations and financial condition.</w:t>
      </w:r>
    </w:p>
    <w:p>
      <w:pPr>
        <w:spacing w:after="0" w:line="16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Our current or future clinical trials may be affected by the pandemic related to COVID-19 and its variants or any future pandemic. For example, some clinical trial sites have slowed down or stopped further enrollment of new patients in clinical trials, denied access to site monitors and otherwise curtailed certain operations. Similarly, our ability to recruit and retain principal investigators and site staff who, as healthcare providers, may have heightened exposure to COVID-19 and its variants, may be adversely impacted. Our planned clinical trials may also be impacted by interruptions or delays in the operations of the FDA and comparable foreign regulatory agencies. We and our CROs will act in accordance with the guidance issued by the FDA in our future clinical trials to ensure the monitoring and safety of patients and minimize risks to trial integrity during the pandemic related to COVID-19 and its variants. This may have unforeseen effects on the enrollment, progress and completion of these trials and the findings. These events could delay our clinical trials, increase the cost of completing our clinical trials and negatively impact the integrity, reliability or robustness of the data from our clinical trials.</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addition, quarantines, shelter-in-place and similar government orders, or the perception that such orders, shutdowns or other restrictions on the conduct of business operations could occur, related to COVID-19 and its variants or other infectious diseases could impact personnel at third-party manufacturing facilities upon which we may rely in the future, or the availability or cost of materials, which could disrupt the supply chain for our product candidates. To the extent our future suppliers and service providers are unable to comply with their obligations under our future agreements with them or they are otherwise unable to deliver or are delayed in delivering goods and services to us due to the pandemic related to COVID-19 and its variants, our future ability to continue meeting clinical supply demand for our product candidates or otherwise advancing development of our product candidates may become impaired.</w:t>
      </w:r>
    </w:p>
    <w:p>
      <w:pPr>
        <w:spacing w:after="0" w:line="19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spread of COVID-19 and its variants and actions taken to reduce its spread may also materially affect us economically. While the potential economic impact brought by, and the duration of, the pandemic related to COVID-19 and its variants may be difficult to assess or predict, there could be a significant disruption of global financial markets, reducing our ability to access capital, which could in the future negatively affect our liquidity and financial position. In addition, the trading prices for other biopharmaceutical companies have been highly volatile as a result of the pandemic related to COVID-19 and its variants. As a result, we may face difficulties raising capital through sales of our Class A common stock or such sales may be on unfavorable terms. COVID-19 and its variants and actions taken to reduce their spread continue to rapidly evolve. The extent to which COVID-19 and its variants may impede the development of our product candidates, reduce the productivity of our employees, disrupt our supply chains, delay our clinical trials, reduce our access to capital or limit our business development activities, will depend on future developments, which are highly uncertain and cannot be predicted with confidence. To the extent the pandemic related to COVID-19 and its variants adversely affects our business and financial results, it may also have the effect of heightening many of the other risks described in this “Risk Factors” section, such as those relating to the timing and results of our clinical trials and our financing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Relating to Our Dependence on Third Parties</w:t>
      </w:r>
    </w:p>
    <w:p>
      <w:pPr>
        <w:spacing w:after="0" w:line="225"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substantially rely, and expect to continue to rely, on third parties, including independent clinical investigators and CROs, to conduct certain aspects of our preclinical studies, and in the future, our clinical trials. If these third parties do not successfully carry out their contractual duties, comply with applicable regulatory requirements or meet expected deadlines, we may not be able to obtain regulatory approval for or commercialize our product candidates and our business could be substantially harmed.</w:t>
      </w:r>
    </w:p>
    <w:p>
      <w:pPr>
        <w:spacing w:after="0" w:line="183"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substantially rely, and expect to continue to rely, on third parties, including independent clinical investigators and third-party CROs, to conduct certain aspects of our preclinical studies and to monitor and manage data for our ongoing preclinical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legal, regulatory and scientific standards, and our reliance on these third parties does not relieve us of our regulatory responsibilities. We, our third-party contractors and CROs are required to comply with GCP requirements, which are regulations and guidelines enforced by the FDA and comparable foreign regulatory authorities for all of our products candidates in clinical development. Regulatory authorities enforce these GCPs through periodic inspections of trial sponsors, principal investigators and trial sites. If we or any of these third parties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 Moreover, our business may be adversely affected if any of these third parties violates federal or state fraud and abuse or false claims laws and regulations or healthcare privacy and security laws.</w:t>
      </w:r>
    </w:p>
    <w:p>
      <w:pPr>
        <w:spacing w:after="0" w:line="193"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Further, there is no guarantee that any such CROs, investigators or other third parties on which we rely will devote adequate time and resources to our development activities or perform as contractually required. These risks are heightened as a result of the efforts of government agencies and the CROs themselves to limit the spread of COVID-19 and its variants, including quarantines and shelter-in-place orders. These third parties may also have relationships with other commercial entities, including our competitors, for whom they may also be conducting clinical trials or other product development activities, which could affect their performance on our behalf. If independent investigators or CROs fail to devote sufficient resources to the development of our product candidates, or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 or precluded entirely.</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CROs have the right to terminate their agreements with us in the event of an uncured material breach. In addition, some of our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If any of our relationships with these third-party CROs terminate, we may not be able to enter into arrangements with alternative CROs or to do so on commercially reasonable terms. 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Additionally, CROs may lack the capacity to absorb higher workloads or take on additional capacity to support our needs.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and in the future may rely on, third-party datasets and collaborations with third parties to inform patient selection, drug target identification and other bioinformatic and computational biology analyses for our existing product candidates and any future product candidates and for the supply of biomarker companion diagnostics.</w:t>
      </w:r>
    </w:p>
    <w:p>
      <w:pPr>
        <w:spacing w:after="0" w:line="17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are using bioinformatics, including data analytics, biostatistics and computational biology, throughout our drug discovery and development process, including to identify new target and biomarker opportunities. As part of this approach, we interrogate public and proprietary datasets, including, but not limited to, human tumor genetic information and specific cancer-target dependency networks. We rely on these datasets and data analytics for multiple analyses, including identifying or validating some of our biomarker-target relationships and access to these databases may not continue to be available publicly or through a proprietary subscription on acceptable terms. Our past, present and future use of such datasets could also create potential liabilities for us if the data provided to us contains inherent errors, inaccuracies or artifacts, or if we improperly analyze, handle, store or utilize the data.</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Many of our product candidates also rely on the availability and use of commercially available tumor diagnostics panels or data on the prevalence of our target patient population to inform the patient selection and drug target identification for our product candidates. In cases where such biomarker diagnostic is not already commercially available, we expect to establish strategic collaborations for the clinical supply and development of companion diagnostics. If these diagnostics are not able to be developed, or if commercial tumor profiling panels are not able to be updated to include additional tumor-associated genes, or if clinical oncologists do not incorporate molecular or genetic sequencing into their clinical practice, we may not be successful in developing our existing product candidates or any future product candidates.</w:t>
      </w:r>
    </w:p>
    <w:p>
      <w:pPr>
        <w:spacing w:after="0" w:line="185"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decide to establish new collaborations in the future, but are not able to establish those collaborations on commercially reasonable terms, we may have to alter our development and commercialization plans.</w:t>
      </w:r>
    </w:p>
    <w:p>
      <w:pPr>
        <w:spacing w:after="0" w:line="15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drug development programs and the potential commercialization of our product candidates will require substantial additional cash to fund expenses. We may seek to selectively form collaborations to expand our capabilities, potentially accelerate research and development activities and provide for commercialization activities by third parties. Any of these relationships may require us to incur non-recurring and other charges, increase our near and long-term expenditures, issue securities that dilute our existing stockholders, or disrupt our management and business.</w:t>
      </w:r>
    </w:p>
    <w:p>
      <w:pPr>
        <w:spacing w:after="0" w:line="183"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may face significant competition in seeking appropriate collaborators and the related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our product candidate. Further, we may not be successful in our efforts to establish a collaboration or other alternative arrangements for future product candidates because they may be deemed to be at too early of a stage of development for collaborative effort and third parties may not view them as having the requisite potential to demonstrate safety and efficacy.</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addition, there have been a significant number of recent business combinations among large biopharmaceutical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spacing w:after="0" w:line="180" w:lineRule="exact"/>
        <w:rPr>
          <w:sz w:val="20"/>
          <w:szCs w:val="20"/>
          <w:color w:val="auto"/>
        </w:rPr>
      </w:pPr>
    </w:p>
    <w:p>
      <w:pPr>
        <w:jc w:val="both"/>
        <w:ind w:left="60" w:right="59"/>
        <w:spacing w:after="0" w:line="281" w:lineRule="auto"/>
        <w:rPr>
          <w:sz w:val="20"/>
          <w:szCs w:val="20"/>
          <w:color w:val="auto"/>
        </w:rPr>
      </w:pPr>
      <w:r>
        <w:rPr>
          <w:rFonts w:ascii="Times New Roman" w:cs="Times New Roman" w:eastAsia="Times New Roman" w:hAnsi="Times New Roman"/>
          <w:sz w:val="17"/>
          <w:szCs w:val="17"/>
          <w:color w:val="auto"/>
        </w:rPr>
        <w:t>If and when we seek to enter into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76"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enter into collaborations in the future with third parties for the development and commercialization of product candidates. If those collaborations are not successful, we may not be able to capitalize on the market potential of these product candidates.</w:t>
      </w:r>
    </w:p>
    <w:p>
      <w:pPr>
        <w:spacing w:after="0" w:line="17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may seek third-party collaborators in the future for the development and commercialization of one or more of our product candidates. Our likely collaborators for any future collaboration arrangements include large and mid-size pharmaceutical companies, regional and national pharmaceutical companies and biotechnology companies.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 Collaborations involving our product candidates could pose numerous risks to us, including the following:</w:t>
      </w:r>
    </w:p>
    <w:p>
      <w:pPr>
        <w:spacing w:after="0" w:line="189" w:lineRule="exact"/>
        <w:rPr>
          <w:sz w:val="20"/>
          <w:szCs w:val="20"/>
          <w:color w:val="auto"/>
        </w:rPr>
      </w:pPr>
    </w:p>
    <w:p>
      <w:pPr>
        <w:ind w:left="60" w:right="59" w:hanging="10"/>
        <w:spacing w:after="0" w:line="282" w:lineRule="auto"/>
        <w:tabs>
          <w:tab w:leader="none" w:pos="22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 and may not perform their obligations as expected;</w:t>
      </w:r>
    </w:p>
    <w:p>
      <w:pPr>
        <w:spacing w:after="0" w:line="175" w:lineRule="exact"/>
        <w:rPr>
          <w:rFonts w:ascii="Times New Roman" w:cs="Times New Roman" w:eastAsia="Times New Roman" w:hAnsi="Times New Roman"/>
          <w:sz w:val="18"/>
          <w:szCs w:val="18"/>
          <w:color w:val="auto"/>
        </w:rPr>
      </w:pPr>
    </w:p>
    <w:p>
      <w:pPr>
        <w:jc w:val="both"/>
        <w:ind w:left="60" w:right="59" w:hanging="10"/>
        <w:spacing w:after="0" w:line="261" w:lineRule="auto"/>
        <w:tabs>
          <w:tab w:leader="none" w:pos="17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sale or disposition of a business unit or development function, or available funding or external factors such as an acquisition that diverts resources or creates competing priorities;</w:t>
      </w:r>
    </w:p>
    <w:p>
      <w:pPr>
        <w:spacing w:after="0" w:line="193" w:lineRule="exact"/>
        <w:rPr>
          <w:rFonts w:ascii="Times New Roman" w:cs="Times New Roman" w:eastAsia="Times New Roman" w:hAnsi="Times New Roman"/>
          <w:sz w:val="18"/>
          <w:szCs w:val="18"/>
          <w:color w:val="auto"/>
        </w:rPr>
      </w:pPr>
    </w:p>
    <w:p>
      <w:pPr>
        <w:jc w:val="both"/>
        <w:ind w:left="60" w:right="59" w:hanging="10"/>
        <w:spacing w:after="0" w:line="266" w:lineRule="auto"/>
        <w:tabs>
          <w:tab w:leader="none" w:pos="19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89" w:lineRule="exact"/>
        <w:rPr>
          <w:rFonts w:ascii="Times New Roman" w:cs="Times New Roman" w:eastAsia="Times New Roman" w:hAnsi="Times New Roman"/>
          <w:sz w:val="18"/>
          <w:szCs w:val="18"/>
          <w:color w:val="auto"/>
        </w:rPr>
      </w:pPr>
    </w:p>
    <w:p>
      <w:pPr>
        <w:jc w:val="both"/>
        <w:ind w:left="60" w:right="79" w:hanging="10"/>
        <w:spacing w:after="0" w:line="266" w:lineRule="auto"/>
        <w:tabs>
          <w:tab w:leader="none" w:pos="17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175" w:lineRule="exact"/>
        <w:rPr>
          <w:rFonts w:ascii="Times New Roman" w:cs="Times New Roman" w:eastAsia="Times New Roman" w:hAnsi="Times New Roman"/>
          <w:sz w:val="18"/>
          <w:szCs w:val="18"/>
          <w:color w:val="auto"/>
        </w:rPr>
      </w:pPr>
    </w:p>
    <w:p>
      <w:pPr>
        <w:ind w:left="60" w:right="79" w:hanging="10"/>
        <w:spacing w:after="0" w:line="282" w:lineRule="auto"/>
        <w:tabs>
          <w:tab w:leader="none" w:pos="19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multiple products may not commit sufficient resources to the marketing and distribution of our product relative to other products;</w:t>
      </w:r>
    </w:p>
    <w:p>
      <w:pPr>
        <w:spacing w:after="0" w:line="175" w:lineRule="exact"/>
        <w:rPr>
          <w:rFonts w:ascii="Times New Roman" w:cs="Times New Roman" w:eastAsia="Times New Roman" w:hAnsi="Times New Roman"/>
          <w:sz w:val="18"/>
          <w:szCs w:val="18"/>
          <w:color w:val="auto"/>
        </w:rPr>
      </w:pPr>
    </w:p>
    <w:p>
      <w:pPr>
        <w:jc w:val="both"/>
        <w:ind w:left="60" w:right="59" w:hanging="10"/>
        <w:spacing w:after="0" w:line="261" w:lineRule="auto"/>
        <w:tabs>
          <w:tab w:leader="none" w:pos="20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spacing w:after="0" w:line="193" w:lineRule="exact"/>
        <w:rPr>
          <w:rFonts w:ascii="Times New Roman" w:cs="Times New Roman" w:eastAsia="Times New Roman" w:hAnsi="Times New Roman"/>
          <w:sz w:val="18"/>
          <w:szCs w:val="18"/>
          <w:color w:val="auto"/>
        </w:rPr>
      </w:pPr>
    </w:p>
    <w:p>
      <w:pPr>
        <w:jc w:val="both"/>
        <w:ind w:left="60" w:right="79" w:hanging="10"/>
        <w:spacing w:after="0" w:line="266" w:lineRule="auto"/>
        <w:tabs>
          <w:tab w:leader="none" w:pos="16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189" w:lineRule="exact"/>
        <w:rPr>
          <w:rFonts w:ascii="Times New Roman" w:cs="Times New Roman" w:eastAsia="Times New Roman" w:hAnsi="Times New Roman"/>
          <w:sz w:val="18"/>
          <w:szCs w:val="18"/>
          <w:color w:val="auto"/>
        </w:rPr>
      </w:pPr>
    </w:p>
    <w:p>
      <w:pPr>
        <w:ind w:left="60" w:right="59" w:hanging="10"/>
        <w:spacing w:after="0" w:line="282" w:lineRule="auto"/>
        <w:tabs>
          <w:tab w:leader="none" w:pos="20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candidates;</w:t>
      </w:r>
    </w:p>
    <w:p>
      <w:pPr>
        <w:spacing w:after="0" w:line="175" w:lineRule="exact"/>
        <w:rPr>
          <w:rFonts w:ascii="Times New Roman" w:cs="Times New Roman" w:eastAsia="Times New Roman" w:hAnsi="Times New Roman"/>
          <w:sz w:val="18"/>
          <w:szCs w:val="18"/>
          <w:color w:val="auto"/>
        </w:rPr>
      </w:pPr>
    </w:p>
    <w:p>
      <w:pPr>
        <w:ind w:left="60" w:right="59" w:hanging="10"/>
        <w:spacing w:after="0" w:line="282" w:lineRule="auto"/>
        <w:tabs>
          <w:tab w:leader="none" w:pos="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hanging="10"/>
        <w:spacing w:after="0" w:line="282" w:lineRule="auto"/>
        <w:tabs>
          <w:tab w:leader="none" w:pos="17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collaborator of ours were to be involved in a business combination, the continued pursuit and emphasis on our drug development or commercialization program could be delayed, diminished or terminated.</w:t>
      </w:r>
    </w:p>
    <w:p>
      <w:pPr>
        <w:spacing w:after="0" w:line="171"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175"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regulations, provide accurate information to the FDA, comply with federal and state health care fraud and abuse and compliance laws and regulations, accurately report financial information or data or disclose unauthorized activities to us. In particular, sales, marketing and business arrangements in the health care industry are subject to extensive laws and regulations intended to prevent fraud, submission of false claims, misconduct, kickbacks, self-dealing and other abusive practices. These laws and regulations may restrict or prohibit a wide range of pricing, discounting/rebating, marketing and promotion, consulting,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individual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Manufacturing</w:t>
      </w:r>
    </w:p>
    <w:p>
      <w:pPr>
        <w:spacing w:after="0" w:line="225"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w:t>
      </w:r>
    </w:p>
    <w:p>
      <w:pPr>
        <w:spacing w:after="0" w:line="175"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Manufacturing drugs, especially in large quantities, is complex and may require the use of innovative technologies. Each lot of an approved drug product must undergo thorough testing for identity, strength, quality, purity and potency. Manufacturing drugs requires facilities specifically designed for and validated for this purpose, and sophisticated quality assurance and quality control procedures are necessary.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preclinical and clinical data showing the comparable identity, strength, quality, purity or potency of the products before and after such changes. If microbial, viral or other contaminations are discovered at the facilities of our manufacturer, such facilities may need to be closed for an extended period of time to investigate and remedy the contamination, which could delay clinical trials and adversely harm our business. The use of biologically derived ingredients can also lead to allegations of harm, including infections or allergic reactions, or closure of product facilities due to possible contamination. If our manufacturers are unable to produce sufficient quantities for clinical trials or for commercialization as a result of these challenges, or otherwise, our development and commercialization efforts would be impaired, which would have an adverse effect on our business, financial condition, results of operations and growth prospects.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manufacture of our product candidates for preclinical studies and clinical trials, and expect to continue to do so for commercialization of any approved product candidate. This reliance on third parties increases the risk that we will not have sufficient quantities of our product candidates or drugs or such quantities at an acceptable cost, which could delay, prevent or impair our development or commercialization efforts.</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do not currently have the infrastructure or internal capability to manufacture supplies of our product candidates for use in development and commercialization. We rely, and expect to continue to rely, on third-party manufacturers for the production of our product candidates for preclinical studies and clinical trials under the guidance of members of our organization. We do not have long-term supply agreements. Furthermore, the raw materials for our product candidates may be sourced, in some cases, from a single-source supplier. If we were to experience an unexpected loss of supply of any of our product candidates or any of our future product candidates for any reason, whether as a result of manufacturing, supply or storage issues or otherwise, we could experience delays, disruptions, suspensions or terminations of, or be required to restart or repeat, any pending or ongoing clinical trials.</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expect to continue to rely on third-party manufacturers for the commercial supply of any of our product candidates for which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180" w:lineRule="exact"/>
        <w:rPr>
          <w:sz w:val="20"/>
          <w:szCs w:val="20"/>
          <w:color w:val="auto"/>
        </w:rPr>
      </w:pPr>
    </w:p>
    <w:p>
      <w:pPr>
        <w:jc w:val="both"/>
        <w:ind w:left="60" w:right="59" w:hanging="10"/>
        <w:spacing w:after="0" w:line="266" w:lineRule="auto"/>
        <w:tabs>
          <w:tab w:leader="none" w:pos="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spacing w:after="0" w:line="189"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or termination of production or deliveries by suppliers, or the raising of prices or renegotiation of terms;</w:t>
      </w:r>
    </w:p>
    <w:p>
      <w:pPr>
        <w:spacing w:after="0" w:line="238" w:lineRule="exact"/>
        <w:rPr>
          <w:rFonts w:ascii="Times New Roman" w:cs="Times New Roman" w:eastAsia="Times New Roman" w:hAnsi="Times New Roman"/>
          <w:sz w:val="18"/>
          <w:szCs w:val="18"/>
          <w:color w:val="auto"/>
        </w:rPr>
      </w:pPr>
    </w:p>
    <w:p>
      <w:pPr>
        <w:ind w:left="60" w:right="79" w:hanging="10"/>
        <w:spacing w:after="0" w:line="282" w:lineRule="auto"/>
        <w:tabs>
          <w:tab w:leader="none" w:pos="18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or nonrenewal of arrangements or agreements by our third-party contractors at a time that is costly or inconvenient for us;</w:t>
      </w:r>
    </w:p>
    <w:p>
      <w:pPr>
        <w:spacing w:after="0" w:line="17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breach by the third-party contractors of our agreements with them;</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third-party contractors to comply with applicable regulatory requirements;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third party to manufacture our product candidates according to our specifications;</w:t>
      </w:r>
    </w:p>
    <w:p>
      <w:pPr>
        <w:spacing w:after="0" w:line="238" w:lineRule="exact"/>
        <w:rPr>
          <w:rFonts w:ascii="Times New Roman" w:cs="Times New Roman" w:eastAsia="Times New Roman" w:hAnsi="Times New Roman"/>
          <w:sz w:val="18"/>
          <w:szCs w:val="18"/>
          <w:color w:val="auto"/>
        </w:rPr>
      </w:pPr>
    </w:p>
    <w:p>
      <w:pPr>
        <w:ind w:left="60" w:right="59" w:hanging="10"/>
        <w:spacing w:after="0" w:line="282" w:lineRule="auto"/>
        <w:tabs>
          <w:tab w:leader="none" w:pos="19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mislabeling of clinical supplies, potentially resulting in the wrong dose amounts being supplied or active drug or placebo not being properly identified;</w:t>
      </w:r>
    </w:p>
    <w:p>
      <w:pPr>
        <w:spacing w:after="0" w:line="269" w:lineRule="exact"/>
        <w:rPr>
          <w:rFonts w:ascii="Times New Roman" w:cs="Times New Roman" w:eastAsia="Times New Roman" w:hAnsi="Times New Roman"/>
          <w:sz w:val="18"/>
          <w:szCs w:val="18"/>
          <w:color w:val="auto"/>
        </w:rPr>
      </w:pPr>
    </w:p>
    <w:p>
      <w:pPr>
        <w:ind w:left="60" w:right="159" w:hanging="10"/>
        <w:spacing w:after="0" w:line="282" w:lineRule="auto"/>
        <w:tabs>
          <w:tab w:leader="none" w:pos="16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supplies not being delivered to clinical sites on time, leading to clinical trial interruptions, or of drug supplies not being distributed to commercial vendors in a timely manner, resulting in lost sales; and</w:t>
      </w:r>
    </w:p>
    <w:p>
      <w:pPr>
        <w:spacing w:after="0" w:line="67"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misappropriation of our proprietary information, including our trade secrets and know-how.</w:t>
      </w:r>
    </w:p>
    <w:p>
      <w:pPr>
        <w:spacing w:after="0" w:line="239" w:lineRule="exact"/>
        <w:rPr>
          <w:sz w:val="20"/>
          <w:szCs w:val="20"/>
          <w:color w:val="auto"/>
        </w:rPr>
      </w:pPr>
    </w:p>
    <w:p>
      <w:pPr>
        <w:jc w:val="both"/>
        <w:ind w:left="60" w:right="59"/>
        <w:spacing w:after="0" w:line="270" w:lineRule="auto"/>
        <w:rPr>
          <w:sz w:val="20"/>
          <w:szCs w:val="20"/>
          <w:color w:val="auto"/>
        </w:rPr>
      </w:pPr>
      <w:r>
        <w:rPr>
          <w:rFonts w:ascii="Times New Roman" w:cs="Times New Roman" w:eastAsia="Times New Roman" w:hAnsi="Times New Roman"/>
          <w:sz w:val="17"/>
          <w:szCs w:val="17"/>
          <w:color w:val="auto"/>
        </w:rPr>
        <w:t>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or others, they will not be able to secure and/or maintain marketing approval for their manufacturing facilities. In addition, we do not have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marketing approval for or market our product candidates, if approved.</w:t>
      </w:r>
    </w:p>
    <w:p>
      <w:pPr>
        <w:sectPr>
          <w:pgSz w:w="11900" w:h="16838" w:orient="portrait"/>
          <w:cols w:equalWidth="0" w:num="1">
            <w:col w:w="9019"/>
          </w:cols>
          <w:pgMar w:left="1440" w:top="513"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spacing w:after="0" w:line="183"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In the event that any of our manufacturers fails to comply with such requirements or to perform its obligations to us in relation to quality, timing or otherwise, or if our supply of components or other materials becomes limited or interrupted for other reasons, including due to the impact of the pandemic related to COVID-19 and its variants, we may be forced to manufacture the materials ourselves, for which we currently do not have the capabilities or resources, or enter into an agreement with another third-party, which we may not be able to do on commercially reasonable terms, if at all. In particular, any replacement of our manufacturers could require significant effort and expertise because there may be a limited number of qualified replacements. In some cases, the technical skills or technology required to manufacture our product candidates may be unique or proprietary to the original manufacturer and we may have difficulty transferring such skills or technology to another third-party and a feasible alternative may not exist. In addition, certain of our product candidates and our own proprietary methods have never been produced or implemented outside of our company, and we may therefore experience delays to our development programs if and when we attempt to establish new third-party manufacturing arrangements for these product candidates or methods. These factors would increase our reliance on such manufacturer or require us to obtain a license from such manufacturer in order to have another third-party manufacture our product candidates. If we are required to or voluntarily change manufacturers for any reason, we will be required to verify that the new manufacturer maintains facilities and procedures that comply with quality standards and with all applicable regulations and guidelines and that the product produced is equivalent to that produced in a prior facility. The delays associated with the verification of a new manufacturer and equivalent product could negatively affect our ability to develop product candidates in a timely manner or within budget.</w:t>
      </w:r>
    </w:p>
    <w:p>
      <w:pPr>
        <w:spacing w:after="0" w:line="19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Our or a third-party’s failure to execute on our manufacturing requirements, do so on commercially reasonable terms and timelines and comply with cGMP requirements could adversely affect our business in a number of ways, including:</w:t>
      </w:r>
    </w:p>
    <w:p>
      <w:pPr>
        <w:spacing w:after="0" w:line="162" w:lineRule="exact"/>
        <w:rPr>
          <w:sz w:val="20"/>
          <w:szCs w:val="20"/>
          <w:color w:val="auto"/>
        </w:rPr>
      </w:pPr>
    </w:p>
    <w:p>
      <w:pPr>
        <w:ind w:left="160" w:hanging="110"/>
        <w:spacing w:after="0"/>
        <w:tabs>
          <w:tab w:leader="none" w:pos="1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meet our product specifications and quality requirements consistently;</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initiate or continue clinical trials of our product candidates under development;</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submitting regulatory applications, or receiving marketing approvals, for our product candidates, if at all;</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commercialize any product candidates that receive marketing approval on a timely basis;</w:t>
      </w:r>
    </w:p>
    <w:p>
      <w:pPr>
        <w:spacing w:after="0" w:line="252"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the cooperation of future collaborators;</w:t>
      </w:r>
    </w:p>
    <w:p>
      <w:pPr>
        <w:spacing w:after="0" w:line="238" w:lineRule="exact"/>
        <w:rPr>
          <w:rFonts w:ascii="Times New Roman" w:cs="Times New Roman" w:eastAsia="Times New Roman" w:hAnsi="Times New Roman"/>
          <w:sz w:val="18"/>
          <w:szCs w:val="18"/>
          <w:color w:val="auto"/>
        </w:rPr>
      </w:pPr>
    </w:p>
    <w:p>
      <w:pPr>
        <w:ind w:left="60" w:right="59" w:hanging="10"/>
        <w:spacing w:after="0" w:line="282" w:lineRule="auto"/>
        <w:tabs>
          <w:tab w:leader="none" w:pos="20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third-party manufacturing facilities or our manufacturing facilities to additional inspections by regulatory authorities;</w:t>
      </w:r>
    </w:p>
    <w:p>
      <w:pPr>
        <w:spacing w:after="0" w:line="161"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cease development or to recall batches of our product candidates;</w:t>
      </w:r>
    </w:p>
    <w:p>
      <w:pPr>
        <w:spacing w:after="0" w:line="238" w:lineRule="exact"/>
        <w:rPr>
          <w:rFonts w:ascii="Times New Roman" w:cs="Times New Roman" w:eastAsia="Times New Roman" w:hAnsi="Times New Roman"/>
          <w:sz w:val="18"/>
          <w:szCs w:val="18"/>
          <w:color w:val="auto"/>
        </w:rPr>
      </w:pPr>
    </w:p>
    <w:p>
      <w:pPr>
        <w:ind w:left="60" w:right="59" w:hanging="10"/>
        <w:spacing w:after="0" w:line="282" w:lineRule="auto"/>
        <w:tabs>
          <w:tab w:leader="none" w:pos="17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approval to market and commercialize our product candidates, an inability to meet commercial demands for our product or any other future product candidates; and</w:t>
      </w:r>
    </w:p>
    <w:p>
      <w:pPr>
        <w:spacing w:after="0" w:line="17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profit margins.</w:t>
      </w:r>
    </w:p>
    <w:p>
      <w:pPr>
        <w:spacing w:after="0" w:line="2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or formulation may result in additional costs or delay.</w:t>
      </w:r>
    </w:p>
    <w:p>
      <w:pPr>
        <w:spacing w:after="0" w:line="229"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As product candidates progress through preclinical and clinical trials to marketing approval and commercialization, it is common that various aspects of the development program, such as manufacturing methods and formulation, are altered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along the way in an effort to optimize yield and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Legal and Regulatory Compliance Matters</w:t>
      </w:r>
    </w:p>
    <w:p>
      <w:pPr>
        <w:spacing w:after="0" w:line="225"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professionals, clinical investigators, CROs and third party payors in connection with our current and future business activities may be subject to federal and state healthcare fraud and abuse laws, false claims laws, transparency laws, and government price reporting, which could expose us to, among other things, criminal sanctions, civil penalties, contractual damages, exclusion from governmental healthcare programs, reputational harm, administrative burdens and diminished profits and future earnings.</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and state healthcare laws and regulations include, among others, the following:</w:t>
      </w:r>
    </w:p>
    <w:p>
      <w:pPr>
        <w:spacing w:after="0" w:line="187" w:lineRule="exact"/>
        <w:rPr>
          <w:sz w:val="20"/>
          <w:szCs w:val="20"/>
          <w:color w:val="auto"/>
        </w:rPr>
      </w:pPr>
    </w:p>
    <w:p>
      <w:pPr>
        <w:jc w:val="both"/>
        <w:ind w:left="60" w:right="59" w:hanging="10"/>
        <w:spacing w:after="0" w:line="256" w:lineRule="auto"/>
        <w:tabs>
          <w:tab w:leader="none" w:pos="21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The term “remuneration” has been broadly interpreted to include anything of value. A person or entity does not need to have actual knowledge of the federal Anti-Kickback Statute or specific intent to violate it in order to have committed a violation;</w:t>
      </w:r>
    </w:p>
    <w:p>
      <w:pPr>
        <w:spacing w:after="0" w:line="200" w:lineRule="exact"/>
        <w:rPr>
          <w:rFonts w:ascii="Times New Roman" w:cs="Times New Roman" w:eastAsia="Times New Roman" w:hAnsi="Times New Roman"/>
          <w:sz w:val="18"/>
          <w:szCs w:val="18"/>
          <w:color w:val="auto"/>
        </w:rPr>
      </w:pPr>
    </w:p>
    <w:p>
      <w:pPr>
        <w:jc w:val="both"/>
        <w:ind w:left="60" w:right="59" w:hanging="10"/>
        <w:spacing w:after="0" w:line="255" w:lineRule="auto"/>
        <w:tabs>
          <w:tab w:leader="none" w:pos="16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laws, including the civil False Claims Act,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with potential liability including mandatory treble damages and significant per claim penalties per false claim or statement. In addition, the government may assert that a claim including items or services resulting from a violation of the U.S. federal Anti-Kickback Statute constitutes a false or fraudulent claim for purposes of the civil False Claims Act;</w:t>
      </w:r>
    </w:p>
    <w:p>
      <w:pPr>
        <w:spacing w:after="0" w:line="202" w:lineRule="exact"/>
        <w:rPr>
          <w:rFonts w:ascii="Times New Roman" w:cs="Times New Roman" w:eastAsia="Times New Roman" w:hAnsi="Times New Roman"/>
          <w:sz w:val="18"/>
          <w:szCs w:val="18"/>
          <w:color w:val="auto"/>
        </w:rPr>
      </w:pPr>
    </w:p>
    <w:p>
      <w:pPr>
        <w:jc w:val="both"/>
        <w:ind w:left="60" w:right="59" w:hanging="10"/>
        <w:spacing w:after="0" w:line="258" w:lineRule="auto"/>
        <w:tabs>
          <w:tab w:leader="none" w:pos="16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Criminal Statute on False Statements Relating to Healthcare Matters, which makes it a crime to knowingly and willfully falsify, conceal, or cover up a material fact, make any materially false, fictitious, or fraudulent statements or representations, or make or use any materially false writing or document knowing the same to contain any materially false, fictitious, or fraudulent statement or entry in connection with the delivery of or payment for healthcare benefits, items, or services;</w:t>
      </w:r>
    </w:p>
    <w:p>
      <w:pPr>
        <w:spacing w:after="0" w:line="183" w:lineRule="exact"/>
        <w:rPr>
          <w:rFonts w:ascii="Times New Roman" w:cs="Times New Roman" w:eastAsia="Times New Roman" w:hAnsi="Times New Roman"/>
          <w:sz w:val="18"/>
          <w:szCs w:val="18"/>
          <w:color w:val="auto"/>
        </w:rPr>
      </w:pPr>
    </w:p>
    <w:p>
      <w:pPr>
        <w:jc w:val="both"/>
        <w:ind w:left="60" w:right="59" w:hanging="10"/>
        <w:spacing w:after="0" w:line="256" w:lineRule="auto"/>
        <w:tabs>
          <w:tab w:leader="none" w:pos="17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authorizes the imposition of substantial civil monetary penalties against an entity, such as a pharmaceutical manufacturer,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healthcare programs to provide items or services reimbursable by a federal healthcare program; (3) violations of the federal Anti-Kickback Statute; or (4) failing to report and return a known overpayment;</w:t>
      </w:r>
    </w:p>
    <w:p>
      <w:pPr>
        <w:spacing w:after="0" w:line="200" w:lineRule="exact"/>
        <w:rPr>
          <w:rFonts w:ascii="Times New Roman" w:cs="Times New Roman" w:eastAsia="Times New Roman" w:hAnsi="Times New Roman"/>
          <w:sz w:val="18"/>
          <w:szCs w:val="18"/>
          <w:color w:val="auto"/>
        </w:rPr>
      </w:pPr>
    </w:p>
    <w:p>
      <w:pPr>
        <w:ind w:left="60" w:right="79" w:hanging="10"/>
        <w:spacing w:after="0" w:line="282" w:lineRule="auto"/>
        <w:tabs>
          <w:tab w:leader="none" w:pos="20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prohibits, among other things, executing or attempting to execute a scheme to defraud any healthcare benefit program or making false statements relating</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to healthcare matters. Similar to the federal Anti-Kickback Statute, a person or entity does not need to have actual knowledge of the statute or specific intent to violate it in order to have committed a violation;</w:t>
      </w:r>
    </w:p>
    <w:p>
      <w:pPr>
        <w:spacing w:after="0" w:line="162" w:lineRule="exact"/>
        <w:rPr>
          <w:sz w:val="20"/>
          <w:szCs w:val="20"/>
          <w:color w:val="auto"/>
        </w:rPr>
      </w:pPr>
    </w:p>
    <w:p>
      <w:pPr>
        <w:jc w:val="both"/>
        <w:ind w:left="60" w:right="59" w:hanging="10"/>
        <w:spacing w:after="0" w:line="255" w:lineRule="auto"/>
        <w:tabs>
          <w:tab w:leader="none" w:pos="1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the Centers for Medicare and Medicaid Services, or CMS, information regarding payments and other transfers of value to physicians (as defined by statute), certain non-physician providers including physician assistants and nurse practitioners, and teaching hospitals, as well as information regarding ownership and investment interests held by physicians and their immediate family members. The information reported is publicly available on a searchable website, with disclosure required annually;</w:t>
      </w:r>
    </w:p>
    <w:p>
      <w:pPr>
        <w:spacing w:after="0" w:line="202" w:lineRule="exact"/>
        <w:rPr>
          <w:rFonts w:ascii="Times New Roman" w:cs="Times New Roman" w:eastAsia="Times New Roman" w:hAnsi="Times New Roman"/>
          <w:sz w:val="18"/>
          <w:szCs w:val="18"/>
          <w:color w:val="auto"/>
        </w:rPr>
      </w:pPr>
    </w:p>
    <w:p>
      <w:pPr>
        <w:jc w:val="both"/>
        <w:ind w:left="60" w:right="59" w:hanging="10"/>
        <w:spacing w:after="0" w:line="256" w:lineRule="auto"/>
        <w:tabs>
          <w:tab w:leader="none" w:pos="17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 some state laws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and</w:t>
      </w:r>
    </w:p>
    <w:p>
      <w:pPr>
        <w:spacing w:after="0" w:line="200" w:lineRule="exact"/>
        <w:rPr>
          <w:rFonts w:ascii="Times New Roman" w:cs="Times New Roman" w:eastAsia="Times New Roman" w:hAnsi="Times New Roman"/>
          <w:sz w:val="18"/>
          <w:szCs w:val="18"/>
          <w:color w:val="auto"/>
        </w:rPr>
      </w:pPr>
    </w:p>
    <w:p>
      <w:pPr>
        <w:jc w:val="both"/>
        <w:ind w:left="60" w:right="59" w:hanging="10"/>
        <w:spacing w:after="0" w:line="258" w:lineRule="auto"/>
        <w:tabs>
          <w:tab w:leader="none" w:pos="16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state laws require biotechnology companies to report information to state agencies and/or commercial purchasers on the pricing of certain drug products that exceed a certain level as identified in the relevant statute. Some of these laws and regulations contain ambiguous requirements that government officials have not yet clarified. Given the lack of clarity in the laws and their implementation, our reporting actions could be subject to the penalty provisions of the pertinent federal and state laws and regulations.</w:t>
      </w:r>
    </w:p>
    <w:p>
      <w:pPr>
        <w:spacing w:after="0" w:line="183"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Efforts to ensure that our current and future business arrangements with third parties will comply with applicable healthcare laws and regulations will involve on-going substantial costs. It is possible that governmental authorities will conclude that our business practices, including our arrangements with physicians, some of whom have ownership interests in us,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individual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93"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we are or may become subject to numerous state, federal and foreign laws, requirements and regulations governing the collection, use, disclosure, retention, and security of personal information, such as information that we may collect in connection with clinical trials in the U.S.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claims by third parties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and damage to our reputation, any of which could have a material adverse effect on our business, results of operation, and financial condition.</w:t>
      </w:r>
    </w:p>
    <w:p>
      <w:pPr>
        <w:spacing w:after="0" w:line="16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As our operations and business grow, we may become subject to or affected by new or additional data protection laws and regulations and face increased scrutiny or attention from regulatory authorities. For instance, in the U.S., most healthcare providers, including research institutions from which we may obtain patient health information, are subject to privacy and security regulations promulgated under HIPAA, as amended. We are not currently acting as a covered entity or business associate under HIPAA and thus are not subject to its requirements.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w:t>
      </w:r>
    </w:p>
    <w:p>
      <w:pPr>
        <w:spacing w:after="0" w:line="188"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We are also or may become subject to rapidly evolving data protection laws, rules and regulations in foreign jurisdictions. For example, the European Union General Data Protection Regulation, or the GDPR, governs certain collection and other processing activities involving personal data about individuals in the European Economic Area, or the EEA. Among other things, the GDPR imposes requirements regarding the security of personal data, the rights of data subjects to access and delete personal data, requires having lawful bases on which personal data can be processed, includes requirements relating to the consent of individuals to whom the personal data relates, requires detailed notices for clinical trial participants and investigators and regulates transfers of personal data from the EEA to third countries that have not been found to provide adequate protection to such personal data, including the United States. In addition, the GDPR imposes substantial fines for breaches and violations (up to the greater of €20 million or 4% of our annual global revenue). The GDPR also confers a private right of action on data subjects and consumer associations to lodge complaints with supervisory authorities, seek judicial remedies and obtain compensation for damages resulting from violations of the GDPR. Further, from January 1, 2021, companies have to comply with the GDPR and also the UK GDPR, which, together with the amended UK Data Protection Act 2018, retains the GDPR in UK national law. The UK GDPR mirrors the fines under the GDPR, e.g. fines up to the greater of €20 million (£17.5 million) or 4% of global turnover. The European Commission has adopted an adequacy decision in favor of the UK, enabling data transfers from EU member states to the UK without additional safeguards. However, the UK adequacy decision will automatically expire in June 2025 unless the European Commission re-assesses and renews/extends that decision, and remains under review by the Commission during this period. In September 2021, the UK government launched a consultation on its proposals for wide-ranging reform of UK data protection laws following Brexit and the response to this consultation was published in June 2022. There is a risk that any material changes which are made to the UK data protection regime could result in the European Commission reviewing the UK adequacy decision, and the UK losing its adequacy decision if the European Commission deems the UK to no longer provide adequate protection for personal data. These changes may lead to additional costs and increase our overall risk exposure.</w:t>
      </w:r>
    </w:p>
    <w:p>
      <w:pPr>
        <w:spacing w:after="0" w:line="20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GDPR and UK GDPR regulate cross-border transfers of personal data out of the EEA and the UK respectively. Recent legal developments in Europe have created complexity and uncertainty regarding such transfers, in particular in relation to transfers to the United States. On July 16, 2020, the Court of Justice of the European Union or the CJEU invalidated the EU-US Privacy Shield Framework, or Privacy Shield, under which personal information could be transferred from the EEA (and the UK) to relevant self-certified U.S. entities. The CJEU further noted that reliance on the standard contractual clauses (a standard form of contract approved by the European Commission as an adequate personal data transfer mechanism and potential alternative to the Privacy Shield) alone may not necessarily be sufficient in all circumstances and that transfers must be assessed on a case-by-case basis. European court and regulatory decisions subsequent to the CJEU decision of July 16, 2020 have taken a restrictive approach to international data transfers. In March 2022, the US and EU announced a new regulatory regime intended to replace the invalidated regulations; however, this new EU-US Data Privacy Framework has not been implemented beyond an executive order signed by President Biden on October 7, 2022 on Enhancing Safeguards for Untied States Signals Intelligence Activities. As the enforcement landscape further develops, and supervisory authorities issue further guidance on international data transfers, we could suffer additional costs, complaints and/or regulatory investigations or fines; we may have to stop using certain tools and vendors and make other operational changes; and/or it could otherwise affect the manner in which we provide our services, and could adversely affect our business, operations and financial condition.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If we or third-party contract manufacturing organizations, or CMOs, CROs or other contractors or consultants fail to comply with applicable federal, state or local regulatory requirements, we could be subject to a range of regulatory actions that could affect our or our contractors’ ability to develop and commercialize our product candidates and could harm or prevent sales of any affected products that we are able to commercialize, or could substantially increase the costs and expenses of developing, commercializing and marketing our products. Any threatened or actual government enforcement action could also generate adverse publicity and require that we devote substantial resources that could otherwise be used in other aspects of our business. Increasing use of social media could give rise to liability, breaches of data security or reputational damage.</w:t>
      </w:r>
    </w:p>
    <w:p>
      <w:pPr>
        <w:spacing w:after="0" w:line="18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entails a significant risk of product liability and if we are unable to obtain sufficient insurance coverage such inability could have an adverse effect on our business and financial condition.</w:t>
      </w:r>
    </w:p>
    <w:p>
      <w:pPr>
        <w:spacing w:after="0" w:line="15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or other regulatory authority investigation of the safety and effectiveness of our products, our manufacturing processes and facilities or our marketing programs. FDA or other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and substantial monetary awards to trial participants or patients. We currently have insurance that we believe is appropriate for our stage of development and may need to obtain higher levels prior to marketing any of our product candidates, if approved.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 and financial condition.</w:t>
      </w:r>
    </w:p>
    <w:p>
      <w:pPr>
        <w:spacing w:after="0" w:line="193"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candidates we develop may become subject to unfavorable third-party coverage and reimbursement practices, as well as pricing regulations.</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Sales of any of our product candidates that receive marketing approval will depend substantially, both in the United States and internationally, on the extent to which the costs of our product candidates will be covered and reimbursed by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There is significant uncertainty related to third-party payor coverage and reimbursement of newly approved products. In the United States, no uniform policy of coverage and reimbursement for products exists among third-party payors and coverage and reimbursement levels for products can differ significantly from payor to payor. The Medicare and Medicaid programs increasingly are used as models for how private payors and other governmental payors develop their coverage and reimbursement policies for drugs and biologics. However, one third-party payor’s determination to provide coverage for a product candidate does not assure that other payors will also provide coverage for the product candidate.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spacing w:after="0" w:line="188"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European Union,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If we are unable to establish or sustain coverage and adequate reimbursement for any future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83"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our business.</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 the future may involve the use of hazardous and flammable materials, including chemicals and biological materials. Our operations in the future may also produce hazardous waste products. In the future, we may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Although we will maintain workers’ compensation insurance to cover us for costs and expenses we may incur due to injuries to our employees resulting from the potential use of hazardous materials in the future,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or other comparable foreign regulatory authorities may not accept data from trials conducted in locations outside of their jurisdiction.</w:t>
      </w:r>
    </w:p>
    <w:p>
      <w:pPr>
        <w:spacing w:after="0" w:line="15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may choose to conduct international clinical trials in the future.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marketing approval unless the study is well-designed and well-conducted in accordance with GCP requirements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 If the FDA or any other comparable foreign regulatory authority does not accept such data, it would result in the need for additional trials, which would be costly and time-consuming and delay aspects of our business plan, and which may result in our product candidates not receiving approval for commercialization in the applicable jurisdiction.</w:t>
      </w:r>
    </w:p>
    <w:p>
      <w:pPr>
        <w:spacing w:after="0" w:line="18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Obtaining and maintaining regulatory approval of our product candidates in one jurisdiction does not guarantee that we will be able to obtain or maintain regulatory approval in any other jurisdiction. For example, even if the FDA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94"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product candidates will be harmed.</w:t>
      </w:r>
    </w:p>
    <w:p>
      <w:pPr>
        <w:spacing w:after="0" w:line="179"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our product candidates receive regulatory approval, they will be subject to significant post-marketing regulatory requirements and oversight.</w:t>
      </w:r>
    </w:p>
    <w:p>
      <w:pPr>
        <w:spacing w:after="0" w:line="15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Any regulatory approvals that we may receive for our product candidates will require the submission of reports to regulatory authorities and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In addition, if the FDA or foreign regulatory authorities approve our product candidates,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on-going compliance with cGMPs and GCP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and other comparable foreign regulatory authority requirements may subject our company to administrative or judicially imposed sanctions, including:</w:t>
      </w:r>
    </w:p>
    <w:p>
      <w:pPr>
        <w:spacing w:after="0" w:line="192" w:lineRule="exact"/>
        <w:rPr>
          <w:sz w:val="20"/>
          <w:szCs w:val="20"/>
          <w:color w:val="auto"/>
        </w:rPr>
      </w:pPr>
    </w:p>
    <w:p>
      <w:pPr>
        <w:ind w:left="160" w:hanging="110"/>
        <w:spacing w:after="0"/>
        <w:tabs>
          <w:tab w:leader="none" w:pos="1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the rejection of product approvals;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ability to conduct clinical trials, including full or partial clinical holds on ongoing or planned trials;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products, manufacturers or manufacturing process;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and criminal penalties;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regulatory approvals;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seizures, detentions or import bans;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or mandatory product recalls and publicity requirements;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or partial suspension of production; and</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restrictions on operations, including costly new manufacturing requirements.</w:t>
      </w:r>
    </w:p>
    <w:p>
      <w:pPr>
        <w:spacing w:after="0" w:line="23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occurrence of any event or penalty described above may inhibit our ability to commercialize our product candidates and generate revenue and could require us to expend significant time and resources in response and could generate negative publicity.</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also cannot predict the likelihood, nature or extent of government regulation that may arise from future legislation or administrative or executive action, either in the United States or abroad. We currently have a limited set of compliance policies and personnel, and intend to develop our compliance infrastructure in the future, as our clinical development programs progress. Developing a compliance infrastructure is costly and time-consuming, and even a well-designed and implemented compliance program cannot necessarily prevent all violations of relevant laws. Any government investigation of alleged violations of law could require us to expend significant time and resources in response and could generate negative publicity. Any failure to comply with ongoing regulatory requirements may significantly and adversely affect our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ability to commercialize and generate revenue from our product candidates, if approved. If regulatory sanctions are applied or if regulatory approval is withdrawn, the value of our company and our operating results will be adversely affected.</w:t>
      </w:r>
    </w:p>
    <w:p>
      <w:pPr>
        <w:spacing w:after="0" w:line="15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the laws and regulations prohibiting the promotion of off-label uses.</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such as our product candidates, if approved. In particular, a product may not be promoted for uses that are not approved by the FDA or such other regulatory agencies as reflected in the product’s approved labeling. If we receive marketing approval for a product candidate, physicians may nevertheless prescribe it to their patients in a manner that is inconsistent with the approved label.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government has also required companies to enter into consent decrees or imposed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186"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the SEC and other government agencies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FDA have fluctuated in recent years as a result. In addition, government funding of the Securities and Exchange Commission, or the SEC, and other government agencies on which our operations may rely, including those that fund research and development activities is subject to the political process, which is inherently fluid and unpredictable.</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drugs to be reviewed and/or approved by necessary government agencies, which would adversely affect our business. For example, in recent years, the U.S. government shut down several times and certain regulatory agencies, such as the FDA and the SEC, had to furlough critical employees and stop critical activities. If a prolonged government shut down or other disruption at the FDA occurs, it could significantly impact the ability of the FDA to timely review and process our regulatory submissions, which could have a material adverse effect on our business. Further, as a public company, future government shutdowns could impact our ability to further access the public markets and obtain necessary capital in order to properly capitalize and continue our operations.</w:t>
      </w:r>
    </w:p>
    <w:p>
      <w:pPr>
        <w:spacing w:after="0" w:line="19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Separately, in response to the COVID-19 pandemic, in March 2020, the FDA postponed most inspections of domestic and foreign manufacturing facilities. Subsequently, in July 2020, the FDA resumed certain on-site inspections of domestic manufacturing facilities subject to a risk-based prioritization system. The FDA utilized this risk-based assessment system to assist in determining when and where it was safest to conduct prioritized domestic inspections. Additionally, on April 15, 2021, the FDA issued a guidance document in which the FDA described its plans to conduct voluntary remote interactive evaluations of certain drug manufacturing facilities and clinical research sites, among other facilities. According to the guidance, the FDA may request such remote interactive evaluations where the FDA determines that remote evaluation would be appropriate based on mission needs and travel limitations. In July 2021, the FDA resumed standard inspectional operations of domestic facilities and was continuing to maintain this level of operation as of September 2021. More recently, the FDA has continued to monitor and implement changes to its inspectional activities to ensure the safety of its employees and those of the firms it regulates as it adapts to the evolving COVID-19 pandemic Regulatory authorities outside the United States may adopt similar restrictions or other policy measures in response to the pandemic related to COVID-19 and its variants. If a prolonged government shutdown occurs, or if global health concerns continue to prevent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face difficulties from changes to current regulations and future legislation.</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For example, the Patient Protection and Affordable Care Act, as amended by the Health Care and Education Reconciliation Act, collectively referred to as the ACA, was passed, which substantially changed the way healthcare is financed by both the government and private insurers, and significantly impacts the U.S. pharmaceutical industry. The ACA, among other things, subjected biologic products to potential competition by lower-cost biosimilars; increased the minimum level of Medicaid rebates payable by manufacturers of brand name drugs from 15.1% to 23.1% of the average manufacturer price; required collection of rebates for drugs paid by Medicaid managed care organizations; imposed a non-deductible annual fee on pharmaceutical manufacturers or importers who sell certain “branded prescription drugs” to specified federal government programs; implemented a new methodology by which rebates owed by manufacturers under the Medicaid Drug Rebate Program are calculated for drugs that are inhaled, infused, instilled, implanted, or injected; expanded eligibility criteria for Medicaid programs; expanded the types of entities eligible for the 340B Drug Pricing Program; created a new Patient-Centered Outcomes Research Institute to oversee, identify priorities in, and conduct comparative clinical effectiveness research, along with funding for such research; and established a Center for Medicare &amp; Medicaid Innovation at CMS to test innovative payment and service delivery models to lower Medicare and Medicaid spending, potentially including prescription drug spending.</w:t>
      </w:r>
    </w:p>
    <w:p>
      <w:pPr>
        <w:spacing w:after="0" w:line="19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initiating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w:t>
      </w:r>
    </w:p>
    <w:p>
      <w:pPr>
        <w:spacing w:after="0" w:line="18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ACA was enacted. These changes included the American Rescue Plan Act of 2021, which eliminates the statutory Medicaid drug rebate cap, currently set at 100% of a drug’s average manufacturer price, beginning January 1, 2024. 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Most recently, on August 16, 2022, the Inflation Reduction Act of 2022, or IRA, was signed into law.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 For that and other reasons, it is currently unclear how the IRA will be effectuated.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disclosure and transparency measures, and, in some cases, designed to encourage importation from other countries and bulk purchasing.</w:t>
      </w:r>
    </w:p>
    <w:p>
      <w:pPr>
        <w:spacing w:after="0" w:line="16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expect that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Further, it is possible that additional governmental action is taken in response to the pandemic related to COVID-19 and its variants.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and other intellectual property protection for our product candidates and technologies or if the scope of the intellectual property protection obtained is not sufficiently broad, our competitors could develop and commercialize products and technology similar or identical to ours, and our ability to successfully commercialize our products and technology may be impaired, and we may not be able to compete effectively in our market.</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rely upon a combination of patents, trademarks, trade secret protection and confidentiality agreements to protect the intellectual property related to our products and technologies and to prevent third parties from copying and surpassing our achievements, thus eroding our competitive position in our market. Our commercial success depends in part on our ability to obtain and maintain patent, trade secret or other intellectual property protection for our product candidates, proprietary technologies and their uses as well as our ability to operate without infringing the proprietary rights of others. If we are unable to protect our intellectual property rights or if our intellectual property rights are inadequate for our technology or our product candidates, our competitive position could be harmed. We generally seek to protect our proprietary position by filing patent applications in the United States and, in some cases, abroad related to our product candidates, technology platforms and their uses that are important to our business.</w:t>
      </w:r>
    </w:p>
    <w:p>
      <w:pPr>
        <w:spacing w:after="0" w:line="188"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As of November 10, 2022, we owned one issued patent and pending patent applications, in the United States only, related to our platform technologies, as well as pending patent applications related to our product candidates. We currently do not have any issued patents related to our product candidates. Further, patent prosecution with respect to our pending patent applications related to our product candidates is in the early stages and, as such, no patent examiner has yet scrutinized the merits of such pending patent applications. Our patent applications cannot be enforced against third parties practicing the technology claimed in such applications unless, and until, patents issue from such applications, and then only to the extent the issued claims cover the technology and such third parties practice the technology in countries where such patents have issued. With respect to our issued patent and patent applications related to our platform technology, we filed those applications only in the U.S., so it is possible that a competitor may practice outside the U.S. the aspects of our platform technology disclosed in those patent applications. We maintain other aspects of our platform technology as trade secrets, which were not disclosed in those patent applications. There can be no assurance that any of our current and future issued patents and patent applications, if any, owned by us or our future in-licensed patent applications will result in patents being issued or that issued patents will afford sufficient protection against competitors with similar technology, nor can there be any assurance that the patents if issued will not be infringed, designed around, invalidated or rendered unenforceable by third parties, or would effectively prevent others from commercializing competitive products or technologies. Composition of matter patents for biological and pharmaceutical product candidates often provide a strong form of intellectual property protection for those types of products, as such patents may provide protection without regard to any method of use. We cannot be certain that the claims in our pending patent applications related to composition of matter of our product candidates will be considered patentable by the United States Patent and Trademark Office, or USPTO, or by patent offices in foreign countries, or that the claims in any of our issued patents will be considered valid and enforceable by courts in the United States or foreign countries. Method of use patents protect the use of a product for the specified method. This type of patent does not prevent a competitor from making and marketing a product that is identical to our product for an indication that is outside the scope of the patented method. The patent position of biopharmaceutical companies generally is highly uncertain, involves complex legal and factual questions, and has been the subject of much litigation in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recent years. As a result, the existence, issuance, scope, validity, enforceability and commercial value of our patent rights are highly uncertain.</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Although we may obtain licenses to issued patents in the United States and foreign countries in the future, we cannot be certain that the claims in future in-licensed U.S. pending patent applications, if any, corresponding international patent applications and patent applications in certain foreign countries will be considered patentable by the USPTO, courts in the United States or by the patent offices and courts in foreign countries, nor can we be certain that the claims in future in-licensed issued patents will not be found invalid or unenforceable if challenged.</w:t>
      </w:r>
    </w:p>
    <w:p>
      <w:pPr>
        <w:spacing w:after="0" w:line="183"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patent application process is subject to numerous risks and uncertainties, and there can be no assurance that we or our licensors or any of our potential future collaborators will be successful in protecting our product candidates by obtaining and defending patents. These risks and uncertainties include the following:</w:t>
      </w:r>
    </w:p>
    <w:p>
      <w:pPr>
        <w:spacing w:after="0" w:line="176" w:lineRule="exact"/>
        <w:rPr>
          <w:sz w:val="20"/>
          <w:szCs w:val="20"/>
          <w:color w:val="auto"/>
        </w:rPr>
      </w:pPr>
    </w:p>
    <w:p>
      <w:pPr>
        <w:jc w:val="both"/>
        <w:ind w:left="60" w:right="59" w:hanging="10"/>
        <w:spacing w:after="0" w:line="261" w:lineRule="auto"/>
        <w:tabs>
          <w:tab w:leader="none" w:pos="21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193"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may not result in any patents being issued;</w:t>
      </w:r>
    </w:p>
    <w:p>
      <w:pPr>
        <w:spacing w:after="0" w:line="26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may be challenged, invalidated, modified, revoked, circumvented, found to be unenforceable or otherwise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may not provide any competitive advantage;</w:t>
      </w:r>
    </w:p>
    <w:p>
      <w:pPr>
        <w:spacing w:after="0" w:line="220" w:lineRule="exact"/>
        <w:rPr>
          <w:sz w:val="20"/>
          <w:szCs w:val="20"/>
          <w:color w:val="auto"/>
        </w:rPr>
      </w:pPr>
    </w:p>
    <w:p>
      <w:pPr>
        <w:jc w:val="both"/>
        <w:ind w:left="60" w:right="59" w:hanging="10"/>
        <w:spacing w:after="0" w:line="266" w:lineRule="auto"/>
        <w:tabs>
          <w:tab w:leader="none" w:pos="18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many of whom have substantially greater resources than we or our potential licensors do and many of whom have made significant investments in competing technologies, may seek or may have already obtained patents that will limit, interfere with or block our ability to make, use and sell our product candidates;</w:t>
      </w:r>
    </w:p>
    <w:p>
      <w:pPr>
        <w:spacing w:after="0" w:line="189" w:lineRule="exact"/>
        <w:rPr>
          <w:rFonts w:ascii="Times New Roman" w:cs="Times New Roman" w:eastAsia="Times New Roman" w:hAnsi="Times New Roman"/>
          <w:sz w:val="18"/>
          <w:szCs w:val="18"/>
          <w:color w:val="auto"/>
        </w:rPr>
      </w:pPr>
    </w:p>
    <w:p>
      <w:pPr>
        <w:jc w:val="both"/>
        <w:ind w:left="60" w:right="59" w:hanging="10"/>
        <w:spacing w:after="0" w:line="266" w:lineRule="auto"/>
        <w:tabs>
          <w:tab w:leader="none" w:pos="18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189" w:lineRule="exact"/>
        <w:rPr>
          <w:rFonts w:ascii="Times New Roman" w:cs="Times New Roman" w:eastAsia="Times New Roman" w:hAnsi="Times New Roman"/>
          <w:sz w:val="18"/>
          <w:szCs w:val="18"/>
          <w:color w:val="auto"/>
        </w:rPr>
      </w:pPr>
    </w:p>
    <w:p>
      <w:pPr>
        <w:jc w:val="both"/>
        <w:ind w:left="60" w:right="59" w:hanging="10"/>
        <w:spacing w:after="0" w:line="266" w:lineRule="auto"/>
        <w:tabs>
          <w:tab w:leader="none" w:pos="19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countries other than the United States may have patent laws less favorable to patentees than the patent law typically applied by U.S. courts, allowing foreign competitors a better opportunity to create, develop and market competing products.</w:t>
      </w:r>
    </w:p>
    <w:p>
      <w:pPr>
        <w:spacing w:after="0" w:line="18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patent prosecution process is also expensive and time-consuming, and we may not be able to file and prosecute all necessary or desirable patent applications at a reasonable cost or in a timely manner or in all jurisdictions where protection may be commercially advantageous. In addition, we may decide to abandon national and regional patent applications before they are granted. The examination of each national or regional patent application is an independent proceeding. As a result, patent applications in the same family may issue as patents in some jurisdictions, such as in the United States, but may issue as patents with claims of different scope or may be refused in other jurisdictions. It is also quite common that depending on the country, the scope of patent protection may vary for the same product or technology. For example, certain jurisdictions do not allow for patent protection with respect to method of treatment. Moreover, the scope of claims in a patent application can be significantly reduced before any claims in a patent are issued, and claim scope can be reinterpreted after issuance. Even if our current or future patent applications issue as patents, they may not issue in a form that will provide us with any meaningful protection, prevent competitors or other third parties from competing with us, or otherwise provide us with any competitive advantage. Consequently, we do not know whether our product candidates will be protectable or remain protected by valid and enforceable patents. Our competitors or other third parties may be able to circumvent our patents by developing similar or alternative technologies or products in a non-infringing manner, which could materially adversely affect our business, financial condition, results of operations and prospects.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It is also possible that we may not identify patentable aspects of our research and development output before it is too late to obtain patent protection.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In addition, the USPTO might require that the term of a patent issuing from a pending patent application to be disclaimed and limited to the term of another patent that is commonly owned or names a common inventor. Moreover, in some circumstances, we may not have the right to control the preparation, filing and prosecution of patent applications, or to maintain the patents, directed to technology that we license, including those from our licensors, if any, and from third parties. We also may require the cooperation of our potential future licensors in order to enforce the licensed patent rights, and such cooperation may not be provided. Therefore, these patents and applications may not be prosecuted and enforced in a manner consistent with the best interests of our business. We cannot be certain that patent prosecution and maintenance activities by our potential future licensors have been or will be conducted in compliance with applicable laws and regulations, which may affect the validity and enforceability of such patents or any patents that may issue from such applications. If they fail to do so, this could cause us to lose rights in any applicable intellectual property that we may in-license, and as a result our ability to develop and commercialize products or product candidates may be adversely affected and we may be unable to prevent competitors from making, using and selling competing products.</w:t>
      </w:r>
    </w:p>
    <w:p>
      <w:pPr>
        <w:spacing w:after="0" w:line="193"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Even if our current or future patent applications issue as patents, they may not issue in a form that will provide us with any meaningful protection, prevent competitors from competing with us or otherwise provide us with any competitive advantage. Our competitors may be able to circumvent our owned or potential future in-licensed patents by developing similar or alternative technologies or products in a non-infringing manner. The issuance of a patent is not conclusive as to its scope, validity or enforceability, and our owned and any future in-licensed patents may be challenged in the courts or patent offices in the United States and abroad. We may be subject to a third party pre-issuance submission of prior art to the USPTO, or become involved in opposition, derivation, revocation, reexamination, post-grant review, or PGR, and inter partes review, or IPR, or other similar proceedings in the USPTO or foreign patent offices challenging our patent rights. The outcome following legal assertions of invalidity and unenforceability is unpredictable. With respect to validity of our patents, for example, we cannot be certain that there is no invalidating prior art, of which we and the patent examiner were unaware during prosecution. There is no assurance that all potentially relevant prior art relating to our patents and patent applications has been found. There is also no assurance that there is no prior art of which we are aware, but which we do not believe affects the validity or enforceability of a claim in our patents and patent applications, which may, nonetheless, ultimately be found to affect the validity or enforceability of a claim. An adverse determination in any such submission, proceeding or litigation could reduce the scope of, or invalidate or render unenforceable, our patent rights, allow third parties to commercialize our product candidates and compete directly with us, without payment to us. Such loss of patent rights, loss of exclusivity or our patent claims being narrowed, invalidated or held unenforceable could limit our ability to stop others from using or commercializing similar or identical technology and products, or limit the duration of the patent protection of our product candidates. Such proceedings also may result in substantial cost and require significant time from our scientists and management, even if the eventual outcome is favorable to us. In addition, if the breadth or strength of protection provided by our patents and patent applications is threatened, regardless of the outcome, it could dissuade companies from collaborating with us to license, develop or commercialize current or future product candidates.</w:t>
      </w:r>
    </w:p>
    <w:p>
      <w:pPr>
        <w:spacing w:after="0" w:line="20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addition, although we enter into non-disclosure and confidentiality agreements with parties who have access to patentable or trade secret aspects of our technology platforms and research and development output, such as our employees, outside scientific collaborators, CROs, third-party manufacturers, consultants, advisors, licensors, and other third parties, any of these parties may breach such agreements and disclose such aspects or output before a patent application is filed, thereby jeopardizing our ability to seek patent protection or maintain the trade secret status of our technology platforms or research and development output.</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referenced above, we have filed patent applications directed to our platform technologies that involve certain of our proprietary software modules. Moreover, while software and other of our proprietary works may be protected under copyright law, we have chosen not to register any copyrights in these works, and instead, rely on the above-referenced patent applications for protection of certain modules and trade secret protection for other of our software modules. In order</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to bring a copyright infringement lawsuit in the United States, the copyright must be registered. Accordingly, the remedies and damages available to us for unauthorized use of our software may be limited.</w:t>
      </w:r>
    </w:p>
    <w:p>
      <w:pPr>
        <w:spacing w:after="0" w:line="158"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future agreements under which we may license intellectual property rights from licensors and third parties or otherwise experience disruptions to our business relationships with future licensors, we could lose license rights that may in the future be important to our business.</w:t>
      </w:r>
    </w:p>
    <w:p>
      <w:pPr>
        <w:spacing w:after="0" w:line="175"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In the future, we may enter into license agreements under which we are granted rights to intellectual property that may be important to our business. We expect that any future license agreements where we in-license intellectual property would impose on us various development, regulatory and/or commercial diligence obligations, payment of milestones and/or royalties and other obligations. If we fail to comply with our obligations under these agreements (including as a result of COVID-19 and its variants impacting our operations), or we use the licensed intellectual property in an unauthorized manner or are subject to bankruptcy-related proceedings, the licensors may have the right to materially modify the terms of the licenses, such as by rendering currently exclusive licenses non-exclusive, or terminate the licenses, in which event we would not be able to market products covered by the licenses. We may also in the future enter into license agreements with third parties under which we are a sublicensee. If our sublicensor fails to comply with its obligations under its upstream license agreement with its licensor, the licensor may have the right to terminate the upstream license, which may terminate our sublicense. If this were to occur, we would no longer have rights to the applicable intellectual property unless we are able to secure our own direct license with the owner of the relevant rights, which we may not be able to do on reasonable terms, or at all, which may impact our ability to continue to develop and commercialize our product candidates incorporating the relevant intellectual property.</w:t>
      </w:r>
    </w:p>
    <w:p>
      <w:pPr>
        <w:spacing w:after="0" w:line="19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may need to obtain licenses from third parties to advance our research or allow commercialization of our product candidates or platform, and we cannot provide any assurances that third-party patents do not exist that might be enforced against our product candidates or platform in the absence of such a license. For example, our programs may involve additional product candidates that may require the use of additional proprietary rights held by third parties. Our product candidates may also require specific formulations to work effectively and efficiently. These formulations may be covered by intellectual property rights held by others. We may be unable to acquire or in-license any relevant third-party intellectual property rights that we identify as necessary or important to our business operations. We may fail to obtain any of these licenses on commercially reasonable terms, if at all. We may need to cease use of the compositions or methods covered by such third-party intellectual property rights, and may need to seek to develop alternative approaches that do not infringe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for commercializing our product candidates. More established companies may have a competitive advantage over us due to their larger size and cash resources or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191"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 addition, disputes may arise between us and any future licensors regarding intellectual property subject to a license agreement, including:</w:t>
      </w:r>
    </w:p>
    <w:p>
      <w:pPr>
        <w:spacing w:after="0" w:line="162" w:lineRule="exact"/>
        <w:rPr>
          <w:sz w:val="20"/>
          <w:szCs w:val="20"/>
          <w:color w:val="auto"/>
        </w:rPr>
      </w:pPr>
    </w:p>
    <w:p>
      <w:pPr>
        <w:ind w:left="160" w:hanging="110"/>
        <w:spacing w:after="0"/>
        <w:tabs>
          <w:tab w:leader="none" w:pos="1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and obligations imposed under the license agreement and other interpretation-related issues;</w:t>
      </w:r>
    </w:p>
    <w:p>
      <w:pPr>
        <w:spacing w:after="0" w:line="238" w:lineRule="exact"/>
        <w:rPr>
          <w:rFonts w:ascii="Times New Roman" w:cs="Times New Roman" w:eastAsia="Times New Roman" w:hAnsi="Times New Roman"/>
          <w:sz w:val="18"/>
          <w:szCs w:val="18"/>
          <w:color w:val="auto"/>
        </w:rPr>
      </w:pPr>
    </w:p>
    <w:p>
      <w:pPr>
        <w:ind w:left="60" w:right="59" w:hanging="10"/>
        <w:spacing w:after="0" w:line="282" w:lineRule="auto"/>
        <w:tabs>
          <w:tab w:leader="none" w:pos="18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intellectual property of the licensor that is not subject to the licensing agreement;</w:t>
      </w:r>
    </w:p>
    <w:p>
      <w:pPr>
        <w:spacing w:after="0" w:line="17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patents and other rights to third parties;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hanging="10"/>
        <w:spacing w:after="0" w:line="282" w:lineRule="auto"/>
        <w:tabs>
          <w:tab w:leader="none" w:pos="21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product candidates, and what activities satisfy those diligence obligations;</w:t>
      </w:r>
    </w:p>
    <w:p>
      <w:pPr>
        <w:spacing w:after="0" w:line="17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if any, we owe to a potential licensor in respect of sublicense fees or income or in respect of backup product;</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transfer or assign the license; and</w:t>
      </w:r>
    </w:p>
    <w:p>
      <w:pPr>
        <w:spacing w:after="0" w:line="238" w:lineRule="exact"/>
        <w:rPr>
          <w:rFonts w:ascii="Times New Roman" w:cs="Times New Roman" w:eastAsia="Times New Roman" w:hAnsi="Times New Roman"/>
          <w:sz w:val="18"/>
          <w:szCs w:val="18"/>
          <w:color w:val="auto"/>
        </w:rPr>
      </w:pPr>
    </w:p>
    <w:p>
      <w:pPr>
        <w:ind w:left="60" w:right="79" w:hanging="10"/>
        <w:spacing w:after="0" w:line="282" w:lineRule="auto"/>
        <w:tabs>
          <w:tab w:leader="none" w:pos="20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its affiliates and sublicensees and by us and our partners and sublicensees.</w:t>
      </w:r>
    </w:p>
    <w:p>
      <w:pPr>
        <w:spacing w:after="0" w:line="17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If disputes over intellectual property that we have licensed prevent or impair our ability to maintain our future licensing arrangements on acceptable terms, we may not be able to successfully develop and commercialize the affected product candidates, which would have a material adverse effect on our business.</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addition, certain of our agreements may limit or delay our ability to consummate certain transactions, may impact the value of those transactions, or may limit our ability to pursue certain activities. For example, we may in the future enter into license agreements that are not assignable or transferable, or that require the licensor’s express consent in order for an assignment or transfer to take place.</w:t>
      </w:r>
    </w:p>
    <w:p>
      <w:pPr>
        <w:spacing w:after="0" w:line="176"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patent protection and patent prosecution for some of our product candidates may be dependent on our future licensors and third parties.</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or our future potential licensors may fail to identify patentable aspects of inventions made in the course of development and commercialization activities before it is too late to obtain patent protection on them. Therefore, we may miss potential opportunities to strengthen our patent position. It is possible that defects as to form in the preparation or filing of our potential future in-licensed patents or patent applications may exist, or may arise in the future, for example with respect to proper priority claims, inventorship, claim scope, or requests for patent term adjustments. If we or our future potential licensors fail to establish, maintain or protect such patents and other intellectual property rights, such rights may be reduced or eliminated. If our future potential licensors are not fully cooperative or disagree with us as to the prosecution, maintenance or enforcement of any patent rights, such patent rights could be compromised. If there are material defects in the form, preparation, prosecution, or enforcement of our future potential in-licensed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190"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As a future potential licensee of third parties, we would rely on third parties to file and prosecute patent applications and maintain patents and otherwise protect the licensed intellectual property under some of our future license agreements. We would not have primary control over these activities for certain of our patents or patent applications and other intellectual property rights. We cannot be certain that such activities by third parties have been or will be conducted in compliance with applicable laws and regulations or will result in valid and enforceable patents or other intellectual property rights. Future potential licensors may have the right to control enforcement of our future potential licensed patents or defense of any claims asserting the invalidity of these patents and even if we are permitted to pursue such enforcement or defense, we will require the cooperation of our future licensors. We cannot be certain that our future licensors will allocate sufficient resources or prioritize their or our enforcement of such patents or defense of such claims to protect our interests in the licensed patents. Even if we are not a party to these legal actions, an adverse outcome could harm our business because it might prevent us from continuing to license intellectual property that we may need to operate our business. If any of our future potential licensors or future collaborators fail to appropriately prosecute and maintain patent protection for patents directed to any of our product candidates, our ability to develop and commercialize those product candidates may be adversely affected and we may not be able to prevent competitors from making, using and selling competing products.</w:t>
      </w:r>
    </w:p>
    <w:p>
      <w:pPr>
        <w:spacing w:after="0" w:line="19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addition, even where we have the right to control patent prosecution of patents and patent applications we have acquired or licensed from third parties in the future, we may still be adversely affected or prejudiced by actions or inactions of our potential licensors and their counsel that took place prior to us assuming control over patent prosecution.</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Technology we may acquire or license from various third parties in the future may be subject to retained rights. Our future licensors may retain certain rights under their agreements with us, including the right to use the underlying technology for use in fields other than the fields licensed to us or for use in noncommercial academic and research use, to publish general scientific findings from research related to the technology, and to make customary scientific and scholarly disclosures of information relating to the technology. It may be difficult to monitor whether our future licensors may limit their use of the technology to these uses, and we could incur substantial expenses to enforce our rights to our licensed technology in the event of misuse.</w:t>
      </w:r>
    </w:p>
    <w:p>
      <w:pPr>
        <w:spacing w:after="0" w:line="185"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commercial success depends significantly on our ability to operate without infringing the patents and other proprietary rights of third parties. Claims by third parties that we infringe or misappropriate their proprietary rights may result in liability for damages or prevent or delay our developmental and commercialization efforts.</w:t>
      </w:r>
    </w:p>
    <w:p>
      <w:pPr>
        <w:spacing w:after="0" w:line="17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Our commercial success depends in part on avoiding infringement or misappropriation of the patents and other proprietary rights of third parties. However, our research, development and commercialization activities may be subject to claims that we infringe or otherwise violate patents or other intellectual property rights owned or controlled by third parties. Because the intellectual property landscape in the industry in which we participate is rapidly evolving and interdisciplinary, it is difficult to conclusively assess our ability to freely make, use, and sell our products without infringing third party rights.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 as well as related to our platform.</w:t>
      </w:r>
    </w:p>
    <w:p>
      <w:pPr>
        <w:spacing w:after="0" w:line="18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As the biopharmaceutical industry expands and more patents are issued, the risk increases that our product candidates or platform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others have not filed patent applications for a product candidate or technology covered by our pending patent applications, or that we were the first to file a patent application related to a product candidate or technology. Our competitors may have filed, and may in the future file, patent applications covering our products or technology similar to ours. Any such patent application may have priority over our patent applications or patents, which could require us to obtain rights to issued patents relating to such technologies. Moreover, because patent applications can take many years to issue, there may be currently pending patent applications that may later result in issued patents that our product candidates may infringe.</w:t>
      </w:r>
    </w:p>
    <w:p>
      <w:pPr>
        <w:spacing w:after="0" w:line="192" w:lineRule="exact"/>
        <w:rPr>
          <w:sz w:val="20"/>
          <w:szCs w:val="20"/>
          <w:color w:val="auto"/>
        </w:rPr>
      </w:pPr>
    </w:p>
    <w:p>
      <w:pPr>
        <w:jc w:val="both"/>
        <w:ind w:left="60" w:right="59"/>
        <w:spacing w:after="0" w:line="269" w:lineRule="auto"/>
        <w:rPr>
          <w:sz w:val="20"/>
          <w:szCs w:val="20"/>
          <w:color w:val="auto"/>
        </w:rPr>
      </w:pPr>
      <w:r>
        <w:rPr>
          <w:rFonts w:ascii="Times New Roman" w:cs="Times New Roman" w:eastAsia="Times New Roman" w:hAnsi="Times New Roman"/>
          <w:sz w:val="17"/>
          <w:szCs w:val="17"/>
          <w:color w:val="auto"/>
        </w:rPr>
        <w:t>In addition, identification of third-party patent rights that may be relevant to our product candidates or platform is difficult because patent searching is imperfect due to differences in terminology among patents, incomplete databases and the difficulty in assessing the meaning of patent claims. 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The scope of a patent claim is determined by an interpretation of the law, the written disclosure in a patent and the patent’s prosecution history. Our interpretation of the relevance or the scope of a patent or a pending application may be incorrect. For example, we may incorrectly determine that our products are not covered by a third-party patent or may incorrectly predict whether a third-party’s pending application will issue with claims of relevant scope. Our determination of the expiration date of any patent in the United States or abroad that we consider relevant may be incorrect. Our failure to identify and correctly interpret relevant patents may negatively impact our ability to develop and market our products.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Further, third parties may obtain patents in the future and claim that use of our technologies infringes upon these patents.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Any claims of patent infringement asserted by third parties would be time-consuming and could:</w:t>
      </w:r>
    </w:p>
    <w:p>
      <w:pPr>
        <w:spacing w:after="0" w:line="207" w:lineRule="exact"/>
        <w:rPr>
          <w:sz w:val="20"/>
          <w:szCs w:val="20"/>
          <w:color w:val="auto"/>
        </w:rPr>
      </w:pPr>
    </w:p>
    <w:p>
      <w:pPr>
        <w:ind w:left="160" w:hanging="110"/>
        <w:spacing w:after="0"/>
        <w:tabs>
          <w:tab w:leader="none" w:pos="1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costly litigation that may cause negative publicity;</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 the time and attention of our technical personnel and management;</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development delays;</w:t>
      </w:r>
    </w:p>
    <w:p>
      <w:pPr>
        <w:spacing w:after="0" w:line="238" w:lineRule="exact"/>
        <w:rPr>
          <w:rFonts w:ascii="Times New Roman" w:cs="Times New Roman" w:eastAsia="Times New Roman" w:hAnsi="Times New Roman"/>
          <w:sz w:val="18"/>
          <w:szCs w:val="18"/>
          <w:color w:val="auto"/>
        </w:rPr>
      </w:pPr>
    </w:p>
    <w:p>
      <w:pPr>
        <w:ind w:left="60" w:right="59" w:hanging="10"/>
        <w:spacing w:after="0" w:line="282" w:lineRule="auto"/>
        <w:tabs>
          <w:tab w:leader="none" w:pos="17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us from commercializing any of our product candidates until the asserted patent expires or is held finally invalid or unenforceable or not infringed in a court of law;</w:t>
      </w:r>
    </w:p>
    <w:p>
      <w:pPr>
        <w:spacing w:after="0" w:line="17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develop non-infringing technology, which may not be possible on a cost-effective basis;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us to significant liability to third parties; or</w:t>
      </w:r>
    </w:p>
    <w:p>
      <w:pPr>
        <w:spacing w:after="0" w:line="238" w:lineRule="exact"/>
        <w:rPr>
          <w:rFonts w:ascii="Times New Roman" w:cs="Times New Roman" w:eastAsia="Times New Roman" w:hAnsi="Times New Roman"/>
          <w:sz w:val="18"/>
          <w:szCs w:val="18"/>
          <w:color w:val="auto"/>
        </w:rPr>
      </w:pPr>
    </w:p>
    <w:p>
      <w:pPr>
        <w:ind w:left="60" w:right="59" w:hanging="10"/>
        <w:spacing w:after="0" w:line="282" w:lineRule="auto"/>
        <w:tabs>
          <w:tab w:leader="none" w:pos="16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enter into royalty or licensing agreements, that may not be available on commercially reasonable terms, or at all, or that might be non-exclusive, which could result in our competitors gaining access to the same technology.</w:t>
      </w:r>
    </w:p>
    <w:p>
      <w:pPr>
        <w:spacing w:after="0" w:line="17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Although no third party has asserted a claim of patent infringement against us as of the date of this Quarterly Report on Form 10-Q, others may hold proprietary rights that could prevent our product candidates from being marketed. Any patent-related legal action against us claiming damages and seeking to enjoin activities relating to our product candidates or processes could subject us to potential liability for damages, including treble damages if we were determined to willfully infringe, and require us to obtain a license to manufacture or develop our product candidates. Defense of these claims, regardless of their merit, would involve substantial litigation expense and would be a substantial diversion of management and employee resources from our business. We cannot predict whether we would prevail in any such actions or that any license required under any of these patents would be made available on commercially acceptable terms, if at all. Moreover, even if we or our future strategic partners were able to obtain a license, the rights may be non-exclusive, which could result in our competitors gaining access to the same intellectual property. In addition, we cannot be certain that we could redesign our product candidates or processes to avoid infringement, if necessary.</w:t>
      </w:r>
    </w:p>
    <w:p>
      <w:pPr>
        <w:spacing w:after="0" w:line="192"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Accordingly, an adverse determination in a judicial or administrative proceeding, or the failure to obtain necessary licenses, could prevent us from developing and commercializing our product candidates, which could harm our business, financial condition and results of operations.</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Parties making claims against us may be able to sustain the costs of complex patent or trade secret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Moreover, if our product candidates or platform are found to infringe the intellectual property rights of third parties, these third parties may assert infringement claims against our future licensees and other parties with whom we have business relationships, and we may be required to indemnify those parties for any damages they suffer as a result of these claims. The claims may require us to initiate or defend protracted and costly litigation on behalf of such licensees and other parties regardless of the merits of these claims. If any of these claims succeed, we may be forced to pay damages on behalf of those parties or may be required to obtain licenses for the products they use.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future licensors, which could be expensive, time-consuming and unsuccessful. Further, our future in-licensed issued patents could be found invalid or unenforceable if challenged in court.</w:t>
      </w:r>
    </w:p>
    <w:p>
      <w:pPr>
        <w:spacing w:after="0" w:line="175"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Competitors may infringe or otherwise violate our, or our future licensors’, patents, trademarks or other intellectual property. To prevent infringement or other violations, we and/or our future licensors may be required to file claims, which can be expensive and time-consuming. Further, our future licensors may need to file such claims, but elect not to file them. In addition, in a patent infringement proceeding, a court may decide that a patent we own or license is not valid, is unenforceable and/or is not infringed. If we or any of our future licensors or potential future collaborators were to initiate legal proceedings against a third party to enforce a patent directed at one of our product candidates, the defendant could counterclaim that our patent is invalid and/or unenforceable in whole or in part. In patent litigation, defendant counterclaims alleging invalidity and/or unenforceability are commonplace. Grounds for a validity challenge include an alleged failure to meet any of several statutory requirements, including lack of novelty or written description, non-patentable subject matter (laws of nature, natural phenomena, or abstract idea), obviousness or non-enablement. Grounds for an unenforceability assertion could include an allegation that someone connected with prosecution of the patent intentionally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to the USPTO and in good faith. The outcome following such a challenge is unpredictable. With respect to challenges to the validity of our patents, there might be invalidating prior art, of which we and the patent examiner were unaware during prosecution.</w:t>
      </w:r>
    </w:p>
    <w:p>
      <w:pPr>
        <w:spacing w:after="0" w:line="19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If a defendant were to prevail on a legal assertion of invalidity and/or unenforceability, we would lose at least part, and perhaps all, of the patent protection on such product candidate. In addition, if the breadth or strength of protection provided by our patents and patent applications or those of our future licensors is threatened, it could dissuade companies from collaborating with us to license, develop or commercialize current or future product candidates. Such a loss of patent protection would have a material adverse impact on our business. Even if a defendant does not prevail on a legal assertion of invalidity and/or unenforceability, our patent claims may be construed in a manner that would limit our ability to enforce such claims against the defendant and others.</w:t>
      </w:r>
    </w:p>
    <w:p>
      <w:pPr>
        <w:spacing w:after="0" w:line="18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our intellectual property rights, particularly those in a foreign jurisdiction,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9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1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may lead to unfavorable publicity that harms our reputation and causes the market price of our common shares to decline.</w:t>
      </w:r>
    </w:p>
    <w:p>
      <w:pPr>
        <w:spacing w:after="0" w:line="15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Class A common stock may</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decline. Such announcements could also harm our reputation or the market for our future products, which could have a material adverse effect on our business.</w:t>
      </w:r>
    </w:p>
    <w:p>
      <w:pPr>
        <w:spacing w:after="0" w:line="158"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Derivation or interference proceedings may be necessary to determine priority of inventions, and an unfavorable outcome may require us to cease using the related technology or to attempt to license rights from the prevailing party.</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Derivation or interference proceedings provoked by third parties or brought by us or our future licensors, or declared by the USPTO or similar proceedings in foreign patent offices may be necessary to determine the priority of inventions with respect to our or our potential future licensors’ patents or patent applications. An unfavorable outcome could require us to cease using the related technology or to attempt to license rights to it from the prevailing party. Our business could be harmed if the prevailing party does not offer us a license on commercially reasonable terms. Our or our licensors’ defense of such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candidates to market.</w:t>
      </w:r>
    </w:p>
    <w:p>
      <w:pPr>
        <w:spacing w:after="0" w:line="190"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reform legislation could increase the uncertainties and costs surrounding the prosecution of our patent applications and the enforcement or defense of our issued patents.</w:t>
      </w:r>
    </w:p>
    <w:p>
      <w:pPr>
        <w:spacing w:after="0" w:line="15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In 2011, the Leahy-Smith America Invents Act, or the Leahy-Smith Act, was signed into law. The Leahy-Smith Act includes a number of significant changes to U.S. patent law. These include provisions that affect the way patent applications are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requires us to be cognizant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cannot be certain that we were the first to either (1) file any patent application related to our product candidates or (2) invent any of the inventions claimed in our patents or patent applications. Even where we have a valid and enforceable patent, we may not be able to exclude others from practicing the claimed invention where the other party can show that they used the invention in commerce before our filing date or the other party benefits from a compulsory license.</w:t>
      </w:r>
    </w:p>
    <w:p>
      <w:pPr>
        <w:spacing w:after="0" w:line="19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Leahy-Smith Act also includes a number of significant changes that (i) affect the way patent applications are prosecuted, (ii) redefine prior art, and (iii)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have been insufficient to invalidate the claim if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increase the uncertainties and costs surrounding the prosecution of our or our future licensors’ patent applications and the enforcement or defense of our issued patents, all of which could have a material adverse effect on our business, financial condition, results of operations and prospects.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law, or laws in other countries, could diminish the value of patents in general, thereby impairing our ability to protect our product candidates.</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involves a high degree of technological and legal complexity. Therefore, obtaining and enforcing biopharmaceutical patents is costly, time-consuming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Further, the laws of foreign countries may not protect our rights to the same extent as the laws of the United States. We cannot predict the breadth of claims that may be allowed or enforced in our patents or in third-party patents.</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addition, Congress or other foreign legislative bodies may pass patent reform legislation that is unfavorable to us. 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or our future licensors’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or our licensors’ ability to obtain new patents or to enforce our existing patents and patents we might obtain in the future.</w:t>
      </w:r>
    </w:p>
    <w:p>
      <w:pPr>
        <w:spacing w:after="0" w:line="18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our future licensors may be subject to claims challenging the inventorship or ownership of our or our future in-licensed patents and other intellectual property.</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may also be subject to claims that former employees or other third parties have an ownership interest in our patents or other intellectual property.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defend against these and other claims challenging inventorship or ownership. If we or our future licensors fail in defending any such claims, in addition to paying monetary damages, we may lose valuable intellectual property rights. Such an outcome could have a material adverse effect on our business. Even if we or our future licensors are successful in defending against such claims, litigation could result in substantial costs and distraction to management and other employees.</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future licensors may have relied on third-party consultants or collaborators or on funds from third parties, such as the U.S. government, such that our future licensors are not the sole and exclusive owners of any patents we may in-license. If other third parties have ownership rights or other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8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15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term of a patent, and the protection it affords, is limited. Even if patents directed to our product candidates are obtained, once the patent term has expired, we may be open to competition from competitive products. Given the amount of time required for the development, testing and regulatory review of product candidates, patents directed to our product candidates might expire before or shortly after such candidates are commercialized. As a result, our patent portfolio may not provide us with sufficient rights to exclude others from commercializing products similar or identical to ours.</w:t>
      </w:r>
    </w:p>
    <w:p>
      <w:pPr>
        <w:spacing w:after="0" w:line="183"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Depending upon the timing, duration and specifics of FDA marketing approval of our product candidates, one or more of our U.S. patents may be eligible for limited patent term restoration under the Drug Price Competition and Patent Term Restoration Act of 1984, or the Hatch-Waxman Amendments. The Hatch-Waxman Amendments permit a patent restoration term of up to five years as compensation for patent term lost during product development and the FDA regulatory review process. A maximum of one patent may be extended per FDA-approved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or our licensors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or our licensors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Although we have pending patent applications in the United States and we seek to file patent applications in certain other countries, 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or our licensors have patent protection but enforcement is not as strong as that in the United States. These products may compete with our product candidates, and our patents or other intellectual property rights may not be effective or sufficient to prevent them from competing.</w:t>
      </w:r>
    </w:p>
    <w:p>
      <w:pPr>
        <w:spacing w:after="0" w:line="19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or our licensors’ patents or marketing of competing products in violation of our proprietary rights. Proceedings to enforce our or our potential future licensors’ patent rights in foreign jurisdictions could result in substantial costs and divert our efforts and attention from other aspects of our business, could put our or our potential future licensors’ patents at risk of being invalidated or interpreted narrowly and our or our potential future licensors’ patent applications at risk of not issuing and could provoke third parties to assert claims against us. We or our licensors may not prevail in any lawsuits that we or our potential future licensors initiate, and the damages or other remedies awarded, if any, may not be commercially meaningful. Accordingly, our or our potential future licensors’ efforts to enforce our intellectual property rights around the world may be inadequate to obtain a significant commercial advantage from the intellectual property that we develop or in-license.</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w:t>
      </w:r>
    </w:p>
    <w:p>
      <w:pPr>
        <w:jc w:val="both"/>
        <w:ind w:left="60" w:right="79"/>
        <w:spacing w:after="0" w:line="260" w:lineRule="auto"/>
        <w:rPr>
          <w:sz w:val="20"/>
          <w:szCs w:val="20"/>
          <w:color w:val="auto"/>
        </w:rPr>
      </w:pPr>
      <w:r>
        <w:rPr>
          <w:rFonts w:ascii="Times New Roman" w:cs="Times New Roman" w:eastAsia="Times New Roman" w:hAnsi="Times New Roman"/>
          <w:sz w:val="18"/>
          <w:szCs w:val="18"/>
          <w:color w:val="auto"/>
        </w:rPr>
        <w:t>government contractors. In these countries, the patent owner may have limited remedies, which could materially diminish the value of such patent. If we or our licensors are forced to grant a license to third parties with respect to any patents</w:t>
      </w:r>
    </w:p>
    <w:p>
      <w:pPr>
        <w:sectPr>
          <w:pgSz w:w="11900" w:h="16838" w:orient="portrait"/>
          <w:cols w:equalWidth="0" w:num="1">
            <w:col w:w="9019"/>
          </w:cols>
          <w:pgMar w:left="1440" w:top="513"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relevant to our business, our competitive position may be impaired, and our business, financial condition, results of operations and prospects may be adversely affected.</w:t>
      </w:r>
    </w:p>
    <w:p>
      <w:pPr>
        <w:spacing w:after="0" w:line="158"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175"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and/or applications will be due to the USPTO and various foreign patent offices at various points over the lifetime of our patents and/or applications. We have systems in place to remind us to pay these fees, and we rely on third parties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While an inadvertent lapse, including due to the effect of the pandemic related to COVID-19 and its variants, our patent maintenance vendors or law firms,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relating to our product candidates, our competitive position would be adversely affected.</w:t>
      </w:r>
    </w:p>
    <w:p>
      <w:pPr>
        <w:spacing w:after="0" w:line="19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addition to seeking patent protection for some of our technology and product candidates, we rely on the protection of our trade secrets, including unpatented know-how, technology and other proprietary information to maintain our competitive position, especially with respect to our technology platform. Any disclosure, either intentional or unintentional, by our employees or third-party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 Because we expect to rely on third parties in the development and manufacture of our product candidates, we must, at times, share trade secrets with them. Our reliance on third parties may require us to share our trade secrets, which increases the possibility that a competitor will discover them or that our trade secrets will be misappropriated or disclosed.</w:t>
      </w:r>
    </w:p>
    <w:p>
      <w:pPr>
        <w:spacing w:after="0" w:line="194"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Although we have taken steps to protect our trade secrets and unpatented know-how, including entering into non-disclosure and confidentiality agreements with third parties who are given access to them, such as our corporate collaborators, outside scientific collaborators, contract research organizations, contract manufacturers, consultants, advisors and other third parties. With our consultants, contractors and outside scientific collaborators, these agreements typically include invention assignment obligations. We cannot guarantee that we have entered into such agreements with each party that may have or has had access to our trade secrets or proprietary technology and processes. Further, we cannot provide any assurances that all such agreements have been duly executed or that competitors will not otherwise gain access to our trade secrets or independently develop substantially equivalent information and techniques. In addition,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We may need to share our proprietary information, including trade secrets, with future business partners, collaborators, contractors and others located in countries at heightened risk of theft of trade secrets, including through direct intrusion by private parties or foreign actors, and those affiliated with or controlled by state actors.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or our licensors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w:t>
      </w:r>
    </w:p>
    <w:p>
      <w:pPr>
        <w:spacing w:after="0" w:line="176"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or alleged trade secrets of third parties or competitors or are in breach of non-competition or non-solicitation agreements with our competitors or their former employers.</w:t>
      </w:r>
    </w:p>
    <w:p>
      <w:pPr>
        <w:spacing w:after="0" w:line="17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As is common in the pharmaceutical and biotechnology industries, we employ individuals and engage the services of consultants who previously worked for other biotechnology or pharmaceutical companies, including our competitors or potential competitors. Although no claims against us are currently pending, we may be subject to claims that we have wrongfully hired an employee from a competitor or that we or our employees have wrongfully used or disclosed alleged confidential information, trade secrets or other proprietary information of their former employers, or that our consultants have used or disclosed trade secrets or other proprietary information of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190"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use and will continue to use registered and/or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Moreover, any name we have proposed to use with our product candidate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it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third-party open source software, which could negatively affect our ability to offer our solutions and subject us to litigation or other actions.</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use open source software licensed to us by third-party authors under “open source” licenses in our platform and solutions and expect to continue to use such open source software in the future. Use and distribution of open source software may entail greater risks than use of third-party commercial software, as open source licensors generally do not provide support, warranties, indemnification or other contractual protections regarding infringement claims or the quality of the code. To the extent that our platform depends upon the successful operation of open source software, any undetected errors or defects in this open source software could prevent the deployment or impair the functionality of our platform, delay introductions of new solutions, result in a failure of our platform, and injure our reputation. For example, undetected errors or defects in open source software could render it vulnerable to breaches or security attacks, and, as a result, possibly make our systems more vulnerable to data breaches. In addition, the public availability of such software may make it easier for others to compromise our platform.</w:t>
      </w:r>
    </w:p>
    <w:p>
      <w:pPr>
        <w:spacing w:after="0" w:line="194"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Further, there are uncertainties regarding the proper interpretation of and compliance with open source licenses, and there is a risk that such licenses could be construed in a manner that imposes unanticipated conditions or restrictions on our ability to use such open source software, and consequently to provide or distribute our platform and solutions. Some open source licenses contain express requirements that we make available source code for modifications or derivative works we create based upon the type of open source software we use, or grant other licenses to our intellectual property. If we combine our proprietary software with open source software in a certain manner, we could, under certain open source licenses, be required to release the source code of our proprietary software to the public. This would allow our competitors to create similar offerings with lower development effort and time and ultimately could result in a loss of our competitive advantages. Alternatively, to avoid the public release of the affected portions of our source code, we could be required to expend substantial time and resources to re-engineer some or all of our software.</w:t>
      </w:r>
    </w:p>
    <w:p>
      <w:pPr>
        <w:spacing w:after="0" w:line="194"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Despite our efforts to monitor our use of open source software to avoid subjecting our platform to conditions we do not intend, there is a risk that open source licenses could be construed in a way that could impose unanticipated conditions or restrictions on our ability to provide or distribute our platform. Additionally, we may from time to time face claims from third parties claiming ownership of, or seeking to enforce the terms of, an open source license, including by demanding release of source code for the open source software, derivative works or our proprietary source code that was developed using, or that is distributed with, such open source software. These claims could also result in litigation and could require us to make our proprietary software source code freely available, devote additional research and development resources to re-engineer our platform, seek costly licenses from third parties, pay monetary damages to the owner of the copyright in the relevant open source software or otherwise incur additional costs and expenses, any of which could result in reputational harm and would have a negative effect on our business and results of operations. In addition, if the license terms for the open source software we utilize change, we may be forced to re-engineer our platform, incur additional costs to comply with the changed license terms or replace the affected open source software. Although we have implemented policies to regulate the use and incorporation of open source software into our platform and solutions, we cannot be certain that that such policies will be effective and that we have not incorporated open source software in our platform and solutions in a manner that is inconsistent with such policies.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degree of future protection afforded by intellectual property rights is uncertain because intellectual property rights have limitations, and may not adequately protect our business or permit us to maintain our competitive advantage. For example:</w:t>
      </w:r>
    </w:p>
    <w:p>
      <w:pPr>
        <w:spacing w:after="0" w:line="176" w:lineRule="exact"/>
        <w:rPr>
          <w:sz w:val="20"/>
          <w:szCs w:val="20"/>
          <w:color w:val="auto"/>
        </w:rPr>
      </w:pPr>
    </w:p>
    <w:p>
      <w:pPr>
        <w:ind w:left="60" w:right="59" w:hanging="10"/>
        <w:spacing w:after="0" w:line="282" w:lineRule="auto"/>
        <w:tabs>
          <w:tab w:leader="none" w:pos="17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develop products that are similar to our product candidates but that are not covered by the claims of the patents that we may own or license;</w:t>
      </w:r>
    </w:p>
    <w:p>
      <w:pPr>
        <w:spacing w:after="0" w:line="175" w:lineRule="exact"/>
        <w:rPr>
          <w:rFonts w:ascii="Times New Roman" w:cs="Times New Roman" w:eastAsia="Times New Roman" w:hAnsi="Times New Roman"/>
          <w:sz w:val="18"/>
          <w:szCs w:val="18"/>
          <w:color w:val="auto"/>
        </w:rPr>
      </w:pPr>
    </w:p>
    <w:p>
      <w:pPr>
        <w:ind w:left="60" w:right="59" w:hanging="10"/>
        <w:spacing w:after="0" w:line="282" w:lineRule="auto"/>
        <w:tabs>
          <w:tab w:leader="none" w:pos="17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potential future licensors might not have been the first to make the inventions covered by the issued patents or patent application that we may own or license;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hanging="10"/>
        <w:spacing w:after="0" w:line="282" w:lineRule="auto"/>
        <w:tabs>
          <w:tab w:leader="none" w:pos="19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potential future licensors might not have been the first to file patent applications covering certain of our inventions;</w:t>
      </w:r>
    </w:p>
    <w:p>
      <w:pPr>
        <w:spacing w:after="0" w:line="161" w:lineRule="exact"/>
        <w:rPr>
          <w:rFonts w:ascii="Times New Roman" w:cs="Times New Roman" w:eastAsia="Times New Roman" w:hAnsi="Times New Roman"/>
          <w:sz w:val="18"/>
          <w:szCs w:val="18"/>
          <w:color w:val="auto"/>
        </w:rPr>
      </w:pPr>
    </w:p>
    <w:p>
      <w:pPr>
        <w:ind w:left="60" w:right="659" w:hanging="10"/>
        <w:spacing w:after="0" w:line="282" w:lineRule="auto"/>
        <w:tabs>
          <w:tab w:leader="none" w:pos="16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17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or our future licensors’ pending patent applications will not lead to issued patents;</w:t>
      </w:r>
    </w:p>
    <w:p>
      <w:pPr>
        <w:spacing w:after="0" w:line="238" w:lineRule="exact"/>
        <w:rPr>
          <w:rFonts w:ascii="Times New Roman" w:cs="Times New Roman" w:eastAsia="Times New Roman" w:hAnsi="Times New Roman"/>
          <w:sz w:val="18"/>
          <w:szCs w:val="18"/>
          <w:color w:val="auto"/>
        </w:rPr>
      </w:pPr>
    </w:p>
    <w:p>
      <w:pPr>
        <w:ind w:left="60" w:right="79" w:hanging="10"/>
        <w:spacing w:after="0" w:line="282" w:lineRule="auto"/>
        <w:tabs>
          <w:tab w:leader="none" w:pos="17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issued patents that we own or license may be held invalid or unenforceable, as a result of legal challenges by our competitors;</w:t>
      </w:r>
    </w:p>
    <w:p>
      <w:pPr>
        <w:spacing w:after="0" w:line="175" w:lineRule="exact"/>
        <w:rPr>
          <w:rFonts w:ascii="Times New Roman" w:cs="Times New Roman" w:eastAsia="Times New Roman" w:hAnsi="Times New Roman"/>
          <w:sz w:val="18"/>
          <w:szCs w:val="18"/>
          <w:color w:val="auto"/>
        </w:rPr>
      </w:pPr>
    </w:p>
    <w:p>
      <w:pPr>
        <w:jc w:val="both"/>
        <w:ind w:left="60" w:right="59" w:hanging="10"/>
        <w:spacing w:after="0" w:line="266" w:lineRule="auto"/>
        <w:tabs>
          <w:tab w:leader="none" w:pos="17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89"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 and</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Should any of these events occur, it could significantly harm our business, results of operations and prospects.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our Growth</w:t>
      </w:r>
    </w:p>
    <w:p>
      <w:pPr>
        <w:spacing w:after="0" w:line="225"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or marketing capabilities or enter into agreements with third parties to sell or market our product candidates, we may not be able to successfully sell or market our product candidates that obtain regulatory approval.</w:t>
      </w:r>
    </w:p>
    <w:p>
      <w:pPr>
        <w:spacing w:after="0" w:line="17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currently do not have and have never had a marketing or sales team. In order to commercialize any product candidates, if approved, we must build marketing, sales, distribution, managerial and other non-technical capabilities or make arrangements with third parties to perform these services for each of the territories in which we may have approval to sell or market our product candidates. We may not be successful in accomplishing these required tasks.</w:t>
      </w:r>
    </w:p>
    <w:p>
      <w:pPr>
        <w:spacing w:after="0" w:line="18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Establishing an internal sales or marketing team with technical expertise and supporting distribution capabilities to commercialize our product candidates will be expensive and time-consuming, and will require significant attention of our executive officers to manage. Any failure or delay in the development of our internal sales, marketing and distribution capabilities could adversely impact the commercialization of any of our product candidates that we obtain approval to market, if we do not have arrangements in place with third parties to provide such services on our behalf.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success is highly dependent on our ability to attract and retain highly skilled executive officers and employees.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To succeed, we must recruit, retain, manage and motivate qualified clinical, scientific, technical and management personnel, and we face significant competition for experienced personnel. We are highly dependent on the principal members of our management and scientific and medical staff. If we do not succeed in attracting and retaining qualified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personnel, particularly at the management level, it could adversely affect our ability to execute our business plan and harm our results of operations. In particular, the loss of one or more of our executive officers could be detrimental to us if we cannot recruit suitable replacements in a timely manner. The competition for qualified personnel in the biotechnology field is intense and as a result, we may be unable to continue to attract and retain qualified personnel necessary, including bioinformatics and computational biologist specialists, for the future success of our business. We could in the future have difficulty attracting experienced personnel to our company and may be required to expend significant financial resources in our employee recruitment and retention efforts.</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Many of the other biotechnology companies that we compete against for qualified personnel have greater financial and other resources, different risk profiles and a longer history in the industry than we do. They also may provide a wide range of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harmed.</w:t>
      </w:r>
    </w:p>
    <w:p>
      <w:pPr>
        <w:spacing w:after="0" w:line="183"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15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of September 30, 2022, we had 74 full-time employees, including 63 employees engaged in research and development. In order to successfully implement our development and commercialization plans and strategies, including operating as a public company, we expect to need additional managerial, operational, sales, marketing, financial and other personnel. Future growth would impose significant added responsibilities on members of management, including:</w:t>
      </w:r>
    </w:p>
    <w:p>
      <w:pPr>
        <w:spacing w:after="0" w:line="180" w:lineRule="exact"/>
        <w:rPr>
          <w:sz w:val="20"/>
          <w:szCs w:val="20"/>
          <w:color w:val="auto"/>
        </w:rPr>
      </w:pPr>
    </w:p>
    <w:p>
      <w:pPr>
        <w:ind w:left="160" w:hanging="110"/>
        <w:spacing w:after="0"/>
        <w:tabs>
          <w:tab w:leader="none" w:pos="1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integrating, maintaining and motivating additional employees;</w:t>
      </w:r>
    </w:p>
    <w:p>
      <w:pPr>
        <w:spacing w:after="0" w:line="238" w:lineRule="exact"/>
        <w:rPr>
          <w:rFonts w:ascii="Times New Roman" w:cs="Times New Roman" w:eastAsia="Times New Roman" w:hAnsi="Times New Roman"/>
          <w:sz w:val="18"/>
          <w:szCs w:val="18"/>
          <w:color w:val="auto"/>
        </w:rPr>
      </w:pPr>
    </w:p>
    <w:p>
      <w:pPr>
        <w:jc w:val="both"/>
        <w:ind w:left="60" w:right="59" w:hanging="10"/>
        <w:spacing w:after="0" w:line="266" w:lineRule="auto"/>
        <w:tabs>
          <w:tab w:leader="none" w:pos="21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including the clinical, FDA and other comparable foreign regulatory agencies’ review process of IMM-1-104, IMM-6-415, and any other product candidate we develop, while complying with any contractual obligations to contractors and other third parties we may have; and</w:t>
      </w:r>
    </w:p>
    <w:p>
      <w:pPr>
        <w:spacing w:after="0" w:line="189"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operational, financial and management controls, reporting systems and procedures.</w:t>
      </w:r>
    </w:p>
    <w:p>
      <w:pPr>
        <w:spacing w:after="0" w:line="23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future financial performance and our ability to successfully develop and, if approved, commercialize IMM-1-104 and any other product candidate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 party service providers is compromised for any reason, our clinical trials may be extended, delayed or terminated, and we may not be able to obtain marketing approval of any current or future product candidates or otherwise advance our business. We cannot assure you that we will be able to manage our existing third party service providers or find other competent outside contractors and consultants on economically reasonable terms, or at all.</w:t>
      </w:r>
    </w:p>
    <w:p>
      <w:pPr>
        <w:spacing w:after="0" w:line="18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If we are not able to effectively expand our organization by hiring new employees and/or engaging additional third party service providers, we may not be able to successfully implement the tasks necessary to further develop and commercialize IMM-1-104, IMM-6-415 and any other current or future product candidates and, accordingly, may not achieve our research, development and commercialization goals.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22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maintain an active, liquid and orderly trading market for our Class A common stock and, as a result, it may be difficult for you to sell your shares of our Class A common stock.</w:t>
      </w:r>
    </w:p>
    <w:p>
      <w:pPr>
        <w:spacing w:after="0" w:line="15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market value of our Class A common stock may decrease from time to time, and you may not be able to resell your shares of our Class A common stock at or above the price you purchased them.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Class A common stock and may impair our ability to enter into strategic collaborations or acquire companies, technologies or other assets by using our shares of Class A common stock as consideration.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stock may be volatile, and you could lose all or part of your investment.</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trading price of our Class A common stock is likely to be highly volatile and subject to wide fluctuations in response to various factors, some of which we cannot control. The stock market in general, and pharmaceutical and biotechnology companies in particular, have experienced extreme price and volume fluctuations that have often been unrelated or disproportionate to the operating performance of these companies. The trading prices for common stock of other pharmaceutical and biotechnology companies have also been highly volatile as a result of the pandemic related to COVID-19 and its variants.</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Broad market and industry factors may negatively affect the market price of our Class A common stock, regardless of our actual operating performance. In addition to the factors discussed in this “Risk Factors” section and elsewhere in this Quarterly Report on Form 10-Q, these factors include:</w:t>
      </w:r>
    </w:p>
    <w:p>
      <w:pPr>
        <w:spacing w:after="0" w:line="176" w:lineRule="exact"/>
        <w:rPr>
          <w:sz w:val="20"/>
          <w:szCs w:val="20"/>
          <w:color w:val="auto"/>
        </w:rPr>
      </w:pPr>
    </w:p>
    <w:p>
      <w:pPr>
        <w:ind w:left="160" w:hanging="110"/>
        <w:spacing w:after="0"/>
        <w:tabs>
          <w:tab w:leader="none" w:pos="1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results of preclinical studies and clinical trials of our product candidates or those of our competitors;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announcements by potential competitors of their product development efforts;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products or our competitors’ products;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238" w:lineRule="exact"/>
        <w:rPr>
          <w:rFonts w:ascii="Times New Roman" w:cs="Times New Roman" w:eastAsia="Times New Roman" w:hAnsi="Times New Roman"/>
          <w:sz w:val="18"/>
          <w:szCs w:val="18"/>
          <w:color w:val="auto"/>
        </w:rPr>
      </w:pPr>
    </w:p>
    <w:p>
      <w:pPr>
        <w:ind w:left="60" w:right="79" w:hanging="10"/>
        <w:spacing w:after="0" w:line="282" w:lineRule="auto"/>
        <w:tabs>
          <w:tab w:leader="none" w:pos="16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collaborations, joint ventures, collaborations or capital commitments;</w:t>
      </w:r>
    </w:p>
    <w:p>
      <w:pPr>
        <w:spacing w:after="0" w:line="175" w:lineRule="exact"/>
        <w:rPr>
          <w:rFonts w:ascii="Times New Roman" w:cs="Times New Roman" w:eastAsia="Times New Roman" w:hAnsi="Times New Roman"/>
          <w:sz w:val="18"/>
          <w:szCs w:val="18"/>
          <w:color w:val="auto"/>
        </w:rPr>
      </w:pPr>
    </w:p>
    <w:p>
      <w:pPr>
        <w:ind w:left="60" w:right="59" w:hanging="10"/>
        <w:spacing w:after="0" w:line="282" w:lineRule="auto"/>
        <w:tabs>
          <w:tab w:leader="none" w:pos="17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7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60" w:hanging="110"/>
        <w:spacing w:after="0"/>
        <w:tabs>
          <w:tab w:leader="none" w:pos="1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Class A common stock by us, our insiders or our other stockholders;</w:t>
      </w:r>
    </w:p>
    <w:p>
      <w:pPr>
        <w:spacing w:after="0" w:line="252"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market stand-off or lock-up agreements;</w:t>
      </w:r>
    </w:p>
    <w:p>
      <w:pPr>
        <w:spacing w:after="0" w:line="238" w:lineRule="exact"/>
        <w:rPr>
          <w:rFonts w:ascii="Times New Roman" w:cs="Times New Roman" w:eastAsia="Times New Roman" w:hAnsi="Times New Roman"/>
          <w:sz w:val="18"/>
          <w:szCs w:val="18"/>
          <w:color w:val="auto"/>
        </w:rPr>
      </w:pPr>
    </w:p>
    <w:p>
      <w:pPr>
        <w:ind w:left="60" w:right="79" w:hanging="10"/>
        <w:spacing w:after="0" w:line="282" w:lineRule="auto"/>
        <w:tabs>
          <w:tab w:leader="none" w:pos="19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and future impact of the pandemic related to COVID-19 and its variants, or any future pandemics, and actions taken to slow their spread; and</w:t>
      </w:r>
    </w:p>
    <w:p>
      <w:pPr>
        <w:spacing w:after="0" w:line="175" w:lineRule="exact"/>
        <w:rPr>
          <w:rFonts w:ascii="Times New Roman" w:cs="Times New Roman" w:eastAsia="Times New Roman" w:hAnsi="Times New Roman"/>
          <w:sz w:val="18"/>
          <w:szCs w:val="18"/>
          <w:color w:val="auto"/>
        </w:rPr>
      </w:pPr>
    </w:p>
    <w:p>
      <w:pPr>
        <w:ind w:left="60" w:right="99" w:hanging="10"/>
        <w:spacing w:after="0" w:line="261" w:lineRule="auto"/>
        <w:tabs>
          <w:tab w:leader="none" w:pos="16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including the effects of recession or slow economic growth in the U.S. and abroad, interest rates, inflation, fuel prices, international currency fluctuations, corruption, political instability, acts of war, including the Russian Federation’s invasion of Ukraine in February 2022, acts of terrorism, and the ongoing COVID-19 pandemic or other public health crises.</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realization of any of the above risks or any of a broad range of other risks, including those described in this “Risk Factors” section, could have a dramatic and adverse impact on the market price of our Class A common stock.</w:t>
      </w:r>
    </w:p>
    <w:p>
      <w:pPr>
        <w:spacing w:after="0" w:line="15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or if they publish adverse or misleading research or reports, regarding us, our business or our market, our stock price and trading volume could decline.</w:t>
      </w:r>
    </w:p>
    <w:p>
      <w:pPr>
        <w:spacing w:after="0" w:line="15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trading market for our Class A common stock will be influenced by the research and reports that securities or industry analysts publish about us, our business or our market. If any of the analysts who cover us issue adverse or misleading research or reports regarding us, our business model, our intellectual property, our stock performance or our market, or if our results of operations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83"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As of September 30, 2022, our executive officers, directors, holders of 5% or more of our capital stock and their respective affiliates beneficially owned approximately 68.0% of our voting stock and these stockholders will be able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Class A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Class A common stock, and might affect the prevailing market price for our Class A common stock.</w:t>
      </w:r>
    </w:p>
    <w:p>
      <w:pPr>
        <w:spacing w:after="0" w:line="190"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Class A common stock in the public market could cause our stock price to fall.</w:t>
      </w:r>
    </w:p>
    <w:p>
      <w:pPr>
        <w:spacing w:after="0" w:line="15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Sales of a substantial number of shares of our Class A and/or Class B common stock, or the perception that these sales might occur, could depress the market price of our Class A common stock and could impair our ability to raise capital through the sale of additional equity securities. The shares of Class A common stock that were sold in the initial public offering and shares of Class A common stock that will be sold under the registration statement filed with the SEC on August 10, 2022 are, or will be, as applicable, freely transferable without restrictions or further registration under the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Securities Act , except for any shares acquired by our affiliates, as defined in Rule 144 under the Securities Act. The remaining shares of our Class A common stock that are outstanding are either unrestricted or restricted as a result of securities laws. In addition, there are shares of Class A common stock that are either subject to outstanding options or reserved for future issuance under our existing equity incentive plans and may become eligible for future sale subject to vesting, and Rule 144 and Rule 701 under the Securities Act. If these additional shares of Class A common stock are sold, or if it is perceived that they will be sold, in the public market, the trading price of our Class A common stock could decline.</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addition, in the future, we may issue additional shares of Class A common stock, or other equity or debt securities convertible into Class A common stock, in connection with a financing, acquisition, employee arrangement or otherwise. Any such issuance could result in substantial dilution to our existing stockholders and could cause the price of our Class A common stock to decline.</w:t>
      </w:r>
    </w:p>
    <w:p>
      <w:pPr>
        <w:spacing w:after="0" w:line="176"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Class A common stock and, consequently, your ability to achieve a return on your investment will depend on appreciation of the value of our Class A common stock.</w:t>
      </w:r>
    </w:p>
    <w:p>
      <w:pPr>
        <w:spacing w:after="0" w:line="15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equity securities. We currently anticipate that we will retain future earnings for the development, operation and expansion of our business and do not anticipate declaring or paying any cash dividends for the foreseeable future. Any return to stockholders will therefore be limited to any appreciation in the value of our Class A common stock, which is not certain.</w:t>
      </w:r>
    </w:p>
    <w:p>
      <w:pPr>
        <w:spacing w:after="0" w:line="176"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certificate of incorporation and bylaws and Delaware law might discourage, delay or prevent a change in control of our company or changes in our management and, therefore, depress the market price of our Class A common stock.</w:t>
      </w:r>
    </w:p>
    <w:p>
      <w:pPr>
        <w:spacing w:after="0" w:line="17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bylaws contain provisions that could depress the market price of our Class A common stock by acting to discourage, delay or prevent a change in control of our company or changes in our management that the stockholders of our company may deem advantageous. These provisions, among other things:</w:t>
      </w:r>
    </w:p>
    <w:p>
      <w:pPr>
        <w:spacing w:after="0" w:line="176" w:lineRule="exact"/>
        <w:rPr>
          <w:sz w:val="20"/>
          <w:szCs w:val="20"/>
          <w:color w:val="auto"/>
        </w:rPr>
      </w:pPr>
    </w:p>
    <w:p>
      <w:pPr>
        <w:ind w:left="160" w:hanging="110"/>
        <w:spacing w:after="0"/>
        <w:tabs>
          <w:tab w:leader="none" w:pos="1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so that not all members of our board are elected at one time;</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only the board of directors to establish the number of directors and fill vacancies on the board;</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only be removed “for cause” and only with the approval of two-thirds of our stockholders;</w:t>
      </w:r>
    </w:p>
    <w:p>
      <w:pPr>
        <w:spacing w:after="0" w:line="238" w:lineRule="exact"/>
        <w:rPr>
          <w:rFonts w:ascii="Times New Roman" w:cs="Times New Roman" w:eastAsia="Times New Roman" w:hAnsi="Times New Roman"/>
          <w:sz w:val="18"/>
          <w:szCs w:val="18"/>
          <w:color w:val="auto"/>
        </w:rPr>
      </w:pPr>
    </w:p>
    <w:p>
      <w:pPr>
        <w:ind w:left="60" w:right="79" w:hanging="10"/>
        <w:spacing w:after="0" w:line="282" w:lineRule="auto"/>
        <w:tabs>
          <w:tab w:leader="none" w:pos="17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could use to implement a stockholder rights plan (also known as a “poison pill”);</w:t>
      </w:r>
    </w:p>
    <w:p>
      <w:pPr>
        <w:spacing w:after="0" w:line="17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238" w:lineRule="exact"/>
        <w:rPr>
          <w:rFonts w:ascii="Times New Roman" w:cs="Times New Roman" w:eastAsia="Times New Roman" w:hAnsi="Times New Roman"/>
          <w:sz w:val="18"/>
          <w:szCs w:val="18"/>
          <w:color w:val="auto"/>
        </w:rPr>
      </w:pPr>
    </w:p>
    <w:p>
      <w:pPr>
        <w:ind w:left="60" w:right="79" w:hanging="10"/>
        <w:spacing w:after="0" w:line="282" w:lineRule="auto"/>
        <w:tabs>
          <w:tab w:leader="none" w:pos="19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pacing w:after="0" w:line="18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amend the bylaws;</w:t>
      </w:r>
    </w:p>
    <w:p>
      <w:pPr>
        <w:spacing w:after="0" w:line="238" w:lineRule="exact"/>
        <w:rPr>
          <w:rFonts w:ascii="Times New Roman" w:cs="Times New Roman" w:eastAsia="Times New Roman" w:hAnsi="Times New Roman"/>
          <w:sz w:val="18"/>
          <w:szCs w:val="18"/>
          <w:color w:val="auto"/>
        </w:rPr>
      </w:pPr>
    </w:p>
    <w:p>
      <w:pPr>
        <w:ind w:left="60" w:right="59" w:hanging="10"/>
        <w:spacing w:after="0" w:line="282" w:lineRule="auto"/>
        <w:tabs>
          <w:tab w:leader="none" w:pos="17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or for proposing matters that can be acted upon by stockholders at annual stockholder meetings; and</w:t>
      </w:r>
    </w:p>
    <w:p>
      <w:pPr>
        <w:spacing w:after="0" w:line="17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super-majority vote of stockholders to amend some provisions described above.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addition, Section 203 of the General Corporation Law of the State of Delaware, or the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Class A common stock.</w:t>
      </w:r>
    </w:p>
    <w:p>
      <w:pPr>
        <w:spacing w:after="0" w:line="172"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and amended and restated bylaws provides for an exclusive forum in the Court of Chancery of the State of Delaware for certain disputes between us and our stockholders, which could limit our stockholders’ ability to obtain a favorable judicial forum for disputes with us or our directors, officers or employees.</w:t>
      </w:r>
    </w:p>
    <w:p>
      <w:pPr>
        <w:spacing w:after="0" w:line="180"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the Court of Chancery of the State of Delaware (or, in the event that the Court of Chancery does not have jurisdiction, the federal district court for the District of Delaware or other state courts of the State of Delaware) is the exclusive forum for any derivative action or proceeding brought on our behalf, any action asserting a claim of breach of fiduciary duty, any action asserting a claim against us arising pursuant to the DGCL, our amended and restated certificate of incorporation or our amended and restated bylaws, or any action asserting a claim against us that is 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and amended and restated bylaws also provide that the federal district courts of the United States of America is the exclusive forum for the resolution of any complaint asserting a cause or causes of action against any defendant arising under the Securities Act. Such provision is intended to benefit and may be enforced by us, our officers and directors, employees and agents, including the underwriters and any other professional or entity who has prepared or certified any part of this Quarterly Report on Form 10-Q. Nothing in our amended and restated certificate of incorporation or amended and restated bylaws preclude stockholders that assert claims under the Exchange Act from bringing such claims in state or federal court, subject to applicable law.</w:t>
      </w:r>
    </w:p>
    <w:p>
      <w:pPr>
        <w:spacing w:after="0" w:line="193"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This choice of forum provision may limit a stockholder’s ability to bring a claim in a judicial forum that it finds favorable for disputes with us or any of our directors, officers, other employees or stockholders, which may discourage lawsuits with respect to such claims or make such lawsuits more costly for stockholders, although our stockholders will not be deemed to have waived our compliance with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exclusive-forum provisions, and there can be no assurance that such provisions will be enforced by a court in those other jurisdictions. If a court were to find the choice of forum provision that will be contained in our amended and restated certificate of incorporation and amended and restated bylaws to be inapplicable or unenforceable in an action, we may incur additional costs associated with resolving such action in other jurisdictions, which could adversely affect our business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25"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information technology systems, or those of any of our CROs, manufacturers, other contractors, consultants, collaborators or potential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Despite the implementation of security measures, our information technology systems and those of our current and any future CROs and other contractors, consultants, collaborators and third-party service providers, are vulnerable to attack and damage from computer viruses (e.g. ransomware), cybersecurity threats, unauthorized access, natural disasters, terrorism, war and telecommunication and electrical failure, phishing attacks and other social engineering schemes, employee theft or misuse, human error, fraud, denial or degradation of service attacks, sophisticated nation-state and nation-state-supported actors or unauthorized access or use by persons inside our organization, or persons with access to systems inside our organization. We have also outsourced elements of our information technology infrastructure, and as a result a number of third-party vendors may or could have access to our confidential information.</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and evolved. If we or our third-party vendors were to experience a significant cybersecurity breach of our or their information systems or data, the costs associated with the investigation, remediation and potential notification of the breach to counter-parties and data subjects could be material. In addition, our remediation efforts may not be successful. If we do not allocate and effectively manage the resources necessary to build and sustain the proper technology and cybersecurity infrastructure, we could suffer significant business disruption, including transaction errors, supply chain or manufacturing interruptions, processing inefficiencies, data loss or the loss of or damage to intellectual property or other proprietary information.</w:t>
      </w:r>
    </w:p>
    <w:p>
      <w:pPr>
        <w:spacing w:after="0" w:line="188"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and certain of our service providers are from time to time subject to cyberattacks and security incidents. While we do not believe that we have experienced any significant system failure, accident or security breach to date, if such an event were to occur and cause interruptions in our operations or result in the unauthorized acquisition of or access to our trade secrets, health-related or other personal information or other proprietary or sensitive information, it could result in a material disruption of our drug discovery and development programs and our business operations, whether due to a loss of our trade secrets or other similar disruptions, and it may be necessary to notify individuals, governmental authorities, supervisory bodies, the media and other parties pursuant to data privacy and security laws. Notifications and follow-up actions related to a security breach could impact our reputation, cause us to incur significant costs, including legal expenses and remediation costs. For example, the loss of clinical trial data from completed or future clinical trials could result in delays in our regulatory approval efforts and significantly increase our costs to recover or reproduce the lost data. We also rely on third parties to manufacture our product candidates, and similar events relating to their computer systems could also have a material adverse effect on our business. To the extent that any disruption or security breach were to result in a loss of, or damage to, our data, or inappropriate disclosure of confidential or proprietary information, we could be exposed to litigation and governmental investigations, the further development and commercialization of our product candidates could be delayed, and we could be subject to significant fines or penalties for any noncompliance with certain state, federal and/or international privacy and security laws.</w:t>
      </w:r>
    </w:p>
    <w:p>
      <w:pPr>
        <w:spacing w:after="0" w:line="19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insurance policies may not be adequate to compensate us for the potential losses arising from any such disruption, failure or security breach.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176"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vulnerable to interruption by fire, severe weather conditions, power loss, telecommunications failure, terrorist activity, future pandemics and other events beyond our control, which could harm our business.</w:t>
      </w:r>
    </w:p>
    <w:p>
      <w:pPr>
        <w:spacing w:after="0" w:line="15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Our facilities are located in regions which experience severe weather from time to time. We have not undertaken a systematic analysis of the potential consequences to our business and financial results from a major tornado, flood, fire,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earthquake, power loss, terrorist activity, future pandemics or other disasters and do not have a recovery plan for such disasters. In addition, we do not carry sufficient insurance to compensate us for actual losses from interruption of our business that may occur, and any losses or damages incurred by us could harm our business. The occurrence of any of these business disruptions could seriously harm our operations and financial condition and increase our costs and expenses.</w:t>
      </w:r>
    </w:p>
    <w:p>
      <w:pPr>
        <w:spacing w:after="0" w:line="176"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we cannot be certain if the reduced reporting requirements applicable to emerging growth companies will make our Class A common stock less attractive to investors.</w:t>
      </w:r>
    </w:p>
    <w:p>
      <w:pPr>
        <w:spacing w:after="0" w:line="15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For as long as we continue to be an emerging growth company, we intend to take advantage of exemptions from various reporting requirements that are applicable to other public companies that are not emerging growth companies, including:</w:t>
      </w:r>
    </w:p>
    <w:p>
      <w:pPr>
        <w:spacing w:after="0" w:line="176" w:lineRule="exact"/>
        <w:rPr>
          <w:sz w:val="20"/>
          <w:szCs w:val="20"/>
          <w:color w:val="auto"/>
        </w:rPr>
      </w:pPr>
    </w:p>
    <w:p>
      <w:pPr>
        <w:jc w:val="both"/>
        <w:ind w:left="60" w:right="59" w:hanging="10"/>
        <w:spacing w:after="0" w:line="266" w:lineRule="auto"/>
        <w:tabs>
          <w:tab w:leader="none" w:pos="17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provide only two years of audited financial statements, in addition to any required unaudited financial statements, with correspondingly reduced “Management’s Discussion and Analysis of Financial Condition and Results of Operations” disclosure in this Quarterly Report on Form 10-Q;</w:t>
      </w:r>
    </w:p>
    <w:p>
      <w:pPr>
        <w:spacing w:after="0" w:line="189"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the Sarbanes-Oxley Act;</w:t>
      </w:r>
    </w:p>
    <w:p>
      <w:pPr>
        <w:spacing w:after="0" w:line="238" w:lineRule="exact"/>
        <w:rPr>
          <w:rFonts w:ascii="Times New Roman" w:cs="Times New Roman" w:eastAsia="Times New Roman" w:hAnsi="Times New Roman"/>
          <w:sz w:val="18"/>
          <w:szCs w:val="18"/>
          <w:color w:val="auto"/>
        </w:rPr>
      </w:pPr>
    </w:p>
    <w:p>
      <w:pPr>
        <w:ind w:left="60" w:right="59" w:hanging="10"/>
        <w:spacing w:after="0" w:line="282" w:lineRule="auto"/>
        <w:tabs>
          <w:tab w:leader="none" w:pos="18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the communication of critical audit matters in the auditor’s report on financial statements;</w:t>
      </w:r>
    </w:p>
    <w:p>
      <w:pPr>
        <w:spacing w:after="0" w:line="17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and proxy statements; and</w:t>
      </w:r>
    </w:p>
    <w:p>
      <w:pPr>
        <w:spacing w:after="0" w:line="238" w:lineRule="exact"/>
        <w:rPr>
          <w:rFonts w:ascii="Times New Roman" w:cs="Times New Roman" w:eastAsia="Times New Roman" w:hAnsi="Times New Roman"/>
          <w:sz w:val="18"/>
          <w:szCs w:val="18"/>
          <w:color w:val="auto"/>
        </w:rPr>
      </w:pPr>
    </w:p>
    <w:p>
      <w:pPr>
        <w:ind w:left="60" w:right="79" w:hanging="10"/>
        <w:spacing w:after="0" w:line="282" w:lineRule="auto"/>
        <w:tabs>
          <w:tab w:leader="none" w:pos="19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nonbinding advisory stockholder votes on executive compensation and stockholder approval of any golden parachute payments not previously approved.</w:t>
      </w:r>
    </w:p>
    <w:p>
      <w:pPr>
        <w:spacing w:after="0" w:line="17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cannot predict if investors will find our Class A common stock less attractive because we may rely on these exemptions. If some investors find our Class A common stock less attractive as a result, there may be a less active trading market for our Class A common stock and our stock price may be more volatile.</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(1) the last day of the fiscal year in which we have more than $1.235 billion in annual revenue; (2) the date we qualify as a “large accelerated filer,” with at least $700 million of equity securities held by non-affiliates; (3) the date on which we have issued more than $1.0 billion in non-convertible debt securities during the prior three-year period; and (4) the last day of the fiscal year ending after the fifth anniversary of our initial public offering.</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intend to take advantage of the extended transition period for adopting new or revised accounting standards under the JOBS Act as an emerging growth company. As a result of this election, our financial statements may not be comparable to companies that comply with public company effective dates.</w:t>
      </w:r>
    </w:p>
    <w:p>
      <w:pPr>
        <w:spacing w:after="0" w:line="176"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result in more litigation and divert management’s attention.</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Sarbanes-Oxley Act, the Dodd-Frank Wall Street Reform and Consumer Protection Act, or the Dodd-Frank Act, the listing requirements of Nasdaq and other applicable securities rules and regulations. Complying with these rules and regulations has increased and will increase our legal and financial compliance costs, make some activities more difficult, time consuming or costly and increase demand on our systems and resources. The Exchange Act requires, among other things, that we file annual, quarterly and current reports with respect to our business and results of operations. The Sarbanes-Oxley Act requires, among other things, that we maintain effective disclosure controls and procedures and internal control over financial reporting. We are required to disclose changes made in our internal control and procedures on a quarterly basis. In order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adversely affect our business and results of operations. We may also need to hire additional employees or engage outside consultants to comply with these requirements, which will increase our costs and expenses.</w:t>
      </w:r>
    </w:p>
    <w:p>
      <w:pPr>
        <w:spacing w:after="0" w:line="183"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These new rules and regulations may make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By disclosing information in this Quarterly Report on Form 10-Q and in future filings required of a public company, our business and financial condition will become more visible, which we believe may result in threatened or actual litigation, including by competitors and other third parties. If those claims are successful, our business could be seriously harmed. Even if the claims do not result in litigation or are resolved in our favor, the time and resources needed to resolve them could divert our management’s resources and seriously harm our business.</w:t>
      </w:r>
    </w:p>
    <w:p>
      <w:pPr>
        <w:spacing w:after="0" w:line="179"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Class A common stock.</w:t>
      </w:r>
    </w:p>
    <w:p>
      <w:pPr>
        <w:spacing w:after="0" w:line="17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will be required to disclose changes made in our internal controls and procedures on a quarterly basis and our management will be required to assess the effectiveness of these controls annually. However, for as long as we are an emerging growth company, our independent registered public accounting firm will not be required to attest to the effectiveness of our internal controls over financial reporting pursuant to Section 404. An independent assessment of the effectiveness of our internal controls over financial reporting could detect problems that our management’s assessment might not. Undetected material weaknesses in our internal controls over financial reporting could lead to restatements of our financial statements and require us to incur the expense of remediation.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market price of our Class A common stock may be volatile and, in the past, companies that have experienced volatility in the market price of their stock have been subject to securities class action litigation. We may be the target of this type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of litigation in the future. Securities litigation against us could result in substantial costs and divert our management’s attention from other business concerns, which could seriously harm our business.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New tax legislation may impact our results of operations and financial condition.</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U.S. government may enact significant changes to the taxation of business entities including, among others, an increase in the corporate income tax rate, an increase in the tax rate applicable to the global intangible low-taxed income and elimination of certain exemptions, and the imposition of minimum taxes or surtaxes on certain types of income. The likelihood of these changes being enacted or implemented is unclear. We are currently unable to predict whether such changes will occur. If such changes are enacted or implemented, we are currently unable to predict the ultimate impact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1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17"/>
        </w:trPr>
        <w:tc>
          <w:tcPr>
            <w:tcW w:w="80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Exhibit</w:t>
            </w:r>
          </w:p>
        </w:tc>
        <w:tc>
          <w:tcPr>
            <w:tcW w:w="860" w:type="dxa"/>
            <w:vAlign w:val="bottom"/>
          </w:tcPr>
          <w:p>
            <w:pPr>
              <w:spacing w:after="0"/>
              <w:rPr>
                <w:sz w:val="10"/>
                <w:szCs w:val="10"/>
                <w:color w:val="auto"/>
              </w:rPr>
            </w:pPr>
          </w:p>
        </w:tc>
        <w:tc>
          <w:tcPr>
            <w:tcW w:w="3220" w:type="dxa"/>
            <w:vAlign w:val="bottom"/>
            <w:gridSpan w:val="4"/>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5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Filing</w:t>
            </w:r>
          </w:p>
        </w:tc>
        <w:tc>
          <w:tcPr>
            <w:tcW w:w="9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Furnished</w:t>
            </w:r>
          </w:p>
        </w:tc>
        <w:tc>
          <w:tcPr>
            <w:tcW w:w="0" w:type="dxa"/>
            <w:vAlign w:val="bottom"/>
          </w:tcPr>
          <w:p>
            <w:pPr>
              <w:spacing w:after="0"/>
              <w:rPr>
                <w:sz w:val="1"/>
                <w:szCs w:val="1"/>
                <w:color w:val="auto"/>
              </w:rPr>
            </w:pPr>
          </w:p>
        </w:tc>
      </w:tr>
      <w:tr>
        <w:trPr>
          <w:trHeight w:val="173"/>
        </w:trPr>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6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gridSpan w:val="4"/>
            <w:vMerge w:val="continue"/>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26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388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Amended and Restated Certificate of Incorporation of</w:t>
              </w:r>
            </w:hyperlink>
          </w:p>
        </w:tc>
        <w:tc>
          <w:tcPr>
            <w:tcW w:w="200" w:type="dxa"/>
            <w:vAlign w:val="bottom"/>
          </w:tcPr>
          <w:p>
            <w:pPr>
              <w:spacing w:after="0"/>
              <w:rPr>
                <w:sz w:val="22"/>
                <w:szCs w:val="22"/>
                <w:color w:val="auto"/>
              </w:rPr>
            </w:pPr>
          </w:p>
        </w:tc>
        <w:tc>
          <w:tcPr>
            <w:tcW w:w="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10-Q</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001-40675</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9/9/2021</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8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10">
              <w:r>
                <w:rPr>
                  <w:rFonts w:ascii="Times New Roman" w:cs="Times New Roman" w:eastAsia="Times New Roman" w:hAnsi="Times New Roman"/>
                  <w:sz w:val="18"/>
                  <w:szCs w:val="18"/>
                  <w:color w:val="0000EE"/>
                  <w:w w:val="98"/>
                </w:rPr>
                <w:t>Immuneering Corporation</w:t>
              </w:r>
            </w:hyperlink>
          </w:p>
        </w:tc>
        <w:tc>
          <w:tcPr>
            <w:tcW w:w="2200" w:type="dxa"/>
            <w:vAlign w:val="bottom"/>
            <w:gridSpan w:val="3"/>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34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Amended and Restated Bylaws of Immuneering</w:t>
              </w:r>
            </w:hyperlink>
          </w:p>
        </w:tc>
        <w:tc>
          <w:tcPr>
            <w:tcW w:w="620" w:type="dxa"/>
            <w:vAlign w:val="bottom"/>
            <w:gridSpan w:val="2"/>
          </w:tcPr>
          <w:p>
            <w:pPr>
              <w:spacing w:after="0"/>
              <w:rPr>
                <w:sz w:val="17"/>
                <w:szCs w:val="17"/>
                <w:color w:val="auto"/>
              </w:rPr>
            </w:pPr>
          </w:p>
        </w:tc>
        <w:tc>
          <w:tcPr>
            <w:tcW w:w="54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001-40675</w:t>
            </w:r>
          </w:p>
        </w:tc>
        <w:tc>
          <w:tcPr>
            <w:tcW w:w="6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9/9/2021</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4080" w:type="dxa"/>
            <w:vAlign w:val="bottom"/>
            <w:gridSpan w:val="5"/>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Corporation</w:t>
              </w:r>
            </w:hyperlink>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8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17"/>
        </w:trPr>
        <w:tc>
          <w:tcPr>
            <w:tcW w:w="80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Exhibit</w:t>
            </w:r>
          </w:p>
        </w:tc>
        <w:tc>
          <w:tcPr>
            <w:tcW w:w="4080" w:type="dxa"/>
            <w:vAlign w:val="bottom"/>
            <w:gridSpan w:val="8"/>
            <w:vMerge w:val="restart"/>
          </w:tcPr>
          <w:p>
            <w:pPr>
              <w:ind w:left="14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Filing</w:t>
            </w:r>
          </w:p>
        </w:tc>
        <w:tc>
          <w:tcPr>
            <w:tcW w:w="9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Furnished</w:t>
            </w:r>
          </w:p>
        </w:tc>
        <w:tc>
          <w:tcPr>
            <w:tcW w:w="0" w:type="dxa"/>
            <w:vAlign w:val="bottom"/>
          </w:tcPr>
          <w:p>
            <w:pPr>
              <w:spacing w:after="0"/>
              <w:rPr>
                <w:sz w:val="1"/>
                <w:szCs w:val="1"/>
                <w:color w:val="auto"/>
              </w:rPr>
            </w:pPr>
          </w:p>
        </w:tc>
      </w:tr>
      <w:tr>
        <w:trPr>
          <w:trHeight w:val="173"/>
        </w:trPr>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080" w:type="dxa"/>
            <w:vAlign w:val="bottom"/>
            <w:tcBorders>
              <w:bottom w:val="single" w:sz="8" w:color="auto"/>
            </w:tcBorders>
            <w:gridSpan w:val="8"/>
            <w:vMerge w:val="continue"/>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26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394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Equity Distribution Agreement, dated as of August 10,</w:t>
              </w:r>
            </w:hyperlink>
          </w:p>
        </w:tc>
        <w:tc>
          <w:tcPr>
            <w:tcW w:w="140" w:type="dxa"/>
            <w:vAlign w:val="bottom"/>
            <w:gridSpan w:val="2"/>
          </w:tcPr>
          <w:p>
            <w:pPr>
              <w:spacing w:after="0"/>
              <w:rPr>
                <w:sz w:val="22"/>
                <w:szCs w:val="22"/>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S-3</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333-266738</w:t>
            </w:r>
          </w:p>
        </w:tc>
        <w:tc>
          <w:tcPr>
            <w:tcW w:w="62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rPr>
              <w:t>1.2</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8/10/2022</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4080" w:type="dxa"/>
            <w:vAlign w:val="bottom"/>
            <w:gridSpan w:val="8"/>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2022, by and between Immuneering Corporation and</w:t>
              </w:r>
            </w:hyperlink>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113">
              <w:r>
                <w:rPr>
                  <w:rFonts w:ascii="Times New Roman" w:cs="Times New Roman" w:eastAsia="Times New Roman" w:hAnsi="Times New Roman"/>
                  <w:sz w:val="18"/>
                  <w:szCs w:val="18"/>
                  <w:color w:val="0000EE"/>
                  <w:w w:val="98"/>
                </w:rPr>
                <w:t>Piper Sandler &amp; Co.</w:t>
              </w:r>
            </w:hyperlink>
          </w:p>
        </w:tc>
        <w:tc>
          <w:tcPr>
            <w:tcW w:w="2340" w:type="dxa"/>
            <w:vAlign w:val="bottom"/>
            <w:tcBorders>
              <w:top w:val="single" w:sz="8" w:color="0000EE"/>
            </w:tcBorders>
            <w:gridSpan w:val="3"/>
          </w:tcPr>
          <w:p>
            <w:pPr>
              <w:spacing w:after="0"/>
              <w:rPr>
                <w:sz w:val="17"/>
                <w:szCs w:val="17"/>
                <w:color w:val="auto"/>
              </w:rPr>
            </w:pPr>
          </w:p>
        </w:tc>
        <w:tc>
          <w:tcPr>
            <w:tcW w:w="280" w:type="dxa"/>
            <w:vAlign w:val="bottom"/>
            <w:gridSpan w:val="4"/>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40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w:t>
            </w: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396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Rule 13a-14(a)/15d-14(a).</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39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Principal Financial Officer pursuant to</w:t>
            </w:r>
          </w:p>
        </w:tc>
        <w:tc>
          <w:tcPr>
            <w:tcW w:w="160" w:type="dxa"/>
            <w:vAlign w:val="bottom"/>
            <w:gridSpan w:val="3"/>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40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Rule 13a-14(a)/15d-14(a).</w:t>
            </w: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40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w:t>
            </w: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74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18 U.S.C. Section 1350.</w:t>
            </w:r>
          </w:p>
        </w:tc>
        <w:tc>
          <w:tcPr>
            <w:tcW w:w="2220" w:type="dxa"/>
            <w:vAlign w:val="bottom"/>
            <w:tcBorders>
              <w:top w:val="single" w:sz="8" w:color="0000EE"/>
            </w:tcBorders>
            <w:gridSpan w:val="5"/>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39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Principal Financial Officer pursuant to</w:t>
            </w:r>
          </w:p>
        </w:tc>
        <w:tc>
          <w:tcPr>
            <w:tcW w:w="160" w:type="dxa"/>
            <w:vAlign w:val="bottom"/>
            <w:gridSpan w:val="3"/>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7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18 U.S.C. Section 1350.</w:t>
            </w:r>
          </w:p>
        </w:tc>
        <w:tc>
          <w:tcPr>
            <w:tcW w:w="2340" w:type="dxa"/>
            <w:vAlign w:val="bottom"/>
            <w:gridSpan w:val="6"/>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0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0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document does not appear in the Interactive Data File</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0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because its XBRL tags are embedded within the Inline</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0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0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0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0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0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0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Document.</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0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0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Document.</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0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0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0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40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and contained in Exhibit 101)</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780" w:hanging="730"/>
        <w:spacing w:after="0"/>
        <w:tabs>
          <w:tab w:leader="none" w:pos="7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780" w:hanging="730"/>
        <w:spacing w:after="0"/>
        <w:tabs>
          <w:tab w:leader="none" w:pos="7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duly authorized.</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860" w:type="dxa"/>
            <w:vAlign w:val="bottom"/>
          </w:tcPr>
          <w:p>
            <w:pPr>
              <w:spacing w:after="0"/>
              <w:rPr>
                <w:sz w:val="20"/>
                <w:szCs w:val="20"/>
                <w:color w:val="auto"/>
              </w:rPr>
            </w:pPr>
          </w:p>
        </w:tc>
        <w:tc>
          <w:tcPr>
            <w:tcW w:w="602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IMMUNEERING CORPORATION</w:t>
            </w:r>
          </w:p>
        </w:tc>
      </w:tr>
      <w:tr>
        <w:trPr>
          <w:trHeight w:val="648"/>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10, 2022</w:t>
            </w:r>
          </w:p>
        </w:tc>
        <w:tc>
          <w:tcPr>
            <w:tcW w:w="16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By:</w:t>
            </w:r>
          </w:p>
        </w:tc>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Benjamin J. Zeskind</w:t>
            </w:r>
          </w:p>
        </w:tc>
      </w:tr>
      <w:tr>
        <w:trPr>
          <w:trHeight w:val="191"/>
        </w:trPr>
        <w:tc>
          <w:tcPr>
            <w:tcW w:w="2860" w:type="dxa"/>
            <w:vAlign w:val="bottom"/>
          </w:tcPr>
          <w:p>
            <w:pPr>
              <w:spacing w:after="0"/>
              <w:rPr>
                <w:sz w:val="16"/>
                <w:szCs w:val="16"/>
                <w:color w:val="auto"/>
              </w:rPr>
            </w:pPr>
          </w:p>
        </w:tc>
        <w:tc>
          <w:tcPr>
            <w:tcW w:w="1600" w:type="dxa"/>
            <w:vAlign w:val="bottom"/>
          </w:tcPr>
          <w:p>
            <w:pPr>
              <w:ind w:left="10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Benjamin J. Zeskind, Ph.D.</w:t>
            </w:r>
          </w:p>
        </w:tc>
      </w:tr>
      <w:tr>
        <w:trPr>
          <w:trHeight w:val="216"/>
        </w:trPr>
        <w:tc>
          <w:tcPr>
            <w:tcW w:w="2860" w:type="dxa"/>
            <w:vAlign w:val="bottom"/>
          </w:tcPr>
          <w:p>
            <w:pPr>
              <w:spacing w:after="0"/>
              <w:rPr>
                <w:sz w:val="18"/>
                <w:szCs w:val="18"/>
                <w:color w:val="auto"/>
              </w:rPr>
            </w:pPr>
          </w:p>
        </w:tc>
        <w:tc>
          <w:tcPr>
            <w:tcW w:w="16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Title:</w:t>
            </w: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Co-Founder, President, Chief Executive Officer and Director</w:t>
            </w:r>
          </w:p>
        </w:tc>
      </w:tr>
      <w:tr>
        <w:trPr>
          <w:trHeight w:val="234"/>
        </w:trPr>
        <w:tc>
          <w:tcPr>
            <w:tcW w:w="28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10, 2022</w:t>
            </w:r>
          </w:p>
        </w:tc>
        <w:tc>
          <w:tcPr>
            <w:tcW w:w="16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By:</w:t>
            </w:r>
          </w:p>
        </w:tc>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Mallory Morales</w:t>
            </w:r>
          </w:p>
        </w:tc>
      </w:tr>
      <w:tr>
        <w:trPr>
          <w:trHeight w:val="191"/>
        </w:trPr>
        <w:tc>
          <w:tcPr>
            <w:tcW w:w="2860" w:type="dxa"/>
            <w:vAlign w:val="bottom"/>
          </w:tcPr>
          <w:p>
            <w:pPr>
              <w:spacing w:after="0"/>
              <w:rPr>
                <w:sz w:val="16"/>
                <w:szCs w:val="16"/>
                <w:color w:val="auto"/>
              </w:rPr>
            </w:pPr>
          </w:p>
        </w:tc>
        <w:tc>
          <w:tcPr>
            <w:tcW w:w="1600" w:type="dxa"/>
            <w:vAlign w:val="bottom"/>
          </w:tcPr>
          <w:p>
            <w:pPr>
              <w:ind w:left="10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Mallory Morales</w:t>
            </w:r>
          </w:p>
        </w:tc>
      </w:tr>
      <w:tr>
        <w:trPr>
          <w:trHeight w:val="216"/>
        </w:trPr>
        <w:tc>
          <w:tcPr>
            <w:tcW w:w="2860" w:type="dxa"/>
            <w:vAlign w:val="bottom"/>
          </w:tcPr>
          <w:p>
            <w:pPr>
              <w:spacing w:after="0"/>
              <w:rPr>
                <w:sz w:val="18"/>
                <w:szCs w:val="18"/>
                <w:color w:val="auto"/>
              </w:rPr>
            </w:pPr>
          </w:p>
        </w:tc>
        <w:tc>
          <w:tcPr>
            <w:tcW w:w="16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Title:</w:t>
            </w: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of Finance and Treasurer</w:t>
            </w:r>
          </w:p>
        </w:tc>
      </w:tr>
      <w:tr>
        <w:trPr>
          <w:trHeight w:val="216"/>
        </w:trPr>
        <w:tc>
          <w:tcPr>
            <w:tcW w:w="28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w:t>
            </w:r>
          </w:p>
        </w:tc>
      </w:tr>
      <w:tr>
        <w:trPr>
          <w:trHeight w:val="234"/>
        </w:trPr>
        <w:tc>
          <w:tcPr>
            <w:tcW w:w="28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1" w:name="page102"/>
    <w:bookmarkEnd w:id="101"/>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Benjamin J. Zeskind, certify that:</w:t>
      </w:r>
    </w:p>
    <w:p>
      <w:pPr>
        <w:spacing w:after="0" w:line="117" w:lineRule="exact"/>
        <w:rPr>
          <w:sz w:val="20"/>
          <w:szCs w:val="20"/>
          <w:color w:val="auto"/>
        </w:rPr>
      </w:pPr>
    </w:p>
    <w:p>
      <w:pPr>
        <w:ind w:left="700" w:hanging="656"/>
        <w:spacing w:after="0"/>
        <w:tabs>
          <w:tab w:leader="none" w:pos="7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Immuneering Corporation;</w:t>
      </w:r>
    </w:p>
    <w:p>
      <w:pPr>
        <w:spacing w:after="0" w:line="117" w:lineRule="exact"/>
        <w:rPr>
          <w:rFonts w:ascii="Times New Roman" w:cs="Times New Roman" w:eastAsia="Times New Roman" w:hAnsi="Times New Roman"/>
          <w:sz w:val="18"/>
          <w:szCs w:val="18"/>
          <w:color w:val="auto"/>
        </w:rPr>
      </w:pPr>
    </w:p>
    <w:p>
      <w:pPr>
        <w:ind w:left="700" w:right="299" w:hanging="656"/>
        <w:spacing w:after="0" w:line="258" w:lineRule="auto"/>
        <w:tabs>
          <w:tab w:leader="none" w:pos="7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8" w:lineRule="exact"/>
        <w:rPr>
          <w:rFonts w:ascii="Times New Roman" w:cs="Times New Roman" w:eastAsia="Times New Roman" w:hAnsi="Times New Roman"/>
          <w:sz w:val="18"/>
          <w:szCs w:val="18"/>
          <w:color w:val="auto"/>
        </w:rPr>
      </w:pPr>
    </w:p>
    <w:p>
      <w:pPr>
        <w:ind w:left="700" w:right="199" w:hanging="656"/>
        <w:spacing w:after="0" w:line="258" w:lineRule="auto"/>
        <w:tabs>
          <w:tab w:leader="none" w:pos="7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8" w:lineRule="exact"/>
        <w:rPr>
          <w:rFonts w:ascii="Times New Roman" w:cs="Times New Roman" w:eastAsia="Times New Roman" w:hAnsi="Times New Roman"/>
          <w:sz w:val="18"/>
          <w:szCs w:val="18"/>
          <w:color w:val="auto"/>
        </w:rPr>
      </w:pPr>
    </w:p>
    <w:p>
      <w:pPr>
        <w:ind w:left="700" w:right="219" w:hanging="656"/>
        <w:spacing w:after="0" w:line="296" w:lineRule="auto"/>
        <w:tabs>
          <w:tab w:leader="none" w:pos="7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57" w:lineRule="exact"/>
        <w:rPr>
          <w:rFonts w:ascii="Times New Roman" w:cs="Times New Roman" w:eastAsia="Times New Roman" w:hAnsi="Times New Roman"/>
          <w:sz w:val="17"/>
          <w:szCs w:val="17"/>
          <w:color w:val="auto"/>
        </w:rPr>
      </w:pPr>
    </w:p>
    <w:p>
      <w:pPr>
        <w:ind w:left="1340" w:right="79" w:hanging="648"/>
        <w:spacing w:after="0" w:line="255" w:lineRule="auto"/>
        <w:tabs>
          <w:tab w:leader="none" w:pos="13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Times New Roman" w:cs="Times New Roman" w:eastAsia="Times New Roman" w:hAnsi="Times New Roman"/>
          <w:sz w:val="18"/>
          <w:szCs w:val="18"/>
          <w:color w:val="auto"/>
        </w:rPr>
      </w:pPr>
    </w:p>
    <w:p>
      <w:pPr>
        <w:ind w:left="1340" w:hanging="648"/>
        <w:spacing w:after="0"/>
        <w:tabs>
          <w:tab w:leader="none" w:pos="13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117" w:lineRule="exact"/>
        <w:rPr>
          <w:rFonts w:ascii="Times New Roman" w:cs="Times New Roman" w:eastAsia="Times New Roman" w:hAnsi="Times New Roman"/>
          <w:sz w:val="18"/>
          <w:szCs w:val="18"/>
          <w:color w:val="auto"/>
        </w:rPr>
      </w:pPr>
    </w:p>
    <w:p>
      <w:pPr>
        <w:ind w:left="1340" w:right="179" w:hanging="648"/>
        <w:spacing w:after="0" w:line="258" w:lineRule="auto"/>
        <w:tabs>
          <w:tab w:leader="none" w:pos="13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8" w:lineRule="exact"/>
        <w:rPr>
          <w:rFonts w:ascii="Times New Roman" w:cs="Times New Roman" w:eastAsia="Times New Roman" w:hAnsi="Times New Roman"/>
          <w:sz w:val="18"/>
          <w:szCs w:val="18"/>
          <w:color w:val="auto"/>
        </w:rPr>
      </w:pPr>
    </w:p>
    <w:p>
      <w:pPr>
        <w:ind w:left="1340" w:right="119" w:hanging="648"/>
        <w:spacing w:after="0" w:line="255" w:lineRule="auto"/>
        <w:tabs>
          <w:tab w:leader="none" w:pos="13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Times New Roman" w:cs="Times New Roman" w:eastAsia="Times New Roman" w:hAnsi="Times New Roman"/>
          <w:sz w:val="18"/>
          <w:szCs w:val="18"/>
          <w:color w:val="auto"/>
        </w:rPr>
      </w:pPr>
    </w:p>
    <w:p>
      <w:pPr>
        <w:ind w:left="700" w:right="379" w:hanging="656"/>
        <w:spacing w:after="0" w:line="258" w:lineRule="auto"/>
        <w:tabs>
          <w:tab w:leader="none" w:pos="7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8" w:lineRule="exact"/>
        <w:rPr>
          <w:rFonts w:ascii="Times New Roman" w:cs="Times New Roman" w:eastAsia="Times New Roman" w:hAnsi="Times New Roman"/>
          <w:sz w:val="18"/>
          <w:szCs w:val="18"/>
          <w:color w:val="auto"/>
        </w:rPr>
      </w:pPr>
    </w:p>
    <w:p>
      <w:pPr>
        <w:ind w:left="1340" w:right="319" w:hanging="648"/>
        <w:spacing w:after="0" w:line="258" w:lineRule="auto"/>
        <w:tabs>
          <w:tab w:leader="none" w:pos="13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8" w:lineRule="exact"/>
        <w:rPr>
          <w:rFonts w:ascii="Times New Roman" w:cs="Times New Roman" w:eastAsia="Times New Roman" w:hAnsi="Times New Roman"/>
          <w:sz w:val="18"/>
          <w:szCs w:val="18"/>
          <w:color w:val="auto"/>
        </w:rPr>
      </w:pPr>
    </w:p>
    <w:p>
      <w:pPr>
        <w:ind w:left="1340" w:right="99" w:hanging="648"/>
        <w:spacing w:after="0" w:line="266" w:lineRule="auto"/>
        <w:tabs>
          <w:tab w:leader="none" w:pos="13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November 10, 2022</w:t>
      </w:r>
    </w:p>
    <w:p>
      <w:pPr>
        <w:spacing w:after="0" w:line="27" w:lineRule="exact"/>
        <w:rPr>
          <w:sz w:val="20"/>
          <w:szCs w:val="20"/>
          <w:color w:val="auto"/>
        </w:rPr>
      </w:pPr>
    </w:p>
    <w:p>
      <w:pPr>
        <w:ind w:left="4680"/>
        <w:spacing w:after="0"/>
        <w:tabs>
          <w:tab w:leader="none" w:pos="5200" w:val="left"/>
        </w:tabs>
        <w:rPr>
          <w:sz w:val="20"/>
          <w:szCs w:val="20"/>
          <w:color w:val="auto"/>
        </w:rPr>
      </w:pPr>
      <w:r>
        <w:rPr>
          <w:rFonts w:ascii="Times New Roman" w:cs="Times New Roman" w:eastAsia="Times New Roman" w:hAnsi="Times New Roman"/>
          <w:sz w:val="18"/>
          <w:szCs w:val="18"/>
          <w:color w:val="auto"/>
        </w:rPr>
        <w:t>By:</w:t>
        <w:tab/>
        <w:t>/s/ Benjamin J. Zeskind</w:t>
      </w:r>
    </w:p>
    <w:p>
      <w:pPr>
        <w:spacing w:after="0" w:line="4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Name: Benjamin J. Zeskind,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3288665</wp:posOffset>
            </wp:positionH>
            <wp:positionV relativeFrom="paragraph">
              <wp:posOffset>-119380</wp:posOffset>
            </wp:positionV>
            <wp:extent cx="24003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3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Title: Co-Founder, President, Chief Executive Officer and</w:t>
      </w:r>
    </w:p>
    <w:p>
      <w:pPr>
        <w:spacing w:after="0" w:line="2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Director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648970</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02" w:name="page103"/>
    <w:bookmarkEnd w:id="102"/>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Mallory Morales, certify that:</w:t>
      </w:r>
    </w:p>
    <w:p>
      <w:pPr>
        <w:spacing w:after="0" w:line="117" w:lineRule="exact"/>
        <w:rPr>
          <w:sz w:val="20"/>
          <w:szCs w:val="20"/>
          <w:color w:val="auto"/>
        </w:rPr>
      </w:pPr>
    </w:p>
    <w:p>
      <w:pPr>
        <w:ind w:left="700" w:hanging="656"/>
        <w:spacing w:after="0"/>
        <w:tabs>
          <w:tab w:leader="none" w:pos="7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Immuneering Corporation;</w:t>
      </w:r>
    </w:p>
    <w:p>
      <w:pPr>
        <w:spacing w:after="0" w:line="117" w:lineRule="exact"/>
        <w:rPr>
          <w:rFonts w:ascii="Times New Roman" w:cs="Times New Roman" w:eastAsia="Times New Roman" w:hAnsi="Times New Roman"/>
          <w:sz w:val="18"/>
          <w:szCs w:val="18"/>
          <w:color w:val="auto"/>
        </w:rPr>
      </w:pPr>
    </w:p>
    <w:p>
      <w:pPr>
        <w:ind w:left="700" w:right="299" w:hanging="656"/>
        <w:spacing w:after="0" w:line="258" w:lineRule="auto"/>
        <w:tabs>
          <w:tab w:leader="none" w:pos="7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8" w:lineRule="exact"/>
        <w:rPr>
          <w:rFonts w:ascii="Times New Roman" w:cs="Times New Roman" w:eastAsia="Times New Roman" w:hAnsi="Times New Roman"/>
          <w:sz w:val="18"/>
          <w:szCs w:val="18"/>
          <w:color w:val="auto"/>
        </w:rPr>
      </w:pPr>
    </w:p>
    <w:p>
      <w:pPr>
        <w:ind w:left="700" w:right="199" w:hanging="656"/>
        <w:spacing w:after="0" w:line="258" w:lineRule="auto"/>
        <w:tabs>
          <w:tab w:leader="none" w:pos="7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8" w:lineRule="exact"/>
        <w:rPr>
          <w:rFonts w:ascii="Times New Roman" w:cs="Times New Roman" w:eastAsia="Times New Roman" w:hAnsi="Times New Roman"/>
          <w:sz w:val="18"/>
          <w:szCs w:val="18"/>
          <w:color w:val="auto"/>
        </w:rPr>
      </w:pPr>
    </w:p>
    <w:p>
      <w:pPr>
        <w:ind w:left="700" w:right="219" w:hanging="656"/>
        <w:spacing w:after="0" w:line="296" w:lineRule="auto"/>
        <w:tabs>
          <w:tab w:leader="none" w:pos="7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57" w:lineRule="exact"/>
        <w:rPr>
          <w:rFonts w:ascii="Times New Roman" w:cs="Times New Roman" w:eastAsia="Times New Roman" w:hAnsi="Times New Roman"/>
          <w:sz w:val="17"/>
          <w:szCs w:val="17"/>
          <w:color w:val="auto"/>
        </w:rPr>
      </w:pPr>
    </w:p>
    <w:p>
      <w:pPr>
        <w:ind w:left="1340" w:right="79" w:hanging="648"/>
        <w:spacing w:after="0" w:line="255" w:lineRule="auto"/>
        <w:tabs>
          <w:tab w:leader="none" w:pos="13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Times New Roman" w:cs="Times New Roman" w:eastAsia="Times New Roman" w:hAnsi="Times New Roman"/>
          <w:sz w:val="18"/>
          <w:szCs w:val="18"/>
          <w:color w:val="auto"/>
        </w:rPr>
      </w:pPr>
    </w:p>
    <w:p>
      <w:pPr>
        <w:ind w:left="1340" w:hanging="648"/>
        <w:spacing w:after="0"/>
        <w:tabs>
          <w:tab w:leader="none" w:pos="13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117" w:lineRule="exact"/>
        <w:rPr>
          <w:rFonts w:ascii="Times New Roman" w:cs="Times New Roman" w:eastAsia="Times New Roman" w:hAnsi="Times New Roman"/>
          <w:sz w:val="18"/>
          <w:szCs w:val="18"/>
          <w:color w:val="auto"/>
        </w:rPr>
      </w:pPr>
    </w:p>
    <w:p>
      <w:pPr>
        <w:ind w:left="1340" w:right="179" w:hanging="648"/>
        <w:spacing w:after="0" w:line="258" w:lineRule="auto"/>
        <w:tabs>
          <w:tab w:leader="none" w:pos="13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8" w:lineRule="exact"/>
        <w:rPr>
          <w:rFonts w:ascii="Times New Roman" w:cs="Times New Roman" w:eastAsia="Times New Roman" w:hAnsi="Times New Roman"/>
          <w:sz w:val="18"/>
          <w:szCs w:val="18"/>
          <w:color w:val="auto"/>
        </w:rPr>
      </w:pPr>
    </w:p>
    <w:p>
      <w:pPr>
        <w:ind w:left="1340" w:right="119" w:hanging="648"/>
        <w:spacing w:after="0" w:line="255" w:lineRule="auto"/>
        <w:tabs>
          <w:tab w:leader="none" w:pos="13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Times New Roman" w:cs="Times New Roman" w:eastAsia="Times New Roman" w:hAnsi="Times New Roman"/>
          <w:sz w:val="18"/>
          <w:szCs w:val="18"/>
          <w:color w:val="auto"/>
        </w:rPr>
      </w:pPr>
    </w:p>
    <w:p>
      <w:pPr>
        <w:ind w:left="700" w:right="379" w:hanging="656"/>
        <w:spacing w:after="0" w:line="258" w:lineRule="auto"/>
        <w:tabs>
          <w:tab w:leader="none" w:pos="7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8" w:lineRule="exact"/>
        <w:rPr>
          <w:rFonts w:ascii="Times New Roman" w:cs="Times New Roman" w:eastAsia="Times New Roman" w:hAnsi="Times New Roman"/>
          <w:sz w:val="18"/>
          <w:szCs w:val="18"/>
          <w:color w:val="auto"/>
        </w:rPr>
      </w:pPr>
    </w:p>
    <w:p>
      <w:pPr>
        <w:ind w:left="1340" w:right="319" w:hanging="648"/>
        <w:spacing w:after="0" w:line="258" w:lineRule="auto"/>
        <w:tabs>
          <w:tab w:leader="none" w:pos="13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8" w:lineRule="exact"/>
        <w:rPr>
          <w:rFonts w:ascii="Times New Roman" w:cs="Times New Roman" w:eastAsia="Times New Roman" w:hAnsi="Times New Roman"/>
          <w:sz w:val="18"/>
          <w:szCs w:val="18"/>
          <w:color w:val="auto"/>
        </w:rPr>
      </w:pPr>
    </w:p>
    <w:p>
      <w:pPr>
        <w:ind w:left="1340" w:right="99" w:hanging="648"/>
        <w:spacing w:after="0" w:line="266" w:lineRule="auto"/>
        <w:tabs>
          <w:tab w:leader="none" w:pos="13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November 10, 2022</w:t>
      </w:r>
    </w:p>
    <w:p>
      <w:pPr>
        <w:spacing w:after="0" w:line="279" w:lineRule="exact"/>
        <w:rPr>
          <w:sz w:val="20"/>
          <w:szCs w:val="20"/>
          <w:color w:val="auto"/>
        </w:rPr>
      </w:pPr>
    </w:p>
    <w:p>
      <w:pPr>
        <w:ind w:left="4700"/>
        <w:spacing w:after="0"/>
        <w:tabs>
          <w:tab w:leader="none" w:pos="5180" w:val="left"/>
        </w:tabs>
        <w:rPr>
          <w:sz w:val="20"/>
          <w:szCs w:val="20"/>
          <w:color w:val="auto"/>
        </w:rPr>
      </w:pPr>
      <w:r>
        <w:rPr>
          <w:rFonts w:ascii="Times New Roman" w:cs="Times New Roman" w:eastAsia="Times New Roman" w:hAnsi="Times New Roman"/>
          <w:sz w:val="18"/>
          <w:szCs w:val="18"/>
          <w:color w:val="auto"/>
        </w:rPr>
        <w:t>By:</w:t>
        <w:tab/>
        <w:t>/s/ Mallory Morales</w:t>
      </w:r>
    </w:p>
    <w:p>
      <w:pPr>
        <w:spacing w:after="0" w:line="50"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Name: Mallory Morales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-119380</wp:posOffset>
            </wp:positionV>
            <wp:extent cx="239141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ind w:left="4700"/>
        <w:spacing w:after="0" w:line="194" w:lineRule="auto"/>
        <w:rPr>
          <w:sz w:val="20"/>
          <w:szCs w:val="20"/>
          <w:color w:val="auto"/>
        </w:rPr>
      </w:pPr>
      <w:r>
        <w:rPr>
          <w:rFonts w:ascii="Times New Roman" w:cs="Times New Roman" w:eastAsia="Times New Roman" w:hAnsi="Times New Roman"/>
          <w:sz w:val="35"/>
          <w:szCs w:val="35"/>
          <w:color w:val="auto"/>
          <w:vertAlign w:val="superscript"/>
        </w:rPr>
        <w:t>Title:</w:t>
      </w:r>
      <w:r>
        <w:rPr>
          <w:rFonts w:ascii="Times New Roman" w:cs="Times New Roman" w:eastAsia="Times New Roman" w:hAnsi="Times New Roman"/>
          <w:sz w:val="18"/>
          <w:szCs w:val="18"/>
          <w:color w:val="auto"/>
        </w:rPr>
        <w:t xml:space="preserve"> Vice President of Finance and Treasurer</w:t>
      </w:r>
    </w:p>
    <w:p>
      <w:pPr>
        <w:spacing w:after="0" w:line="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(Principal Financial Officer and Principal</w:t>
      </w:r>
    </w:p>
    <w:p>
      <w:pPr>
        <w:spacing w:after="0" w:line="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520065</wp:posOffset>
            </wp:positionV>
            <wp:extent cx="565785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03" w:name="page104"/>
    <w:bookmarkEnd w:id="10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04" w:lineRule="exact"/>
        <w:rPr>
          <w:sz w:val="20"/>
          <w:szCs w:val="20"/>
          <w:color w:val="auto"/>
        </w:rPr>
      </w:pPr>
    </w:p>
    <w:p>
      <w:pPr>
        <w:jc w:val="center"/>
        <w:ind w:left="40" w:right="59"/>
        <w:spacing w:after="0" w:line="393"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67" w:lineRule="exact"/>
        <w:rPr>
          <w:sz w:val="20"/>
          <w:szCs w:val="20"/>
          <w:color w:val="auto"/>
        </w:rPr>
      </w:pPr>
    </w:p>
    <w:p>
      <w:pPr>
        <w:ind w:left="40" w:right="11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Immuneering Corporation (the “Company”) for the quarterly period ended September 30, 2022 as filed with the Securities and Exchange Commission on the date hereof (the “Report”), I, the undersigned, certify, pursuant to 18 U.S.C. Section 1350, as adopted pursuant to Section 906 of the Sarbanes-Oxley Act of 2002, to the best of my knowledge, that:</w:t>
      </w:r>
    </w:p>
    <w:p>
      <w:pPr>
        <w:spacing w:after="0" w:line="58" w:lineRule="exact"/>
        <w:rPr>
          <w:sz w:val="20"/>
          <w:szCs w:val="20"/>
          <w:color w:val="auto"/>
        </w:rPr>
      </w:pPr>
    </w:p>
    <w:p>
      <w:pPr>
        <w:ind w:left="1340" w:right="539" w:hanging="648"/>
        <w:spacing w:after="0" w:line="282" w:lineRule="auto"/>
        <w:tabs>
          <w:tab w:leader="none" w:pos="1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53" w:lineRule="exact"/>
        <w:rPr>
          <w:rFonts w:ascii="Times New Roman" w:cs="Times New Roman" w:eastAsia="Times New Roman" w:hAnsi="Times New Roman"/>
          <w:sz w:val="18"/>
          <w:szCs w:val="18"/>
          <w:color w:val="auto"/>
        </w:rPr>
      </w:pPr>
    </w:p>
    <w:p>
      <w:pPr>
        <w:ind w:left="1340" w:right="279" w:hanging="648"/>
        <w:spacing w:after="0" w:line="282" w:lineRule="auto"/>
        <w:tabs>
          <w:tab w:leader="none" w:pos="1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November 10, 2022</w:t>
      </w:r>
    </w:p>
    <w:p>
      <w:pPr>
        <w:spacing w:after="0" w:line="200" w:lineRule="exact"/>
        <w:rPr>
          <w:sz w:val="20"/>
          <w:szCs w:val="20"/>
          <w:color w:val="auto"/>
        </w:rPr>
      </w:pPr>
    </w:p>
    <w:p>
      <w:pPr>
        <w:spacing w:after="0" w:line="349" w:lineRule="exact"/>
        <w:rPr>
          <w:sz w:val="20"/>
          <w:szCs w:val="20"/>
          <w:color w:val="auto"/>
        </w:rPr>
      </w:pPr>
    </w:p>
    <w:p>
      <w:pPr>
        <w:ind w:left="450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Benjamin J. Zeskind</w:t>
      </w:r>
    </w:p>
    <w:p>
      <w:pPr>
        <w:spacing w:after="0" w:line="5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Benjamin J. Zeskind,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-119380</wp:posOffset>
            </wp:positionV>
            <wp:extent cx="24688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0" w:lineRule="exact"/>
        <w:rPr>
          <w:sz w:val="20"/>
          <w:szCs w:val="20"/>
          <w:color w:val="auto"/>
        </w:rPr>
      </w:pPr>
    </w:p>
    <w:p>
      <w:pPr>
        <w:ind w:left="450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Co-Founder, President, Chief Executive Officer and</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Director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674370</wp:posOffset>
            </wp:positionV>
            <wp:extent cx="565785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44" w:right="1440" w:bottom="1440" w:gutter="0" w:footer="0" w:header="0"/>
        </w:sectPr>
      </w:pPr>
    </w:p>
    <w:bookmarkStart w:id="104" w:name="page105"/>
    <w:bookmarkEnd w:id="104"/>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04" w:lineRule="exact"/>
        <w:rPr>
          <w:sz w:val="20"/>
          <w:szCs w:val="20"/>
          <w:color w:val="auto"/>
        </w:rPr>
      </w:pPr>
    </w:p>
    <w:p>
      <w:pPr>
        <w:jc w:val="center"/>
        <w:ind w:left="40" w:right="59"/>
        <w:spacing w:after="0" w:line="393"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67" w:lineRule="exact"/>
        <w:rPr>
          <w:sz w:val="20"/>
          <w:szCs w:val="20"/>
          <w:color w:val="auto"/>
        </w:rPr>
      </w:pPr>
    </w:p>
    <w:p>
      <w:pPr>
        <w:ind w:left="40" w:right="7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Immuneering Corporation (the “Company”) for the quarterly period ended September 30, 2022, as filed with the Securities and Exchange Commission on the date hereof (the “Report”), I, the undersigned, certify, pursuant to 18 U.S.C. Section 1350, as adopted pursuant to Section 906 of the Sarbanes-Oxley Act of 2002, to the best of my knowledge, that:</w:t>
      </w:r>
    </w:p>
    <w:p>
      <w:pPr>
        <w:spacing w:after="0" w:line="58" w:lineRule="exact"/>
        <w:rPr>
          <w:sz w:val="20"/>
          <w:szCs w:val="20"/>
          <w:color w:val="auto"/>
        </w:rPr>
      </w:pPr>
    </w:p>
    <w:p>
      <w:pPr>
        <w:ind w:left="1340" w:right="539" w:hanging="648"/>
        <w:spacing w:after="0" w:line="282" w:lineRule="auto"/>
        <w:tabs>
          <w:tab w:leader="none" w:pos="1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53" w:lineRule="exact"/>
        <w:rPr>
          <w:rFonts w:ascii="Times New Roman" w:cs="Times New Roman" w:eastAsia="Times New Roman" w:hAnsi="Times New Roman"/>
          <w:sz w:val="18"/>
          <w:szCs w:val="18"/>
          <w:color w:val="auto"/>
        </w:rPr>
      </w:pPr>
    </w:p>
    <w:p>
      <w:pPr>
        <w:ind w:left="1340" w:right="279" w:hanging="648"/>
        <w:spacing w:after="0" w:line="282" w:lineRule="auto"/>
        <w:tabs>
          <w:tab w:leader="none" w:pos="1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November 10, 2022</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040" w:type="dxa"/>
            <w:vAlign w:val="bottom"/>
          </w:tcPr>
          <w:p>
            <w:pPr>
              <w:ind w:left="4460"/>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 Mallory Morales</w:t>
            </w:r>
          </w:p>
        </w:tc>
        <w:tc>
          <w:tcPr>
            <w:tcW w:w="0" w:type="dxa"/>
            <w:vAlign w:val="bottom"/>
          </w:tcPr>
          <w:p>
            <w:pPr>
              <w:spacing w:after="0"/>
              <w:rPr>
                <w:sz w:val="1"/>
                <w:szCs w:val="1"/>
                <w:color w:val="auto"/>
              </w:rPr>
            </w:pPr>
          </w:p>
        </w:tc>
      </w:tr>
      <w:tr>
        <w:trPr>
          <w:trHeight w:val="41"/>
        </w:trPr>
        <w:tc>
          <w:tcPr>
            <w:tcW w:w="5040" w:type="dxa"/>
            <w:vAlign w:val="bottom"/>
            <w:vMerge w:val="restart"/>
          </w:tcPr>
          <w:p>
            <w:pPr>
              <w:ind w:left="4460"/>
              <w:spacing w:after="0"/>
              <w:rPr>
                <w:sz w:val="20"/>
                <w:szCs w:val="20"/>
                <w:color w:val="auto"/>
              </w:rPr>
            </w:pPr>
            <w:r>
              <w:rPr>
                <w:rFonts w:ascii="Times New Roman" w:cs="Times New Roman" w:eastAsia="Times New Roman" w:hAnsi="Times New Roman"/>
                <w:sz w:val="18"/>
                <w:szCs w:val="18"/>
                <w:color w:val="auto"/>
              </w:rPr>
              <w:t>Name:</w:t>
            </w:r>
          </w:p>
        </w:tc>
        <w:tc>
          <w:tcPr>
            <w:tcW w:w="3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5040" w:type="dxa"/>
            <w:vAlign w:val="bottom"/>
            <w:vMerge w:val="continue"/>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Mallory Morales</w:t>
            </w:r>
          </w:p>
        </w:tc>
        <w:tc>
          <w:tcPr>
            <w:tcW w:w="0" w:type="dxa"/>
            <w:vAlign w:val="bottom"/>
          </w:tcPr>
          <w:p>
            <w:pPr>
              <w:spacing w:after="0"/>
              <w:rPr>
                <w:sz w:val="1"/>
                <w:szCs w:val="1"/>
                <w:color w:val="auto"/>
              </w:rPr>
            </w:pPr>
          </w:p>
        </w:tc>
      </w:tr>
      <w:tr>
        <w:trPr>
          <w:trHeight w:val="257"/>
        </w:trPr>
        <w:tc>
          <w:tcPr>
            <w:tcW w:w="5040" w:type="dxa"/>
            <w:vAlign w:val="bottom"/>
          </w:tcPr>
          <w:p>
            <w:pPr>
              <w:ind w:left="4460"/>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of Finance and Treasurer</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w:t>
            </w:r>
          </w:p>
        </w:tc>
        <w:tc>
          <w:tcPr>
            <w:tcW w:w="0" w:type="dxa"/>
            <w:vAlign w:val="bottom"/>
          </w:tcPr>
          <w:p>
            <w:pPr>
              <w:spacing w:after="0"/>
              <w:rPr>
                <w:sz w:val="1"/>
                <w:szCs w:val="1"/>
                <w:color w:val="auto"/>
              </w:rPr>
            </w:pPr>
          </w:p>
        </w:tc>
      </w:tr>
      <w:tr>
        <w:trPr>
          <w:trHeight w:val="234"/>
        </w:trPr>
        <w:tc>
          <w:tcPr>
            <w:tcW w:w="504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c>
          <w:tcPr>
            <w:tcW w:w="0" w:type="dxa"/>
            <w:vAlign w:val="bottom"/>
          </w:tcPr>
          <w:p>
            <w:pPr>
              <w:spacing w:after="0"/>
              <w:rPr>
                <w:sz w:val="1"/>
                <w:szCs w:val="1"/>
                <w:color w:val="auto"/>
              </w:rPr>
            </w:pPr>
          </w:p>
        </w:tc>
      </w:tr>
      <w:tr>
        <w:trPr>
          <w:trHeight w:val="817"/>
        </w:trPr>
        <w:tc>
          <w:tcPr>
            <w:tcW w:w="50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019"/>
      </w:cols>
      <w:pgMar w:left="1440" w:top="1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
      <w:numFmt w:val="bullet"/>
      <w:start w:val="1"/>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2"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10" Type="http://schemas.openxmlformats.org/officeDocument/2006/relationships/hyperlink" Target="https://www.sec.gov/Archives/edgar/data/1790340/000155837021012336/imrx-20210630xex3d1.htm" TargetMode="External"/><Relationship Id="rId111" Type="http://schemas.openxmlformats.org/officeDocument/2006/relationships/hyperlink" Target="https://www.sec.gov/Archives/edgar/data/1790340/000155837021012336/imrx-20210630xex3d2.htm" TargetMode="External"/><Relationship Id="rId113" Type="http://schemas.openxmlformats.org/officeDocument/2006/relationships/hyperlink" Target="https://www.sec.gov/Archives/edgar/data/1790340/000110465922088662/tm2222025d2_ex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2022-11-10T08:12:51Z</dcterms:created>
  <dcterms:modified xsi:type="dcterms:W3CDTF">2022-11-10T08:12:51Z</dcterms:modified>
</cp:coreProperties>
</file>