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410210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434975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24"/>
                <w:szCs w:val="24"/>
                <w:b w:val="1"/>
                <w:bCs w:val="1"/>
                <w:color w:val="auto"/>
                <w:w w:val="98"/>
              </w:rPr>
              <w:t>UNITED STATES</w:t>
            </w: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00" w:type="dxa"/>
            <w:vAlign w:val="bottom"/>
          </w:tcPr>
          <w:p>
            <w:pPr>
              <w:spacing w:after="0"/>
              <w:rPr>
                <w:sz w:val="24"/>
                <w:szCs w:val="24"/>
                <w:color w:val="auto"/>
              </w:rPr>
            </w:pPr>
          </w:p>
        </w:tc>
        <w:tc>
          <w:tcPr>
            <w:tcW w:w="10840" w:type="dxa"/>
            <w:vAlign w:val="bottom"/>
            <w:gridSpan w:val="7"/>
          </w:tcPr>
          <w:p>
            <w:pPr>
              <w:jc w:val="center"/>
              <w:ind w:right="323"/>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Washington, D.C. 20549</w:t>
            </w:r>
          </w:p>
        </w:tc>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80" w:type="dxa"/>
            <w:vAlign w:val="bottom"/>
            <w:gridSpan w:val="4"/>
          </w:tcPr>
          <w:p>
            <w:pPr>
              <w:jc w:val="center"/>
              <w:ind w:left="192"/>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tc>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1"/>
        </w:trPr>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jc w:val="center"/>
              <w:ind w:right="40"/>
              <w:spacing w:after="0"/>
              <w:rPr>
                <w:sz w:val="20"/>
                <w:szCs w:val="20"/>
                <w:color w:val="auto"/>
              </w:rPr>
            </w:pPr>
            <w:r>
              <w:rPr>
                <w:rFonts w:ascii="Times New Roman" w:cs="Times New Roman" w:eastAsia="Times New Roman" w:hAnsi="Times New Roman"/>
                <w:sz w:val="24"/>
                <w:szCs w:val="24"/>
                <w:b w:val="1"/>
                <w:bCs w:val="1"/>
                <w:color w:val="auto"/>
                <w:w w:val="99"/>
              </w:rPr>
              <w:t>FORM 10-Q</w:t>
            </w: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(Mark One)</w:t>
            </w:r>
          </w:p>
        </w:tc>
        <w:tc>
          <w:tcPr>
            <w:tcW w:w="4080" w:type="dxa"/>
            <w:vAlign w:val="bottom"/>
            <w:gridSpan w:val="4"/>
          </w:tcPr>
          <w:p>
            <w:pPr>
              <w:jc w:val="center"/>
              <w:ind w:left="192"/>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tc>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400" w:type="dxa"/>
            <w:vAlign w:val="bottom"/>
          </w:tcPr>
          <w:p>
            <w:pPr>
              <w:ind w:left="100"/>
              <w:spacing w:after="0"/>
              <w:rPr>
                <w:sz w:val="20"/>
                <w:szCs w:val="20"/>
                <w:color w:val="auto"/>
              </w:rPr>
            </w:pPr>
            <w:r>
              <w:rPr>
                <w:rFonts w:ascii="Wingdings" w:cs="Wingdings" w:eastAsia="Wingdings" w:hAnsi="Wingdings"/>
                <w:sz w:val="15"/>
                <w:szCs w:val="15"/>
                <w:b w:val="1"/>
                <w:bCs w:val="1"/>
                <w:color w:val="auto"/>
                <w:highlight w:val="black"/>
              </w:rPr>
              <w:t>x</w:t>
            </w:r>
          </w:p>
        </w:tc>
        <w:tc>
          <w:tcPr>
            <w:tcW w:w="10840" w:type="dxa"/>
            <w:vAlign w:val="bottom"/>
            <w:gridSpan w:val="7"/>
          </w:tcPr>
          <w:p>
            <w:pPr>
              <w:ind w:left="1460"/>
              <w:spacing w:after="0"/>
              <w:rPr>
                <w:sz w:val="20"/>
                <w:szCs w:val="20"/>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1"/>
        </w:trPr>
        <w:tc>
          <w:tcPr>
            <w:tcW w:w="4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For the quarterly period ended March 31, 2026</w:t>
            </w:r>
          </w:p>
        </w:tc>
        <w:tc>
          <w:tcPr>
            <w:tcW w:w="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or</w:t>
            </w:r>
          </w:p>
        </w:tc>
        <w:tc>
          <w:tcPr>
            <w:tcW w:w="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0" w:type="dxa"/>
            <w:vAlign w:val="bottom"/>
          </w:tcPr>
          <w:p>
            <w:pPr>
              <w:ind w:left="100"/>
              <w:spacing w:after="0"/>
              <w:rPr>
                <w:sz w:val="20"/>
                <w:szCs w:val="20"/>
                <w:color w:val="auto"/>
              </w:rPr>
            </w:pPr>
            <w:r>
              <w:rPr>
                <w:rFonts w:ascii="Wingdings" w:cs="Wingdings" w:eastAsia="Wingdings" w:hAnsi="Wingdings"/>
                <w:sz w:val="17"/>
                <w:szCs w:val="17"/>
                <w:b w:val="1"/>
                <w:bCs w:val="1"/>
                <w:color w:val="auto"/>
              </w:rPr>
              <w:t>o</w:t>
            </w:r>
          </w:p>
        </w:tc>
        <w:tc>
          <w:tcPr>
            <w:tcW w:w="10840" w:type="dxa"/>
            <w:vAlign w:val="bottom"/>
            <w:gridSpan w:val="7"/>
          </w:tcPr>
          <w:p>
            <w:pPr>
              <w:ind w:left="1460"/>
              <w:spacing w:after="0"/>
              <w:rPr>
                <w:sz w:val="20"/>
                <w:szCs w:val="20"/>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For the transition period from _____________ to</w:t>
            </w: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Commission File Number: 001-40675</w:t>
            </w:r>
          </w:p>
        </w:tc>
        <w:tc>
          <w:tcPr>
            <w:tcW w:w="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80" w:type="dxa"/>
            <w:vAlign w:val="bottom"/>
            <w:gridSpan w:val="4"/>
          </w:tcPr>
          <w:p>
            <w:pPr>
              <w:jc w:val="center"/>
              <w:ind w:left="192"/>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tc>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2"/>
        </w:trPr>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800" w:type="dxa"/>
            <w:vAlign w:val="bottom"/>
            <w:gridSpan w:val="6"/>
          </w:tcPr>
          <w:p>
            <w:pPr>
              <w:jc w:val="center"/>
              <w:ind w:right="3383"/>
              <w:spacing w:after="0"/>
              <w:rPr>
                <w:sz w:val="20"/>
                <w:szCs w:val="20"/>
                <w:color w:val="auto"/>
              </w:rPr>
            </w:pPr>
            <w:r>
              <w:rPr>
                <w:rFonts w:ascii="Times New Roman" w:cs="Times New Roman" w:eastAsia="Times New Roman" w:hAnsi="Times New Roman"/>
                <w:sz w:val="34"/>
                <w:szCs w:val="34"/>
                <w:b w:val="1"/>
                <w:bCs w:val="1"/>
                <w:color w:val="auto"/>
              </w:rPr>
              <w:t>Immuneering Corporation</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80" w:type="dxa"/>
            <w:vAlign w:val="bottom"/>
            <w:gridSpan w:val="4"/>
          </w:tcPr>
          <w:p>
            <w:pPr>
              <w:jc w:val="center"/>
              <w:ind w:left="192"/>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tc>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400" w:type="dxa"/>
            <w:vAlign w:val="bottom"/>
          </w:tcPr>
          <w:p>
            <w:pPr>
              <w:spacing w:after="0"/>
              <w:rPr>
                <w:sz w:val="24"/>
                <w:szCs w:val="24"/>
                <w:color w:val="auto"/>
              </w:rPr>
            </w:pPr>
          </w:p>
        </w:tc>
        <w:tc>
          <w:tcPr>
            <w:tcW w:w="3040" w:type="dxa"/>
            <w:vAlign w:val="bottom"/>
          </w:tcPr>
          <w:p>
            <w:pPr>
              <w:jc w:val="center"/>
              <w:ind w:left="1733"/>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gridSpan w:val="2"/>
          </w:tcPr>
          <w:p>
            <w:pPr>
              <w:jc w:val="right"/>
              <w:ind w:right="2463"/>
              <w:spacing w:after="0"/>
              <w:rPr>
                <w:sz w:val="20"/>
                <w:szCs w:val="20"/>
                <w:color w:val="auto"/>
              </w:rPr>
            </w:pPr>
            <w:r>
              <w:rPr>
                <w:rFonts w:ascii="Times New Roman" w:cs="Times New Roman" w:eastAsia="Times New Roman" w:hAnsi="Times New Roman"/>
                <w:sz w:val="12"/>
                <w:szCs w:val="12"/>
                <w:color w:val="auto"/>
              </w:rPr>
              <w:t>26-1976972</w:t>
            </w: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7120" w:type="dxa"/>
            <w:vAlign w:val="bottom"/>
            <w:gridSpan w:val="5"/>
          </w:tcPr>
          <w:p>
            <w:pPr>
              <w:jc w:val="center"/>
              <w:ind w:right="2300"/>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 or organization)</w:t>
            </w:r>
          </w:p>
        </w:tc>
        <w:tc>
          <w:tcPr>
            <w:tcW w:w="3720" w:type="dxa"/>
            <w:vAlign w:val="bottom"/>
            <w:gridSpan w:val="2"/>
          </w:tcPr>
          <w:p>
            <w:pPr>
              <w:jc w:val="center"/>
              <w:ind w:right="1823"/>
              <w:spacing w:after="0"/>
              <w:rPr>
                <w:sz w:val="20"/>
                <w:szCs w:val="20"/>
                <w:color w:val="auto"/>
              </w:rPr>
            </w:pPr>
            <w:r>
              <w:rPr>
                <w:rFonts w:ascii="Times New Roman" w:cs="Times New Roman" w:eastAsia="Times New Roman" w:hAnsi="Times New Roman"/>
                <w:sz w:val="10"/>
                <w:szCs w:val="10"/>
                <w:b w:val="1"/>
                <w:bCs w:val="1"/>
                <w:color w:val="auto"/>
              </w:rPr>
              <w:t>(I.R.S. Employer Identification Number)</w:t>
            </w:r>
          </w:p>
        </w:tc>
        <w:tc>
          <w:tcPr>
            <w:tcW w:w="0" w:type="dxa"/>
            <w:vAlign w:val="bottom"/>
          </w:tcPr>
          <w:p>
            <w:pPr>
              <w:spacing w:after="0"/>
              <w:rPr>
                <w:sz w:val="1"/>
                <w:szCs w:val="1"/>
                <w:color w:val="auto"/>
              </w:rPr>
            </w:pPr>
          </w:p>
        </w:tc>
      </w:tr>
      <w:tr>
        <w:trPr>
          <w:trHeight w:val="457"/>
        </w:trPr>
        <w:tc>
          <w:tcPr>
            <w:tcW w:w="400" w:type="dxa"/>
            <w:vAlign w:val="bottom"/>
          </w:tcPr>
          <w:p>
            <w:pPr>
              <w:spacing w:after="0"/>
              <w:rPr>
                <w:sz w:val="24"/>
                <w:szCs w:val="24"/>
                <w:color w:val="auto"/>
              </w:rPr>
            </w:pPr>
          </w:p>
        </w:tc>
        <w:tc>
          <w:tcPr>
            <w:tcW w:w="3040" w:type="dxa"/>
            <w:vAlign w:val="bottom"/>
          </w:tcPr>
          <w:p>
            <w:pPr>
              <w:jc w:val="center"/>
              <w:ind w:left="1713"/>
              <w:spacing w:after="0"/>
              <w:rPr>
                <w:sz w:val="20"/>
                <w:szCs w:val="20"/>
                <w:color w:val="auto"/>
              </w:rPr>
            </w:pPr>
            <w:r>
              <w:rPr>
                <w:rFonts w:ascii="Times New Roman" w:cs="Times New Roman" w:eastAsia="Times New Roman" w:hAnsi="Times New Roman"/>
                <w:sz w:val="12"/>
                <w:szCs w:val="12"/>
                <w:b w:val="1"/>
                <w:bCs w:val="1"/>
                <w:color w:val="auto"/>
              </w:rPr>
              <w:t>245 Main St.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040" w:type="dxa"/>
            <w:vAlign w:val="bottom"/>
          </w:tcPr>
          <w:p>
            <w:pPr>
              <w:jc w:val="center"/>
              <w:ind w:left="1733"/>
              <w:spacing w:after="0"/>
              <w:rPr>
                <w:sz w:val="20"/>
                <w:szCs w:val="20"/>
                <w:color w:val="auto"/>
              </w:rPr>
            </w:pPr>
            <w:r>
              <w:rPr>
                <w:rFonts w:ascii="Times New Roman" w:cs="Times New Roman" w:eastAsia="Times New Roman" w:hAnsi="Times New Roman"/>
                <w:sz w:val="12"/>
                <w:szCs w:val="12"/>
                <w:b w:val="1"/>
                <w:bCs w:val="1"/>
                <w:color w:val="auto"/>
              </w:rPr>
              <w:t>Second Floor</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040" w:type="dxa"/>
            <w:vAlign w:val="bottom"/>
          </w:tcPr>
          <w:p>
            <w:pPr>
              <w:jc w:val="center"/>
              <w:ind w:left="1733"/>
              <w:spacing w:after="0"/>
              <w:rPr>
                <w:sz w:val="20"/>
                <w:szCs w:val="20"/>
                <w:color w:val="auto"/>
              </w:rPr>
            </w:pPr>
            <w:r>
              <w:rPr>
                <w:rFonts w:ascii="Times New Roman" w:cs="Times New Roman" w:eastAsia="Times New Roman" w:hAnsi="Times New Roman"/>
                <w:sz w:val="12"/>
                <w:szCs w:val="12"/>
                <w:b w:val="1"/>
                <w:bCs w:val="1"/>
                <w:color w:val="auto"/>
                <w:w w:val="99"/>
              </w:rPr>
              <w:t>Cambridge, MA</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20" w:type="dxa"/>
            <w:vAlign w:val="bottom"/>
            <w:gridSpan w:val="2"/>
          </w:tcPr>
          <w:p>
            <w:pPr>
              <w:jc w:val="right"/>
              <w:ind w:right="2603"/>
              <w:spacing w:after="0"/>
              <w:rPr>
                <w:sz w:val="20"/>
                <w:szCs w:val="20"/>
                <w:color w:val="auto"/>
              </w:rPr>
            </w:pPr>
            <w:r>
              <w:rPr>
                <w:rFonts w:ascii="Times New Roman" w:cs="Times New Roman" w:eastAsia="Times New Roman" w:hAnsi="Times New Roman"/>
                <w:sz w:val="12"/>
                <w:szCs w:val="12"/>
                <w:b w:val="1"/>
                <w:bCs w:val="1"/>
                <w:color w:val="auto"/>
              </w:rPr>
              <w:t>02142</w:t>
            </w: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7120" w:type="dxa"/>
            <w:vAlign w:val="bottom"/>
            <w:gridSpan w:val="5"/>
          </w:tcPr>
          <w:p>
            <w:pPr>
              <w:jc w:val="center"/>
              <w:ind w:right="228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40" w:type="dxa"/>
            <w:vAlign w:val="bottom"/>
          </w:tcPr>
          <w:p>
            <w:pPr>
              <w:spacing w:after="0"/>
              <w:rPr>
                <w:sz w:val="15"/>
                <w:szCs w:val="15"/>
                <w:color w:val="auto"/>
              </w:rPr>
            </w:pPr>
          </w:p>
        </w:tc>
        <w:tc>
          <w:tcPr>
            <w:tcW w:w="3680" w:type="dxa"/>
            <w:vAlign w:val="bottom"/>
          </w:tcPr>
          <w:p>
            <w:pPr>
              <w:jc w:val="center"/>
              <w:ind w:right="1863"/>
              <w:spacing w:after="0"/>
              <w:rPr>
                <w:sz w:val="20"/>
                <w:szCs w:val="20"/>
                <w:color w:val="auto"/>
              </w:rPr>
            </w:pPr>
            <w:r>
              <w:rPr>
                <w:rFonts w:ascii="Times New Roman" w:cs="Times New Roman" w:eastAsia="Times New Roman" w:hAnsi="Times New Roman"/>
                <w:sz w:val="10"/>
                <w:szCs w:val="10"/>
                <w:b w:val="1"/>
                <w:bCs w:val="1"/>
                <w:color w:val="auto"/>
              </w:rPr>
              <w:t>(Zip Code)</w:t>
            </w:r>
          </w:p>
        </w:tc>
        <w:tc>
          <w:tcPr>
            <w:tcW w:w="0" w:type="dxa"/>
            <w:vAlign w:val="bottom"/>
          </w:tcPr>
          <w:p>
            <w:pPr>
              <w:spacing w:after="0"/>
              <w:rPr>
                <w:sz w:val="1"/>
                <w:szCs w:val="1"/>
                <w:color w:val="auto"/>
              </w:rPr>
            </w:pPr>
          </w:p>
        </w:tc>
      </w:tr>
      <w:tr>
        <w:trPr>
          <w:trHeight w:val="343"/>
        </w:trPr>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20" w:type="dxa"/>
            <w:vAlign w:val="bottom"/>
            <w:gridSpan w:val="3"/>
          </w:tcPr>
          <w:p>
            <w:pPr>
              <w:jc w:val="center"/>
              <w:ind w:left="252"/>
              <w:spacing w:after="0"/>
              <w:rPr>
                <w:sz w:val="20"/>
                <w:szCs w:val="20"/>
                <w:color w:val="auto"/>
              </w:rPr>
            </w:pPr>
            <w:r>
              <w:rPr>
                <w:rFonts w:ascii="Times New Roman" w:cs="Times New Roman" w:eastAsia="Times New Roman" w:hAnsi="Times New Roman"/>
                <w:sz w:val="12"/>
                <w:szCs w:val="12"/>
                <w:b w:val="1"/>
                <w:bCs w:val="1"/>
                <w:color w:val="auto"/>
              </w:rPr>
              <w:t>(617) 500-8080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N/A</w:t>
            </w:r>
          </w:p>
        </w:tc>
        <w:tc>
          <w:tcPr>
            <w:tcW w:w="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4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jc w:val="center"/>
              <w:ind w:right="40"/>
              <w:spacing w:after="0" w:line="114" w:lineRule="exact"/>
              <w:rPr>
                <w:sz w:val="20"/>
                <w:szCs w:val="20"/>
                <w:color w:val="auto"/>
              </w:rPr>
            </w:pPr>
            <w:r>
              <w:rPr>
                <w:rFonts w:ascii="Times New Roman" w:cs="Times New Roman" w:eastAsia="Times New Roman" w:hAnsi="Times New Roman"/>
                <w:sz w:val="10"/>
                <w:szCs w:val="10"/>
                <w:b w:val="1"/>
                <w:bCs w:val="1"/>
                <w:color w:val="auto"/>
              </w:rPr>
              <w:t>(Former name, former address and former fiscal year, if changed since last report)</w:t>
            </w:r>
          </w:p>
        </w:tc>
        <w:tc>
          <w:tcPr>
            <w:tcW w:w="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80" w:type="dxa"/>
            <w:vAlign w:val="bottom"/>
            <w:gridSpan w:val="4"/>
          </w:tcPr>
          <w:p>
            <w:pPr>
              <w:jc w:val="center"/>
              <w:ind w:left="192"/>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tc>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304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Exchange on which registered</w:t>
            </w:r>
          </w:p>
        </w:tc>
        <w:tc>
          <w:tcPr>
            <w:tcW w:w="0" w:type="dxa"/>
            <w:vAlign w:val="bottom"/>
          </w:tcPr>
          <w:p>
            <w:pPr>
              <w:spacing w:after="0"/>
              <w:rPr>
                <w:sz w:val="1"/>
                <w:szCs w:val="1"/>
                <w:color w:val="auto"/>
              </w:rPr>
            </w:pPr>
          </w:p>
        </w:tc>
      </w:tr>
      <w:tr>
        <w:trPr>
          <w:trHeight w:val="28"/>
        </w:trPr>
        <w:tc>
          <w:tcPr>
            <w:tcW w:w="4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304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Class A common Stock, par value $0.001 per share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IMRX</w:t>
            </w:r>
          </w:p>
        </w:tc>
        <w:tc>
          <w:tcPr>
            <w:tcW w:w="40" w:type="dxa"/>
            <w:vAlign w:val="bottom"/>
          </w:tcPr>
          <w:p>
            <w:pPr>
              <w:spacing w:after="0"/>
              <w:rPr>
                <w:sz w:val="13"/>
                <w:szCs w:val="13"/>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Global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200"/>
        <w:spacing w:after="0" w:line="298"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57" w:lineRule="exact"/>
        <w:rPr>
          <w:sz w:val="24"/>
          <w:szCs w:val="24"/>
          <w:color w:val="auto"/>
        </w:rPr>
      </w:pPr>
    </w:p>
    <w:p>
      <w:pPr>
        <w:ind w:right="20"/>
        <w:spacing w:after="0" w:line="276"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69" w:lineRule="exact"/>
        <w:rPr>
          <w:sz w:val="24"/>
          <w:szCs w:val="24"/>
          <w:color w:val="auto"/>
        </w:rPr>
      </w:pPr>
    </w:p>
    <w:p>
      <w:pPr>
        <w:ind w:right="340"/>
        <w:spacing w:after="0" w:line="27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6" w:right="339" w:bottom="1440" w:gutter="0" w:footer="0" w:header="0"/>
        </w:sectPr>
      </w:pPr>
    </w:p>
    <w:p>
      <w:pPr>
        <w:spacing w:after="0" w:line="13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111" w:lineRule="exact"/>
        <w:rPr>
          <w:sz w:val="24"/>
          <w:szCs w:val="24"/>
          <w:color w:val="auto"/>
        </w:rPr>
      </w:pPr>
    </w:p>
    <w:p>
      <w:pPr>
        <w:sectPr>
          <w:pgSz w:w="11900" w:h="16838" w:orient="portrait"/>
          <w:cols w:equalWidth="0" w:num="4">
            <w:col w:w="1940" w:space="720"/>
            <w:col w:w="380" w:space="720"/>
            <w:col w:w="1920" w:space="720"/>
            <w:col w:w="4840"/>
          </w:cols>
          <w:pgMar w:left="320" w:top="226"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1"/>
          <w:szCs w:val="11"/>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1"/>
          <w:szCs w:val="11"/>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1"/>
          <w:szCs w:val="11"/>
          <w:b w:val="1"/>
          <w:bCs w:val="1"/>
          <w:color w:val="auto"/>
        </w:rPr>
        <w:t>x</w:t>
      </w:r>
    </w:p>
    <w:p>
      <w:pPr>
        <w:spacing w:after="0" w:line="204" w:lineRule="exact"/>
        <w:rPr>
          <w:sz w:val="24"/>
          <w:szCs w:val="24"/>
          <w:color w:val="auto"/>
        </w:rPr>
      </w:pPr>
    </w:p>
    <w:p>
      <w:pPr>
        <w:sectPr>
          <w:pgSz w:w="11900" w:h="16838" w:orient="portrait"/>
          <w:cols w:equalWidth="0" w:num="6">
            <w:col w:w="1940" w:space="720"/>
            <w:col w:w="380" w:space="720"/>
            <w:col w:w="1920" w:space="720"/>
            <w:col w:w="400" w:space="720"/>
            <w:col w:w="1920" w:space="720"/>
            <w:col w:w="1080"/>
          </w:cols>
          <w:pgMar w:left="320" w:top="226" w:right="339" w:bottom="1440" w:gutter="0" w:footer="0" w:header="0"/>
          <w:type w:val="continuous"/>
        </w:sectPr>
      </w:pPr>
    </w:p>
    <w:p>
      <w:pPr>
        <w:spacing w:after="0" w:line="10"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May 11, 2026 the registrant had 64,697,402 shares of Class A common stock, $0.001 par value per share, issued and outstanding and 0 shares of Class B common stock, $0.001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679450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600" w:type="dxa"/>
            <w:vAlign w:val="bottom"/>
            <w:gridSpan w:val="4"/>
            <w:vMerge w:val="restart"/>
          </w:tcPr>
          <w:p>
            <w:pPr>
              <w:spacing w:after="0"/>
              <w:rPr>
                <w:sz w:val="3"/>
                <w:szCs w:val="3"/>
                <w:color w:val="auto"/>
              </w:rPr>
            </w:pPr>
          </w:p>
        </w:tc>
        <w:tc>
          <w:tcPr>
            <w:tcW w:w="1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Financial Information</w:t>
            </w:r>
          </w:p>
        </w:tc>
        <w:tc>
          <w:tcPr>
            <w:tcW w:w="7580" w:type="dxa"/>
            <w:vAlign w:val="bottom"/>
            <w:gridSpan w:val="12"/>
            <w:vMerge w:val="restart"/>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tcBorders>
              <w:bottom w:val="single" w:sz="8" w:color="0000FF"/>
            </w:tcBorders>
            <w:vMerge w:val="continue"/>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1640" w:type="dxa"/>
            <w:vAlign w:val="bottom"/>
            <w:tcBorders>
              <w:bottom w:val="single" w:sz="8" w:color="0000FF"/>
            </w:tcBorders>
            <w:gridSpan w:val="5"/>
            <w:vMerge w:val="continue"/>
          </w:tcPr>
          <w:p>
            <w:pPr>
              <w:spacing w:after="0"/>
              <w:rPr>
                <w:sz w:val="15"/>
                <w:szCs w:val="15"/>
                <w:color w:val="auto"/>
              </w:rPr>
            </w:pPr>
          </w:p>
        </w:tc>
        <w:tc>
          <w:tcPr>
            <w:tcW w:w="7580" w:type="dxa"/>
            <w:vAlign w:val="bottom"/>
            <w:gridSpan w:val="12"/>
            <w:vMerge w:val="continue"/>
          </w:tcPr>
          <w:p>
            <w:pPr>
              <w:spacing w:after="0"/>
              <w:rPr>
                <w:sz w:val="15"/>
                <w:szCs w:val="15"/>
                <w:color w:val="auto"/>
              </w:rPr>
            </w:pPr>
          </w:p>
        </w:tc>
        <w:tc>
          <w:tcPr>
            <w:tcW w:w="92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w:t>
            </w: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March 31, 2026 and December 31, 2025</w:t>
            </w:r>
          </w:p>
        </w:tc>
        <w:tc>
          <w:tcPr>
            <w:tcW w:w="32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 for the three months ended March 31, 2026 and 2025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months ended March 31, 2026 and 2025</w:t>
            </w:r>
          </w:p>
        </w:tc>
        <w:tc>
          <w:tcPr>
            <w:tcW w:w="132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2026 and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198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2.</w:t>
            </w: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3.</w:t>
            </w: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4.</w:t>
            </w: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580" w:type="dxa"/>
            <w:vAlign w:val="bottom"/>
            <w:gridSpan w:val="3"/>
          </w:tcPr>
          <w:p>
            <w:pPr>
              <w:spacing w:after="0"/>
              <w:rPr>
                <w:sz w:val="24"/>
                <w:szCs w:val="24"/>
                <w:color w:val="auto"/>
              </w:rPr>
            </w:pPr>
          </w:p>
        </w:tc>
        <w:tc>
          <w:tcPr>
            <w:tcW w:w="13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84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460" w:type="dxa"/>
            <w:vAlign w:val="bottom"/>
            <w:gridSpan w:val="2"/>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460" w:type="dxa"/>
            <w:vAlign w:val="bottom"/>
            <w:gridSpan w:val="2"/>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3.</w:t>
            </w: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4.</w:t>
            </w: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5.</w:t>
            </w: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96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6.</w:t>
            </w:r>
          </w:p>
        </w:tc>
        <w:tc>
          <w:tcPr>
            <w:tcW w:w="92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896"/>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11"/>
          </w:tcPr>
          <w:p>
            <w:pPr>
              <w:ind w:left="4480"/>
              <w:spacing w:after="0"/>
              <w:rPr>
                <w:sz w:val="20"/>
                <w:szCs w:val="20"/>
                <w:color w:val="auto"/>
              </w:rPr>
            </w:pPr>
            <w:r>
              <w:rPr>
                <w:rFonts w:ascii="Times New Roman" w:cs="Times New Roman" w:eastAsia="Times New Roman" w:hAnsi="Times New Roman"/>
                <w:sz w:val="17"/>
                <w:szCs w:val="17"/>
                <w:color w:val="auto"/>
              </w:rPr>
              <w:t>2</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including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(including whether as potential monotherapies or in combination with other therapeutic agents), the design, timing, disclosure of data, or outcome of our ongoing or planned preclinical studies or clinical trials involving atebimetinib (also referred to as IMM-1-104), any of our other pipeline product candidates and any future product candidates, the clinical utility of our product candidates when administered alone or in combination with other therapeutic agents, the filing with, and approval by, regulatory authorities of our product candidates, the sufficiency of funds to operate the business of the Company and related expected cash runway, and our plans regarding raising additional capital, are forward-looking statements.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spacing w:after="0" w:line="135" w:lineRule="exact"/>
        <w:rPr>
          <w:sz w:val="20"/>
          <w:szCs w:val="20"/>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w:t>
      </w:r>
    </w:p>
    <w:p>
      <w:pPr>
        <w:spacing w:after="0" w:line="191"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history of operating losses;</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the substantial additional capital that will be required to finance our operations;</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difficulty of obtaining regulatory approval for any of our current or future product candidates;</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experience in designing and conducting clinical trials;</w:t>
      </w:r>
    </w:p>
    <w:p>
      <w:pPr>
        <w:spacing w:after="0" w:line="191"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the initiation, progress and potential results of our ongoing and planned clinical trials and our research programs, including our ongoing Phase 1/2a clinical trial of atebimetinib and planned registrational trial of atebimetinib in combination with modified gemcitabine/nab-paclitaxel in first-line pancreatic cancer;</w:t>
      </w:r>
    </w:p>
    <w:p>
      <w:pPr>
        <w:spacing w:after="0" w:line="126"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complete our clinical trials, including our ongoing Phase 1/2a clinical trial of atebimetinib and planned registrational trial of atebimetinib in combination with modified gemcitabine/nab-paclitaxel in first-line pancreatic cancer;</w:t>
      </w:r>
    </w:p>
    <w:p>
      <w:pPr>
        <w:spacing w:after="0" w:line="112"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substantial delays in completing, if at all, the development and commercialization of our current or future product candidates;</w:t>
      </w:r>
    </w:p>
    <w:p>
      <w:pPr>
        <w:spacing w:after="0" w:line="191"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adverse events, toxicities or other undesirable side effects caused by our current or future product candidates;</w:t>
      </w:r>
    </w:p>
    <w:p>
      <w:pPr>
        <w:spacing w:after="0" w:line="178"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delays or difficulties in the enrollment and/or maintenance of patients in clinical trials, including in our planned registrational trial of atebimetinib in combination with modified gemcitabine/nab-paclitaxel in first-line pancreatic cancer;</w:t>
      </w:r>
    </w:p>
    <w:p>
      <w:pPr>
        <w:spacing w:after="0" w:line="11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submit an Investigational New Drug application (“IND”), or IND amendments or comparable documents in foreign jurisdictions in order to commence clinical trials on the timelines we expect;</w:t>
      </w:r>
    </w:p>
    <w:p>
      <w:pPr>
        <w:spacing w:after="0" w:line="125"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reliance on the successful development of our current and future product candidates, as well as our platform, including our proprietary technologies;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competition in our industry;</w:t>
      </w:r>
    </w:p>
    <w:p>
      <w:pPr>
        <w:spacing w:after="0" w:line="191"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opportunity for our product candidates, if approved;</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manufacturing;</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reliance on third parties;</w:t>
      </w:r>
    </w:p>
    <w:p>
      <w:pPr>
        <w:spacing w:after="0" w:line="191"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intellectual property;</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ongoing and future pandemics, or other widespread adverse health events; and</w:t>
      </w:r>
    </w:p>
    <w:p>
      <w:pPr>
        <w:spacing w:after="0" w:line="178"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important risk factors that could affect the outcome of the events set forth in these statements and that could affect our operating results and financial condition described in Part II, Item 1A. “Risk Factors” of this Quarterly Report on Form 10-Q.</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subject to numerous risks and uncertainties, including those further described below in Part II, Item 1A. “Risk Factors” in this Quarterly Report on Form 10-Q,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33" w:lineRule="exact"/>
        <w:rPr>
          <w:sz w:val="20"/>
          <w:szCs w:val="20"/>
          <w:color w:val="auto"/>
        </w:rPr>
      </w:pPr>
    </w:p>
    <w:p>
      <w:pPr>
        <w:jc w:val="both"/>
        <w:ind w:left="700" w:hanging="310"/>
        <w:spacing w:after="0" w:line="270"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late-stage clinical oncology company with a limited operating history in developing pharmaceutical products, have not completed any registrational clinical trials and have no products approved for commercial sale, which may make it difficult for you to evaluate our current business and predict our future success and viability.</w:t>
      </w:r>
    </w:p>
    <w:p>
      <w:pPr>
        <w:spacing w:after="0" w:line="126"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net losses for the past several years and we expect to continue to incur significant net losses for the foreseeable future and may never obtain profitability.</w:t>
      </w:r>
    </w:p>
    <w:p>
      <w:pPr>
        <w:spacing w:after="0" w:line="125"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12"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approval processes of the U.S. Food and Drug Administration ("FDA"), European Medicines Agency ("EMA")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3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substantial delays in completing, or ultimately be unable to complete, the development and commercialization of our product candidates.</w:t>
      </w:r>
    </w:p>
    <w:p>
      <w:pPr>
        <w:spacing w:after="0" w:line="125"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preclinical studies and earlier clinical trials may not be predictive of the success of later clinical trials, and the results of our clinical trials may not satisfy the requirements of the FDA or other comparable foreign regulatory authorities.</w:t>
      </w:r>
    </w:p>
    <w:p>
      <w:pPr>
        <w:spacing w:after="0" w:line="112"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26"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substantially dependent on the successful development of our current and future product candidates. If we are unable to advance our current or future product candidates through clinical trials, obtain marketing approval to treat the indications that we seek to treat with our product candidates, and ultimately commercialize any product candidates we develop, or experience significant delays in doing so, our business will be materially harmed.</w:t>
      </w:r>
    </w:p>
    <w:p>
      <w:pPr>
        <w:spacing w:after="0" w:line="145"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substantially dependent on our platform, including our proprietary technologies, which are supported by our information technology systems. Any failure of these or other elements of our platform will materially harm our business.</w:t>
      </w:r>
    </w:p>
    <w:p>
      <w:pPr>
        <w:spacing w:after="0" w:line="11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long-term prospects depend in part upon discovering, developing and commercializing product candidates, which may fail in development or suffer delays that adversely affect their commercial viability.</w:t>
      </w:r>
    </w:p>
    <w:p>
      <w:pPr>
        <w:spacing w:after="0" w:line="11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approach to the discovery and development of product candidates is unproven, and we may not be successful in our efforts to use and expand our platform and capabilities to build a pipeline of product candidates with commercial value.</w:t>
      </w:r>
    </w:p>
    <w:p>
      <w:pPr>
        <w:spacing w:after="0" w:line="125"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never commercialized a product candidate before and may lack the necessary expertise, personnel and resources to successfully commercialize any products on our own or together with suitable collaborators.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 w:hanging="310"/>
        <w:spacing w:after="0" w:line="287"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25"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substantially rely, and expect to continue to rely, on third parties, including independent clinical investigators and contract research organizations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32"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third parties, including contract manufacturing organizations ("CMOs") and consultants,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be able to acquire such quantities at an acceptable cost, which could delay, prevent or impair our development or commercialization efforts.</w:t>
      </w:r>
    </w:p>
    <w:p>
      <w:pPr>
        <w:spacing w:after="0" w:line="132"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39"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patent and/or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develop and commercialize our product candidates, products (if any) and technology may be impaired, and we may not be able to compete effectively in our market.</w:t>
      </w:r>
    </w:p>
    <w:p>
      <w:pPr>
        <w:spacing w:after="0" w:line="13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joint ventures or other transactions involving third parties could disrupt our business, cause dilution to our stockholders and otherwise harm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4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5"/>
        </w:trPr>
        <w:tc>
          <w:tcPr>
            <w:tcW w:w="78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9"/>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47,321,566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128,645,025</w:t>
            </w: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109,372,057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44,186,244</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9"/>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4,715,535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3,414,685</w:t>
            </w:r>
          </w:p>
        </w:tc>
      </w:tr>
      <w:tr>
        <w:trPr>
          <w:trHeight w:val="177"/>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161,409,158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176,245,954</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8"/>
        </w:trPr>
        <w:tc>
          <w:tcPr>
            <w:tcW w:w="78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41,950,745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44,183,186</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937,008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938,481</w:t>
            </w: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6,690,431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6,690,431</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 net</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313,830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321,147</w:t>
            </w: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3,230,489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3,322,249</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283,562</w:t>
            </w:r>
          </w:p>
        </w:tc>
      </w:tr>
      <w:tr>
        <w:trPr>
          <w:trHeight w:val="207"/>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214,809,790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231,985,010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7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1,453,158</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1,542,737</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9"/>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3,064,066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7,842,367</w:t>
            </w: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291,513</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9"/>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397,104</w:t>
            </w:r>
          </w:p>
        </w:tc>
      </w:tr>
      <w:tr>
        <w:trPr>
          <w:trHeight w:val="177"/>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4,974,250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10,073,721</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8"/>
        </w:trPr>
        <w:tc>
          <w:tcPr>
            <w:tcW w:w="78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9"/>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 net of current portion</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3,317,369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3,427,321</w:t>
            </w:r>
          </w:p>
        </w:tc>
      </w:tr>
      <w:tr>
        <w:trPr>
          <w:trHeight w:val="177"/>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8,291,619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13,501,042</w:t>
            </w:r>
          </w:p>
        </w:tc>
      </w:tr>
      <w:tr>
        <w:trPr>
          <w:trHeight w:val="35"/>
        </w:trPr>
        <w:tc>
          <w:tcPr>
            <w:tcW w:w="7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7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7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8"/>
              </w:rPr>
              <w:t>Preferred stock, $0.001 par value; 10,000,000 shares authorized at March 31, 2026 and December 31, 2025; 0 shares issued or outstanding at</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2026 and December 31, 2025</w:t>
            </w:r>
          </w:p>
        </w:tc>
        <w:tc>
          <w:tcPr>
            <w:tcW w:w="2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$0.001 par value, 200,000,000 shares authorized at March 31, 2026 and December 31, 2025; 64,688,915 and</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8"/>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64,648,230 shares issued and outstanding at March 31, 2026 and December 31, 2025, respectively</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64,648</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7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$0.001 par value, 20,000,000 shares authorized at March 31, 2026 and December 31, 2025; 0 shares issued and</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2026 and December 31, 2025</w:t>
            </w:r>
          </w:p>
        </w:tc>
        <w:tc>
          <w:tcPr>
            <w:tcW w:w="2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500,475,466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498,658,072</w:t>
            </w:r>
          </w:p>
        </w:tc>
      </w:tr>
      <w:tr>
        <w:trPr>
          <w:trHeight w:val="3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(241,005)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81,332</w:t>
            </w:r>
          </w:p>
        </w:tc>
      </w:t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(293,780,979)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(280,320,084)</w:t>
            </w:r>
          </w:p>
        </w:tc>
      </w:tr>
      <w:tr>
        <w:trPr>
          <w:trHeight w:val="35"/>
        </w:trPr>
        <w:tc>
          <w:tcPr>
            <w:tcW w:w="7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2"/>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206,518,171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218,483,968</w:t>
            </w:r>
          </w:p>
        </w:tc>
      </w:tr>
      <w:tr>
        <w:trPr>
          <w:trHeight w:val="207"/>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214,809,790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231,985,010</w:t>
            </w:r>
          </w:p>
        </w:tc>
      </w:tr>
      <w:tr>
        <w:trPr>
          <w:trHeight w:val="23"/>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5"/>
        </w:trPr>
        <w:tc>
          <w:tcPr>
            <w:tcW w:w="79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7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79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8"/>
        </w:trPr>
        <w:tc>
          <w:tcPr>
            <w:tcW w:w="7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2"/>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10,645,222</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11,471,693</w:t>
            </w:r>
          </w:p>
        </w:tc>
      </w:tr>
      <w:tr>
        <w:trPr>
          <w:trHeight w:val="25"/>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4,682,495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4,005,642</w:t>
            </w:r>
          </w:p>
        </w:tc>
      </w:tr>
      <w:tr>
        <w:trPr>
          <w:trHeight w:val="232"/>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intangible asset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7,317</w:t>
            </w:r>
          </w:p>
        </w:tc>
      </w:tr>
      <w:tr>
        <w:trPr>
          <w:trHeight w:val="25"/>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1"/>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15,335,034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15,484,652</w:t>
            </w:r>
          </w:p>
        </w:tc>
      </w:tr>
      <w:tr>
        <w:trPr>
          <w:trHeight w:val="225"/>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(15,335,034)</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(15,484,652)</w:t>
            </w:r>
          </w:p>
        </w:tc>
      </w:tr>
      <w:tr>
        <w:trPr>
          <w:trHeight w:val="25"/>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7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1,360,404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438,520</w:t>
            </w:r>
          </w:p>
        </w:tc>
      </w:tr>
      <w:tr>
        <w:trPr>
          <w:trHeight w:val="232"/>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513,735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(13,460,895)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(15,046,132)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8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64,658,809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35,529,652</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7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Unrealized loss from marketable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(322,337)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(13,783,232)</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(15,046,132)</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6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0" w:type="dxa"/>
            <w:vAlign w:val="bottom"/>
            <w:gridSpan w:val="2"/>
            <w:vMerge w:val="restart"/>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020" w:type="dxa"/>
            <w:vAlign w:val="bottom"/>
            <w:vMerge w:val="restart"/>
          </w:tcPr>
          <w:p>
            <w:pPr>
              <w:jc w:val="center"/>
              <w:ind w:right="72"/>
              <w:spacing w:after="0" w:line="12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46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64,648,230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64,648</w:t>
            </w: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498,658,072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81,332</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(280,320,084)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218,483,968</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5"/>
                <w:szCs w:val="15"/>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10,435</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through employee stock purchase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170,289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170,325</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1,636,675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1,636,675</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(13,460,895)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(13,460,895)</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(322,337)</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(322,337)</w:t>
            </w:r>
          </w:p>
        </w:tc>
        <w:tc>
          <w:tcPr>
            <w:tcW w:w="0" w:type="dxa"/>
            <w:vAlign w:val="bottom"/>
          </w:tcPr>
          <w:p>
            <w:pPr>
              <w:spacing w:after="0"/>
              <w:rPr>
                <w:sz w:val="1"/>
                <w:szCs w:val="1"/>
                <w:color w:val="auto"/>
              </w:rPr>
            </w:pPr>
          </w:p>
        </w:tc>
      </w:tr>
      <w:tr>
        <w:trPr>
          <w:trHeight w:val="22"/>
        </w:trPr>
        <w:tc>
          <w:tcPr>
            <w:tcW w:w="3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64,688,915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64,689</w:t>
            </w:r>
          </w:p>
        </w:tc>
        <w:tc>
          <w:tcPr>
            <w:tcW w:w="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500,475,466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(241,005)</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(293,780,979)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206,518,171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60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8"/>
        </w:trPr>
        <w:tc>
          <w:tcPr>
            <w:tcW w:w="348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80" w:type="dxa"/>
            <w:vAlign w:val="bottom"/>
            <w:gridSpan w:val="2"/>
            <w:vMerge w:val="restart"/>
          </w:tcPr>
          <w:p>
            <w:pPr>
              <w:jc w:val="center"/>
              <w:ind w:right="80"/>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020" w:type="dxa"/>
            <w:vAlign w:val="bottom"/>
            <w:vMerge w:val="restart"/>
          </w:tcPr>
          <w:p>
            <w:pPr>
              <w:jc w:val="center"/>
              <w:ind w:right="72"/>
              <w:spacing w:after="0" w:line="12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48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40" w:type="dxa"/>
            <w:vAlign w:val="bottom"/>
          </w:tcPr>
          <w:p>
            <w:pPr>
              <w:spacing w:after="0"/>
              <w:rPr>
                <w:sz w:val="15"/>
                <w:szCs w:val="15"/>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31,050,448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31,050</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265,650,362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(224,295,186)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41,386,226</w:t>
            </w:r>
          </w:p>
        </w:tc>
        <w:tc>
          <w:tcPr>
            <w:tcW w:w="0" w:type="dxa"/>
            <w:vAlign w:val="bottom"/>
          </w:tcPr>
          <w:p>
            <w:pPr>
              <w:spacing w:after="0"/>
              <w:rPr>
                <w:sz w:val="1"/>
                <w:szCs w:val="1"/>
                <w:color w:val="auto"/>
              </w:rPr>
            </w:pPr>
          </w:p>
        </w:tc>
      </w:tr>
      <w:tr>
        <w:trPr>
          <w:trHeight w:val="16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Issuance of common stock under at-the-market offering, net of</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4,836,804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w:t>
            </w:r>
          </w:p>
        </w:tc>
        <w:tc>
          <w:tcPr>
            <w:tcW w:w="60" w:type="dxa"/>
            <w:vAlign w:val="bottom"/>
          </w:tcPr>
          <w:p>
            <w:pPr>
              <w:spacing w:after="0"/>
              <w:rPr>
                <w:sz w:val="15"/>
                <w:szCs w:val="15"/>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13,671,830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13,676,667</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employee stock purchase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98,450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133,794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133,892</w:t>
            </w:r>
          </w:p>
        </w:tc>
        <w:tc>
          <w:tcPr>
            <w:tcW w:w="0" w:type="dxa"/>
            <w:vAlign w:val="bottom"/>
          </w:tcPr>
          <w:p>
            <w:pPr>
              <w:spacing w:after="0"/>
              <w:rPr>
                <w:sz w:val="1"/>
                <w:szCs w:val="1"/>
                <w:color w:val="auto"/>
              </w:rPr>
            </w:pPr>
          </w:p>
        </w:tc>
      </w:tr>
      <w:tr>
        <w:trPr>
          <w:trHeight w:val="184"/>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1,692,267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1,692,267</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(15,046,132)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(15,046,132)</w:t>
            </w:r>
          </w:p>
        </w:tc>
        <w:tc>
          <w:tcPr>
            <w:tcW w:w="0" w:type="dxa"/>
            <w:vAlign w:val="bottom"/>
          </w:tcPr>
          <w:p>
            <w:pPr>
              <w:spacing w:after="0"/>
              <w:rPr>
                <w:sz w:val="1"/>
                <w:szCs w:val="1"/>
                <w:color w:val="auto"/>
              </w:rPr>
            </w:pPr>
          </w:p>
        </w:tc>
      </w:tr>
      <w:tr>
        <w:trPr>
          <w:trHeight w:val="17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35,985,702</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35,985</w:t>
            </w:r>
          </w:p>
        </w:tc>
        <w:tc>
          <w:tcPr>
            <w:tcW w:w="60" w:type="dxa"/>
            <w:vAlign w:val="bottom"/>
          </w:tcPr>
          <w:p>
            <w:pPr>
              <w:spacing w:after="0"/>
              <w:rPr>
                <w:sz w:val="15"/>
                <w:szCs w:val="15"/>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5"/>
                <w:szCs w:val="15"/>
                <w:color w:val="auto"/>
              </w:rPr>
            </w:pPr>
          </w:p>
        </w:tc>
        <w:tc>
          <w:tcPr>
            <w:tcW w:w="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281,148,253</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(239,341,318)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41,842,920</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2026 and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4"/>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45"/>
        </w:trPr>
        <w:tc>
          <w:tcPr>
            <w:tcW w:w="7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(13,460,895)</w:t>
            </w:r>
          </w:p>
        </w:tc>
        <w:tc>
          <w:tcPr>
            <w:tcW w:w="8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(15,046,132)</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 to reconcile to net loss to net cash used in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85,261</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Reduction in carrying amount of right-of-use assets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91,760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83,183</w:t>
            </w:r>
          </w:p>
        </w:tc>
        <w:tc>
          <w:tcPr>
            <w:tcW w:w="0" w:type="dxa"/>
            <w:vAlign w:val="bottom"/>
          </w:tcPr>
          <w:p>
            <w:pPr>
              <w:spacing w:after="0"/>
              <w:rPr>
                <w:sz w:val="1"/>
                <w:szCs w:val="1"/>
                <w:color w:val="auto"/>
              </w:rPr>
            </w:pPr>
          </w:p>
        </w:tc>
      </w:tr>
      <w:tr>
        <w:trPr>
          <w:trHeight w:val="216"/>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1,636,675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1,692,267</w:t>
            </w:r>
          </w:p>
        </w:tc>
        <w:tc>
          <w:tcPr>
            <w:tcW w:w="0" w:type="dxa"/>
            <w:vAlign w:val="bottom"/>
          </w:tcPr>
          <w:p>
            <w:pPr>
              <w:spacing w:after="0"/>
              <w:rPr>
                <w:sz w:val="1"/>
                <w:szCs w:val="1"/>
                <w:color w:val="auto"/>
              </w:rPr>
            </w:pPr>
          </w:p>
        </w:tc>
      </w:tr>
      <w:tr>
        <w:trPr>
          <w:trHeight w:val="216"/>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accretion of discount on marketable securities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(Increase) decrease in:</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(1,180,990)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1,102,391</w:t>
            </w: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548,902</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Increase (decrease) in:</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(687,871)</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(4,778,301)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(1,608,683)</w:t>
            </w:r>
          </w:p>
        </w:tc>
        <w:tc>
          <w:tcPr>
            <w:tcW w:w="0" w:type="dxa"/>
            <w:vAlign w:val="bottom"/>
          </w:tcPr>
          <w:p>
            <w:pPr>
              <w:spacing w:after="0"/>
              <w:rPr>
                <w:sz w:val="1"/>
                <w:szCs w:val="1"/>
                <w:color w:val="auto"/>
              </w:rPr>
            </w:pPr>
          </w:p>
        </w:tc>
      </w:tr>
      <w:tr>
        <w:trPr>
          <w:trHeight w:val="216"/>
        </w:trPr>
        <w:tc>
          <w:tcPr>
            <w:tcW w:w="7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Lease liabilities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(80,139)</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(177,134)</w:t>
            </w:r>
          </w:p>
        </w:tc>
        <w:tc>
          <w:tcPr>
            <w:tcW w:w="0" w:type="dxa"/>
            <w:vAlign w:val="bottom"/>
          </w:tcPr>
          <w:p>
            <w:pPr>
              <w:spacing w:after="0"/>
              <w:rPr>
                <w:sz w:val="1"/>
                <w:szCs w:val="1"/>
                <w:color w:val="auto"/>
              </w:rPr>
            </w:pPr>
          </w:p>
        </w:tc>
      </w:tr>
      <w:tr>
        <w:trPr>
          <w:trHeight w:val="208"/>
        </w:trPr>
        <w:tc>
          <w:tcPr>
            <w:tcW w:w="7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(18,433,444)</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(14,080,638)</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(71,990,845)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9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(63,070,775)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133,892</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at-the-market offering, net of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13,676,667</w:t>
            </w:r>
          </w:p>
        </w:tc>
        <w:tc>
          <w:tcPr>
            <w:tcW w:w="0" w:type="dxa"/>
            <w:vAlign w:val="bottom"/>
          </w:tcPr>
          <w:p>
            <w:pPr>
              <w:spacing w:after="0"/>
              <w:rPr>
                <w:sz w:val="1"/>
                <w:szCs w:val="1"/>
                <w:color w:val="auto"/>
              </w:rPr>
            </w:pPr>
          </w:p>
        </w:tc>
      </w:tr>
      <w:tr>
        <w:trPr>
          <w:trHeight w:val="208"/>
        </w:trPr>
        <w:tc>
          <w:tcPr>
            <w:tcW w:w="7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180,760</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13,810,559</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(81,323,459)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(279,024)</w:t>
            </w: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128,645,025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36,144,720</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47,321,566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35,865,696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offering costs included in accounts payable and accrued expenses</w:t>
            </w: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64,015</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Organization and Nature of Business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Immuneering Corporation, a Delaware corporation (“Immuneering” or the “Company”), was incorporated in 2008. Immuneering is a late-stage clinical oncology company seeking to develop medicines for broad populations of cancer patients, with an initial aim to therapeutically address patients harboring RAS and/or RAF mutations. The Company aims to achieve broad activity through Deep Cyclic Inhibition® ("DCI") of the mitogen-activated protein kinase ("MAPK") pathway, impacting cancer cells while sparing healthy cells. Immuneering’s lead product candidate, atebimetinib (also referred to as IMM-1-104), is currently in a Phase 1/2a clinical trial in patients with advanced solid tumors harboring RAS or RAF mutations. The Company is developing atebimetinib as a once-daily oral therapy, aiming for activity through DCI of the MAPK pathway at the level of mitogen-activated protein kinase kinase ("MEK"). The Company’s development pipeline also includes early-stage programs.</w:t>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December 22, 2021, the Company acquired all outstanding shares of capital stock of BioArkive, Inc. (“BioArkive”), a California corporation, which as a result became a wholly owned subsidiary.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Immuneering, ISC and BioArkive are collectively referred to as the “Company” throughout these interim condensed consolidated financial statements.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programs will be successful. In addition, the Company operates in an environment of rapid technological change and is largely dependent on the services of its employees, advisors, and consultants.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August 10, 2022, the Company entered into an Equity Distribution Agreement (the "2022 Sales Agreement") with Piper Sandler &amp; Co (the "Sales Agent"), to sell shares of its common stock with aggregate gross proceeds of up to $50 million, from time to time, through an “at the market” equity offering program (the "2022 ATM Program"). The Company did not sell any shares of common stock under the 2022 ATM Program during the three months ended March 31, 2026. The Company sold 4,836,804 shares of common stock under the 2022 ATM Program, at a weighted average price per share of $2.95, for aggregate gross proceeds of $14.2 million ($13.7 million net of offering expenses) during the three months ended March 31, 2025.</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April 20, 2023, the Company completed an underwritten follow-on equity offering, pursuant to which it issued and sold 2,727,273 shares of its Class A common stock $0.001 par value per share at an offering price of $11.00 per share. The aggregate net proceeds received by the Company from the offering were $28,200,003, after deducting underwriting discounts and commissions, but before deducting offering costs payable by the Company of $203,768.</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13, 2025, the Company entered into an Equity Distribution Agreement (the "2025 Sales Agreement") with the Sales Agent, to sell shares of its common stock with aggregate gross proceeds of up to $100 million, from time to time, through an “at the market” equity offering program (the "2025 ATM Program"). In connection with the September 2025 Offering (as defined below), the Company: (i) reduced the maximum aggregate offering price for sales of shares of common stock pursuant to at-the-market transactions under the 2025 ATM Program by $1,250,007 (the "Reduced Amount"), resulting in a new maximum aggregate offering price of up to $98,749,993 under the 2025 ATM Program, and (ii) suspended the 2025 ATM Program and terminated the continuous offering under the 2025 ATM Program, in each case, as to the Reduced Amount. The Company did not sell any shares of common stock under the 2025 ATM Program during the three months ended March 31, 2026 or March 31, 2025,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August 21, 2025, the Company entered into a Securities Purchase Agreement (the "August 2025 Purchase Agreement") with the purchasers party thereto, pursuant to which the Company agreed to sell securities to such purchasers in a private placement (the “August 2025 Private Placement”). The August 2025 Purchase Agreement provided for the sale and issuance by the Company to the purchasers of: (i) an aggregate of 5,251,349 shares of its common stock at a purchase price of $3.95 per share, (ii) for certain purchasers, in lieu of common stock, an aggregate of 1,077,764 pre-funded warrants (the “Pre-Funded Warrants”) to purchase up to the same number of shares of its common stock, and (iii) an aggregate of 2,848,096 warrants (the “Purchase Warrants”) to purchase up to the same number of shares of its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On October 6, 2025, certain purchasers from the August 2025 Private Placement exercised an aggregate of 1,077,764 Pre-Funded Warrants previously issued to them pursuant to the August 2025 Purchase Agreement. Each such exercise was made pursuant to the cashless exercise provision of the applicable Pre-Funded Warrant, such that an aggregate of 166 shares of common stock were withheld in lieu of cash payment of the $0.001 exercise price for each Pre-Funded Warrant share, and the exercising purchasers were issued an aggregate of 1,077,598 shares of common stock (the "October 2025 Cashless Exercise"). Following the October 2025 Cashless Exercise, no Pre-Funded Warrants remained issued and outstanding. The Purchase Warrants were issued with an exercise price of $5.50 per share; as of March 31, 2026, no Purchase Warrants had been exercised. As of March 31, 2026, the Company had received aggregate net proceeds of $23.4 million from the August 2025 Private Placement, after deducting placement expenses of $1.6 million. The August 2025 Private Placement closed on August 26, 2025.</w:t>
      </w:r>
    </w:p>
    <w:p>
      <w:pPr>
        <w:spacing w:after="0" w:line="3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September 24, 2025, the Company entered into a Securities Purchase Agreement (the "September 2025 Purchase Agreement") with Aventis Inc. ("Aventis"), a wholly owned subsidiary of Sanofi, a French société anonyme ("Sanofi"), pursuant to which the Company agreed to sell securities to Aventis in a private placement (the “September 2025 Private Placement”). The September 2025 Purchase Agreement provided for the sale and issuance by the Company to Aventis of an aggregate of 2,708,559 shares of its common stock at a purchase price of $9.23 per share. The Company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26, 2025, the Company completed an underwritten follow-on equity offering, pursuant to which it issued and sold 18,959,914 shares of its Class A common stock at an offering price of $9.23 per share (the "September 2025 Offering"), with Leerink Partners LLC and Oppenheimer &amp; Co. Inc. acting as underwriters. The aggregate net proceeds received by the Company from the September 2025 Offering were $164.1 million, after deducting underwriting discounts and commissions, as well as offering costs of $0.4 million.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 date, the Company has primarily funded its operations with proceeds from the sale of its capital stock, warrants to purchase stock, and convertible notes. The Company has incurred recurring losses over the past several years and as of March 31, 2026, the Company had an accumulated deficit of $293.8 million.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these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interim condensed consolidated financial statements have been prepared in accordance with accounting standards set by the Financial Accounting Standards Board (“FASB”). The FASB sets generally accepted accounting principles (“GAAP”) to ensure the interim condensed consolidated financial statements are consistently reported. References to GAAP issued by the FASB in these footnotes are to the FASB Accounting Standards Codification ("ASC"). The interim condensed consolidated financial statements include the accounts of the Company and its wholly owned subsidiaries. All intercompany balances and transactions have been eliminated in consolidation.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accounting policies of the Company as those set forth in Note 2 to the audited consolidated financial statements contained in the Annual Report on Form 10-K for the fiscal year ended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Interim Financial Information</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unaudited interim condensed consolidated financial statements of the Company have been prepared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2025.</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It is management’s opinion that these financial statements include all normal and recurring adjustments necessary for a fair presentation of the Company’s financial position, operating results and cash flows. Net loss for any interim period is not necessarily indicative of future or annual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judgments about the carrying values of assets, liabilities and the recording of expenses that are not readily apparent from other sources. Significant estimates reflected in these interim condensed consolidated financial statements include but are not limited to: the accrued research and development expenses, the determination of fair value of stock-based awards, and the impairment of goodwill and intangible assets. Actual results may differ materially and adversely from these estimates.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fair value of the acquiree over the recognized basis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 The Company performs its annual impairment test during the fourth quarter of each fiscal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impairments identified for the year ended December 31, 2025 or for the three months ended March 31,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Offering Costs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spacing w:after="0" w:line="1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Deferred offering costs associated with the 2025 Sales Agreement are reclassified to additional paid-in capital on a pro-rata basis when the Company completes offerings under the 2025 Sales Agreement. Any remaining deferred costs will be expensed to the statement of operations should the planned offering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abandoned. The Company had approximately $0.2 million of deferred offering costs as of March 31, 2026 and $0.2 million as of December 31, 2025.</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Warrants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accounts for warrants issued as a separable unit in connection with sale of common stock as either liability or equity in accordance with ASC 480-10, Accounting for Certain Financial Instruments with Characteristics of both Liabilities and Equity (“ASC 480-10”) or ASC 815-40, Accounting for Derivative Financial Instruments Indexed to, and Potentially Settled in, a Company’s Own Stock (“ASC 815-40”). Under ASC 480-10, warrants are considered liabilities if they are mandatorily redeemable and they require settlement in cash or other assets, or a variable number of shares. If warrants do not meet liability classification under ASC 480-10, the Company considers the requirements of ASC 815-40 to determine whether the warrants should be classified as liability or equity. If warrants do not require liability classification under ASC 815-40 or other applicable generally accepted accounting principles in the United States of America (“U.S. GAAP”) the warrants should be classified as equity.</w:t>
      </w:r>
    </w:p>
    <w:p>
      <w:pPr>
        <w:spacing w:after="0" w:line="205"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7"/>
          <w:szCs w:val="17"/>
          <w:color w:val="auto"/>
        </w:rPr>
        <w:t>The proceeds received from the sale of equity classified warrants and shares of common stock in a bundled transaction are allocated based on the relative fair values of warrants and shares with no changes in fair value of warrants recognized after the issuance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Per Share</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by the weighted average number of shares of common stock and pre-funded warrants outstanding during the period, without consideration for potentially dilutive securities. The pre-funded warrants are included as outstanding shares in the computation as the exercise price is negligible and the pre-funded warrants are fully vested and exercisable. Diluted net loss per share is the same as basic net loss per share for the periods presented since the effects of potentially dilutive securities are antidilutive given the net loss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But Not Yet Adopted Accounting Pronouncements and Legislation</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the Company will not be required to adopt certain new or revised accounting standards on the relevant dates on which adoption of such standards is required for other public companies.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Accounting Standards Update ("ASU") No. 2024-03, Income Statement—Reporting Comprehensive Income—Expense Disaggregation Disclosures (Subtopic 220-40) (“ASU 2024-03”). The guidance in ASU 2024-03 aims to improve disclosures around an entity's expenses. Upon adoption, companies will be required to disclose in the notes to the financial statements a disaggregation of certain expense categories included within the expense captions on the face of the income statement. The standard is effective for fiscal years beginning after December 15, 2026 and interim periods in fiscal years beginning after December 15, 2027, with early adoption permitted. The Company is currently evaluating this standard's potential impact on its consolidated financial statements and related disclosures.</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In December 2025, the FASB issued Update ASU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in this Update are effective for interim reporting periods within annual reporting periods beginning after December 15, 2027, with early adoption permitted. We are currently evaluating the effect of adopting this pronouncement on our financial statements and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Marketable securities consisted of the following as of March 31, 2026 and December 31, 2025,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5"/>
          </w:tcPr>
          <w:p>
            <w:pPr>
              <w:ind w:left="10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5"/>
        </w:trPr>
        <w:tc>
          <w:tcPr>
            <w:tcW w:w="4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4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80" w:type="dxa"/>
            <w:vAlign w:val="bottom"/>
          </w:tcPr>
          <w:p>
            <w:pPr>
              <w:spacing w:after="0"/>
              <w:rPr>
                <w:sz w:val="19"/>
                <w:szCs w:val="19"/>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5"/>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32"/>
        </w:trPr>
        <w:tc>
          <w:tcPr>
            <w:tcW w:w="418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4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U.S. Treasuries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66,968,717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(49,605)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66,919,179</w:t>
            </w:r>
          </w:p>
        </w:tc>
      </w:tr>
      <w:tr>
        <w:trPr>
          <w:trHeight w:val="232"/>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Government securities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7,986,830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7,985,595</w:t>
            </w:r>
          </w:p>
        </w:tc>
      </w:tr>
      <w:tr>
        <w:trPr>
          <w:trHeight w:val="25"/>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4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Debt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7,641,519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7,631,243</w:t>
            </w:r>
          </w:p>
        </w:tc>
      </w:tr>
      <w:tr>
        <w:trPr>
          <w:trHeight w:val="232"/>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Commercial paper</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26,868,360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(32,377)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26,836,040</w:t>
            </w:r>
          </w:p>
        </w:tc>
      </w:tr>
      <w:tr>
        <w:trPr>
          <w:trHeight w:val="25"/>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Total Current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109,465,426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(93,493)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109,372,057</w:t>
            </w:r>
          </w:p>
        </w:tc>
      </w:tr>
      <w:tr>
        <w:trPr>
          <w:trHeight w:val="258"/>
        </w:trPr>
        <w:tc>
          <w:tcPr>
            <w:tcW w:w="4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8"/>
        </w:trPr>
        <w:tc>
          <w:tcPr>
            <w:tcW w:w="4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2"/>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U.S. Treasuries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34,162,022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(117,280)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34,044,742</w:t>
            </w:r>
          </w:p>
        </w:tc>
      </w:tr>
      <w:tr>
        <w:trPr>
          <w:trHeight w:val="25"/>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4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Government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5,518,352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5,494,215</w:t>
            </w:r>
          </w:p>
        </w:tc>
      </w:tr>
      <w:tr>
        <w:trPr>
          <w:trHeight w:val="232"/>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Debt securities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2,417,069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2,411,788</w:t>
            </w:r>
          </w:p>
        </w:tc>
      </w:tr>
      <w:tr>
        <w:trPr>
          <w:trHeight w:val="25"/>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1"/>
        </w:trPr>
        <w:tc>
          <w:tcPr>
            <w:tcW w:w="4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Total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42,097,443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41,950,745</w:t>
            </w:r>
          </w:p>
        </w:tc>
      </w:tr>
      <w:tr>
        <w:trPr>
          <w:trHeight w:val="251"/>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151,562,869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(240,191)</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151,322,802</w:t>
            </w: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5"/>
          </w:tcPr>
          <w:p>
            <w:pPr>
              <w:ind w:left="90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5"/>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4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80" w:type="dxa"/>
            <w:vAlign w:val="bottom"/>
          </w:tcPr>
          <w:p>
            <w:pPr>
              <w:spacing w:after="0"/>
              <w:rPr>
                <w:sz w:val="19"/>
                <w:szCs w:val="19"/>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5"/>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32"/>
        </w:trPr>
        <w:tc>
          <w:tcPr>
            <w:tcW w:w="420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4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U.S. Treasuries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6,495,181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6,500,685</w:t>
            </w:r>
          </w:p>
        </w:tc>
      </w:tr>
      <w:tr>
        <w:trPr>
          <w:trHeight w:val="232"/>
        </w:trPr>
        <w:tc>
          <w:tcPr>
            <w:tcW w:w="4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Government securities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7,943,758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7,948,500</w:t>
            </w:r>
          </w:p>
        </w:tc>
      </w:tr>
      <w:tr>
        <w:trPr>
          <w:trHeight w:val="25"/>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4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Debt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7,628,117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7,628,554</w:t>
            </w:r>
          </w:p>
        </w:tc>
      </w:tr>
      <w:tr>
        <w:trPr>
          <w:trHeight w:val="232"/>
        </w:trPr>
        <w:tc>
          <w:tcPr>
            <w:tcW w:w="4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Commercial paper</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22,102,080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22,108,505</w:t>
            </w:r>
          </w:p>
        </w:tc>
      </w:tr>
      <w:tr>
        <w:trPr>
          <w:trHeight w:val="25"/>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2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Total Current</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44,169,136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44,186,244</w:t>
            </w:r>
          </w:p>
        </w:tc>
      </w:tr>
      <w:tr>
        <w:trPr>
          <w:trHeight w:val="258"/>
        </w:trPr>
        <w:tc>
          <w:tcPr>
            <w:tcW w:w="4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8"/>
        </w:trPr>
        <w:tc>
          <w:tcPr>
            <w:tcW w:w="42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2"/>
        </w:trPr>
        <w:tc>
          <w:tcPr>
            <w:tcW w:w="4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U.S. Treasuries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37,717,598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37,776,280</w:t>
            </w:r>
          </w:p>
        </w:tc>
      </w:tr>
      <w:tr>
        <w:trPr>
          <w:trHeight w:val="25"/>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4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Government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3,998,584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3,997,040</w:t>
            </w:r>
          </w:p>
        </w:tc>
      </w:tr>
      <w:tr>
        <w:trPr>
          <w:trHeight w:val="232"/>
        </w:trPr>
        <w:tc>
          <w:tcPr>
            <w:tcW w:w="4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Debt securities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2,406,640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2,409,866</w:t>
            </w:r>
          </w:p>
        </w:tc>
      </w:tr>
      <w:tr>
        <w:trPr>
          <w:trHeight w:val="25"/>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1"/>
        </w:trPr>
        <w:tc>
          <w:tcPr>
            <w:tcW w:w="42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Total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44,122,822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44,183,186</w:t>
            </w:r>
          </w:p>
        </w:tc>
      </w:tr>
      <w:tr>
        <w:trPr>
          <w:trHeight w:val="251"/>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88,291,958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88,369,430</w:t>
            </w: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marketable securities are classified as available-for-sale pursuant to ASC 320, Investments – Debt and Equity Securities and are recorded at fair value. Unrealized gains (losses) are included as a component of accumulated other comprehensive loss in the condensed consolidated balance sheets and statements of stockholders’ equity and a component of total comprehensive loss in the condensed consolidated statements of comprehensive loss, until realized. The Company assesses its available-for-sale marketable securities for impairment on a quarterly basis.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marketable securities portfolio contains investments in U.S. Treasury, other U.S. government-backed securities, and commercial paper. The Company reviews its portfolio based on the underlying risk profile of the securities and does not expect there to be a loss on these investments. The Company also regularly reviews the securities in an unrealized loss position and evaluates the current expected credit loss by considering factors such as historical experience, market data, issuer-specific factors, and current economic conditions.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impairments recorded during the three months ended March 31, 2026 or March 31, 2025. Realized gains and losses are included in other income (expense) on the condensed consolidated statements of operations.</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and 2025, the Company recognized no year-to-date credit loss related to its short-term investments, and had no allowance for credit loss recorded as of March 31, 2026 or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Fair Value Measurements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Unadjusted quoted prices in active markets for identical assets or liabilities.</w:t>
      </w:r>
    </w:p>
    <w:p>
      <w:pPr>
        <w:spacing w:after="0" w:line="21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Quoted prices for similar assets and liabilities in active markets, quoted prices in markets that are not active, or inputs which are observable,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for substantially the full term of the asset or liability.</w:t>
      </w:r>
    </w:p>
    <w:p>
      <w:pPr>
        <w:spacing w:after="0" w:line="1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Unobservable inputs that reflect our own assumptions about the assumptions market participants would use in pricing the asset or liability in which there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little, if any, market activity for the asset or liability at the measurement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equivalents measured at fair value on a recurring basis as of March 31, 2026:</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Money market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34,631,173</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34,631,173</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Treasuries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12,433,380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12,433,380</w:t>
            </w:r>
          </w:p>
        </w:tc>
        <w:tc>
          <w:tcPr>
            <w:tcW w:w="0" w:type="dxa"/>
            <w:vAlign w:val="bottom"/>
          </w:tcPr>
          <w:p>
            <w:pPr>
              <w:spacing w:after="0"/>
              <w:rPr>
                <w:sz w:val="1"/>
                <w:szCs w:val="1"/>
                <w:color w:val="auto"/>
              </w:rPr>
            </w:pPr>
          </w:p>
        </w:tc>
      </w:tr>
      <w:tr>
        <w:trPr>
          <w:trHeight w:val="251"/>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cash equivalents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47,064,553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47,064,553</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Treasuries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100,963,921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100,963,921</w:t>
            </w:r>
          </w:p>
        </w:tc>
        <w:tc>
          <w:tcPr>
            <w:tcW w:w="0" w:type="dxa"/>
            <w:vAlign w:val="bottom"/>
          </w:tcPr>
          <w:p>
            <w:pPr>
              <w:spacing w:after="0"/>
              <w:rPr>
                <w:sz w:val="1"/>
                <w:szCs w:val="1"/>
                <w:color w:val="auto"/>
              </w:rPr>
            </w:pPr>
          </w:p>
        </w:tc>
      </w:tr>
      <w:tr>
        <w:trPr>
          <w:trHeight w:val="23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Government securities</w:t>
            </w: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13,479,810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13,479,810</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Debt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10,043,031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10,043,031</w:t>
            </w:r>
          </w:p>
        </w:tc>
        <w:tc>
          <w:tcPr>
            <w:tcW w:w="0" w:type="dxa"/>
            <w:vAlign w:val="bottom"/>
          </w:tcPr>
          <w:p>
            <w:pPr>
              <w:spacing w:after="0"/>
              <w:rPr>
                <w:sz w:val="1"/>
                <w:szCs w:val="1"/>
                <w:color w:val="auto"/>
              </w:rPr>
            </w:pPr>
          </w:p>
        </w:tc>
      </w:tr>
      <w:tr>
        <w:trPr>
          <w:trHeight w:val="23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26,836,040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26,836,040</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100,963,921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50,358,881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151,322,802</w:t>
            </w:r>
          </w:p>
        </w:tc>
        <w:tc>
          <w:tcPr>
            <w:tcW w:w="0" w:type="dxa"/>
            <w:vAlign w:val="bottom"/>
          </w:tcPr>
          <w:p>
            <w:pPr>
              <w:spacing w:after="0"/>
              <w:rPr>
                <w:sz w:val="1"/>
                <w:szCs w:val="1"/>
                <w:color w:val="auto"/>
              </w:rPr>
            </w:pPr>
          </w:p>
        </w:tc>
      </w:tr>
      <w:tr>
        <w:trPr>
          <w:trHeight w:val="25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equivalents and marketable securities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148,028,474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50,358,881</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198,387,355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There have been no changes to the valuation methods during the three months ended March 31, 2026. There were no transfers between Level 1 and Level 2 and we had no financial assets or liabilities that were classified as Level 3 at any point during the three months ended March 31, 2026.</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our valuation procedures, we did not adjust or override any fair value measurements provided by the pricing services as of March 31, 2026 and December 31, 2025.</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equivalents measured at fair value on a recurring basis as of December 31, 2025: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Money market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105,330,208</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105,330,208</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Treasuries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1,992,340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1,992,340</w:t>
            </w:r>
          </w:p>
        </w:tc>
        <w:tc>
          <w:tcPr>
            <w:tcW w:w="0" w:type="dxa"/>
            <w:vAlign w:val="bottom"/>
          </w:tcPr>
          <w:p>
            <w:pPr>
              <w:spacing w:after="0"/>
              <w:rPr>
                <w:sz w:val="1"/>
                <w:szCs w:val="1"/>
                <w:color w:val="auto"/>
              </w:rPr>
            </w:pPr>
          </w:p>
        </w:tc>
      </w:tr>
      <w:tr>
        <w:trPr>
          <w:trHeight w:val="23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Government securities</w:t>
            </w: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9,222,990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9,222,990</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11,827,667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11,827,667</w:t>
            </w:r>
          </w:p>
        </w:tc>
        <w:tc>
          <w:tcPr>
            <w:tcW w:w="0" w:type="dxa"/>
            <w:vAlign w:val="bottom"/>
          </w:tcPr>
          <w:p>
            <w:pPr>
              <w:spacing w:after="0"/>
              <w:rPr>
                <w:sz w:val="1"/>
                <w:szCs w:val="1"/>
                <w:color w:val="auto"/>
              </w:rPr>
            </w:pPr>
          </w:p>
        </w:tc>
      </w:tr>
      <w:tr>
        <w:trPr>
          <w:trHeight w:val="251"/>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cash equivalents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107,322,548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21,050,657</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128,373,205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Treasuries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44,276,965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44,276,965</w:t>
            </w:r>
          </w:p>
        </w:tc>
        <w:tc>
          <w:tcPr>
            <w:tcW w:w="0" w:type="dxa"/>
            <w:vAlign w:val="bottom"/>
          </w:tcPr>
          <w:p>
            <w:pPr>
              <w:spacing w:after="0"/>
              <w:rPr>
                <w:sz w:val="1"/>
                <w:szCs w:val="1"/>
                <w:color w:val="auto"/>
              </w:rPr>
            </w:pPr>
          </w:p>
        </w:tc>
      </w:tr>
      <w:tr>
        <w:trPr>
          <w:trHeight w:val="23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Government securities</w:t>
            </w: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11,945,540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11,945,540</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Debt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10,038,420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10,038,420</w:t>
            </w:r>
          </w:p>
        </w:tc>
        <w:tc>
          <w:tcPr>
            <w:tcW w:w="0" w:type="dxa"/>
            <w:vAlign w:val="bottom"/>
          </w:tcPr>
          <w:p>
            <w:pPr>
              <w:spacing w:after="0"/>
              <w:rPr>
                <w:sz w:val="1"/>
                <w:szCs w:val="1"/>
                <w:color w:val="auto"/>
              </w:rPr>
            </w:pPr>
          </w:p>
        </w:tc>
      </w:tr>
      <w:tr>
        <w:trPr>
          <w:trHeight w:val="23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22,108,505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22,108,505</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44,276,965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44,092,465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88,369,430</w:t>
            </w:r>
          </w:p>
        </w:tc>
        <w:tc>
          <w:tcPr>
            <w:tcW w:w="0" w:type="dxa"/>
            <w:vAlign w:val="bottom"/>
          </w:tcPr>
          <w:p>
            <w:pPr>
              <w:spacing w:after="0"/>
              <w:rPr>
                <w:sz w:val="1"/>
                <w:szCs w:val="1"/>
                <w:color w:val="auto"/>
              </w:rPr>
            </w:pPr>
          </w:p>
        </w:tc>
      </w:tr>
      <w:tr>
        <w:trPr>
          <w:trHeight w:val="25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equivalents and marketable securities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151,599,513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65,143,122</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216,742,635</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5 – Property and Equipment, net</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20" w:type="dxa"/>
            <w:vAlign w:val="bottom"/>
          </w:tcPr>
          <w:p>
            <w:pPr>
              <w:spacing w:after="0"/>
              <w:rPr>
                <w:sz w:val="24"/>
                <w:szCs w:val="24"/>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2"/>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48"/>
        </w:trPr>
        <w:tc>
          <w:tcPr>
            <w:tcW w:w="5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691,276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596,917</w:t>
            </w:r>
          </w:p>
        </w:tc>
        <w:tc>
          <w:tcPr>
            <w:tcW w:w="0" w:type="dxa"/>
            <w:vAlign w:val="bottom"/>
          </w:tcPr>
          <w:p>
            <w:pPr>
              <w:spacing w:after="0"/>
              <w:rPr>
                <w:sz w:val="1"/>
                <w:szCs w:val="1"/>
                <w:color w:val="auto"/>
              </w:rPr>
            </w:pP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98,628</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1,315,784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1,309,070</w:t>
            </w:r>
          </w:p>
        </w:tc>
        <w:tc>
          <w:tcPr>
            <w:tcW w:w="0" w:type="dxa"/>
            <w:vAlign w:val="bottom"/>
          </w:tcPr>
          <w:p>
            <w:pPr>
              <w:spacing w:after="0"/>
              <w:rPr>
                <w:sz w:val="1"/>
                <w:szCs w:val="1"/>
                <w:color w:val="auto"/>
              </w:rPr>
            </w:pP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298,941</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2,420,985</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2,341,056</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(1,483,977)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(1,402,575)</w:t>
            </w:r>
          </w:p>
        </w:tc>
        <w:tc>
          <w:tcPr>
            <w:tcW w:w="0" w:type="dxa"/>
            <w:vAlign w:val="bottom"/>
          </w:tcPr>
          <w:p>
            <w:pPr>
              <w:spacing w:after="0"/>
              <w:rPr>
                <w:sz w:val="1"/>
                <w:szCs w:val="1"/>
                <w:color w:val="auto"/>
              </w:rPr>
            </w:pPr>
          </w:p>
        </w:tc>
      </w:tr>
      <w:tr>
        <w:trPr>
          <w:trHeight w:val="251"/>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937,008</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938,481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and amortization expense totaled $81,402 and $85,261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Accrued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8"/>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636,747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735,772</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employee expenses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1,067,883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4,245,563</w:t>
            </w:r>
          </w:p>
        </w:tc>
      </w:tr>
      <w:tr>
        <w:trPr>
          <w:trHeight w:val="25"/>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research and 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1,269,266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2,747,306</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other expenses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113,726</w:t>
            </w:r>
          </w:p>
        </w:tc>
      </w:tr>
      <w:tr>
        <w:trPr>
          <w:trHeight w:val="25"/>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3,064,066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7,842,367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Common Stock</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had 200,000,000 authorized shares of Class A common stock, $0.001 par value per share as of March 31, 2026 and December 31, 2025 of which 64,688,915 and 64,648,230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had 20,000,000 authorized shares of Class B common stock, $0.001 par value per share as of March 31, 2026 and December 31, 2025,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Shelf Registration Statement &amp; 2022 ATM Program</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10, 2022, the Company filed a Registration Statement on Form S-3 (File No. 333-266738) (the “2022 Shelf Registration Statement”) with the SEC in relation to the registration of common stock, preferred stock, debt securities, warrants and/or units or any combination thereof in the aggregate amount of up to $200 million for a period of up to three years from the date of its effectiveness on August 19, 2022.</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August 10, 2022, the Company also entered into the 2022 Sales Agreement with the Sales Agent to sell shares of the Company’s Class A common stock, par value $0.001 per share, with aggregate gross sales proceeds of up to $50 million, from time to time, through the 2022 ATM Program under the 2022 Shelf Registration Statement. Subject to the terms and conditions of the 2022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could terminate the 2022 Sales Agreement upon notice to the other party and subject to other conditions. The Company paid the Sales Agent a commission equal to 3.0% of the gross proceeds of any Common Stock sold through the Sales Agent under the 2022 Sales Agreement and provided the Sales Agent with customary indemnification rights. The Company did not sell any shares of common stock under the 2022 ATM Program during the three months ended March 31, 2026. The Company sold 4,836,804 shares of common stock under the 2022 ATM Program, at a weighted average price per share of $2.95, for aggregate gross proceeds of $14.2 million ($13.7 million net of offering expenses) during the three months ended March 31, 2025.</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Issuance costs incurred related to the 2022 Sales Agreement were recorded as deferred offering costs and classified as long-term assets on the balance sheet. The Company had approximately $0.5 million of deferred offering costs as of December 31, 2024 associated with the 2022 Sales Agreement. The deferred offering costs for the 2022 ATM Program were written off in August 2025, after the 2022 Shelf Registration Statement and the 2022 ATM Program expired, the 2022 Sales Agreement was terminated, and the Company entered into the 2025 Sales Agreement related to the 2025 ATM Program (in each case as defined herein).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Shelf Registration Statement &amp; 2025 ATM Program</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13, 2025, the Company filed a Registration Statement on Form S-3 (File No. 333-289589) (the “2025 Shelf Registration Statement”) with the SEC in relation to the registration of common stock, preferred stock, debt securities, warrants and/or units or any combination thereof in the aggregate amount of up to $300 million for a period of up to three years from the date of its effectiveness on August 20, 2025.</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August 13, 2025, the Company also entered into the 2025 Sales Agreement with the Sales Agent to sell shares of the Company’s Class A common stock, par value $0.001 per share, with aggregate gross sales proceeds of up to $100 million, from time to time, through the 2025 ATM Program under the 2025 Shelf Registration Statement. Subject to the terms and conditions of the 2025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may terminate the 2025 Sales Agreement upon notice to the other party and subject to other conditions. The Company will pay the Sales Agent a commission up to 3.0% of the gross proceeds of any Common Stock sold through the Sales Agent under the 2025 Sales Agreement and has provided the Sales Agent with customary indemnification rights. The Company did not sell any shares of Class A common stock under the 2025 ATM Program during the three months ended March 31, 2026 or March 31, 2025, respectively. In connection with the September 2025 Offering, the Company: (i) reduced the maximum aggregate offering price for sales of shares of common stock pursuant to at-the-market transactions under the 2025 ATM Program by $1,250,007 (or the Reduced Amount, as defined above), resulting in a new maximum aggregate offering price of up to $98,749,993 under the 2025 ATM Program, and (ii) suspended the 2025 ATM Program and terminated the continuous offering under the 2025 ATM Program, in each case, as to the Reduced Amount. As of March 31, 2026, the Company had aggregate gross sales proceeds capacity of $98.7 million remaining under the 2025 ATM Program.</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Issuance costs incurred related to the 2025 Sales Agreement are recorded as deferred offering costs and are classified as long-term assets on the balance sheet at March 31, 2026. The Company had approximately $0.2 million of deferred offering costs as of March 31, 2026 associated with the 2025 Sales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August 2025 Private Placement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August 21, 2025, the Company entered into the August 2025 Purchase Agreement with the purchasers party thereto, pursuant to which the Company agreed to sell securities to such purchasers in the August 2025 Private Placement. The August 2025 Purchase Agreement provided for the sale and issuance by the Company to the purchasers of: (i) an aggregate of 5,251,349 shares of its common stock at a purchase price of $3.95 per share, (ii) for certain purchasers, in lieu of common stock, an aggregate of 1,077,764 Pre-Funded Warrants to purchase up to the same number of shares of its common stock, and (iii) an aggregate of 2,848,096 Purchase Warrants to purchase up to the same number of shares of its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On October 6, 2025, certain purchasers from the August 2025 Private Placement exercised an aggregate of 1,077,764 Pre-Funded Warrants previously issued to them pursuant to the August 2025 Purchase Agreement. Each such exercise was made pursuant to the cashless exercise provision of the applicable Pre-Funded Warrant, such that an aggregate of 166 shares of common stock were withheld in lieu of a cash payment of the $0.001 exercise price for each Pre-Funded Warrant, and the exercising purchasers were issued an aggregate of 1,077,598 shares of common stock. Following the October 2025 Cashless Exercise, no Pre-Funded Warrants remained issued and outstanding. The Purchase Warrants were issued with an exercise price of $5.50 per share; as of March 31, 2026, no Purchase Warrants had been exercised. As of March 31, 2026, the Company had received aggregate net proceeds of $23.4 million from the August 2025 Private Placement, after deducting placement expenses of $1.6 million. The August 2025 Private Placement closed on August 26,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Also on August 21, 2025, in connection with the August 2025 Purchase Agreement, the Company entered into a Registration Rights Agreement (the “Registration Rights Agreement”) with the purchasers in the August 2025 Private Placement. Pursuant to the Registration Rights Agreement, the Company agreed to prepare and file a registration statement with the SEC for purposes of registering the resale of the common stock and the shares of common stock issuable upon exercise of the Pre-Funded Warrants and Purchase Warrants (collectively, the “Warrant Shares”) purchased by the purchasers in the August 2025 Private Placement, and any shares of common stock issued as a dividend or other distribution with respect to, in exchange for or in replacement of such common stock or Warrant Shares. On September 3, 2025, the Company filed a Registration Statement on Form S-3 (File No. 333-289997) (the “2025 Resale Registration Statement”) with the SEC in relation to the registration for re-sale of the common stock and Warrant Shares from the August 2025 Private Placement. The SEC declared the 2025 Resale Registration Statement effective on September 8, 2025.</w:t>
      </w:r>
    </w:p>
    <w:p>
      <w:pPr>
        <w:spacing w:after="0" w:line="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Purchase Warrants have an exercise price of $5.50 per share of common stock, are exercisable immediately following their issuance, and will expire on September 8, 2030. The Purchase Warrants contain standard adjustments to the exercise price including for stock splits, stock dividends or distributions, certain other dividends or distributions and certain reorganizations. The Purchase Warrants also include certain rights upon the occurrence of a “fundamental transaction” (as described in the Purchase Warrants).</w:t>
      </w:r>
    </w:p>
    <w:p>
      <w:pPr>
        <w:spacing w:after="0" w:line="158"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7"/>
          <w:szCs w:val="17"/>
          <w:color w:val="auto"/>
        </w:rPr>
        <w:t>The proceeds received from the sale of equity classified warrants and shares of common stock in a bundled transaction are allocated based on the relative fair values of warrants and shares of common stock with no changes in fair value of warrants recognized after the issuance date.</w:t>
      </w:r>
    </w:p>
    <w:p>
      <w:pPr>
        <w:spacing w:after="0" w:line="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The Purchase Warrants and Pre-Funded Warrants were classified as a component of stockholders’ equity within additional paid-in-capital and were recorded at the issuance date using a relative fair value allocation method. The Purchase Warrants and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Purchase Warrants do not provide any guarantee of value or return. The Company valued the Purchase Warrants at issuance using the Black-Scholes valuation model and allocated proceeds from the sale proportionately to the common stock and Purchase Warrants, of which approximately $3.7 million was allocated to the Purchase Warrants and recorded as a component of additional paid-in-capital.</w:t>
      </w:r>
    </w:p>
    <w:p>
      <w:pPr>
        <w:spacing w:after="0" w:line="16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As of March 31, 2026, the Company had 2,848,096 Purchase Warrants issued and outstanding at an exercise price of $5.50 per share to purchase shares of the Company's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September 2025 Aventis (Sanofi) Private Placement</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24, 2025, the Company entered into the September 2025 Purchase Agreement with Aventis, a wholly-owned subsidiary of Sanofi, pursuant to which the Company agreed to sell securities to Aventis in the September 2025 Private Placement. The September 2025 Purchase Agreement provided for the sale and issuance by the Company to Aventis of an aggregate of 2,708,559 shares of its common stock at a purchase price of $9.23 per share. The Company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September 2025 Offering</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September 26, 2025, the Company completed the September 2025 Offering, pursuant to which it issued and sold 18,959,914 shares of its Class A common stock at an offering price of $9.23 per share, with Leerink Partners LLC and Oppenheimer &amp; Co. Inc. acting as underwriters. The aggregate net proceeds received by the Company from the September 2025 Offering were $164.1 million, after deducting underwriting discounts and commissions, as well as offering costs of $0.4 million.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Net Loss Per Share Attributable to Common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 was calculated at March 31, 2026 and March 31, 2025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5"/>
        </w:trPr>
        <w:tc>
          <w:tcPr>
            <w:tcW w:w="8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8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8"/>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2"/>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(13,460,895)</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(15,046,132)</w:t>
            </w:r>
          </w:p>
        </w:tc>
      </w:tr>
      <w:tr>
        <w:trPr>
          <w:trHeight w:val="25"/>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 - basic and diluted:</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2"/>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64,658,809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35,529,652</w:t>
            </w:r>
          </w:p>
        </w:tc>
      </w:tr>
      <w:tr>
        <w:trPr>
          <w:trHeight w:val="25"/>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potentially dilutive securities that have been excluded from the calculation of diluted net loss per share because to include them would be anti-dilutive (in common stock equivalent shares) at March 31, 2026 and March 31,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3060" w:type="dxa"/>
            <w:vAlign w:val="bottom"/>
            <w:gridSpan w:val="3"/>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5"/>
        </w:trPr>
        <w:tc>
          <w:tcPr>
            <w:tcW w:w="81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77"/>
        </w:trPr>
        <w:tc>
          <w:tcPr>
            <w:tcW w:w="8180" w:type="dxa"/>
            <w:vAlign w:val="bottom"/>
          </w:tcPr>
          <w:p>
            <w:pPr>
              <w:spacing w:after="0"/>
              <w:rPr>
                <w:sz w:val="15"/>
                <w:szCs w:val="15"/>
                <w:color w:val="auto"/>
              </w:rPr>
            </w:pPr>
          </w:p>
        </w:tc>
        <w:tc>
          <w:tcPr>
            <w:tcW w:w="150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8"/>
        </w:trPr>
        <w:tc>
          <w:tcPr>
            <w:tcW w:w="8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11,008,350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8,337,419</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warrants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2,848,096</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8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shares of common stock equivalents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13,856,446</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8,337,419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Stock-Based Compensation</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Upon the effectiveness of the Company’s 2021 Incentive Award Plan (the “2021 Plan”), the Company ceased granting awards under the Incentive Plan. However, the Incentive Plan continues to govern awards outstanding thereunder.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23, 2021, the Company’s Board of Directors adopted, and on July 23, 2021 its stockholders approved,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March 31, 2026, there were 781,782 shares available for future issuance under the 2021 Plan.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March 31, 2026, there were 1,460,190 shares of common stock reserved for future issuance under the 2021 ESPP and 566,900 shares had been granted or purchased under the 2021 ESPP.</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21, 2024 (the “Effective Date”), based upon the recommendation of the Compensation Committee of the Company's Board of Directors, the Board of Directors approved an option repricing, in accordance with the 2021 Plan, which repricing was effected on the Effective Date. The repricing applied to options to purchase shares of the Company’s Class A common stock with an exercise price per share greater than $3.01 that were held by current employees and certain non-employee service providers under the 2021 Plan (the “Eligible Options”), including Michael Bookman, the Company's Chief Legal Officer.</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Options held by Benjamin Zeskind, Ph.D., the Company’s President and Chief Executive Officer, Brett Hall, Ph.D., the Company's Chief Scientific Officer, and the non-employee members of the Board were not eligible for the repricing.</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the option repricing, as of the Effective Date, the exercise price of all Eligible Options was reduced to $3.01 per share, which represents approximately two times the closing trading price of the Company’s Class A common stock on the Nasdaq Global Market on the Effective Date; however, the exercise price for repriced options would have reverted to the original exercise price for any exercise occurring prior to June 30, 2025 (the "Retention Period"), unless there was a change of control of the Company or the option holder’s employment had been terminated (i) by the Company without cause or (ii) by reason of death or disability. The repriced options otherwise remain subject to their existing terms and conditions as set forth in the 2021 Plan and applicable award agreements. As of the Effective Date, outstanding options to purchase 2,986,354 shares were deemed Eligible Options and were repriced such that the exercise price per share for such outstanding options was reduced to $3.01 per share. There were no changes to the number of shares, the vesting schedule or the expiration date of the Eligible Options.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effect of the option repricing resulted in a total incremental non-cash stock-based compensation expense of $0.6 million, which was calculated using the Black-Scholes option-pricing model, of which $0.2 million of the incremental non-cash stock-based compensation expense is associated with vested repriced options and will be recognized on a straight-line basis through the 13-month Retention Period. The remaining $0.4 million of the incremental non-cash stock-based compensation expense is associated with unvested repriced options and will be recognized as follows: (a) if the Retention Period is greater than the remaining original vesting period of the repriced option, the incremental cost will be amortized on a straight-line basis through the Retention Period end date or (b) if the Retention Period is less than the remaining original vesting term of the repriced option, the incremental cost will be amortized on a straight-line basis over the remaining original vesting period.</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2026 and 2025, the Company recognized incremental stock-based compensation expense of $25 thousand and $82 thousand, respectively, associated with the repricing which is included in general and administrative and research and development expense in the condensed consolidated statement of operations and comprehensive loss.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March 20, 2025, the Company’s Board of Directors adopted the Immuneering Corporation 2025 Employment Inducement Award Plan (the "Inducement Award Plan"), without stockholder approval pursuant to Rule 5635(c)(4) of the Nasdaq Stock Market LLC listing rules. The Inducement Award Plan provides for the grant of non-qualified stock options, stock appreciation rights, restricted stock awards, restricted stock units, and other stock-based awards. The number of shares reserved for issuance under the Inducement Award Plan was initially equal to 500,000 shares. Shares issued under the Inducement Award Plan may be authorized but unissued shares, shares purchased on the open market or treasury shares. If an award under the Inducement Award Plan expires, lapses or is terminated, exchanged for or settled in cash, surrendered, repurchased, cancelled without having been fully exercised/settled or forfeited, any unused shares subject to the award will, as applicable, become or again be available for new grants under the Inducement Award Plan. As of March 31, 2026, there were 382,000 shares available for future issuance under the Inducement Award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recognized stock-based compensation expense of $1,636,675 and $1,692,267 during the three months ended March 31, 2026 and 2025, respectively. As of March 31, 2026, compensation expense remaining to be recognized for outstanding stock options was $13,733,451 and to be recognized over a weighted-average period of 2.94 years.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fair value of options granted is calculated on the grant date using the Black-Scholes option valuation model. Prior to the Company’s IPO on August 3, 2021, the Company was a private company and thus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publicly traded stock price. For the three months ended March 31, 2026, the Company granted 2,771,371 shares of stock options at a weighted-average grant date fair value of $4.91.</w:t>
      </w:r>
    </w:p>
    <w:p>
      <w:pPr>
        <w:spacing w:after="0" w:line="17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Company used the following assumptions in its application of the Black-Scholes option pricing model for grants during the three months ended March 31, 2026 and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6"/>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5"/>
                <w:szCs w:val="15"/>
                <w:color w:val="auto"/>
              </w:rPr>
            </w:pPr>
          </w:p>
        </w:tc>
      </w:tr>
      <w:tr>
        <w:trPr>
          <w:trHeight w:val="35"/>
        </w:trPr>
        <w:tc>
          <w:tcPr>
            <w:tcW w:w="5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3"/>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r>
      <w:tr>
        <w:trPr>
          <w:trHeight w:val="35"/>
        </w:trPr>
        <w:tc>
          <w:tcPr>
            <w:tcW w:w="5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238"/>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risk-free interest rate</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3.68% - 4.14%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3"/>
            <w:shd w:val="clear" w:color="auto" w:fill="CCEEFF"/>
          </w:tcPr>
          <w:p>
            <w:pPr>
              <w:jc w:val="center"/>
              <w:ind w:right="141"/>
              <w:spacing w:after="0"/>
              <w:rPr>
                <w:sz w:val="20"/>
                <w:szCs w:val="20"/>
                <w:color w:val="auto"/>
              </w:rPr>
            </w:pPr>
            <w:r>
              <w:rPr>
                <w:rFonts w:ascii="Times New Roman" w:cs="Times New Roman" w:eastAsia="Times New Roman" w:hAnsi="Times New Roman"/>
                <w:sz w:val="17"/>
                <w:szCs w:val="17"/>
                <w:color w:val="auto"/>
              </w:rPr>
              <w:t>4.07% - 4.55%</w:t>
            </w:r>
          </w:p>
        </w:tc>
        <w:tc>
          <w:tcPr>
            <w:tcW w:w="20" w:type="dxa"/>
            <w:vAlign w:val="bottom"/>
          </w:tcPr>
          <w:p>
            <w:pPr>
              <w:spacing w:after="0"/>
              <w:rPr>
                <w:sz w:val="20"/>
                <w:szCs w:val="20"/>
                <w:color w:val="auto"/>
              </w:rPr>
            </w:pP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jc w:val="center"/>
              <w:ind w:right="371"/>
              <w:spacing w:after="0"/>
              <w:rPr>
                <w:sz w:val="20"/>
                <w:szCs w:val="20"/>
                <w:color w:val="auto"/>
              </w:rPr>
            </w:pPr>
            <w:r>
              <w:rPr>
                <w:rFonts w:ascii="Times New Roman" w:cs="Times New Roman" w:eastAsia="Times New Roman" w:hAnsi="Times New Roman"/>
                <w:sz w:val="17"/>
                <w:szCs w:val="17"/>
                <w:color w:val="auto"/>
              </w:rPr>
              <w:t>5.98 - 10.00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61"/>
              <w:spacing w:after="0"/>
              <w:rPr>
                <w:sz w:val="20"/>
                <w:szCs w:val="20"/>
                <w:color w:val="auto"/>
              </w:rPr>
            </w:pPr>
            <w:r>
              <w:rPr>
                <w:rFonts w:ascii="Times New Roman" w:cs="Times New Roman" w:eastAsia="Times New Roman" w:hAnsi="Times New Roman"/>
                <w:sz w:val="17"/>
                <w:szCs w:val="17"/>
                <w:color w:val="auto"/>
              </w:rPr>
              <w:t>5.51 - 10.00</w:t>
            </w:r>
          </w:p>
        </w:tc>
        <w:tc>
          <w:tcPr>
            <w:tcW w:w="20" w:type="dxa"/>
            <w:vAlign w:val="bottom"/>
          </w:tcPr>
          <w:p>
            <w:pPr>
              <w:spacing w:after="0"/>
              <w:rPr>
                <w:sz w:val="20"/>
                <w:szCs w:val="20"/>
                <w:color w:val="auto"/>
              </w:rPr>
            </w:pPr>
          </w:p>
        </w:tc>
      </w:tr>
      <w:tr>
        <w:trPr>
          <w:trHeight w:val="25"/>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3"/>
            <w:shd w:val="clear" w:color="auto" w:fill="CCEEFF"/>
          </w:tcPr>
          <w:p>
            <w:pPr>
              <w:jc w:val="center"/>
              <w:ind w:right="371"/>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ind w:right="361"/>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20"/>
                <w:szCs w:val="20"/>
                <w:color w:val="auto"/>
              </w:rPr>
            </w:pP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67.62% - 70.13%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center"/>
              <w:ind w:right="141"/>
              <w:spacing w:after="0"/>
              <w:rPr>
                <w:sz w:val="20"/>
                <w:szCs w:val="20"/>
                <w:color w:val="auto"/>
              </w:rPr>
            </w:pPr>
            <w:r>
              <w:rPr>
                <w:rFonts w:ascii="Times New Roman" w:cs="Times New Roman" w:eastAsia="Times New Roman" w:hAnsi="Times New Roman"/>
                <w:sz w:val="17"/>
                <w:szCs w:val="17"/>
                <w:color w:val="auto"/>
              </w:rPr>
              <w:t>65.86% - 67.33%</w:t>
            </w:r>
          </w:p>
        </w:tc>
        <w:tc>
          <w:tcPr>
            <w:tcW w:w="20" w:type="dxa"/>
            <w:vAlign w:val="bottom"/>
          </w:tcPr>
          <w:p>
            <w:pPr>
              <w:spacing w:after="0"/>
              <w:rPr>
                <w:sz w:val="20"/>
                <w:szCs w:val="20"/>
                <w:color w:val="auto"/>
              </w:rPr>
            </w:pPr>
          </w:p>
        </w:tc>
      </w:tr>
      <w:tr>
        <w:trPr>
          <w:trHeight w:val="529"/>
        </w:trPr>
        <w:tc>
          <w:tcPr>
            <w:tcW w:w="7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following table summarizes the stock option activity during the three months ended March 31, 2026:</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8"/>
        </w:trPr>
        <w:tc>
          <w:tcPr>
            <w:tcW w:w="5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5040" w:type="dxa"/>
            <w:vAlign w:val="bottom"/>
          </w:tcPr>
          <w:p>
            <w:pPr>
              <w:spacing w:after="0"/>
              <w:rPr>
                <w:sz w:val="13"/>
                <w:szCs w:val="13"/>
                <w:color w:val="auto"/>
              </w:rPr>
            </w:pPr>
          </w:p>
        </w:tc>
        <w:tc>
          <w:tcPr>
            <w:tcW w:w="1480" w:type="dxa"/>
            <w:vAlign w:val="bottom"/>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center"/>
              <w:ind w:right="40"/>
              <w:spacing w:after="0" w:line="155"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361"/>
              <w:spacing w:after="0" w:line="15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060" w:type="dxa"/>
            <w:vAlign w:val="bottom"/>
            <w:gridSpan w:val="2"/>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 (in Years)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20" w:type="dxa"/>
            <w:vAlign w:val="bottom"/>
          </w:tcPr>
          <w:p>
            <w:pPr>
              <w:spacing w:after="0"/>
              <w:rPr>
                <w:sz w:val="16"/>
                <w:szCs w:val="16"/>
                <w:color w:val="auto"/>
              </w:rPr>
            </w:pPr>
          </w:p>
        </w:tc>
      </w:tr>
      <w:tr>
        <w:trPr>
          <w:trHeight w:val="35"/>
        </w:trPr>
        <w:tc>
          <w:tcPr>
            <w:tcW w:w="50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38"/>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8,250,958</w:t>
            </w:r>
          </w:p>
        </w:tc>
        <w:tc>
          <w:tcPr>
            <w:tcW w:w="1100" w:type="dxa"/>
            <w:vAlign w:val="bottom"/>
            <w:tcBorders>
              <w:bottom w:val="single" w:sz="8" w:color="CCEEFF"/>
            </w:tcBorders>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2,771,371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3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7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11,008,350</w:t>
            </w:r>
          </w:p>
        </w:tc>
        <w:tc>
          <w:tcPr>
            <w:tcW w:w="1100" w:type="dxa"/>
            <w:vAlign w:val="bottom"/>
            <w:tcBorders>
              <w:bottom w:val="single" w:sz="8" w:color="CCEEFF"/>
            </w:tcBorders>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6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7.59</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18,078,420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exercisable at March 31,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5,845,046</w:t>
            </w:r>
          </w:p>
        </w:tc>
        <w:tc>
          <w:tcPr>
            <w:tcW w:w="110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10,447,339</w:t>
            </w:r>
          </w:p>
        </w:tc>
        <w:tc>
          <w:tcPr>
            <w:tcW w:w="20" w:type="dxa"/>
            <w:vAlign w:val="bottom"/>
            <w:shd w:val="clear" w:color="auto" w:fill="CCEEFF"/>
          </w:tcPr>
          <w:p>
            <w:pPr>
              <w:spacing w:after="0"/>
              <w:rPr>
                <w:sz w:val="20"/>
                <w:szCs w:val="20"/>
                <w:color w:val="auto"/>
              </w:rPr>
            </w:pPr>
          </w:p>
        </w:tc>
      </w:tr>
      <w:tr>
        <w:trPr>
          <w:trHeight w:val="25"/>
        </w:trPr>
        <w:tc>
          <w:tcPr>
            <w:tcW w:w="50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2026 and 2025, the Company recognized share-based compensation expense on the accompanying condensed consolidated statements of operations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5"/>
        </w:trPr>
        <w:tc>
          <w:tcPr>
            <w:tcW w:w="37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5"/>
        </w:trPr>
        <w:tc>
          <w:tcPr>
            <w:tcW w:w="37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670,406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733,037</w:t>
            </w:r>
          </w:p>
        </w:tc>
        <w:tc>
          <w:tcPr>
            <w:tcW w:w="0" w:type="dxa"/>
            <w:vAlign w:val="bottom"/>
          </w:tcPr>
          <w:p>
            <w:pPr>
              <w:spacing w:after="0"/>
              <w:rPr>
                <w:sz w:val="1"/>
                <w:szCs w:val="1"/>
                <w:color w:val="auto"/>
              </w:rPr>
            </w:pPr>
          </w:p>
        </w:tc>
      </w:tr>
      <w:tr>
        <w:trPr>
          <w:trHeight w:val="23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966,269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959,230</w:t>
            </w:r>
          </w:p>
        </w:tc>
        <w:tc>
          <w:tcPr>
            <w:tcW w:w="0" w:type="dxa"/>
            <w:vAlign w:val="bottom"/>
          </w:tcPr>
          <w:p>
            <w:pPr>
              <w:spacing w:after="0"/>
              <w:rPr>
                <w:sz w:val="1"/>
                <w:szCs w:val="1"/>
                <w:color w:val="auto"/>
              </w:rPr>
            </w:pPr>
          </w:p>
        </w:tc>
      </w:tr>
      <w:tr>
        <w:trPr>
          <w:trHeight w:val="25"/>
        </w:trPr>
        <w:tc>
          <w:tcPr>
            <w:tcW w:w="370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1,636,675</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1,692,267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394"/>
              <w:spacing w:after="0"/>
              <w:rPr>
                <w:sz w:val="20"/>
                <w:szCs w:val="20"/>
                <w:color w:val="auto"/>
              </w:rPr>
            </w:pPr>
            <w:r>
              <w:rPr>
                <w:rFonts w:ascii="Times New Roman" w:cs="Times New Roman" w:eastAsia="Times New Roman" w:hAnsi="Times New Roman"/>
                <w:sz w:val="17"/>
                <w:szCs w:val="17"/>
                <w:color w:val="auto"/>
              </w:rPr>
              <w:t>23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37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700" w:type="dxa"/>
            <w:vAlign w:val="bottom"/>
            <w:tcBorders>
              <w:bottom w:val="single" w:sz="8" w:color="9A9A9A"/>
            </w:tcBorders>
          </w:tcPr>
          <w:p>
            <w:pPr>
              <w:spacing w:after="0"/>
              <w:rPr>
                <w:sz w:val="8"/>
                <w:szCs w:val="8"/>
                <w:color w:val="auto"/>
              </w:rPr>
            </w:pPr>
          </w:p>
        </w:tc>
        <w:tc>
          <w:tcPr>
            <w:tcW w:w="44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Operating Leases</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leases 38,613 square feet of office and laboratory space in San Diego, California, under a lease that terminates on April 30, 2032. As of March 31, 2026, the right-of-use asset balance associated with this lease was $3,230,489.</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currently also leases office space in Cambridge, Massachusetts and New York, New York, pursuant to short-term arrangements. In September 2025, the Company executed a one year lease for its existing office space in Cambridge with a term that commenced on December 1, 2025 and ends on November 30, 2026. The New York lease was most recently renewed on October 1, 2025 to extend the lease term through September 30, 2026. These lease agreements include or included payments for lease and non-lease components. The Company has elected to not separate such components and these payments were recognized as rent expense.</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total future minimum lease payments for its short-term leases in Cambridge, Massachusetts and New York, New York were $96,708 due in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minimum lease payments for operating leases with initial or remaining terms in excess of one year at March 31, 2026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5"/>
        </w:trPr>
        <w:tc>
          <w:tcPr>
            <w:tcW w:w="5220" w:type="dxa"/>
            <w:vAlign w:val="bottom"/>
            <w:tcBorders>
              <w:bottom w:val="single" w:sz="8" w:color="CCEEFF"/>
            </w:tcBorders>
          </w:tcPr>
          <w:p>
            <w:pPr>
              <w:spacing w:after="0"/>
              <w:rPr>
                <w:sz w:val="3"/>
                <w:szCs w:val="3"/>
                <w:color w:val="auto"/>
              </w:rPr>
            </w:pPr>
          </w:p>
        </w:tc>
        <w:tc>
          <w:tcPr>
            <w:tcW w:w="27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572,826</w:t>
            </w:r>
          </w:p>
        </w:tc>
        <w:tc>
          <w:tcPr>
            <w:tcW w:w="0" w:type="dxa"/>
            <w:vAlign w:val="bottom"/>
          </w:tcPr>
          <w:p>
            <w:pPr>
              <w:spacing w:after="0"/>
              <w:rPr>
                <w:sz w:val="1"/>
                <w:szCs w:val="1"/>
                <w:color w:val="auto"/>
              </w:rPr>
            </w:pPr>
          </w:p>
        </w:tc>
      </w:tr>
      <w:tr>
        <w:trPr>
          <w:trHeight w:val="23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784,737</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808,278</w:t>
            </w:r>
          </w:p>
        </w:tc>
        <w:tc>
          <w:tcPr>
            <w:tcW w:w="0" w:type="dxa"/>
            <w:vAlign w:val="bottom"/>
          </w:tcPr>
          <w:p>
            <w:pPr>
              <w:spacing w:after="0"/>
              <w:rPr>
                <w:sz w:val="1"/>
                <w:szCs w:val="1"/>
                <w:color w:val="auto"/>
              </w:rPr>
            </w:pPr>
          </w:p>
        </w:tc>
      </w:tr>
      <w:tr>
        <w:trPr>
          <w:trHeight w:val="23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832,527</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857,496</w:t>
            </w:r>
          </w:p>
        </w:tc>
        <w:tc>
          <w:tcPr>
            <w:tcW w:w="0" w:type="dxa"/>
            <w:vAlign w:val="bottom"/>
          </w:tcPr>
          <w:p>
            <w:pPr>
              <w:spacing w:after="0"/>
              <w:rPr>
                <w:sz w:val="1"/>
                <w:szCs w:val="1"/>
                <w:color w:val="auto"/>
              </w:rPr>
            </w:pPr>
          </w:p>
        </w:tc>
      </w:tr>
      <w:tr>
        <w:trPr>
          <w:trHeight w:val="23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1,184,208</w:t>
            </w:r>
          </w:p>
        </w:tc>
        <w:tc>
          <w:tcPr>
            <w:tcW w:w="0" w:type="dxa"/>
            <w:vAlign w:val="bottom"/>
          </w:tcPr>
          <w:p>
            <w:pPr>
              <w:spacing w:after="0"/>
              <w:rPr>
                <w:sz w:val="1"/>
                <w:szCs w:val="1"/>
                <w:color w:val="auto"/>
              </w:rPr>
            </w:pPr>
          </w:p>
        </w:tc>
      </w:tr>
      <w:tr>
        <w:trPr>
          <w:trHeight w:val="25"/>
        </w:trPr>
        <w:tc>
          <w:tcPr>
            <w:tcW w:w="52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lease payments</w:t>
            </w:r>
          </w:p>
        </w:tc>
        <w:tc>
          <w:tcPr>
            <w:tcW w:w="2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5,040,072</w:t>
            </w:r>
          </w:p>
        </w:tc>
        <w:tc>
          <w:tcPr>
            <w:tcW w:w="0" w:type="dxa"/>
            <w:vAlign w:val="bottom"/>
          </w:tcPr>
          <w:p>
            <w:pPr>
              <w:spacing w:after="0"/>
              <w:rPr>
                <w:sz w:val="1"/>
                <w:szCs w:val="1"/>
                <w:color w:val="auto"/>
              </w:rPr>
            </w:pPr>
          </w:p>
        </w:tc>
      </w:tr>
      <w:tr>
        <w:trPr>
          <w:trHeight w:val="232"/>
        </w:trPr>
        <w:tc>
          <w:tcPr>
            <w:tcW w:w="52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Less: imputed interest</w:t>
            </w:r>
          </w:p>
        </w:tc>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(1,309,868)</w:t>
            </w:r>
          </w:p>
        </w:tc>
        <w:tc>
          <w:tcPr>
            <w:tcW w:w="0" w:type="dxa"/>
            <w:vAlign w:val="bottom"/>
          </w:tcPr>
          <w:p>
            <w:pPr>
              <w:spacing w:after="0"/>
              <w:rPr>
                <w:sz w:val="1"/>
                <w:szCs w:val="1"/>
                <w:color w:val="auto"/>
              </w:rPr>
            </w:pPr>
          </w:p>
        </w:tc>
      </w:tr>
      <w:tr>
        <w:trPr>
          <w:trHeight w:val="25"/>
        </w:trPr>
        <w:tc>
          <w:tcPr>
            <w:tcW w:w="52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lease liabilities</w:t>
            </w:r>
          </w:p>
        </w:tc>
        <w:tc>
          <w:tcPr>
            <w:tcW w:w="2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3,730,204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412,835</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2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3,317,369</w:t>
            </w:r>
          </w:p>
        </w:tc>
        <w:tc>
          <w:tcPr>
            <w:tcW w:w="0" w:type="dxa"/>
            <w:vAlign w:val="bottom"/>
          </w:tcPr>
          <w:p>
            <w:pPr>
              <w:spacing w:after="0"/>
              <w:rPr>
                <w:sz w:val="1"/>
                <w:szCs w:val="1"/>
                <w:color w:val="auto"/>
              </w:rPr>
            </w:pPr>
          </w:p>
        </w:tc>
      </w:tr>
      <w:tr>
        <w:trPr>
          <w:trHeight w:val="251"/>
        </w:trPr>
        <w:tc>
          <w:tcPr>
            <w:tcW w:w="5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lease liabilities</w:t>
            </w:r>
          </w:p>
        </w:tc>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3,730,204</w:t>
            </w:r>
          </w:p>
        </w:tc>
        <w:tc>
          <w:tcPr>
            <w:tcW w:w="0" w:type="dxa"/>
            <w:vAlign w:val="bottom"/>
          </w:tcPr>
          <w:p>
            <w:pPr>
              <w:spacing w:after="0"/>
              <w:rPr>
                <w:sz w:val="1"/>
                <w:szCs w:val="1"/>
                <w:color w:val="auto"/>
              </w:rPr>
            </w:pPr>
          </w:p>
        </w:tc>
      </w:tr>
      <w:tr>
        <w:trPr>
          <w:trHeight w:val="20"/>
        </w:trPr>
        <w:tc>
          <w:tcPr>
            <w:tcW w:w="9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Quantitative information regarding the Company’s leases for the three months ended March 31, 2026 and 2025 is as follows:</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964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2"/>
        </w:trPr>
        <w:tc>
          <w:tcPr>
            <w:tcW w:w="52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8"/>
        </w:trPr>
        <w:tc>
          <w:tcPr>
            <w:tcW w:w="522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costs:</w:t>
            </w:r>
          </w:p>
        </w:tc>
        <w:tc>
          <w:tcPr>
            <w:tcW w:w="2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cost</w:t>
            </w:r>
          </w:p>
        </w:tc>
        <w:tc>
          <w:tcPr>
            <w:tcW w:w="304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186,590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20"/>
                <w:szCs w:val="20"/>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186,590</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Short-term lease cost</w:t>
            </w:r>
          </w:p>
        </w:tc>
        <w:tc>
          <w:tcPr>
            <w:tcW w:w="2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43,428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31,278</w:t>
            </w:r>
          </w:p>
        </w:tc>
        <w:tc>
          <w:tcPr>
            <w:tcW w:w="0" w:type="dxa"/>
            <w:vAlign w:val="bottom"/>
          </w:tcPr>
          <w:p>
            <w:pPr>
              <w:spacing w:after="0"/>
              <w:rPr>
                <w:sz w:val="1"/>
                <w:szCs w:val="1"/>
                <w:color w:val="auto"/>
              </w:rPr>
            </w:pPr>
          </w:p>
        </w:tc>
      </w:tr>
      <w:tr>
        <w:trPr>
          <w:trHeight w:val="251"/>
        </w:trPr>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lease costs</w:t>
            </w:r>
          </w:p>
        </w:tc>
        <w:tc>
          <w:tcPr>
            <w:tcW w:w="27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230,018</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217,868</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7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304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189,051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20"/>
                <w:szCs w:val="20"/>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183,546</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cash flows from short-term leases</w:t>
            </w:r>
          </w:p>
        </w:tc>
        <w:tc>
          <w:tcPr>
            <w:tcW w:w="2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43,428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31,278</w:t>
            </w:r>
          </w:p>
        </w:tc>
        <w:tc>
          <w:tcPr>
            <w:tcW w:w="0" w:type="dxa"/>
            <w:vAlign w:val="bottom"/>
          </w:tcPr>
          <w:p>
            <w:pPr>
              <w:spacing w:after="0"/>
              <w:rPr>
                <w:sz w:val="1"/>
                <w:szCs w:val="1"/>
                <w:color w:val="auto"/>
              </w:rPr>
            </w:pPr>
          </w:p>
        </w:tc>
      </w:tr>
      <w:tr>
        <w:trPr>
          <w:trHeight w:val="225"/>
        </w:trPr>
        <w:tc>
          <w:tcPr>
            <w:tcW w:w="5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232,479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214,824</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27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6.08 years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 years</w:t>
            </w:r>
          </w:p>
        </w:tc>
        <w:tc>
          <w:tcPr>
            <w:tcW w:w="0" w:type="dxa"/>
            <w:vAlign w:val="bottom"/>
          </w:tcPr>
          <w:p>
            <w:pPr>
              <w:spacing w:after="0"/>
              <w:rPr>
                <w:sz w:val="1"/>
                <w:szCs w:val="1"/>
                <w:color w:val="auto"/>
              </w:rPr>
            </w:pPr>
          </w:p>
        </w:tc>
      </w:tr>
      <w:tr>
        <w:trPr>
          <w:trHeight w:val="23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890"/>
        </w:trPr>
        <w:tc>
          <w:tcPr>
            <w:tcW w:w="5220" w:type="dxa"/>
            <w:vAlign w:val="bottom"/>
          </w:tcPr>
          <w:p>
            <w:pPr>
              <w:spacing w:after="0"/>
              <w:rPr>
                <w:sz w:val="24"/>
                <w:szCs w:val="24"/>
                <w:color w:val="auto"/>
              </w:rPr>
            </w:pPr>
          </w:p>
        </w:tc>
        <w:tc>
          <w:tcPr>
            <w:tcW w:w="2740" w:type="dxa"/>
            <w:vAlign w:val="bottom"/>
          </w:tcPr>
          <w:p>
            <w:pPr>
              <w:jc w:val="right"/>
              <w:ind w:right="2174"/>
              <w:spacing w:after="0"/>
              <w:rPr>
                <w:sz w:val="20"/>
                <w:szCs w:val="20"/>
                <w:color w:val="auto"/>
              </w:rPr>
            </w:pPr>
            <w:r>
              <w:rPr>
                <w:rFonts w:ascii="Times New Roman" w:cs="Times New Roman" w:eastAsia="Times New Roman" w:hAnsi="Times New Roman"/>
                <w:sz w:val="17"/>
                <w:szCs w:val="17"/>
                <w:color w:val="auto"/>
              </w:rPr>
              <w:t>24</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22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Litigation</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and may be exposed to litigation in connection with its product candidates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judgment is required to determine both probability and estimated amount. The Company is not aware of any material legal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Clinical Research Contracts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may enter into contracts in the normal course of business with contract research organizations for clinical trials, with contract manufacturing organizations for clinical supplies, and with other vendors for preclinical studies, supplies and other services for the Company’s operating purposes. These contracts generally provide for termination with a 30-day notice.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Segments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 operating segment is identified as a component of an enterprise about which separate discrete financial information is available for evaluation by the Chief Operating Decision Maker ("CODM") in making decisions, including regarding resource allocation and assessing performance. The Company’s Chief Executive Officer is its CODM.</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Company's CODM uses consolidated single-segment (one) financial information for purposes of: allocating resources, evaluating performance, making operating decisions, setting incentive targets, and planning and forecasting for future periods. The Company's CODM makes such decisions based on consolidated net loss. This measure is used to monitor budget versus actual results to evaluate the performance of the segment. Managing and allocating resources on a consolidated basis enables the CODM to assess the overall level of resources available and how to deploy these resources across functions and operations (including research and development) that align with the Company’s strategic goals. All of the Company’s long-lived assets are held in the United States.</w:t>
      </w:r>
    </w:p>
    <w:p>
      <w:pPr>
        <w:spacing w:after="0" w:line="2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following table is representative of the significant expense categories regularly provided to the CODM when managing the Company’s single reporting segment.</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5"/>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8180" w:type="dxa"/>
            <w:vAlign w:val="bottom"/>
            <w:shd w:val="clear" w:color="auto" w:fill="CCEEFF"/>
          </w:tcPr>
          <w:p>
            <w:pPr>
              <w:ind w:left="20"/>
              <w:spacing w:after="0" w:line="238" w:lineRule="exact"/>
              <w:rPr>
                <w:sz w:val="20"/>
                <w:szCs w:val="20"/>
                <w:color w:val="auto"/>
              </w:rPr>
            </w:pPr>
            <w:r>
              <w:rPr>
                <w:rFonts w:ascii="Times New Roman" w:cs="Times New Roman" w:eastAsia="Times New Roman" w:hAnsi="Times New Roman"/>
                <w:sz w:val="17"/>
                <w:szCs w:val="17"/>
                <w:color w:val="auto"/>
              </w:rPr>
              <w:t>Program expenses</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2"/>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Atebimetinib (IMM-1-104)</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4,055,258</w:t>
            </w:r>
          </w:p>
        </w:tc>
        <w:tc>
          <w:tcPr>
            <w:tcW w:w="8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4,257,936</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Envometinib (IMM-6-415)</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1,623,755</w:t>
            </w:r>
          </w:p>
        </w:tc>
      </w:tr>
      <w:tr>
        <w:trPr>
          <w:trHeight w:val="232"/>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programs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2,019,865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1,242,109</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Non-program expenses</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1,469,553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1,204,385</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6,067,936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5,378,938</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1,636,675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1,692,267</w:t>
            </w: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85,261</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(3)</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(1,874,139)</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(438,519)</w:t>
            </w: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13,460,895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15,046,132</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40" w:hanging="23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direct research and development expenses.</w:t>
      </w:r>
    </w:p>
    <w:p>
      <w:pPr>
        <w:spacing w:after="0" w:line="15"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general and administrative expenses, in addition to facilities and other research and development expenses.</w:t>
      </w:r>
    </w:p>
    <w:p>
      <w:pPr>
        <w:spacing w:after="0" w:line="9"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interest income and other (income)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interim condensed consolidated financial statements and related notes appearing elsewhere in this Quarterly Report on Form 10-Q and with our Annual Report on Form 10-K for the fiscal year ended December 31, 2025, including the audited consolidated financial statements and notes thereto.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 late-stage clinical oncology company focused on keeping cancer patients alive and helping them thrive. We are developing and seeking to commercialize an entirely new category of anti-cancer medicines, Deep Cyclic Inhibitors, which we believe have the potential to be more effective and better tolerated targeted therapies.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Deep Cyclic Inhibition® ("DCI") is a novel mechanism that aims to deprive tumor cells of the sustained proliferative signaling required for rapid growth, while sparing healthy cells through a cadenced, normalized level of signaling. Our Deep Cyclic Inhibitors inhibit clinically-validated core signaling pathways, such as the MAPK pathway. Our novel approach is designed to improve durability and tolerability, and differentiates us from chronically targeted precision therapies, which are generally limited by toxicity, resistance and/or application to specific mutations only.</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lead product candidate, atebimetinib (IMM-1-104), is an oral, once-daily Deep Cyclic Inhibitor of MEK, designed to improve durability and tolerability across many cancer indications, including MAPK pathway-driven tumors such as pancreatic cancer. We are currently recruiting patients for a Phase 3 clinical trial of atebimetinib, which we call the MAPKeeper 301 trial, to evaluate atebimetinib in combination with mGnP in first-line pancreatic cancer patients. We expect to dose the first patient in the MAPKeeper 301 trial in mid-2026.</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MAPKeeper 301 is designed as a global Phase 3 registrational trial that will evaluate atebimetinib (320 mg once-daily) in combination with mGnP, compared to standard of care GnP alone, in first-line metastatic PDAC. The primary endpoint of MAPKeeper 301 is overall survival, and secondary endpoints include progression-free survival, overall response rate, disease control rate, and quality of life measurements. We plan to enroll a total of approximately 510 patients in MAPKeeper 301, divided equally across the two arms.</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January 2026, we announced positive interim response and safety data from our ongoing Phase 2a clinical trial arm evaluating atebimetinib in combination with mGnP in first-line pancreatic cancer patients, which is part of our ongoing Phase 1/2a clinical trial of atebimetinib in patients with advanced solid tumors.</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April 2026, we presented a poster at the American Association for Cancer Research (AACR) annual meeting, which provided further updated circulating tumor DNA data on acquired alterations from cancer patients treated with atebimetinib. Consistent with our DCI hypothesis, the observed absence or scarcity of certain RAS/MAPK resistance alterations in atebimetinib-treated patients suggested that the DCI of MEK may lessen selective pressure that drives resistance, thereby slowing adaptation while preserving MAPK dependence, and potentially preserving the opportunity for therapeutic combinations of atebimetinib within the MAPK pathway and across parallel pathways.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expect the following additional near-term milestones related to atebimetinib: announcing further updated survival and safety data from an expanded cohort of approximately 55 first-line pancreatic cancer patients treated with atebimetinib in combination with mGnP in our ongoing Phase 1/2a clinical trial, in the second quarter of 2026; and dosing the first patient in a planned clinical trial of atebimetinib in combination with Libtayo® in non-small cell lung cancer patients, in the second half of 2026.</w:t>
      </w: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development pipeline also includes our additional clinical-stage product candidate envometinib (IMM-6-415) and other pre-clinical research programs, including research focused on validated core cancer-signaling pathways outside of the MAPK pathway.</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period from inception through 2017, we devoted substantially all of our efforts to business planning, service revenue generation, developing tools to aid in drug discovery, and recruiting management and technical staff. Since 2018,</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focused significant effort on our own internal research and development programs, and since December 2022 have exclusively focused our efforts on such programs. We have financed our operations through service revenues (which have since ceased), the issuance of convertible debt and the sale of convertible preferred stock, common stock and warrants exercisable for common stock.</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December 22, 2021, we completed the acquisition of all outstanding shares of capital stock of BioArkive, Inc., a California corporation (“BioArkive”), for a market value of $8.75 million. BioArkive was a San Diego based contract research organization that previously provided preclinical research services and biosample storage to us and other biotechnology companies. BioArkive was fully integrated into our operations following the acquisition and now exclusively supports our internal preclinical research activities for our oncology pipeline. In connection with the acquisition, we assumed BioArkive’s lease agreement obligations.</w:t>
      </w:r>
    </w:p>
    <w:p>
      <w:pPr>
        <w:spacing w:after="0" w:line="3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did not sell any shares of common stock under the 2022 ATM Program during the three months ended March 31, 2026. We sold 4,836,804 shares of common stock under the 2022 ATM Program, at a weighted average price per share of $2.95, for aggregate gross proceeds of $14.2 million ($13.7 million net of offering expenses) during the three months ended March 31, 2025. We did not sell any shares of common stock under the 2025 ATM Program during the three months ended March 31, 2026 or March 31, 2025.</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August 21, 2025, we entered into the August 2025 Purchase Agreement with the purchasers party thereto, pursuant to which we agreed to sell securities to such purchasers in the August 2025 Private Placement. The August 2025 Purchase Agreement provided for the sale and issuance by us to the purchasers of: (i) an aggregate of 5,251,349 shares of our common stock at a purchase price of $3.95 per share, (ii) for certain purchasers, in lieu of common stock, an aggregate of 1,077,764 Pre-Funded Warrants to purchase up to the same number of shares of our common stock, and (iii) an aggregate of 2,848,096 Purchase Warrants to purchase up to the same number of shares of our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following the October 2025 Cashless Exercise, no Pre-Funded Warrants remained issued and outstanding. The Purchase Warrants were issued with an exercise price of $5.50 per share; as of March 31, 2026, no Purchase Warrants had been exercised. As of March 31, 2026, we had received aggregate net proceeds of $23.4 million from the August 2025 Private Placement, after deducting placement expenses of $1.6 million. The August 2025 Private Placement closed on August 26,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24, 2025, we entered into the September 2025 Purchase Agreement with Aventis (a wholly owned subsidiary of Sanofi), pursuant to which we agreed to sell securities to Aventis in the September 2025 Private Placement. The September 2025 Purchase Agreement provided for the sale and issuance by us to Aventis of an aggregate of 2,708,559 shares of our common stock at a purchase price of $9.23 per share. We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September 26, 2025, we completed the September 2025 Offering, pursuant to which we issued and sold 18,959,914 shares of our common stock at an offering price of $9.23 per share, with Leerink Partners LLC and Oppenheimer &amp; Co. Inc. acting as underwriters. The aggregate net proceeds received by us from the September 2025 Offering were $164.1 million, after deducting underwriting discounts and commissions, as well as offering costs of $0.4 million.</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Since our inception, we have had significant annual operating losses. Our net loss was approximately $13.5 million for the three months ended March 31, 2026 and approximately $56.0 million for the year ended December 31, 2025. As of March 31, 2026, we had an accumulated deficit of approximately $293.8 million and approximately $198.6 million in cash, cash equivalents and marketable securities.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not had any internally developed products approved for sale. We do not expect to generate any product sales unless and until we successfully complete development of, obtain regulatory approval for, and successfully bring to market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without limitation, potential collaborations, licenses or similar arrangements.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Based on our current business plans, we believe that our existing cash, cash equivalents and marketable securities as of March 31, 2026 will enable us to fund our development activities and other operations into 2029. We have based this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estimate on assumptions that may prove to be wrong, and we could exhaust our available capital resources sooner than we expect. To finance our operations beyond that point we will need to raise additional capital, which cannot be assured.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some or all planned activities to reduce costs.</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May 15, 2026, the issuance date of the interim condensed consolidated financial statements for the three-months ended March 31, 2026 included elsewhere in this Quarterly Report on Form 10-Q, based on our recurring losses from operations incurred since inception, expectation of continuing operating losses for the foreseeable future and the need to raise additional capital to finance future operations, we believe that our existing cash, cash equivalents and marketable securities will enable us to fund our development activities and other operations into 2029.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operating expenses consist of: (i) research and development expenses, and (ii) general and administrative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account for a significant portion of our total operating expenses. Our research and development expenses consist primarily of direct and indirect costs incurred in connection with the development of our research platform, product candidates, discovery efforts and preclinical and clinical activities related to our program pipeline.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direct costs include:</w:t>
      </w:r>
    </w:p>
    <w:p>
      <w:pPr>
        <w:spacing w:after="0" w:line="114" w:lineRule="exact"/>
        <w:rPr>
          <w:sz w:val="20"/>
          <w:szCs w:val="20"/>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program-specific expenses incurred under agreements with third-party CROs and other vendors that conduct our preclinical and clinical activities on our behalf, including clinical trial sites that conduct research and development activities on our behalf;</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expenses related to the execution of discovery programs, preclinical studies and clinical trials;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production of clinical and preclinical materials, including fees paid to contract manufacturers.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indirect costs include:</w:t>
      </w:r>
    </w:p>
    <w:p>
      <w:pPr>
        <w:spacing w:after="0" w:line="114" w:lineRule="exact"/>
        <w:rPr>
          <w:sz w:val="20"/>
          <w:szCs w:val="20"/>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personnel-related expenses, consisting of employee salaries, bonuses, benefits and stock-based compensation expense, and recruiting costs for personnel engaged in research and development activities;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contractor and consulting fees related to the preparation and ongoing support of clinical trials; and</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facility and equipment related expenses, consisting of indirect and allocated expenses for rent, depreciation and amortization, maintenance of facilities, insurance, and other supplies.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expense research and development costs in the periods in which they are incurred.</w:t>
      </w:r>
    </w:p>
    <w:p>
      <w:pPr>
        <w:spacing w:after="0" w:line="2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direct research and development expenses consist of external costs and fees paid to consultants, contractors, CMOs and CROs in connection with our preclinical and clinical development and manufacturing activities. Such program costs also include the external costs of laboratory and consumable materials and costs of raw materials that are directly attributable to and incurred for any single program. We do not allocate employee costs, contractor/consultant fees, costs associated with our platform development and discovery efforts, payments made under third-party licensing agreements, costs of laboratory supplies and consumable materials that are not directly attributable to any single program, and facilities expenses, including rent, depreciation/amortization and other indirect costs, to specific product development programs because these costs are deployed across multiple programs and our platform technology and, as such, are not separately classified.</w:t>
      </w:r>
    </w:p>
    <w:p>
      <w:pPr>
        <w:spacing w:after="0" w:line="3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programs. We are also unable to predict if, when, or to what extent we will obtain approval and generate revenues from the commercialization and sale of any of our product candidates.</w:t>
      </w:r>
    </w:p>
    <w:p>
      <w:pPr>
        <w:spacing w:after="0" w:line="1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duration, costs and timing of preclinical studies and clinical trials and development of our product candidates will depend on a variety of factors, such as, without limitation:</w:t>
      </w:r>
    </w:p>
    <w:p>
      <w:pPr>
        <w:spacing w:after="0" w:line="48"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preclinical studies and initiation of clinical trials for future product candidates;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enrollment and completion of clinical trials for our current product candidates;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from our clinical programs that support an acceptable risk-benefit profile of our product candidates in the intended patient populations;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by the FDA or other applicable regulatory agencies of IND applications and amendments, clinical trial applications and/or other regulatory filings for our product candidates;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and maintenance of a workforce of experienced scientists and others to continue to develop our product candidates;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application for and receipt of marketing approvals from applicable regulatory authorities;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obtainment and maintenance of intellectual property protection and regulatory exclusivity for our product candidates;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of arrangements with contract manufacturing organizations for, or establishment of, commercial manufacturing capabilities;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sales, marketing and distribution capabilities and successful launch of commercial sales of our product candidates, if and when approved, whether alone or in collaboration with others;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 candidates, if and when approved, by patients, the medical community and third-party payors;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competition with other therapies;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obtainment and maintenance of coverage, adequate pricing and adequate reimbursement from third-party payors, including government payors;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enforcement, defense and protection of our rights in our intellectual property portfolio;</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avoidance of infringement, misappropriation or other violations with respect to others’ intellectual property or proprietary rights;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 continued acceptable safety profile of our product candidates following receipt of marketing approvals, if any.</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EMA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advancement of preclinical and clinical development.</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expect that our research and development expenses will substantially increase for the foreseeable future as we continue to implement our business strategy, which includes: advancing our product candidates through clinical development (including atebimetinib in our MAPKeeper 301 Phase 3 clinical trial), expanding our research and development efforts, including hiring additional personnel to support our research and development efforts, and seeking regulatory approvals for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if such was to occur.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expect our general and administrative expenses will increase for the foreseeable future if and as we continue to increase our general and administrative headcount to support our continued research and development activities and, if any product candidates receive marketing approval, commercialization activities, as well as to support our operations generally. We also expect to continue to incur increased expenses associated with operating as a public company, including costs related to accounting, audit, legal, regulatory, and tax-related services associated with maintaining compliance with exchange listing and rules and regulations of the Securities and Exchange Commission (“SEC”), Sarbanes-Oxley Act, director and officer insurance costs, and investor and public relations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Amortization of intangible asset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of intangible asset relates to the technology acquired in the BioArkive acquisition.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24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Interest income consists of interest earned on our cash and cash equivalents balances and our marketable securities. The primary objective of our investment policy is capital preservation.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consists of the amortization of premiums or accretion of discounts related to our marketable securities.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5"/>
                <w:szCs w:val="15"/>
                <w:color w:val="auto"/>
              </w:rPr>
            </w:pPr>
          </w:p>
        </w:tc>
        <w:tc>
          <w:tcPr>
            <w:tcW w:w="16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5"/>
                <w:szCs w:val="15"/>
                <w:color w:val="auto"/>
              </w:rPr>
            </w:pPr>
          </w:p>
        </w:tc>
      </w:tr>
      <w:tr>
        <w:trPr>
          <w:trHeight w:val="35"/>
        </w:trPr>
        <w:tc>
          <w:tcPr>
            <w:tcW w:w="4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5"/>
                <w:szCs w:val="15"/>
                <w:color w:val="auto"/>
              </w:rPr>
            </w:pPr>
          </w:p>
        </w:tc>
        <w:tc>
          <w:tcPr>
            <w:tcW w:w="112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4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5"/>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20" w:type="dxa"/>
            <w:vAlign w:val="bottom"/>
          </w:tcPr>
          <w:p>
            <w:pPr>
              <w:spacing w:after="0"/>
              <w:rPr>
                <w:sz w:val="15"/>
                <w:szCs w:val="15"/>
                <w:color w:val="auto"/>
              </w:rPr>
            </w:pPr>
          </w:p>
        </w:tc>
      </w:tr>
      <w:tr>
        <w:trPr>
          <w:trHeight w:val="293"/>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2"/>
        </w:trPr>
        <w:tc>
          <w:tcPr>
            <w:tcW w:w="4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10,645</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11,472</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r>
      <w:tr>
        <w:trPr>
          <w:trHeight w:val="25"/>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16.9 %</w:t>
            </w:r>
          </w:p>
        </w:tc>
      </w:tr>
      <w:tr>
        <w:trPr>
          <w:trHeight w:val="232"/>
        </w:trPr>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Amortization of intangible asset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5"/>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1"/>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5"/>
        </w:trPr>
        <w:tc>
          <w:tcPr>
            <w:tcW w:w="49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(15,334)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(15,485)</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5"/>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2"/>
        </w:trPr>
        <w:tc>
          <w:tcPr>
            <w:tcW w:w="4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209.8 %</w:t>
            </w:r>
          </w:p>
        </w:tc>
      </w:tr>
      <w:tr>
        <w:trPr>
          <w:trHeight w:val="25"/>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51"/>
        </w:trPr>
        <w:tc>
          <w:tcPr>
            <w:tcW w:w="49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(13,460)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(15,046)</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1,586</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(10.5)%</w:t>
            </w: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our research and development expenses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0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5"/>
                <w:szCs w:val="15"/>
                <w:color w:val="auto"/>
              </w:rPr>
            </w:pPr>
          </w:p>
        </w:tc>
        <w:tc>
          <w:tcPr>
            <w:tcW w:w="16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r>
      <w:tr>
        <w:trPr>
          <w:trHeight w:val="35"/>
        </w:trPr>
        <w:tc>
          <w:tcPr>
            <w:tcW w:w="50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50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5"/>
                <w:szCs w:val="15"/>
                <w:color w:val="auto"/>
              </w:rPr>
            </w:pPr>
          </w:p>
        </w:tc>
        <w:tc>
          <w:tcPr>
            <w:tcW w:w="11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50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5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5"/>
                <w:szCs w:val="15"/>
                <w:color w:val="auto"/>
              </w:rPr>
            </w:pPr>
          </w:p>
        </w:tc>
      </w:tr>
      <w:tr>
        <w:trPr>
          <w:trHeight w:val="293"/>
        </w:trPr>
        <w:tc>
          <w:tcPr>
            <w:tcW w:w="5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2"/>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Atebimetinib (IMM-1-104)</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5"/>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Envometinib (IMM-6-415)</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w:t>
            </w:r>
          </w:p>
        </w:tc>
      </w:tr>
      <w:tr>
        <w:trPr>
          <w:trHeight w:val="232"/>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programs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62.6 %</w:t>
            </w:r>
          </w:p>
        </w:tc>
      </w:tr>
      <w:tr>
        <w:trPr>
          <w:trHeight w:val="25"/>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Indirect research and development expenses: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r>
      <w:tr>
        <w:trPr>
          <w:trHeight w:val="25"/>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3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Facilities and other expenses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5"/>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Depreciation/amortization</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58"/>
        </w:trPr>
        <w:tc>
          <w:tcPr>
            <w:tcW w:w="50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r>
      <w:tr>
        <w:trPr>
          <w:trHeight w:val="27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10,645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Research and development expenses decreased by approximately $0.8 million, or 7.2%, to approximately $10.6 million for the three months ended March 31, 2026, as compared to approximately $11.5 million for the three months ended March 31, 2025. The decrease of approximately $0.8 million was primarily due to a decrease in direct costs of $1.0 million, primarily driven by a $1.6 million decrease in expenses related to the envometinib program due to the Company's prioritization of the atebimetinib program, in addition to a $0.2 million decrease in expenses related to atebimetinib due to the timing of expenses related to the initiation of the MAPKeeper 301 trial. The decrease to research and development expenses was offset by increased preclinical spend of approximately $0.8 million, driven by development pipeline activities, and by an increase in indirect expenses of approximately $0.2 million, primarily driven by increased employee-related costs of $0.3 million, further offset by stock-based compensation costs of $0.1 million, in addition to depreciation/amortization and facilities and other expenses of $5 thousand.</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our general and administrative expenses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r>
      <w:tr>
        <w:trPr>
          <w:trHeight w:val="35"/>
        </w:trPr>
        <w:tc>
          <w:tcPr>
            <w:tcW w:w="50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50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50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4"/>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5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93"/>
        </w:trPr>
        <w:tc>
          <w:tcPr>
            <w:tcW w:w="5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r>
      <w:tr>
        <w:trPr>
          <w:trHeight w:val="25"/>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30.5 %</w:t>
            </w: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Facilities and other allocated expenses</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8.5 %</w:t>
            </w:r>
          </w:p>
        </w:tc>
      </w:tr>
      <w:tr>
        <w:trPr>
          <w:trHeight w:val="25"/>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34.0 %</w:t>
            </w:r>
          </w:p>
        </w:tc>
      </w:tr>
      <w:tr>
        <w:trPr>
          <w:trHeight w:val="258"/>
        </w:trPr>
        <w:tc>
          <w:tcPr>
            <w:tcW w:w="50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r>
      <w:tr>
        <w:trPr>
          <w:trHeight w:val="276"/>
        </w:trPr>
        <w:tc>
          <w:tcPr>
            <w:tcW w:w="5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general and administrative</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4,006</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General and administrative expenses increased by approximately $0.7 million, or 16.9%, to approximately $4.7 million for the three months ended March 31, 2026, as compared to approximately $4.0 million for the three months ended March 31, 2025. The increase of approximately $0.7 million was primarily driven by a $0.4 million increase in employee-related costs, a $0.2 million increase in professional fees for accounting, auditing and legal services, and a $0.1 million increase in other expenses, stock-based compensation, and facilities and other allocated expenses, in the aggregate.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Amortization of Intangible Asset</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Amortization of intangible asset was $7,317 for the three months ended March 31, 2026 and 2025. This amortization is related to the technology acquired from the BioArkive acquisition completed in December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income from the interest earned on our cash, cash equivalents and marketable securities balances increased by approximately $0.9 million for the three months ended March 31, 2026 as compared to the three months ended March 31, 2025, driven primarily by an increased total cash balance resulting from various financing events in August and September 2025.</w:t>
      </w:r>
    </w:p>
    <w:p>
      <w:pPr>
        <w:spacing w:after="0" w:line="1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Other income for the three months ended March 31, 2026 was $0.5 million, compared to no other income for the three months ended March 31, 2025. This was primarily driven by the accretion of marketable securities during the three months ended March 31, 2026. There were no marketable securities as of March 31, 2025.</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finance our operations through the issuance of convertible notes payable, convertible preferred stock, common stock, warrants exercisable for common stock, and the exercise of stock options.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March 31, 2026, we had an accumulated deficit of $293.8 million and $198.6 million in cash, cash equivalents and marketable securities. Cash, cash equivalents and marketable securities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(which have since ceased) and proceeds from sales of our debt and equity securities.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August 10, 2022, we entered into the 2022 Sales Agreement with the Sales Agent to sell shares of our common stock with aggregate gross proceeds of up to $50 million, from time to time, through the 2022 ATM Program. We did not sell any shares of common stock under the 2022 ATM Program during the three months ended March 31, 2026. We sold 4,836,804 shares of common stock under the 2022 ATM Program, at a weighted average price per share of $2.95, for aggregate gross proceeds of $14.2 million ($13.7 million net of offering expenses) during the three months ended March 31, 2025. In August 2025, the 2022 Shelf Registration Statement and the 2022 ATM Program expired, and the 2022 Sales Agreement was terminated.</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August 13, 2025, we entered into the 2025 Sales Agreement with the Sales Agent, to sell shares of our common stock with aggregate gross proceeds of up to $100 million, from time to time, through the 2025 ATM Program. In connection with the September 2025 Offering, we: (i) reduced the maximum aggregate offering price for sales of shares of common stock pursuant to at-the-market transactions under the 2025 ATM Program by the Reduced Amount, resulting in a new maximum aggregate offering price of up to $98,749,993 under the 2025 ATM Program, and (ii) suspended the 2025 ATM Program and terminated the continuous offering under the 2025 ATM Program, in each case, as to the Reduced Amount. We did not sell any shares of common stock under the 2025 ATM Program during the three months ended March 31, 2026 or March 31, 2025, respectively.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August 21, 2025, we entered into the August 2025 Purchase Agreement with the purchasers party thereto, pursuant to which we agreed to sell securities to such purchasers in the August 2025 Private Placement. The August 2025 Purchase Agreement provided for the sale and issuance by us to the purchasers of: (i) an aggregate of 5,251,349 shares of our common stock at a purchase price of $3.95 per share, (ii) for certain purchasers, in lieu of common stock, an aggregate of 1,077,764 Pre-Funded Warrants to purchase up to the same number of shares of our common stock, and (iii) an aggregate of 2,848,096 Purchase Warrants to purchase up to the same number of shares of our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following the October 2025 Cashless Exercise, no Pre-Funded Warrants remained issued and outstanding. The Purchase Warrants were issued with an exercise price of $5.50 per share; as of March 31, 2026, no Purchase Warrants had been exercised. As of March 31, 2026, we had received aggregate net proceeds of $23.4 million from the August 2025 Private Placement, after deducting placement expenses of $1.6 million. The August 2025 Private Placement closed on August 26, 2025.</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Also on August 21, 2025, in connection with the August 2025 Purchase Agreement, we entered into the Registration Rights Agreement with the purchasers in the August 2025 Private Placement. Pursuant to the Registration Rights Agreement, we agreed to prepare and file a registration statement with the SEC for purposes of registering the resale of the common stock and the Warrant Shares purchased by the purchasers in the August 2025 Private Placement, and any shares of common stock issued as a dividend or other distribution with respect to, in exchange for or in replacement of such common stock or Warrant Shares. On September 3, 2025, we filed the 2025 Resale Registration Statement with the SEC in relation to the registration for re-sale of the common stock and Warrant Shares from the August 2025 Private Placement. The SEC declared the 2025 Resale Registration Statement effective on September 8, 2025.</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24, 2025, we entered into the September 2025 Purchase Agreement with Aventis, a wholly-owned subsidiary of Sanofi, pursuant to which we agreed to sell securities to Aventis in the September 2025 Private Placement. The September 2025 Purchase Agreement provided for the sale and issuance by us to Aventis of an aggregate of 2,708,559 shares of our common stock at a purchase price of $9.23 per share. We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Pursuant to the September 2025 Purchase Agreement, we also agreed to (i) notify Aventis within three business days of us engaging in discussions with any third party regarding, or the board of directors authorizing us to pursue or initiate a process to pursue, any transaction that would be reasonably expected to result in a change of control of the Company or an affiliate of the Company (a “Change of Control”) or any other license, sale, assignment, transfer, grant or other disposition of the Company’s or an affiliate of the Company’s rights to research, develop, manufacture, commercialize, or otherwise exploit atebimetinib (a “Covered Transaction” and, collectively, a “Strategic Transaction Process”), (ii) provide Aventis the opportunity to participate in such Strategic Transaction Process subject to customary confidentiality and other undertakings on substantially the same procedural terms and timeframe as other participants, and (iii) for a period of 120 days following the date of the September 2025 Purchase Agreement, not enter into any Covered Transaction or commence, continue, or otherwise engage in any discussions, or negotiate with any third party, to enter into any Covered Transaction (provided that this provision shall not limit the entry by us into, or any engagement in discussion or negotiations with any third party regarding, a Change of Control transaction). These provisions contain customary confidentiality restrictions and limitations on disclosure obligations, and will terminate upon the earlier of: (a) such time as Aventis and its affiliates no longer hold at least 50% of the securities purchased from the Company pursuant to the September 2025 Purchase Agreement, (b) 90 days after the public release of the topline results of the overall survival of the Phase 3 clinical trial of atebimetinib in pancreatic cancer, (c) the liquidation, dissolution or winding-up of the affairs of the Company, or the consummation of any Change of Control or any other deemed liquidation event of the Company and (d) such time as all development activities with respect to atebimetinib have been terminated.</w:t>
      </w:r>
    </w:p>
    <w:p>
      <w:pPr>
        <w:spacing w:after="0" w:line="2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In addition, pursuant to the September 2025 Purchase Agreement, Aventis agreed (i) until the date that is six months after the closing date of the September 2025 Private Placement, to be subject to customary lock-up restrictions with respect to sales of shares of our common stock (or similar transactions with the same economic effect), subject to certain customary exceptions, (ii) until the first anniversary of the closing date of the September 2025 Private Placement, to be subject to stand-still restrictions with respect to acquisitions of shares of our common stock and similar activities, subject to certain customary exceptions and fall-away provisions, and (iii) until the first anniversary of the closing date of the September 2025 Private Placement or such earlier time as the stand-still restrictions shall have fallen away, vote with respect to all voting securities of the Company as to which it is entitled to vote in accordance with the recommendation of a majority of our board of directors.</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September 26, 2025, we completed the September 2025 Offering, pursuant to which we issued and sold 18,959,914 shares of our Class A common stock at an offering price of $9.23 per share, with Leerink Partners LLC and Oppenheimer &amp; Co. Inc. acting as underwriters. The aggregate net proceeds received by us from the September 2025 Offering were $164.1 million, after deducting underwriting discounts and commissions, as well as offering costs of $0.4 million.</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we had contractual obligations related to various leases of $0.6 million for 2026, $0.8 million for 2027, $0.8 million for 2028, $0.8 million for 2029, $0.9 million for 2030 and $1.2 million for the periods thereafter.</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candidate. Our net losses may fluctuate significantly from quarter-to-quarter and year-to-year, depending on the timing of our clinical trials and our expenditures on other research and development activities.</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Based on our current business plans, we believe that our existing cash, cash equivalents and marketable securities as of March 31, 2026 will enable us to fund our development activities and other operations into 2029. We have based this estimate on assumptions that may prove to be wrong, and we could exhaust our available capital resources sooner than we expect. To finance our operations beyond that point we will need to raise additional capital, which cannot be assured.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some or all planned activities to reduce costs.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sources and uses of cash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5"/>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7"/>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7"/>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5"/>
                <w:szCs w:val="15"/>
                <w:color w:val="auto"/>
              </w:rPr>
            </w:pP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(18,433)</w:t>
            </w:r>
          </w:p>
        </w:tc>
        <w:tc>
          <w:tcPr>
            <w:tcW w:w="80" w:type="dxa"/>
            <w:vAlign w:val="bottom"/>
          </w:tcPr>
          <w:p>
            <w:pPr>
              <w:spacing w:after="0"/>
              <w:rPr>
                <w:sz w:val="20"/>
                <w:szCs w:val="20"/>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(14,081)</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(63,071)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13,811</w:t>
            </w:r>
          </w:p>
        </w:tc>
      </w:tr>
      <w:tr>
        <w:trPr>
          <w:trHeight w:val="25"/>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8"/>
        </w:trPr>
        <w:tc>
          <w:tcPr>
            <w:tcW w:w="81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25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(81,323)</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2026, operating activities used approximately $18.4 million of cash, primarily resulting from our net loss of approximately $13.5 million and changes in assets and liabilities of $6.4 million, partially offset by stock-based compensation expense of approximately $1.6 million, depreciation of approximately $0.1 million and the reduction in carrying amount of right-of-use assets of approximately $0.1 million.</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2025, operating activities used approximately $14.1 million of cash, primarily resulting from our net loss of approximately $15.0 million and changes in assets and liabilities of $1.0 million, partially offset by stock-based compensation expense of approximately $1.7 million and the reduction in carrying amount of right-of-use assets of approximately $0.1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investing activities used approximately $63.1 million of cash, primarily resulting from purchases of marketable securities of $72.0 million and purchases of property and equipment of approximately $80 thousand, offset by maturities of marketable securities of $9.0 million.</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2025, investing activities used approximately $9 thousand, primarily resulting from purchases of property and equipment of approximately $9 thousand.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net cash provided by financing activities was approximately $0.2 million, primarily driven by proceeds of approximately $0.2 million from the sale of common stock pursuant to our employee stock purchase plan and $10 thousand from the exercise of stock options.</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2025, net cash provided by financing activities was approximately $13.8 million, primarily driven by proceeds of approximately $13.7 million from the sale of common stock under our 2022 ATM program, net of offering expenses, in addition to $0.1 million from the sale of common stock pursuant to our employee stock purchase plan.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Future Funding Requirements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51" w:lineRule="exact"/>
        <w:rPr>
          <w:sz w:val="20"/>
          <w:szCs w:val="20"/>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results of our ongoing clinical trial for atebimetinib, our planned registrational trial of atebimetinib in combination with mGnP in first-line pancreatic cancer, and potential future clinical trials for atebimetinib and our other product candidates;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discovery research, preclinical development, laboratory testing and clinical trials for our other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contract manufacturing arrangements for supply of active pharmaceutical ingredient ("API"), and manufacture of our product candidates and the terms of such arrangements;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or receipt of milestones and receipt of other collaboration-based revenues, if any;</w:t>
      </w:r>
    </w:p>
    <w:p>
      <w:pPr>
        <w:spacing w:after="0" w:line="21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if any, including product manufacturing, sales, marketing and distribution, for any of our product candidates for which we may receive marketing approval;</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revenue, if any, received from commercial sales of our product candidates for which we receive marketing approval;</w:t>
      </w:r>
    </w:p>
    <w:p>
      <w:pPr>
        <w:spacing w:after="0" w:line="21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and proprietary rights and defending any intellectual property related claims;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acquire or in-license other products, product candidates, technologies or data referencing rights;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strategic collaborations, licensing or other arrangements and the financial terms of such arrangements;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the private and public capital markets or to obtain financing at commercially reasonable rate;</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receive additional non-dilutive funding, including grants from organizations and foundations;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operating as a public company;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ongoing or future pandemics or other widespread adverse health events.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Based on our currently forecasted operating plan, we believe that our existing cash, cash equivalents and marketable securities as of March 31, 2026 will enable us to fund our operating expenses and capital expenditure requirements into 2029. Based on our recurring losses from operations incurred since inception, our expectation of continuing operating losses for the foreseeable future and the need to raise additional capital to finance future operations, as of May 15, 2026, the issuance date of the interim condensed consolidated financial statements for the three-months ended March 31, 2026 included elsewhere in this Quarterly Report on Form 10-Q,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these unaudited condensed consolidated financial statements.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Use of Estimates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financial statements are prepared in accordance with generally accepted accounting principles in the United States. The preparation of our financial statements and related disclosures requires us to make estimates, assumptions and judgments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Use of Estimates” in our Annual Report on Form 10-K for the fiscal year ending December 31, 2025.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our Annual Report on 10-K for the fiscal year ending December 31, 2025.</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our financial position, results of operations or cash flows is disclosed in Note 2 to our interim condensed consolidated financial statements appearing elsewhere in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an emerging growth company ("EGC"), under the Jumpstart Our Business Startups Act of 2012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may qualify as an EGC until December 31, 2026, which is the end of the fiscal year following the fifth anniversary of our IPO, although if the market value of our common stock that is held by non-affiliates exceeds $700 million as of June 30 of any year before that time, or if we have annual gross revenues of $1.235 billion or more in any fiscal year, we will cease to be an EGC as of December 31 of the applicable year. We also will cease to be an EGC if we issue more than $1.0 billion of non-convertible debt over a three-year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as defined by Rule 12b-2 of the Securities Exchange Act of 1934, as amended, we are not required to provide this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our principal financial officer, evaluated the effectiveness of our disclosure controls and procedures (as defined in Rules 13a-15(e) and 15d-15(e) under the Exchange Act) as of March 31, 2026. Based on that evaluation, our Chief Executive Officer and our SVP Finance, Chief Accounting Officer and Treasurer concluded that, as of March 31, 2026, our disclosure controls and procedures were effective at the reasonable assurance level.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Capital Requirements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a late-stage clinical oncology company with a limited operating history in developing pharmaceutical products, have not completed any registrational clinical trials and have no products approved for commercial sale, which may make it difficult for you to evaluate our current business and predict our future success and viability.</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Pharmaceutical product development is a highly speculative undertaking and involves a substantial degree of risk. We are a late-stage clinical oncology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and clinical trials of our product candidates, including our ongoing Phase 1/2a clinical trial of atebimetinib (also referred to as IMM-1-104) for the treatment of advanced solid tumors. We have not yet demonstrated our ability to successfully complete any registrational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incurred net losses in each reporting period for the past several years, have not generated any revenue from product sales to date and have financed our operations principally through our historical computational biology services to pharmaceutical and biotechnology companies (which have since ceased), the issuance of convertible debt and the sale of our convertible preferred stock, Class A common stock and warrants exercisable for common stock. We have incurred net losses of approximately $13.5 million and $56.0 million for the three months ended March 31, 2026 and year ended December 31, 2025, respectively. As of March 31, 2026, we had an accumulated deficit of approximately $293.8 million. Our losses have resulted principally from expenses incurred in research and development of our product candidates, from management and administrative costs and from other expenses that we have incurred while building our business infrastructure. We are currently conducting an ongoing Phase 1/2a clinical trial for our product candidate atebimetinib for the treatment of advanced solid tumors and plan to dose the first patient in our MAPKeeper 301 registrational trial in mid-2026.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continue to incur significant losses for the foreseeable future, and we expect these losses to increase substantially if and as we:</w:t>
      </w:r>
    </w:p>
    <w:p>
      <w:pPr>
        <w:spacing w:after="0" w:line="178" w:lineRule="exact"/>
        <w:rPr>
          <w:sz w:val="20"/>
          <w:szCs w:val="20"/>
          <w:color w:val="auto"/>
        </w:rPr>
      </w:pPr>
    </w:p>
    <w:p>
      <w:pPr>
        <w:ind w:left="120" w:hanging="117"/>
        <w:spacing w:after="0" w:line="287" w:lineRule="auto"/>
        <w:tabs>
          <w:tab w:leader="none" w:pos="10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the development of our current and future product candidates, including atebimetinib, through preclinical and clinical development, and, if approved by the FDA or other comparable foreign regulatory authorities, commercialization;</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manufacturing costs for our product candidates;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for any of our product candidates that successfully complete clinical trials;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research and development activities to identify and develop new product candidates;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personnel;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operational, financial and management systems;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measures to protect and expand our intellectual property;</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medical affairs and distribution infrastructure to commercialize any product candidates for which we may obtain marketing approval and intend to commercialize;</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costs in connection with capital raising activities and potential business restructuring activities, if required;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manufacturing and develop our commercialization efforts, if any; and</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as a public company.</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To become and remain profitable, we must succeed in developing and eventually commercializing product candidates that generate significant revenue. This will require us to be successful in a range of challenging activities, including completing preclinical studies and clinical trials of our product candidates, discovering additional product candidates, obtaining regulatory approval for these product candidates, manufacturing, marketing and selling any products for which we may obtain regulatory approval, achieving market acceptance of any such approved products and receiving reimbursements in amounts above our costs. We are only in the preliminary stages of most of these activities. We may never succeed in these activities and, even if we do, we may never generate revenue that is significant enough to achieve profitability. Because of the numerous risks and uncertainties associated with pharmaceutical product candidate development, we are unable to accurately predict the timing or amount of increased expenses or when, or if, we will be able to achieve profitability. If we are required by the FDA or other regulatory authorities to perform preclinical studies or clinical trials in addition to those currently expected, or if there are any delays in completing our ongoing preclinical studies or clinical trials or the development of any of our product candidates, our expenses could increase and revenue could be further delayed. 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preclinical studies and clinical trials, including any registrational trials,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 clinical trials are highly uncertain, we cannot reasonably estimate the actual amounts necessary to successfully complete the development and commercialization of any product candidate we develop. We also expect to continue to incur the costs associated with operating as a public company. Accordingly, we will need to obtain substantial additional funding in order to maintain our continuing operations in the future.</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March 31, 2026, we had $198.6 million in cash, cash equivalents, and marketable securities. Based on our current business plans, we believe that our existing cash, cash equivalents, and marketable securities will be sufficient to fund our development activities and other operations into 2029.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future funding requirements will depend on many factors, including, but not limited to:</w:t>
      </w:r>
    </w:p>
    <w:p>
      <w:pPr>
        <w:spacing w:after="0" w:line="191" w:lineRule="exact"/>
        <w:rPr>
          <w:sz w:val="20"/>
          <w:szCs w:val="20"/>
          <w:color w:val="auto"/>
        </w:rPr>
      </w:pPr>
    </w:p>
    <w:p>
      <w:pPr>
        <w:ind w:left="120" w:hanging="117"/>
        <w:spacing w:after="0" w:line="287" w:lineRule="auto"/>
        <w:tabs>
          <w:tab w:leader="none" w:pos="1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progress, timeline, cost and results of our clinical trials for our product candidates, including our planned registrational trial of atebimetinib in combination with mGnP in first-line pancreatic cancer;</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progress, timeline, cost and results of additional research and/or preclinical studies related to pipeline development and other research programs we initiate in the future;</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manufacturing activities as we advance our product candidates through preclinical and clinical development, and possible commercialization;</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expansion of our current development programs to seek new indications;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negative impact of widespread adverse economic or health events (including due to military conflict or pandemics) on our business;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 of meeting regulatory requirements established by the FDA, EMA, and other comparable foreign regulatory authorities;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filing, prosecuting, defending and enforcing patent claims and other intellectual property rights, in-licensed or otherwise;</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technological and market developments;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licensing fees, potential royalty payments and potential milestone payments;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general operating expenses;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completion of commercial-scale manufacturing activities, if any;</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establishing sales, marketing, and distribution capabilities for any product candidates for which we may receive regulatory approval in regions where we choose to commercialize our products on our own; and</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operating as a public company.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Advancing the development of our product candidates will require a significant amount of capital. Our existing cash, cash equivalents, and marketable securities will not be sufficient to fund all of the activities that are necessary to complete the development and potential commercialization of our product candidates.</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For example in the past, due to macroeconomic conditions including inflation and higher interest rates, the stock price of biotech companies, including ours, generally declined, making fundraising in our industry more difficult and on less favorable terms. Furthermore, additional fundraising efforts may divert our management from their day-to-day activities, which may adversely affect our ability to develop and potentially commercialize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In that event, we may have to delay, scale back, or eliminate some or all of our operations, sell assets and/or seek other strategic alternatives.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maintain the majority of our cash, cash equivalents, and marketable securities in accounts with major U.S. and multi-national financial institutions, and our deposits at certain of these institutions exceed insured limits. Market conditions have in the past impacted and may in the future impact the viability of these institutions. In the event of failure of any of the financial institutions where we maintain our cash, cash equivalents, and marketable securities, there can be no assurance that we would be able to access uninsured funds in a timely manner or at all. Any inability to access or delay in accessing these funds could adversely affect our business and financial position.</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seek additional capital through a variety of means, including through public or private equity offerings, debt financings or other sources, including up-front payments and milestone payments from strategic collaborations. To the extent that we raise additional capital through the sale of equity or convertible debt or equity securities, for example as we did in August and September 2025, your ownership interest may be diluted, and the terms may include liquidation or other preferences that adversely affect your rights as a stockholder. In addition to dilution, such financings may result in the imposition of debt covenants, increased fixed payment obligations, other restrictions (including operating restrictions) or other obligations (for example, providing registration or other information rights to certain investors, as we did in connection with private placements of equity securities in 2025)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losses and other tax attributes may be limited.</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December 31, 2025, we had approximately $174.8 million of federal and $56.7 million of state net operating loss carryforwards ("NOLs"), available to offset future taxable income. Under Sections 382 and 383 of the U.S. Internal Revenue Code of 1986, as amended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Development, Regulatory Approval and Commercialization</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EMA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not permitted to commercialize, market, promote or sell any product candidate in the United States without obtaining marketing approval from the FDA. Foreign regulatory authorities, such as the EMA,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EMA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Applications for our product candidates could fail to receive, or be delayed in receiving, regulatory approval for many reasons, including the following:</w:t>
      </w:r>
    </w:p>
    <w:p>
      <w:pPr>
        <w:spacing w:after="0" w:line="178" w:lineRule="exact"/>
        <w:rPr>
          <w:sz w:val="20"/>
          <w:szCs w:val="20"/>
          <w:color w:val="auto"/>
        </w:rPr>
      </w:pPr>
    </w:p>
    <w:p>
      <w:pPr>
        <w:ind w:left="120" w:hanging="117"/>
        <w:spacing w:after="0" w:line="287" w:lineRule="auto"/>
        <w:tabs>
          <w:tab w:leader="none" w:pos="1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disagree with the design, implementation or results of our clinical trials, including without limitation with respect to the appropriate dosing in patients or the use of our product candidates as potential combination therapies;</w:t>
      </w:r>
    </w:p>
    <w:p>
      <w:pPr>
        <w:spacing w:after="0" w:line="125"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determine that our product candidates are not safe and/or not effective, only moderately effective or have undesirable or unintended side effects, toxicities or other characteristics that preclude our obtaining marketing approval or prevent or limit commercial use;</w:t>
      </w:r>
    </w:p>
    <w:p>
      <w:pPr>
        <w:spacing w:after="0" w:line="126"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population studied in a clinical trial may not be sufficiently broad or representative to assure efficacy and safety in the full population for which we seek approval;</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disagree with our interpretation of data from preclinical studies or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NDA or other submission or to obtain regulatory approval in the United States, European Union or elsewhere;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line="287" w:lineRule="auto"/>
        <w:tabs>
          <w:tab w:leader="none" w:pos="1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FDA, EMA or other comparable foreign regulatory authorities that a product candidate’s risk-benefit ratio for its proposed indication is acceptable;</w:t>
      </w:r>
    </w:p>
    <w:p>
      <w:pPr>
        <w:spacing w:after="0" w:line="125"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EMA or other comparable foreign regulatory authorities may significantly change in a manner rendering our clinical data insufficient for approval.</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EMA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submit additional INDs or IND amendments or comparable documents in foreign jurisdictions to commence additional clinical trials on the timelines we expect, and even if we are able to, the FDA may not permit us to proceed.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not be able to submit additional INDs, IND amendments or comparable documents for atebimetinib, for which an IND was previously submitted, or for our other current or potential product candidates on the timelines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in designing clinical trials and may experience delays or unexpected difficulties in obtaining regulatory approval for our current and future product candidates.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limited experience in designing clinical trials and may be unable to design and execute a clinical trial to support marketing approval, including, for example, our planned registrational trial of atebimetinib in combination with mGnP in first-line pancreatic cancer. We cannot be certain that our ongoing or planned clinical trials or any future clinical trials will be successful. For example, in April 2025 we paused further internal advancement of envometinib (IMM-6-</w:t>
      </w:r>
    </w:p>
    <w:p>
      <w:pPr>
        <w:jc w:val="both"/>
        <w:ind w:firstLine="3"/>
        <w:spacing w:after="0" w:line="254" w:lineRule="auto"/>
        <w:tabs>
          <w:tab w:leader="none" w:pos="36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the related Phase 1/2a clinical trial. Further, it is possible that the FDA may refuse to accept, or be delayed in accepting,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applications in foreign jurisdictions with comparable regulatory agencies, including without limitation the EMA.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encounter substantial delays in completing, or ultimately be unable to complete, the development and commercialization of our product candidates.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Before obtaining marketing approval from the FDA, EMA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25" w:lineRule="exact"/>
        <w:rPr>
          <w:sz w:val="20"/>
          <w:szCs w:val="20"/>
          <w:color w:val="auto"/>
        </w:rPr>
      </w:pPr>
    </w:p>
    <w:p>
      <w:pPr>
        <w:ind w:left="120" w:hanging="117"/>
        <w:spacing w:after="0" w:line="287" w:lineRule="auto"/>
        <w:tabs>
          <w:tab w:leader="none" w:pos="1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comparable foreign regulatory authorities disagreeing as to the design, implementation or results of our clinical trials, including without limitation with respect to the appropriate or proper escalation of dosing in patients or the use of our product candidates as potential combination therapies;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regulatory authorizations to commence a trial or reaching a consensus with regulatory authorities on trial design;</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or delay in reaching an agreement with CROs and clinical trial sites, the terms of which can be subject to extensive negotiation and may vary significantly among different CROs and trial sites;</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approval from one or more IRBs;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IRBs refusing to approve, suspending or terminating the trial at an investigational site, precluding enrollment of additional subjects, or withdrawing their approval of the trial;</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enrollment due to travel or quarantine policies, or other factors related to current or future pandemics or other events outside our control;</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clinical trial protocol;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sites deviating from trial protocol or dropping out of a trial;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sufficient quantities of product candidates or obtaining sufficient quantities of combination therapies for use in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failing to enroll or remain in our trial at the rate, with the tumor types, and/or at the stage(s) of disease that we expect, or failing to return for post-treatment follow-up;</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choosing an alternative treatment for the indication for which we are developing our product candidates, or participating in competing clinical trials;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adequate funding to continue the clinical trial;</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experiencing severe or unexpected drug-related adverse effects;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occurrence of serious adverse events in trials of the same class of agents conducted by other companies;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selection of clinical end points that require prolonged periods of clinical observation or analysis of the resulting data;</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20" w:hanging="117"/>
        <w:spacing w:after="0" w:line="270" w:lineRule="auto"/>
        <w:tabs>
          <w:tab w:leader="none" w:pos="10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facility manufacturing our product candidates or any of their components being ordered by the FDA, EMA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39"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to our manufacturing process that may be necessary or desired;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clinical investigators losing the licenses or permits necessary to perform our clinical trials, not performing our clinical trials on our anticipated schedule or consistent with the clinical trial protocol, GCP, or other regulatory or contractual requirements;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not performing data collection or analysis in a timely or accurate manner; or</w:t>
      </w:r>
    </w:p>
    <w:p>
      <w:pPr>
        <w:spacing w:after="0" w:line="191"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becoming debarred or suspended or otherwise penalized by the FDA, EMA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the occurrence of any public health crisis or similar global events, such as a future pandemic and its variants,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could also encounter delays if a clinical trial is suspended or terminated by us, by the IRBs of the institutions in which such trials are being conducted, by a Data Safety Monitoring Board for such trial or by the FDA, EMA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 conducting clinical trials in foreign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including with respect to healthcare, cybersecurity and data privacy matters, as well as political and economic risks or military conflicts relevant to such foreign countries.</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Additionally, if the results of our clinical trials are inconclusive or if there are safety concerns or serious adverse events associated with our product candidates, we may:</w:t>
      </w:r>
    </w:p>
    <w:p>
      <w:pPr>
        <w:spacing w:after="0" w:line="113" w:lineRule="exact"/>
        <w:rPr>
          <w:sz w:val="20"/>
          <w:szCs w:val="20"/>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marketing approval, if at all;</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for indications or patient populations that are not as broad as intended or desired;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with labeling that includes significant use or distribution restrictions or safety warnings;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additional post-marketing testing requirements;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required to perform additional preclinical studies or clinical trials to support approval or be subject to additional post-marketing testing requirements;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regulatory authorities withdraw, or suspend, their approval of the drug or impose restrictions on its distribution in the form of a modified REMS;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the addition of labeling statements, such as warnings or contraindications;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sued; or</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damage to our reputation.</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candidates. Regulatory agencies such as the FDA and EMA have substantial discretion in the review and approval process and may disagree that our data support the claims we propose.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EMA or comparable foreign regulatory authorities. The FDA, EMA or comparable foreign regulatory authorities may conclude that a financial relationship between us and a principal investigator has created a conflict of interest or otherwise affected interpretation of the study. The FDA, EMA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EMA or comparable foreign regulatory authorities, as the case may be, and may ultimately lead to the denial of marketing approval of one or more of our product candidates.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outcome of preclinical studies and earlier clinical trials may not be predictive of the success of later clinical trials, and the results of our clinical trials may not satisfy the requirements of the FDA or other comparable foreign regulatory authorities.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such as our planned registrational trial of atebimetinib in combination with mGnP in first-line pancreatic cancer, will be successful. We do not know whether any of our product candidates will perform in current or future clinical trials as they have performed in preclinical studies or prior clinical trials. Product candidates in later-stage clinical trials may fail to demonstrate sufficient safety and efficacy to the satisfaction of the FDA, EMA or other comparable foreign regulatory authorities despite having progressed through preclinical studies and early-stage clinical trials.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Additionally, any safety concerns observed in any one of our clinical trials in our targeted indications could limit the prospects for regulatory approval of our product candidates in those and other indications, which could seriously harm our business. Most product candidates that begin clinical trials are never approved by regulatory authorities for commercialization.</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EMA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we may also disclose interim data from our preclinical studies and clinical trials. For example, we disclosed updated interim safety and efficacy data from the Phase 2a portion of our ongoing Phase 1/2a clinical trial of atebimetinib in January 2026.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and/or interim data and final data could significantly harm our business prospects. Further, disclosure of interim data by us or by our competitors could result in volatility in the trading price of our Class A common stock.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potentially commercialize, our product candidates may be harmed, which could harm our business, results of operations, prospects or financial condition. Moreover, such disclosure could adversely affect the trading price of our Class A common stock.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is the case with pharmaceuticals generally, patients have experienced and likely will in the future experience side effects and/or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Patients in our clinical trials may in the future suffer significant drug-related adverse events or other side effects, including those not observed in our preclinical studies or previous clinical trials. Some of our product candidates may be used as chronic therapies or be used in pediatric populations, for which safety concerns may be particularly scrutinized by regulatory agencies. In addition, our product candidates, when used in combination with other therapies, may exacerbate adverse events associated with the therapy. Patients treated with our product candidates may also be undergoing surgical, radiation, chemotherapy or other aggressive treatments, which can cause side effects or adverse events that are unrelated to our product candidate, but may still negatively impact the success of our clinical trials. Similarly, already critically ill patients that we enroll in our clinical trials have in the past and may in the future experience adverse medical events due to the general gravity or advanced stage of such patients’ illnesses, in each case which could adversely affect our clinical trials even though such outcomes are not related or attributable to our product candidates.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significant drug-related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40" w:lineRule="exact"/>
        <w:rPr>
          <w:sz w:val="20"/>
          <w:szCs w:val="20"/>
          <w:color w:val="auto"/>
        </w:rPr>
      </w:pPr>
    </w:p>
    <w:p>
      <w:pPr>
        <w:ind w:left="120" w:hanging="117"/>
        <w:spacing w:after="0"/>
        <w:tabs>
          <w:tab w:leader="none" w:pos="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forced to suspend marketing of that product, or be forced to or decide to remove the product form the marketplace;</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or change their approvals of that product in one or more countries;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line="287" w:lineRule="auto"/>
        <w:tabs>
          <w:tab w:leader="none" w:pos="10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create a medication guide outlining the risks of the product for patients, or to conduct post-marketing studies;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the product is administered;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subject to fines, injunctions, or the imposition of criminal or civil penalties, or to be sued and held liable for harm caused to subjects or patients; and</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may become less competitive, and our reputation may suffer.</w:t>
      </w:r>
    </w:p>
    <w:p>
      <w:pPr>
        <w:spacing w:after="0" w:line="24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2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Additionally, our clinical trials will compete with other clinical trials for product candidates that focus on the same therapeutic targets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40" w:lineRule="exact"/>
        <w:rPr>
          <w:sz w:val="20"/>
          <w:szCs w:val="20"/>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size and nature of the patient population;</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severity of the disease under investigation;</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and efficacy of other developmental or approved drugs for the disease under investigation;</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eligibility criteria for the trial in question as defined in the protocol;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risks and benefits of the product candidate under study;</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to facilitate timely enrollment in clinical trials;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referral practices of physicians;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proximity and availability of clinical trial sites for prospective patients;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enrollment of prospective patients by clinical trial sites;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patients enrolled in clinical trials will drop out of the trials before completion or will not survive the full terms of the clinical trials (including without limitation because they may be late-stage cancer patients);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delays or difficulties in enrollment and completion of studies due to ongoing and future pandemics, or other widespread adverse health events.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25" w:lineRule="exact"/>
        <w:rPr>
          <w:sz w:val="20"/>
          <w:szCs w:val="20"/>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as demonstrated in clinical trials compared to alternative treatments;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the product candidate as well as competitive products;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the product candidate is approved;</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use of our product candidates, such as boxed warnings or contraindications in labeling, or a REMS, if any, which may not be required of alternative treatments and competitor products;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and perceived advantages of product candidates over alternative treatments;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treatment in relation to alternative treatments;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coverage and adequate reimbursement, as well as pricing, by third-party payors, including government authorities;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the approved product candidate for use as a combination therapy;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and ease of administration;</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sales and marketing efforts;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publicity relating to our products or product candidates or similar approved products or product candidates in development by third parties; and</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other new therapies for the same indications.</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obtain U.S. or foreign regulatory approvals and, as a result, may be unable to commercialize our product candidates.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not completed large-scale or pivotal clinical trials nor completed the regulatory approval process with the FDA, EMA or any other regulatory authority. The time required to obtain approvals from the FDA, EMA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applicable regulatory authority policy during the period of drug development, clinical trials and regulatory review.</w:t>
      </w:r>
    </w:p>
    <w:p>
      <w:pPr>
        <w:spacing w:after="0" w:line="3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processes described above, as well as risks attributable to the satisfaction of local regulations in foreign jurisdictions. Moreover, the time required to obtain approval may differ from that required to obtain FDA or EMA approval.</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approach to the discovery and development of product candidates is unproven, and we may not be successful in our efforts to use and expand our Disease Cancelling Technology ("DCT") platform and capabilities to build a pipeline of product candidates with commercial value.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atebimetinib and other product candidates,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only generated interim data from the ongoing Phase 1/2a trial of atebimetinib, and otherwise our data for this product candidate is limited to animal models and preclinical cell lines, the results of which may not translate into humans. As a result, it is possible that safety or other adverse events or concerns could negatively affect the development of atebimetinib or our other current or future product candidates, including adversely affecting patient enrollment among the patient populations that we intend to treat.</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Given the novelty of our technologies, we intend to work closely with the FDA, EMA and comparable foreign regulatory authorities to perform the requisite scientific analyses and evaluation of our methods to obtain regulatory approval for our product candidates; however, due to a lack of comparable experiences, the regulatory pathway with the FDA, EMA and comparable regulatory authorities may be more complex and time-consuming relative to other more well-known therapeutics. Even if we obtain human data to support our product candidates, the FDA, EMA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EMA and other comparable foreign regulatory authorities. We cannot be certain that our approach will lead to the development of approvable or marketable products, alone or in combination with other therapies.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EMA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intend to develop certain of our current product candidates in combination with other therapies, and may develop our future product candidates in combination with other therapies, which exposes us to additional risks.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intend to develop atebimetinib as a potential biologic/drug combination product, and we may also develop other current or future product candidates as biologic/drug combination products. Additional time may be required to obtain regulatory approval for any of our current or future product candidates if or when they are developed as potential combination products. Any of our product candidates that may be biologic/drug combination products will require coordination within the FDA, EMA and other comparable foreign regulatory authorities for review of their biologic and drug components. Although the FDA, EMA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even if any product candidate we develop were to receive marketing approval or be commercialized for use in combination with other existing therapies, we would continue to be subject to the risks that the FDA, EMA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EMA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also may choose to evaluate our current product candidates or any other future product candidates in combination with one or more therapies that have not yet been approved for marketing by the FDA, EMA or comparable foreign regulatory authorities. We will not be able to market and sell our product candidates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EMA or other regulatory approval.</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the FDA, EMA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considerations exist with respect to the potential use of accelerated approval pathways in other jurisdictions outside of the United States.</w:t>
      </w:r>
    </w:p>
    <w:p>
      <w:pPr>
        <w:spacing w:after="0" w:line="18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Third parties with product candidates or products targeting the MAPK pathway may produce negative preclinical or clinical data which may adversely affect public perception of our product candidates, and may negatively impact regulatory approval of, or demand for, our potential products.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Certain of our product candidates, including atebimetinib, are based on the DCI of the MAPK pathway as a model of therapeutic intervention. Our DCI approach may not be viewed as distinct from other existing therapies targeting the MAPK pathway, and negative third party data from preclinical studies and/or clinical trials using other MAPK-targeted therapies could negatively impact the perception of the therapeutic use of such product candidates or products on the whole. This could, among other things, negatively impact our ability to enroll patients in clinical trials. The clinical and commercial success of our product candidates will depend in part on the public’s and clinical community’s acceptance of the use of DCI therapies. Moreover, our success depends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 Adverse events in our clinical trials, or those of our competitors or of academic researchers utilizing MAPK-targeted therapies, even if not ultimately similar or attributable to our DCI product candidates, and the resulting publicity, could result in increased governmental regulation, unfavorable public perception, increased volatility in our stock price, potential regulatory delays in the testing or approval of our potential product candidates, stricter labeling requirements for our product candidates that are approved, if any, and a decrease in demand for any such products, if approved.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that we seek to treat with our product candidates, and ultimately commercialize any product candidates we develop, or experience significant delays in doing so, our business will be materially harmed.</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early in our development efforts and we have not yet completed our Phase 1/2a clinical trial for our lead product candidate atebimetinib. Further, we have only disclosed interim data for atebimetinib, and in April 2025 we paused further internal advancement of envometinib and the related Phase 1/2a clinical trial. Our other product candidates are in earlier stages of drug development. We have invested substantially all of our efforts and financial resources in the identification of targets, preclinical and clinical development of small molecules targeting the MAPK and other pathways in cancer therapy.</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success of our current and future product candidates will depend on several factors, including without limitation the following:</w:t>
      </w:r>
    </w:p>
    <w:p>
      <w:pPr>
        <w:spacing w:after="0" w:line="178" w:lineRule="exact"/>
        <w:rPr>
          <w:sz w:val="20"/>
          <w:szCs w:val="20"/>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and timely completion of additional preclinical studies;</w:t>
      </w:r>
    </w:p>
    <w:p>
      <w:pPr>
        <w:spacing w:after="0" w:line="191"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initiation, patient enrollment and completion on a timely basis of our ongoing and any future clinical trials (including our planned registrational trial of atebimetinib in combination with mGnP in pancreatic cancer), despite any delays including those arising out of ongoing or future pandemics, or other widespread adverse health events;</w:t>
      </w:r>
    </w:p>
    <w:p>
      <w:pPr>
        <w:spacing w:after="0" w:line="126"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and establishing relationships with CROs and clinical sites for clinical development, both in the United States and internationally;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frequency and severity of adverse events in the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safety and tolerability profiles that are satisfactory to the FDA, EMA or any comparable foreign regulatory authority for marketing approval;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receipt of marketing approvals from applicable regulatory authorities;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any required post-marketing approval commitments to applicable regulatory authorities;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maintenance of existing or the establishment of new supply arrangements with third-party drug product suppliers and manufacturers for clinical development;</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protection, trade secret protection and regulatory exclusivity, both in the United States and internationally;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protection of our rights in our intellectual property portfolio;</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launch of commercial sales following any marketing approval;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continued acceptable safety profile following any marketing approval;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acceptance by patients, the medical community and third-party payors; and</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other therapies.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atebimetinib or any other product candidate we develop, we may not be able to continue our operations.</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our platform, including our proprietary technologies, which are supported by our information technology systems. Any failure of these or other elements of our platform will materially harm our business.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substantially dependent on our platform, including our proprietary technologies,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3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future results of operations are dependent on our ability to successfully discover, develop, obtain regulatory approval for and commercialize product candidates beyond those we currently have in preclinical studies and early stage clinical trial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earlier clinical trials of a product candidate may not be predictive of the results that will be obtained in later stage clinical trials of the product candidate.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success of the product candidates we have or may develop will depend on many factors, including without limitation the following:</w:t>
      </w:r>
    </w:p>
    <w:p>
      <w:pPr>
        <w:spacing w:after="0" w:line="178" w:lineRule="exact"/>
        <w:rPr>
          <w:sz w:val="20"/>
          <w:szCs w:val="20"/>
          <w:color w:val="auto"/>
        </w:rPr>
      </w:pPr>
    </w:p>
    <w:p>
      <w:pPr>
        <w:ind w:left="120" w:hanging="117"/>
        <w:spacing w:after="0"/>
        <w:tabs>
          <w:tab w:leader="none" w:pos="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research methodology in identifying potential indications or product candidates;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generating sufficient data to support the initiation or continuation of clinical trials;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regulatory permission to initiate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contracting with the necessary parties to conduct clinical trials;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enrollment of patients in, and the completion of, clinical trials on a timely basis;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manufacture of sufficient quantities of the product candidate for use in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events in the clinical trials; and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potential interruptions or delays resulting from factors related to ongoing or future pandemics, or other widespread adverse health events.</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never commercialized a product candidate, and we currently have no sales force, marketing or distribution capabilities. We will have to develop our own sales, marketing and supply organization or outsource some or all of these activities to a third party to commercialize our products. If we decide to license our product candidates to others, we may need to rely on the marketing assistance and guidance of those collaborators.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at all. If we are unable to build our own distribution and marketing capabilities or to find suitable partners for the commercialization of our product candidates, we may not generate revenues from them or be able to reach or sustain profitability.</w:t>
      </w:r>
    </w:p>
    <w:p>
      <w:pPr>
        <w:spacing w:after="0" w:line="1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technologies or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Our product candidates and programs for oncology will compete with products or programs being advanced by certain of these pharmaceutical and biotechnology companies, organizations and institutions. We also compete with these organizations to recruit management, scientists and clinical development and other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3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market opportunity for any product candidate that we develop is smaller than we believe, our revenue may be adversely affected and our business may suffer.</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never obtained marketing approval for a product candidate and we may be unable to obtain, or may be delayed in obtaining, marketing approval for any product candidate.</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If the FDA does not accept or approve our NDAs for our product candidates, it may require that we conduct additional clinical trials,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even if performed and completed, may not be considered sufficient by the FDA to approve our NDAs. Similar considerations exist with respect to potentially obtaining marketing approvals in other jurisdictions outside of the United States.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delay in obtaining, or an inability to obtain, marketing approvals, whether in the United States or internationally,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and regional economic, political and health conditions could adversely affect our business, financial condition or results of operations.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business could be adversely affected by global or regional economic, political and / or health conditions. For example, various macroeconomic factors could adversely affect our business, financial condition and results of operations, including changes in inflation, interest rates and overall economic conditions and uncertainties, such as those resulting from political instability (such as workforce uncertainty), trade disputes between nations, and the current and future conditions in the global financial markets. For example, the imposition of tariffs by the U.S. government and any retaliatory tariffs imposed in response have created significant uncertainty, including in the amount, applicability and duration of such tariffs. Tariffs impacting the availability or price of resources used to manufacture our current or future product candidates could adversely affect our preclinical studies and clinical trials and, if in the future any of our product candidates are approved, tariffs may also adversely impact the price and / or demand for such approved products. Moreover third-party vendors, including CROs and CMOs upon which we rely, may suffer disruptions in their businesses or experience significant increases in the cost of their goods or services sold (which they may pass through, in part or in whole, to us) due to factors beyond their control, including tariffs. Additionally, if sustained high rates of inflation or other factors were to significantly increase our business costs, we may be unable to manage such increased expenses or pass through price increases. A global financial crisis or global or regional political and economic instability, wars, terrorism, civil unrest, outbreaks of disease, and other unexpected events, such as supply chain constraints or disruptions, could cause extreme volatility in the capital and credit markets and disrupt our business. Business disruptions could include, among others, disruptions to our research or clinical activities, including due to supply chain or distribution constraints or challenges, clinical enrollment, clinical site availability, patient accessibility, and conduct of our clinical trials, as well as temporary closures of the facilities of suppliers or contract manufacturers in the biotechnology supply chain. In addition, during certain crises and events, patients may prioritize other items over certain or all of their treatments and/or medications, which could have a negative impact on our clinical trials A severe or prolonged economic downturn, political disruption and / or adverse health conditions could result in a variety of risks to our business, including our ability to raise capital when needed on acceptable terms, if at all. Any of the foregoing could harm our business and we cannot anticipate all of the ways in which political, economic, health and / or financial market conditions could adversely impact our business.</w:t>
      </w:r>
    </w:p>
    <w:p>
      <w:pPr>
        <w:spacing w:after="0" w:line="3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Ongoing and potential future pandemics could adversely impact our business, including our current and future clinical trials, supply chain and business development activities.</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effects of government actions, our own policies or those of third parties to address ongoing pandemics and any future pandemic may negatively impact productivity and slow down or delay our future clinical trials, preclinical studies and research and development activities, and may cause disruptions to our supply chain and impair our ability to execute our business development strategy. We may also experience delays in receiving approval from regulatory authorities to initiate or conduct our ongoing or planned clinical trials and delays in regulatory review or approval of any NDA or similar foreign filing we may submit following positive results, if any, in a pivotal study for any of our drug candidates. We may also experience operational delays such as delays or difficulties in enrolling patients in our clinical trials;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and changes in local regulations as part of a response to ongoing or future pandemics, which may require us to change the ways in which our clinical trials are conducted and result in unexpected costs, or to discontinue such clinical trials altogether..</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While the potential economic impact brought by, and the duration of, ongoing or future pandemics is difficult to assess or predict, there has in the past been (for example, because of COVID-19 and its variants) and could further be a significant disruption of global financial markets due to a pandemic, that may reduce our ability to access capital and negatively affect our liquidity and financial position. In addition, the trading prices for our Company and other biopharmaceutical companies have in the past been volatile due in part to pandemic, and the same may occur in the future.</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and other disruptions in our operations and the global economy, due to ongoing or future pandemics or any other widespread public health crisis, could negatively impact our business, results of operations and financial condition.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Dependence on Third Parties</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substantially rely, and expect to continue to rely, on third parties, including independent clinical investigators and third-party CROs,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investigational drug substance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may take to limit the spread of disease from ongoing or future pandemics,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CROs generally have the right to terminate their agreements with us in the event of an uncured material breach. In addition, some of our CROs may also have an ability to terminate their respective agreements with us for other reasons, including without limitation if it can be reasonably demonstrated that the safety of the subjects participating in our clinical trials warrants such termination, if we make a general assignment for the benefit of our creditors or if we are liquidated.</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at a commercially reasonable cost or at all,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decide to establish new collaborations in the future, but are not able to establish those collaborations on a timely basis, on commercially reasonable terms, or at all, we may have to alter our development and commercialization plans.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drug development programs and the potential commercialization of our product candidates will require substantial additional cash to fund expenses. We may seek to selectively form collaborations to, among other things,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346" w:lineRule="exact"/>
        <w:rPr>
          <w:sz w:val="20"/>
          <w:szCs w:val="20"/>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these collaborations and may not perform their obligations as expected;</w:t>
      </w:r>
    </w:p>
    <w:p>
      <w:pPr>
        <w:spacing w:after="0" w:line="112"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39"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12"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 candidates if, for example, the collaborators believe that such competitive products are more likely to be successfully developed or can be commercialized under terms that are more economically attractive than ours;</w:t>
      </w:r>
    </w:p>
    <w:p>
      <w:pPr>
        <w:spacing w:after="0" w:line="126"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multiple products may not commit sufficient resources to the marketing and distribution of our product relative to other products;</w:t>
      </w:r>
    </w:p>
    <w:p>
      <w:pPr>
        <w:spacing w:after="0" w:line="125"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26"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product candidates;</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agreements may not lead to development or commercialization of product candidates in the most efficient manner or at all; and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collaborator of ours were to be involved in a business combination, the continued pursuit and emphasis on our drug development or commercialization program could be delayed, diminished or terminated.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EMA or other comparable regulatory authority regulations, provide accurate information to such regulators, comply with international,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Manufacturing</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Manufacturing drugs, especially in large quantities, is complex and may require the use of innovative technologies. Each lot of an approved drug product must undergo thorough testing for identity, strength, quality, purity and potency.</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(if applicable) as a result of these challenges, or otherwise,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contract with third parties, including contract manufacturing organizations and consultants,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be able to acquire such quantities at an acceptable cost, which could delay, prevent or impair our development or commercialization efforts.</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expect to continue to rely on third-party manufacturers for the commercial supply of any of our product candidates for which we may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27" w:lineRule="exact"/>
        <w:rPr>
          <w:sz w:val="20"/>
          <w:szCs w:val="20"/>
          <w:color w:val="auto"/>
        </w:rPr>
      </w:pPr>
    </w:p>
    <w:p>
      <w:pPr>
        <w:jc w:val="both"/>
        <w:ind w:left="120" w:hanging="117"/>
        <w:spacing w:after="0" w:line="270" w:lineRule="auto"/>
        <w:tabs>
          <w:tab w:leader="none" w:pos="10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39"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reduction or termination of production or deliveries by suppliers, or the raising of prices or renegotiation of terms;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or non-renewal of arrangements or agreements by our third-party contractors at a time that is costly or inconvenient for us;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breach by the third-party contractors of our agreements with them;</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third-party contractors to comply with applicable regulatory requirements;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third party to manufacture our product candidates according to our specifications;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mislabeling of clinical supplies, potentially resulting in the wrong dose amounts being supplied or active drug or placebo not being properly identified;</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supplies not being delivered to clinical sites on time, leading to clinical trial interruptions, or of drug supplies not being distributed to commercial vendors in a timely manner, resulting in lost sales; and</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misappropriation of our proprietary information, including our trade secrets and know-how.</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ongoing or future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or a third-party’s, failure to execute on our manufacturing requirements, to do so on commercially reasonable terms and timelines, or to comply with cGMP requirements could adversely affect our business in a number of ways, including without limitation:</w:t>
      </w:r>
    </w:p>
    <w:p>
      <w:pPr>
        <w:spacing w:after="0" w:line="113" w:lineRule="exact"/>
        <w:rPr>
          <w:sz w:val="20"/>
          <w:szCs w:val="20"/>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meet our product specifications and quality requirements consistently;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initiate or continue clinical trials of our product candidates under development;</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submitting regulatory applications, or receiving marketing approvals, for our product candidates, if at all;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commercialize any product candidates that receive marketing approval on a timely basis;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the cooperation of future collaborators;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subjecting third-party manufacturing facilities or our manufacturing facilities, if any, to additional inspections by regulatory authorities;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cease development or to recall batches of our product candidates;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approval to market and commercialize our product candidates, an inability to meet commercial demands for our product or any other future product candidates; and</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methods of product candidate manufacturing or formulation may result in additional costs or delay.</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product candidates progress through preclinical studies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and Regulatory Compliance Matters</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healthcare professionals, clinical investigators, CROs and third party payors in connection with our current and future business activities may be subject to international,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international, federal and state healthcare laws and regulations include, among others, the following:</w:t>
      </w:r>
    </w:p>
    <w:p>
      <w:pPr>
        <w:spacing w:after="0" w:line="136" w:lineRule="exact"/>
        <w:rPr>
          <w:sz w:val="20"/>
          <w:szCs w:val="20"/>
          <w:color w:val="auto"/>
        </w:rPr>
      </w:pPr>
    </w:p>
    <w:p>
      <w:pPr>
        <w:jc w:val="both"/>
        <w:ind w:left="120" w:hanging="117"/>
        <w:spacing w:after="0" w:line="261"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148" w:lineRule="exact"/>
        <w:rPr>
          <w:rFonts w:ascii="Times New Roman" w:cs="Times New Roman" w:eastAsia="Times New Roman" w:hAnsi="Times New Roman"/>
          <w:sz w:val="17"/>
          <w:szCs w:val="17"/>
          <w:color w:val="auto"/>
        </w:rPr>
      </w:pPr>
    </w:p>
    <w:p>
      <w:pPr>
        <w:jc w:val="both"/>
        <w:ind w:left="120" w:hanging="117"/>
        <w:spacing w:after="0" w:line="260"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134" w:lineRule="exact"/>
        <w:rPr>
          <w:rFonts w:ascii="Times New Roman" w:cs="Times New Roman" w:eastAsia="Times New Roman" w:hAnsi="Times New Roman"/>
          <w:sz w:val="17"/>
          <w:szCs w:val="17"/>
          <w:color w:val="auto"/>
        </w:rPr>
      </w:pPr>
    </w:p>
    <w:p>
      <w:pPr>
        <w:jc w:val="both"/>
        <w:ind w:left="120" w:hanging="117"/>
        <w:spacing w:after="0" w:line="264"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32" w:lineRule="exact"/>
        <w:rPr>
          <w:rFonts w:ascii="Times New Roman" w:cs="Times New Roman" w:eastAsia="Times New Roman" w:hAnsi="Times New Roman"/>
          <w:sz w:val="17"/>
          <w:szCs w:val="17"/>
          <w:color w:val="auto"/>
        </w:rPr>
      </w:pPr>
    </w:p>
    <w:p>
      <w:pPr>
        <w:jc w:val="both"/>
        <w:ind w:left="120" w:hanging="117"/>
        <w:spacing w:after="0" w:line="261"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48"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26" w:lineRule="exact"/>
        <w:rPr>
          <w:rFonts w:ascii="Times New Roman" w:cs="Times New Roman" w:eastAsia="Times New Roman" w:hAnsi="Times New Roman"/>
          <w:sz w:val="17"/>
          <w:szCs w:val="17"/>
          <w:color w:val="auto"/>
        </w:rPr>
      </w:pPr>
    </w:p>
    <w:p>
      <w:pPr>
        <w:jc w:val="both"/>
        <w:ind w:left="120" w:hanging="117"/>
        <w:spacing w:after="0" w:line="261"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20" w:hanging="117"/>
        <w:spacing w:after="0" w:line="261" w:lineRule="auto"/>
        <w:tabs>
          <w:tab w:leader="none" w:pos="10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148" w:lineRule="exact"/>
        <w:rPr>
          <w:rFonts w:ascii="Times New Roman" w:cs="Times New Roman" w:eastAsia="Times New Roman" w:hAnsi="Times New Roman"/>
          <w:sz w:val="17"/>
          <w:szCs w:val="17"/>
          <w:color w:val="auto"/>
        </w:rPr>
      </w:pPr>
    </w:p>
    <w:p>
      <w:pPr>
        <w:jc w:val="both"/>
        <w:ind w:left="120" w:hanging="117"/>
        <w:spacing w:after="0" w:line="264" w:lineRule="auto"/>
        <w:tabs>
          <w:tab w:leader="none" w:pos="10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had, have or may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(or analagous programs in jurisdictions outside the United States),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3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by the Health Information Technology for Economic and Clinical Health Act, and the regulations promulgated thereunder, or collectively,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spacing w:after="0" w:line="3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also or may become subject to rapidly evolving data protection laws, rules and regulations in foreign jurisdictions. For example, the European Union ("EU") General Data Protection Regulation ("GDPR") governs certain collection and other processing activities involving personal data about individuals in the European Economic Area ("EEA"). The GDPR imposes substantial fines for breaches and violations. The GDPR also confers a private right of action on data subjects and consumer associations to lodge complaints with supervisory authorities, seek judicial remedies and obtain compensation for damages resulting from violations of the GDPR. Further, since January 1, 2021, companies have to comply with the GDPR and also the United Kingdom ("UK") GDPR, which, together with the amended UK Data Protection Act 2018, retains the GDPR in UK national law. The UK GDPR mirrors the fines under the GDPR.</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GDPR and UK GDPR regulate cross-border transfers of personal data out of the EEA and the UK respectively. Recent legal developments in Europe have created complexity and uncertainty regarding such transfers, including in relation to transfers to the United States. On July 16, 2020, the Court of Justice of the European Union or the CJEU invalidated the EU-US Privacy Shield Framework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Successor legislation and regulation to the Privacy Shield have not been, and may never be, widely adopted in practice for data transfers in the biotechnology field. 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also adversely affect our business, operations and financial condition.</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we or third-party CMOs, CROs or other contractors, consultants or agents fail to comply with applicable federal, state, local or foreign regulatory requirements, we could be subject to a range of regulatory actions that could affect our or any such third party’s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also give rise to liability, breaches of data security or reputational damage.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if at all, to protect us against losses caused by product liability claims that could have an adverse effect on our business and financial condition.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product candidates we develop may become subject to unfavorable third-party coverage and reimbursement practices, as well as pricing regulations.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candidate that we may be able to commercialize and, if reimbursement is available, what the level of reimbursement will be.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including without limitation the EEA, the reimbursement for our products may be reduced compared with the United States and may be insufficient to generate commercially reasonable revenue and profits.</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may also produce hazardous waste products.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FDA or other comparable foreign regulatory authorities may not accept data from trials conducted in locations outside of their jurisdiction.</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intend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other comparable foreign regulatory authority does not accept such data, it could result in the need for additional trials, which would be costly and time-consuming and delay aspects of our business plan, and which may result in our current or future product candidates not receiving approval for commercialization in the applicable jurisdiction.</w:t>
      </w:r>
    </w:p>
    <w:p>
      <w:pPr>
        <w:spacing w:after="0" w:line="13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 if our product candidates receive regulatory approval, they will be subject to significant post-marketing regulatory requirements and oversight.</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EMA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EMA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authority requirements may subject our company to administrative or judicially imposed sanctions, including without limitation:</w:t>
      </w:r>
    </w:p>
    <w:p>
      <w:pPr>
        <w:spacing w:after="0" w:line="148" w:lineRule="exact"/>
        <w:rPr>
          <w:sz w:val="20"/>
          <w:szCs w:val="20"/>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or the rejection of product approvals;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conduct clinical trials, including full or partial clinical holds on ongoing or planned trials;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products, manufacturers or manufacturing process;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or untitled letters;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and criminal penalties;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regulatory approvals;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seizures, detentions or import bans;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or mandatory product recalls and publicity requirements;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production; and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restrictions on operations, including costly new manufacturing requirements.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FDA’s, EMA's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further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FDA and other regulatory agencies actively enforce the laws and regulations prohibiting the promotion of off-label uses.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any of our product candidates are approved and we are found to have improperly promoted off-label uses of those products, we may become subject to significant liability. The FDA, EMA and other regulatory agencies strictly regulate the promotional claims that may be made about prescription products, such as our product candidates, if approved. In particular, a product may not be promoted for uses that are not approved by the FDA, EMA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For example, the U.S. federal government has levied large civil and criminal fines against companies for alleged improper promotion of off-label use and has enjoined several companies from engaging in off-label promotion. The U.S.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Disruptions at the FDA, the SEC and other government agencies including those caused by funding shortages, mandated personnel reductions, policy changes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ability of the FDA (as well as other U.S. agencies and analogous bodies outside the United States)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FDA, SEC and other government agencies on which our operations may rely, including those that fund research and development activities, is subject to the political process, which is inherently fluid and unpredictable.</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Disruptions at the FDA and other agencies, whether domestic or in jurisdictions outside of the United States, may also slow the time necessary for new drugs to be reviewed and/or approved by necessary government agencies, which would adversely affect our business. For example, in recent years, the U.S. government shut down several times (including for an extended period beginning in October 2025) and certain regulatory agencies, such as the FDA and the SEC, had to furlough critical employees and stop critical activities. Similarly, incoming administrations have taken and may in the future take measures to reduce personnel at, and funding for, regulatory agencies including the FDA and the SEC. For example, the current administration has issued executive orders that may significantly reduce the federal workforce and could adversely affect the FDA’s ability to attract and retain qualified scientific reviewers, which could result in longer review times for our applications. If a prolonged government shut down, funding or personnel reduction, policy change, or other disruption at the FDA occurs, continues to occur and/or worsens,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Separately, initially in response to the global COVID-19 pandemic, the FDA implemented changes to its inspection activities to ensure the safety of its employees and those of the firms it regulates, and any resurgence or emergence of any pandemic or other widespread adverse health event may lead to further inspection delays. Regulatory authorities outside the United States have in the past and may in the future adopt similar restrictions or other policy measures in response to such events. If a prolonged government shutdown occurs or continues, or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 fast track designation from the FDA (or similar designation from a comparable foreign regulatory authority), even when granted for any of our product candidates, may not lead to a faster development or regulatory review or approval process, and does not increase the likelihood that our product candidates will receive regulatory approval.</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February 2024, July 2024 and December 2024, respectively, we announced that the FDA granted fast track designation for atebimetinib for the treatment of patients: with PDAC who have failed one line of treatment; with PDAC in the first-line setting; and with unresectable or metastatic NRAS-mutant melanoma who have progressed on or are intolerant to PD-1/PD-L1 based immune checkpoint inhibitors. Depending on the data from our preclinical studies and clinical trials, we may decide to seek additional fast track designations for atebimetinib or for other product candidates. The fast track program is intended to expedite or facilitate the process for reviewing product candidates that meet certain criteria. Specifically, potential drugs are eligible for fast track designation if they are intended, alone or in combination with one or more other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may have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FDA has broad discretion whether or not to grant this designation. Even if we believe a particular product candidate is eligible for this designation, we cannot assure you that the FDA would decide to grant it. Even where we have received fast track designation for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related clinical development program. Furthermore, such a designation does not increase the likelihood that atebimetinib or any other product candidate that may be granted fast track designation will receive regulatory approval in the U.S. Many product candidates that have received fast track designation have ultimately failed to obtain approval.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considerations as the foregoing exist with respect to any foreign regulatory authority that may grant a comparable designation to any product candidate.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difficulties from changes to current regulations and future legislation.</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3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Since its enactment, there have been judicial, executive and Congressional challenges to certain aspects of the ACA. On June 17, 2021, the U.S. Supreme Court dismissed a judicial challenge to the ACA brought by several states without specifically ruling on the constitutionality of the ACA.</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These changes included the American Rescue Plan Act of 2021, which eliminated the statutory Medicaid drug rebate cap, which was set at 100% of a drug’s average manufacturer price as of January 1, 2024.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August 16, 2022, the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CMS published the negotiated prices for the initial ten drugs, which went into effect in 2026, and the subsequent 15 drugs effective in 2027, as well as the next set of 15 drugs that will be subject to negotiation, although the drug price negotiation program is currently subject to legal challenges.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July 2025, the One Big Beautiful Bill Act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either of which could adversely affect our sales of any product candidate that we potentially commercialize.</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Additionally, the Trump administration has pursued a two-fold strategy to reduce drug costs in the U.S. The administration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among policymakers, and it is possible that Congress could enact additional laws that negatively affect the pharmaceutical industry generally and our business specifically.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ongoing or new pandemics or to other widespread adverse health events.</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the UK Bribery Act 2010 (the "Bribery Act"), the U.S. Foreign Corrupt Practices Act of 1977, as amended (the "FCPA"), and other anti-corruption laws, as well as export control laws, import and customs laws, trade and economic sanctions laws and other laws governing our operations.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operations, including our research and development, clinical trial, and (if any of our product candidates receives approval) commercial activities, whether conducted in the United States or internationally, may be subject to anti-corruption laws, including the Bribery Act, the FCPA, the U.S. domestic bribery statute contained in 18 U.S.C. §201, the U.S. Travel Act and other anti-corruption laws that apply in countries where we currently or may in the future do business. The Bribery Act, the FCPA and these other (or similar) laws generally prohibit us, our employees and our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partners may operate in jurisdictions that pose a high risk of potential Bribery Act or FCPA violations, and we may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may also be subject to other laws and regulations from time to time governing our international operations, including regulations administered by the governments of the United States, the United Kingdom or elsewhere and authorities in the European Union or elsewhere, including applicable export control regulations, economic sanctions and embargoes on certain countries and persons, anti-money laundering laws, import and customs requirements and currency exchange regulations, collectively referred to as the Trade Control laws. 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the United Kingdom, United States or other authorities could also have an adverse impact on our reputation, our business, results of operations and financial condition.</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various laws relating to foreign investment and the export of certain technologies, and our failure to comply with these laws or adequately monitor the compliance of our suppliers and others with which we do business with could subject us to substantial fines, penalties and injunctions, the imposition of which on us could have a material adverse effect on the success of our business.</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may be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 to impose new export control restrictions on “emerging and foundational technologies” yet to be fully identified. Application of these laws, including as they are implemented through regulations being developed, may negatively impact our business in various ways, including without limitation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 of monetary fines and other penalties for non-compliance.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and/or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develop and commercialize our product candidates, products (if any) and technology may be impaired, and we may not be able to compete effectively in our market.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19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As of February 2, 2026, we had granted and pending patent filings directed to our product candidates and platforms. With respect to atebimetinib, we had global patent filings providing patent protection for the compound expected into at least 2041 and in the United States until 2042, as well as other pending Patent Cooperation Treaty ("PCT") applications that have not yet entered the national phase providing the basis for additional national phase potential patent claims directed to methods of treatment and pharmaceutical compositions expected into at least 2045, if granted (excluding any possible patent term adjustments, extensions, or terminal disclaimers, and assuming payment of all appropriate maintenance, renewal, annuity or other governmental fees, as applicable). Further, patent prosecution with respect to our pending patent applications related to our product candidates is in many cases in the early stages. With respect to our platform technology, we have granted U.S. patents expiring in 2039 directed to our Disease Cancelling Technology platform (excluding any possible patent term adjustments or extensions and assuming payment of all appropriate maintenance, renewal, annuity or other governmental fees, as applicable). We filed patent applications related to our platform technology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In addition,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Composition of matter patents for pharmaceutical product candidates often provide a strong form of intellectual property protection for those types of products, as such patents may provide protection for any method of use. We cannot be certain that the claims in our pending patent applications related to composition of matter of our product candidates will be considered patentable by the USPTO or by patent offices in foreign countries, or that the claims in any of our issued patents will be considered valid and enforceable by courts in the United States or foreign countries. Method of use patents can protect the claimed uses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20" w:hanging="117"/>
        <w:spacing w:after="0" w:line="270" w:lineRule="auto"/>
        <w:tabs>
          <w:tab w:leader="none" w:pos="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39"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applications may not result in any patents being issued;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may be challenged, invalidated, modified, revoked, circumvented, found to be unenforceable or otherwise may not provide any competitive advantage;</w:t>
      </w:r>
    </w:p>
    <w:p>
      <w:pPr>
        <w:spacing w:after="0" w:line="178"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39"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It is also possible that we may not identify, or that we may not timely file on identified,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("PGR"), and/or inter partes review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although we seek to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 Moreover, it is possible that we may not enter into non-disclosure and confidentiality agreements with such parties, thereby potentially compromising our confidential information or otherwise subjecting it to potential loss or misuse.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disputes may arise between us and any future licensors regarding intellectual property subject to a license agreement, including:</w:t>
      </w:r>
    </w:p>
    <w:p>
      <w:pPr>
        <w:spacing w:after="0" w:line="178" w:lineRule="exact"/>
        <w:rPr>
          <w:sz w:val="20"/>
          <w:szCs w:val="20"/>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and obligations imposed under the license agreement and other interpretation-related issues;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the extent to which our technology and processes infringe intellectual property of the licensor that is not subject to the licensing agreement;</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to sublicense patents and other rights to third parties;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with respect to the use of the licensed technology in relation to our development and commercialization of our product candidates, and what activities satisfy those diligence obligations;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if any, we owe to a potential licensor in respect of sublicense fees or income or in respect of backup product;</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to transfer or assign the license; and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of inventions and know-how resulting from the joint creation or use of intellectual property by our licensors and its affiliates and sublicensees and by us and our partners and sublicensees.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patent protection and patent prosecution for some of our product candidates may be dependent on our future licensors and third parties.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 candidates, products (if approved)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Further, third parties may obtain patents in the future and claim that use of our technologies infringes upon these patents. Any claims of patent infringement asserted by third parties would be time-consuming and could:</w:t>
      </w:r>
    </w:p>
    <w:p>
      <w:pPr>
        <w:spacing w:after="0" w:line="113" w:lineRule="exact"/>
        <w:rPr>
          <w:sz w:val="20"/>
          <w:szCs w:val="20"/>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costly litigation that may cause negative publicity;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time and attention of our technical personnel and management;</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development delays;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us from commercializing any of our product candidates until the asserted patent expires or is held finally invalid or unenforceable or not infringed in a court of law;</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develop non-infringing technology, which may not be possible on a cost-effective basis;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significant liability to third parties;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line="287" w:lineRule="auto"/>
        <w:tabs>
          <w:tab w:leader="none" w:pos="10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Although no third party has asserted a claim of patent infringement against us to date,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litigation may lead to unfavorable publicity that harms our reputation and causes the market price of our common shares to decline.</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2011, the Leahy-Smith America Invents Act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3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U.S. patent law, or laws in other countries, could diminish the value of patents in general, thereby impairing our ability to protect our product candidates.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is the case with many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or our future licensors may be subject to claims challenging the inventorship or ownership of our or our future in-licensed patents and other intellectual property.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advisors, consultants, contractors and other third parties, including certain service providers,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terms may be inadequate to protect our competitive position on our product candidates for an adequate amount of time.</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Depending upon the timing, duration and specifics of FDA marketing approval, if any,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3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a widespread adverse health event,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each case which could materially harm our business.</w:t>
      </w:r>
    </w:p>
    <w:p>
      <w:pPr>
        <w:spacing w:after="0" w:line="1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prescribers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Moreover, any name we have proposed to use with a product candidate in the United States must be approved by the FDA, regardless of whether we have registered it, or applied to register it, as a trademark. Similar requirements exist in Europe and other jurisdictions outside of the United States.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use third-party open source software, which could negatively affect our ability to offer our solutions and subject us to litigation or other actions.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cost,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such policies will be effective and that we have not incorporated open source software in our platform and solutions in a manner that is inconsistent with such policies.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 to our competitive advantage.</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degree of future protection afforded by intellectual property rights is uncertain because intellectual property rights have limitations, and may not adequately protect our business or permit us to maintain our competitive advantage. For example and without limitation:</w:t>
      </w:r>
    </w:p>
    <w:p>
      <w:pPr>
        <w:spacing w:after="0" w:line="113" w:lineRule="exact"/>
        <w:rPr>
          <w:sz w:val="20"/>
          <w:szCs w:val="20"/>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develop products that are similar to our product candidates but that are not covered by the claims of the patents that we may own or license;</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potential future licensors might not have been the first to make the inventions covered by the issued patents or patent application that we may own or license;</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potential future licensors might not have been the first to file patent applications covering certain of our inventions;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intellectual property rights;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or our future licensors’, pending patent applications will not lead to issued patents;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issued patents that we own or license may be held invalid or unenforceable, as a result of legal challenges by our competitors;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 and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Should any of these events occur, it could significantly harm our business,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Employee Matters and Managing our Growth</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may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may receive regulatory approval or any such commercialization may experience delays or limitations. Moreover, even if we do successfully enter such arrangements with third parties, any of those third parties may fail to perform in a satisfactory or timely manner, if at all.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is highly dependent on our ability to attract and retain highly skilled executive officers and employees.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 succeed, we must recruit, retain, manage and motivate qualified clinical, scientific, technical, administrative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 We currently do not maintain "key person" insurance for any of our executive officers (other than our chief executive officer) or other employees, and such insurance, even if in place, may not be adequate.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(if approved) our product candidates will be limited and the potential for successfully growing our business will be harmed.</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2026, we had 55 full-time employees, including 39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 without limitation:</w:t>
      </w:r>
    </w:p>
    <w:p>
      <w:pPr>
        <w:spacing w:after="0" w:line="127" w:lineRule="exact"/>
        <w:rPr>
          <w:sz w:val="20"/>
          <w:szCs w:val="20"/>
          <w:color w:val="auto"/>
        </w:rPr>
      </w:pPr>
    </w:p>
    <w:p>
      <w:pPr>
        <w:ind w:left="120" w:hanging="117"/>
        <w:spacing w:after="0"/>
        <w:tabs>
          <w:tab w:leader="none" w:pos="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integrating, maintaining and motivating additional employees;</w:t>
      </w:r>
    </w:p>
    <w:p>
      <w:pPr>
        <w:spacing w:after="0" w:line="191"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including the clinical, FDA, EMA and other comparable foreign regulatory agencies’ review process of atebimetinib and any other product candidates that we develop, while complying with any contractual obligations to contractors and other third parties we may have; and</w:t>
      </w:r>
    </w:p>
    <w:p>
      <w:pPr>
        <w:spacing w:after="0" w:line="126"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operational, financial and management controls, reporting systems and procedures.</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future financial performance and our ability to successfully develop and, if approved, commercialize atebimetinib and any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atebimetinib and any other current or future product candidates and, accordingly, may not achieve our research, development and commercialization goals.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variety of risks associated with operating internationally could materially adversely affect our business.</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currently have limited international operations, but our business plans incorporate potential international expansion, including the planned addition of international clinical trial sites, potential engagement with a collaborator based internationally, or if any of our product candidates receives regulatory approval. Doing business internationally involves a number of risks, including but not limited to:</w:t>
      </w:r>
    </w:p>
    <w:p>
      <w:pPr>
        <w:spacing w:after="0" w:line="140" w:lineRule="exact"/>
        <w:rPr>
          <w:sz w:val="20"/>
          <w:szCs w:val="20"/>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to obtain and maintain regulatory approvals for the use of our product candidates in various countries;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potentially relevant third-party patent rights;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and difficulties in obtaining intellectual property protection and enforcing our intellectual property rights;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multiple payor reimbursement regimes, government payors or patient self-pay systems;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in our ability to penetrate international markets;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risks, such as longer payment cycles, difficulty collecting accounts receivable, the impact of local and regional financial crises on demand and payment for our product candidates and exposure to foreign currency exchange rate fluctuations;</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political and economic instability including wars, terrorism and political unrest (for example, the ongoing conflict between Russia and Ukraine, as well as in the Middle East), outbreak of disease (for example, COVID-19 and other pandemics), boycotts, curtailment of trade and other business restrictions;</w:t>
      </w:r>
    </w:p>
    <w:p>
      <w:pPr>
        <w:spacing w:after="0" w:line="125"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susceptibility to trade disputes between nations, including from the imposition of tariffs, which may adversely impact operations (such as conducting ex-U.S. clinical trials or sourcing materials internationally);</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expenses including, among others, expenses for travel, translation and insurance; and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compliance risks that relate to maintaining accurate information and control over sales (if any) and activities that may fall within the purview of the FCPA, its books and records provisions, its anti-bribery provisions or other anti-bribery and anti-corruption laws.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these factors, among others, could significantly limit or harm our future international expansion and operations and, consequently, our results of operations.</w:t>
      </w:r>
    </w:p>
    <w:p>
      <w:pPr>
        <w:spacing w:after="0" w:line="22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Acquisitions, joint ventures or other transactions involving third parties could disrupt our business, cause dilution to our stockholders and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in the past and may in the future acquire other businesses, products or technologies as well as pursue strategic alliances, joint ventures, licensing arrangements, supply agreements or investments in complementary businesses. We have limited or in some cases no experience in completing such transactions. Any of these transactions could be material to our financial condition and operating results and expose us to many risks, including without limitation:</w:t>
      </w:r>
    </w:p>
    <w:p>
      <w:pPr>
        <w:spacing w:after="0" w:line="140" w:lineRule="exact"/>
        <w:rPr>
          <w:sz w:val="20"/>
          <w:szCs w:val="20"/>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in our relationships with future customers or with current or future distributors or suppliers as a result of such a transaction;</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liabilities related to acquired companies;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integrating acquired personnel, technologies and operations into our existing business;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focus from operating our business to acquisition integration or other collaboration challenges;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our expenses and reductions in our cash available for operations and other uses;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write-offs or impairment charges relating to acquired businesses;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regarding intellectual property and/or the scope and interpretation of licensing terms; and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develop a sales force for any additional product candidates.</w:t>
      </w:r>
    </w:p>
    <w:p>
      <w:pPr>
        <w:spacing w:after="0" w:line="23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Potential foreign transactions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Additionally, the anticipated benefit of any such transaction may not materialize. For example, future acquisitions or dispositions could result in potentially dilutive issuances of our equity securities, the incurrence of additional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broad discretion in the use of our cash reserves and may not use them effectively.</w:t>
      </w:r>
    </w:p>
    <w:p>
      <w:pPr>
        <w:spacing w:after="0" w:line="2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management has broad discretion to use our cash reserves and could use them in ways that do not improve our results of operations or enhance value, for example by prioritizing the development of certain product candidates and / or medical indications over others that could have been more successful. The failure by our management to apply these funds effectively could result in financial losses that could have a material adverse effect on our business and/or delay the development of our product candidates. Additionally, pending their use, we may invest our cash reserves in a manner that does not produce income or that loses value.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18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market value of our Class A common stock has in the past decreased from time to time, and may in the future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stock has been and may in the future be volatile, and you could lose all or part of your investment.</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trading price of our Class A common stock has in the past been, and in the future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Broad market and industry factors may negatively affect the market price of our Class A common stock, regardless of our actual operating performance. In addition to the factors discussed in this “Risk Factors” section, elsewhere in this filing, and in our other SEC filings, these factors include:</w:t>
      </w:r>
    </w:p>
    <w:p>
      <w:pPr>
        <w:spacing w:after="0" w:line="125" w:lineRule="exact"/>
        <w:rPr>
          <w:sz w:val="20"/>
          <w:szCs w:val="20"/>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results of preclinical studies and clinical trials of our product candidates or those of our competitors;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announcements by potential competitors of their product development efforts;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actions with respect to our products or our competitors’ products;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growth rate relative to our competitors;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applications, issued patents or other proprietary rights;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collaborations or capital commitments;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estimates as to financial results, development timelines or recommendations by securities analysts;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and volume fluctuations attributable to inconsistent trading volume levels of our shares;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or expectation of additional financing efforts;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Class A common stock by us, our insiders or our other stockholders;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expiration of market stand-off or lock-up agreements; and</w:t>
      </w:r>
    </w:p>
    <w:p>
      <w:pPr>
        <w:spacing w:after="0" w:line="178"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including the effects of recession or slow economic growth in the U.S. and abroad, interest rates, tariffs, inflation, fuel prices, international currency fluctuations, corruption, political instability, acts of war, acts of terrorism, ongoing or future military conflicts, and ongoing or future pandemics or other public health crises.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(as has happened in the past), we could lose visibility in the financial markets, which in turn could cause our stock price or trading volume to decline.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executive officers, directors, holders of 5% or more of our capital stock and their respective affiliates beneficially own a significant percentage of our voting stock and these stockholders will be able to influence us through this ownership position. These stockholders, if they were to vote their shares in the same or a similar manner as one another,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Class A and/or Class B common stock in the public market could cause our stock price to fall.</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have been or will be sold under any registration statement declared effective by the SEC are, or will be, as applicable, freely transferable without restrictions or further registration under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never declared or paid any cash dividends on our equity securities. We currently anticipate that we will retain future earnings, if any, for the development, operation and expansion of our business and do not anticipate declaring or paying any cash dividends for the foreseeable future, if ever. Any return to stockholders will therefore be limited to any appreciation in the value of our Class A common stock, which is not certain.</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27" w:lineRule="exact"/>
        <w:rPr>
          <w:sz w:val="20"/>
          <w:szCs w:val="20"/>
          <w:color w:val="auto"/>
        </w:rPr>
      </w:pPr>
    </w:p>
    <w:p>
      <w:pPr>
        <w:ind w:left="120" w:hanging="117"/>
        <w:spacing w:after="0"/>
        <w:tabs>
          <w:tab w:leader="none" w:pos="1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classified Board so that not all members of our Board are elected at one time;</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only the Board to establish the number of directors and fill vacancies on the Board;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directors may only be removed “for cause” and only with the approval of two-thirds of our stockholders;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 (also known as a “poison pill”);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the ability of our stockholders to call special meetings of stockholders;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which requires all stockholder actions to be taken at a meeting of our stockholders;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cumulative voting;</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to unilaterally amend the bylaws (as, for example, the Board did in February 2024);</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 and</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 super-majority vote of stockholders to amend some provisions described above.</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Section 203 of the General Corporation Law of the State of Delaware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provision of our certificate of incorporation, our bylaws or Delaware or other applicable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a federal district court of the United States of America is the exclusive forum for the resolution of any complaint asserting a cause or causes of action against any defendant arising under the Securities Act. Such provision is intended to benefit and may be enforced by us, our officers, directors, employees and agents, including the underwriters and any other professional or entity who has prepared or certified any part of this filing or our other SEC filings. Nothing in our amended and restated certificate of incorporation or amended and restated bylaws preclude stockholders that assert claims under the Exchange Act from bringing such claims in state or federal court, subject to applicable law.</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agents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information technology systems or use of artificial intelligence, or those of any of our CROs, manufacturers, other contractors, consultants, collaborators or potential future collaborators, may fail or suffer security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information technology systems and those of our current and any future CROs, CMOs and other contractors, consultants, collaborators, agents and third-party service providers, are vulnerable to attack, interruption and damage from computer viruses (e.g. ransomware), cybersecurity threats, malicious code,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and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and cause us to incur significant costs, including legal expenses and remediation costs. For example, the loss of clinical trial data from past, present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potential commercialization of our product candidates could be delayed or halted, and we could be subject to significant fines or penalties for any noncompliance with certain state, federal, local and/or international privacy and security laws.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we (and likely many of our third-party vendors, agents and other collaborators) are adopting and exploring the use of Artificial Intelligence ("AI") in our business. As an emerging and rapidly evolving technology, our (and, to the extent applicable, our third-party vendors', agents' and other collaborators') use of AI presents risks that could adversely affect our operations, information security and reputation. For example, AI systems may produce inaccurate or flawed outputs due to improper algorithms, or insufficient and/or erroneous training data. Reliance on flawed outputs could result in lower quality decision-making or prevent us from effectively utilizing AI in our business. We may also become vulnerable to operational disruptions if any AI technologies that we use experience downtimes or are compromised by cyberattacks. Moreover, if any of our confidential or proprietary information is integrated into public AI systems, whether purposefully or accidentally, it could result in the loss of confidentiality (including with respect to intellectual property) or other premature disclosure issues that negatively impact our business operations. If we (or our third-party agents and other collaborators) do not effectively implement guardrails and train staff on the safe and proper use of AI, or if staff fail to effectively adhere to established guardrails and training on the use of AI, we may experience adverse effects on our business, including without limitation data breaches, the loss of confidential information (including our intellectual property), unintentional disclosure of personal data, reputational harm, or other misuse of our proprietary information.</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or ultimate disposition, could be costly and divert management attention.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Additionally, there can be no assurance that our cybersecurity risk management program and processes, including our policies, controls or procedures, will be fully implemented, complied with or effective in protecting our systems and information. See Part I. Item 1C. "Cybersecurity" contained in our Annual Report on Form 10-K for the fiscal year ended December 31, 2025 for additional information.</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vulnerable to interruption by fire, severe weather conditions, power loss, telecommunications failure, terrorist activity, military conflict, future pandemics and other events beyond our control, which could harm our business.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geopolitical conflicts, military conflict, future pandemics, public health crises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27" w:lineRule="exact"/>
        <w:rPr>
          <w:sz w:val="20"/>
          <w:szCs w:val="20"/>
          <w:color w:val="auto"/>
        </w:rPr>
      </w:pPr>
    </w:p>
    <w:p>
      <w:pPr>
        <w:ind w:left="120" w:hanging="117"/>
        <w:spacing w:after="0" w:line="287" w:lineRule="auto"/>
        <w:tabs>
          <w:tab w:leader="none" w:pos="10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and other periodic reports;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of Section 404 of the Sarbanes-Oxley Act of 2002 (the "Sarbanes-Oxley Act");</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in our periodic reports and proxy statements; and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nonbinding advisory stockholder votes on executive compensation and stockholder approval of any golden parachute payments not previously approved.</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result in more litigation and divert management’s attention.</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the Dodd-Frank Wall Street Reform and Consumer Protection Act (the "Dodd-Frank Act"), the listing requirements of Nasdaq and other applicable securities laws, rules and regulations. Complying with these laws,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will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changing laws, rules, regulations and standards relating to corporate governance and public disclosure are creating uncertainty for public companies, increasing legal and financial compliance costs and making some activities more time consuming. These laws, rules,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evolving laws, rules, regulations and standards, and this investment may result in increased general and administrative expenses and a diversion of management’s time and attention from revenue-generating activities to compliance activities. If our efforts to comply with new laws, rules, regulations and standards differ from the activities intended by regulatory or governing bodies due to ambiguities related to their application and practice, regulatory or other governmental authorities may initiate legal proceedings against us and our business may be adversely affected.</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By disclosing information in this filing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or a non-accelerated filer (as defined under applicable SEC rules), our independent registered public accounting firm will not be required to attest to the effectiveness of our internal controls over financial reporting pursuant to Section</w:t>
      </w:r>
    </w:p>
    <w:p>
      <w:pPr>
        <w:jc w:val="both"/>
        <w:ind w:firstLine="3"/>
        <w:spacing w:after="0" w:line="259" w:lineRule="auto"/>
        <w:tabs>
          <w:tab w:leader="none" w:pos="36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which is expensive and could divert management attention.</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market price of our Class A common stock has been and may in the future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tax legislation may impact our results of operations and financial condition.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U.S. government has enacted, and may in the future enact further,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For example, the recently enacted Inflation Reduction Act, among other changes, introduced a 15% corporate minimum tax on certain United States corporations and a 1% excise tax on certain stock redemptions by United States corporations. Additionally, in July 2025, the Act to Provide for Reconciliation Pursuant to Title II of H. Con. Res. 14 was enacted, which for example (and among other things) extends certain tax cuts while eliminating certain others. The likelihood and / or potential impact of these or other further changes being enacted or implemented is unclear. We are currently unable to predict whether such changes will occur, and if they do occur, what their scope will be. If such changes were to be enacted or implemented, we are currently unable to predict the ultimate impact on our business.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Sales of Equity Securities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Proceeds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Disclosure in lieu of reporting on a Current Report on Form 8-K.</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6" w:lineRule="exact"/>
        <w:rPr>
          <w:sz w:val="20"/>
          <w:szCs w:val="20"/>
          <w:color w:val="auto"/>
        </w:rPr>
      </w:pPr>
    </w:p>
    <w:p>
      <w:pPr>
        <w:ind w:left="620" w:right="2520" w:firstLine="2"/>
        <w:spacing w:after="0" w:line="495" w:lineRule="auto"/>
        <w:tabs>
          <w:tab w:leader="none" w:pos="86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changes to the procedures by which security holders may recommend nominees to the board of directors. None.</w:t>
      </w:r>
    </w:p>
    <w:p>
      <w:pPr>
        <w:ind w:left="860" w:hanging="238"/>
        <w:spacing w:after="0"/>
        <w:tabs>
          <w:tab w:leader="none" w:pos="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Insider Trading Arrangements and Policies</w:t>
      </w: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no director or “officer” (as defined in Rule 16a-1(f) under the Exchange Act) of the Company adopted or terminated a “Rule 10b5-1 trading arrangement” or “non-Rule 10b5-1 trading arrangement”, as each term is defined in Item 408(a) of Regulation S-K.</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Furnished</w:t>
            </w:r>
          </w:p>
        </w:tc>
        <w:tc>
          <w:tcPr>
            <w:tcW w:w="0" w:type="dxa"/>
            <w:vAlign w:val="bottom"/>
          </w:tcPr>
          <w:p>
            <w:pPr>
              <w:spacing w:after="0"/>
              <w:rPr>
                <w:sz w:val="1"/>
                <w:szCs w:val="1"/>
                <w:color w:val="auto"/>
              </w:rPr>
            </w:pPr>
          </w:p>
        </w:tc>
      </w:tr>
      <w:tr>
        <w:trPr>
          <w:trHeight w:val="195"/>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620" w:type="dxa"/>
            <w:vAlign w:val="bottom"/>
            <w:gridSpan w:val="8"/>
          </w:tcPr>
          <w:p>
            <w:pPr>
              <w:ind w:left="1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0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22"/>
        </w:trPr>
        <w:tc>
          <w:tcPr>
            <w:tcW w:w="1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7"/>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4620" w:type="dxa"/>
            <w:vAlign w:val="bottom"/>
            <w:gridSpan w:val="8"/>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Amended and Restated Certificate of Incorporation of</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001-40675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9/9/2021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700" w:type="dxa"/>
            <w:vAlign w:val="bottom"/>
            <w:tcBorders>
              <w:top w:val="single" w:sz="8" w:color="0000FF"/>
            </w:tcBorders>
            <w:gridSpan w:val="5"/>
          </w:tcPr>
          <w:p>
            <w:pPr>
              <w:spacing w:after="0" w:line="186"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Immuneering Corporation</w:t>
              </w:r>
            </w:hyperlink>
          </w:p>
        </w:tc>
        <w:tc>
          <w:tcPr>
            <w:tcW w:w="92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418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Amended and Restated Bylaws of Immuneering Corporation</w:t>
              </w:r>
            </w:hyperlink>
          </w:p>
        </w:tc>
        <w:tc>
          <w:tcPr>
            <w:tcW w:w="440" w:type="dxa"/>
            <w:vAlign w:val="bottom"/>
            <w:gridSpan w:val="2"/>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001-40675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2/2/2024</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4620" w:type="dxa"/>
            <w:vAlign w:val="bottom"/>
            <w:gridSpan w:val="8"/>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Form of Pre-Funded Warrant</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001-40675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8/25/2025</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980" w:type="dxa"/>
            <w:vAlign w:val="bottom"/>
            <w:tcBorders>
              <w:top w:val="single" w:sz="8" w:color="0000FF"/>
            </w:tcBorders>
            <w:gridSpan w:val="3"/>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Form of Purchase Warrant</w:t>
              </w:r>
            </w:hyperlink>
          </w:p>
        </w:tc>
        <w:tc>
          <w:tcPr>
            <w:tcW w:w="2640" w:type="dxa"/>
            <w:vAlign w:val="bottom"/>
            <w:gridSpan w:val="5"/>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001-40675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8/25/2025</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4540" w:type="dxa"/>
            <w:vAlign w:val="bottom"/>
            <w:tcBorders>
              <w:bottom w:val="single" w:sz="8" w:color="0000FF"/>
            </w:tcBorders>
            <w:gridSpan w:val="7"/>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Immuneering Corporation Non-Employee Director Compensation</w:t>
              </w:r>
            </w:hyperlink>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001-40675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3/6/2026</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300" w:type="dxa"/>
            <w:vAlign w:val="bottom"/>
            <w:tcBorders>
              <w:bottom w:val="single" w:sz="8" w:color="0000FF"/>
            </w:tcBorders>
            <w:gridSpan w:val="4"/>
          </w:tcPr>
          <w:p>
            <w:pPr>
              <w:spacing w:after="0" w:line="186"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Program, as amended, effective January 1, 2026</w:t>
              </w:r>
            </w:hyperlink>
          </w:p>
        </w:tc>
        <w:tc>
          <w:tcPr>
            <w:tcW w:w="1320" w:type="dxa"/>
            <w:vAlign w:val="bottom"/>
            <w:gridSpan w:val="4"/>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9"/>
        </w:trPr>
        <w:tc>
          <w:tcPr>
            <w:tcW w:w="1280" w:type="dxa"/>
            <w:vAlign w:val="bottom"/>
          </w:tcPr>
          <w:p>
            <w:pPr>
              <w:spacing w:after="0"/>
              <w:rPr>
                <w:sz w:val="24"/>
                <w:szCs w:val="24"/>
                <w:color w:val="auto"/>
              </w:rPr>
            </w:pPr>
          </w:p>
        </w:tc>
        <w:tc>
          <w:tcPr>
            <w:tcW w:w="4540" w:type="dxa"/>
            <w:vAlign w:val="bottom"/>
            <w:gridSpan w:val="7"/>
          </w:tcPr>
          <w:p>
            <w:pPr>
              <w:ind w:left="4220"/>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35"/>
        </w:trPr>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Furnished</w:t>
            </w:r>
          </w:p>
        </w:tc>
        <w:tc>
          <w:tcPr>
            <w:tcW w:w="0" w:type="dxa"/>
            <w:vAlign w:val="bottom"/>
          </w:tcPr>
          <w:p>
            <w:pPr>
              <w:spacing w:after="0"/>
              <w:rPr>
                <w:sz w:val="1"/>
                <w:szCs w:val="1"/>
                <w:color w:val="auto"/>
              </w:rPr>
            </w:pPr>
          </w:p>
        </w:tc>
      </w:tr>
      <w:tr>
        <w:trPr>
          <w:trHeight w:val="19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22"/>
        </w:trPr>
        <w:tc>
          <w:tcPr>
            <w:tcW w:w="12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 13a-</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500" w:type="dxa"/>
            <w:vAlign w:val="bottom"/>
            <w:tcBorders>
              <w:top w:val="single" w:sz="8" w:color="0000FF"/>
            </w:tcBorders>
            <w:gridSpan w:val="5"/>
          </w:tcPr>
          <w:p>
            <w:pPr>
              <w:spacing w:after="0" w:line="186" w:lineRule="exact"/>
              <w:rPr>
                <w:sz w:val="20"/>
                <w:szCs w:val="20"/>
                <w:color w:val="auto"/>
              </w:rPr>
            </w:pPr>
            <w:r>
              <w:rPr>
                <w:rFonts w:ascii="Times New Roman" w:cs="Times New Roman" w:eastAsia="Times New Roman" w:hAnsi="Times New Roman"/>
                <w:sz w:val="17"/>
                <w:szCs w:val="17"/>
                <w:color w:val="0000FF"/>
              </w:rPr>
              <w:t>14(a)/15d-14(a).</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4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 13a-</w:t>
            </w:r>
          </w:p>
        </w:tc>
        <w:tc>
          <w:tcPr>
            <w:tcW w:w="16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20" w:type="dxa"/>
            <w:vAlign w:val="bottom"/>
            <w:gridSpan w:val="6"/>
          </w:tcPr>
          <w:p>
            <w:pPr>
              <w:spacing w:after="0" w:line="186" w:lineRule="exact"/>
              <w:rPr>
                <w:sz w:val="20"/>
                <w:szCs w:val="20"/>
                <w:color w:val="auto"/>
              </w:rPr>
            </w:pPr>
            <w:r>
              <w:rPr>
                <w:rFonts w:ascii="Times New Roman" w:cs="Times New Roman" w:eastAsia="Times New Roman" w:hAnsi="Times New Roman"/>
                <w:sz w:val="17"/>
                <w:szCs w:val="17"/>
                <w:color w:val="0000FF"/>
              </w:rPr>
              <w:t>14(a)/15d-14(a).</w:t>
            </w: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Borders>
              <w:top w:val="single" w:sz="8" w:color="0000FF"/>
              <w:bottom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7"/>
                <w:szCs w:val="17"/>
                <w:color w:val="0000FF"/>
              </w:rPr>
              <w:t>Section 1350.</w:t>
            </w:r>
          </w:p>
        </w:tc>
        <w:tc>
          <w:tcPr>
            <w:tcW w:w="3540" w:type="dxa"/>
            <w:vAlign w:val="bottom"/>
            <w:tcBorders>
              <w:top w:val="single" w:sz="8" w:color="0000FF"/>
            </w:tcBorders>
            <w:gridSpan w:val="3"/>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4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w:t>
            </w:r>
          </w:p>
        </w:tc>
        <w:tc>
          <w:tcPr>
            <w:tcW w:w="16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7"/>
                <w:szCs w:val="17"/>
                <w:color w:val="0000FF"/>
                <w:w w:val="98"/>
              </w:rPr>
              <w:t>Section 1350.</w:t>
            </w:r>
          </w:p>
        </w:tc>
        <w:tc>
          <w:tcPr>
            <w:tcW w:w="368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appear in the Interactive Data File because its XBRL tags are</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4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4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contained in Exhibit 101)</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Filed herewith.</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68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Furnished herewith.</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 Indicates management contract or compensatory plan.</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duly authorized.</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160" w:type="dxa"/>
            <w:vAlign w:val="bottom"/>
          </w:tcPr>
          <w:p>
            <w:pPr>
              <w:spacing w:after="0"/>
              <w:rPr>
                <w:sz w:val="19"/>
                <w:szCs w:val="19"/>
                <w:color w:val="auto"/>
              </w:rPr>
            </w:pPr>
          </w:p>
        </w:tc>
        <w:tc>
          <w:tcPr>
            <w:tcW w:w="8060" w:type="dxa"/>
            <w:vAlign w:val="bottom"/>
            <w:gridSpan w:val="3"/>
          </w:tcPr>
          <w:p>
            <w:pPr>
              <w:ind w:left="1780"/>
              <w:spacing w:after="0"/>
              <w:rPr>
                <w:sz w:val="20"/>
                <w:szCs w:val="20"/>
                <w:color w:val="auto"/>
              </w:rPr>
            </w:pPr>
            <w:r>
              <w:rPr>
                <w:rFonts w:ascii="Times New Roman" w:cs="Times New Roman" w:eastAsia="Times New Roman" w:hAnsi="Times New Roman"/>
                <w:sz w:val="17"/>
                <w:szCs w:val="17"/>
                <w:b w:val="1"/>
                <w:bCs w:val="1"/>
                <w:color w:val="auto"/>
              </w:rPr>
              <w:t>IMMUNEERING CORPORATION</w:t>
            </w:r>
          </w:p>
        </w:tc>
      </w:tr>
      <w:tr>
        <w:trPr>
          <w:trHeight w:val="508"/>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Date: May 15, 2026</w:t>
            </w:r>
          </w:p>
        </w:tc>
        <w:tc>
          <w:tcPr>
            <w:tcW w:w="22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By:</w:t>
            </w:r>
          </w:p>
        </w:tc>
        <w:tc>
          <w:tcPr>
            <w:tcW w:w="8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Benjamin J. Zeskind</w:t>
            </w:r>
          </w:p>
        </w:tc>
      </w:tr>
      <w:tr>
        <w:trPr>
          <w:trHeight w:val="232"/>
        </w:trPr>
        <w:tc>
          <w:tcPr>
            <w:tcW w:w="3160" w:type="dxa"/>
            <w:vAlign w:val="bottom"/>
          </w:tcPr>
          <w:p>
            <w:pPr>
              <w:spacing w:after="0"/>
              <w:rPr>
                <w:sz w:val="20"/>
                <w:szCs w:val="20"/>
                <w:color w:val="auto"/>
              </w:rPr>
            </w:pPr>
          </w:p>
        </w:tc>
        <w:tc>
          <w:tcPr>
            <w:tcW w:w="22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Name:</w:t>
            </w:r>
          </w:p>
        </w:tc>
        <w:tc>
          <w:tcPr>
            <w:tcW w:w="8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Benjamin J. Zeskind, Ph.D.</w:t>
            </w:r>
          </w:p>
        </w:tc>
      </w:tr>
      <w:tr>
        <w:trPr>
          <w:trHeight w:val="228"/>
        </w:trPr>
        <w:tc>
          <w:tcPr>
            <w:tcW w:w="3160" w:type="dxa"/>
            <w:vAlign w:val="bottom"/>
          </w:tcPr>
          <w:p>
            <w:pPr>
              <w:spacing w:after="0"/>
              <w:rPr>
                <w:sz w:val="19"/>
                <w:szCs w:val="19"/>
                <w:color w:val="auto"/>
              </w:rPr>
            </w:pPr>
          </w:p>
        </w:tc>
        <w:tc>
          <w:tcPr>
            <w:tcW w:w="22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Title:</w:t>
            </w:r>
          </w:p>
        </w:tc>
        <w:tc>
          <w:tcPr>
            <w:tcW w:w="84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Co-Founder, President, Chief Executive Officer and Director</w:t>
            </w:r>
          </w:p>
        </w:tc>
      </w:tr>
      <w:tr>
        <w:trPr>
          <w:trHeight w:val="223"/>
        </w:trPr>
        <w:tc>
          <w:tcPr>
            <w:tcW w:w="31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77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Date: May 15, 2026</w:t>
            </w:r>
          </w:p>
        </w:tc>
        <w:tc>
          <w:tcPr>
            <w:tcW w:w="22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By:</w:t>
            </w:r>
          </w:p>
        </w:tc>
        <w:tc>
          <w:tcPr>
            <w:tcW w:w="8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Mallory Morales</w:t>
            </w:r>
          </w:p>
        </w:tc>
      </w:tr>
      <w:tr>
        <w:trPr>
          <w:trHeight w:val="232"/>
        </w:trPr>
        <w:tc>
          <w:tcPr>
            <w:tcW w:w="3160" w:type="dxa"/>
            <w:vAlign w:val="bottom"/>
          </w:tcPr>
          <w:p>
            <w:pPr>
              <w:spacing w:after="0"/>
              <w:rPr>
                <w:sz w:val="20"/>
                <w:szCs w:val="20"/>
                <w:color w:val="auto"/>
              </w:rPr>
            </w:pPr>
          </w:p>
        </w:tc>
        <w:tc>
          <w:tcPr>
            <w:tcW w:w="22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Name:</w:t>
            </w:r>
          </w:p>
        </w:tc>
        <w:tc>
          <w:tcPr>
            <w:tcW w:w="8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Mallory Morales</w:t>
            </w:r>
          </w:p>
        </w:tc>
      </w:tr>
      <w:tr>
        <w:trPr>
          <w:trHeight w:val="228"/>
        </w:trPr>
        <w:tc>
          <w:tcPr>
            <w:tcW w:w="3160" w:type="dxa"/>
            <w:vAlign w:val="bottom"/>
          </w:tcPr>
          <w:p>
            <w:pPr>
              <w:spacing w:after="0"/>
              <w:rPr>
                <w:sz w:val="19"/>
                <w:szCs w:val="19"/>
                <w:color w:val="auto"/>
              </w:rPr>
            </w:pPr>
          </w:p>
        </w:tc>
        <w:tc>
          <w:tcPr>
            <w:tcW w:w="22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Title:</w:t>
            </w:r>
          </w:p>
        </w:tc>
        <w:tc>
          <w:tcPr>
            <w:tcW w:w="84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SVP Finance, Chief Accounting Officer and Treasurer</w:t>
            </w:r>
          </w:p>
        </w:tc>
      </w:tr>
      <w:tr>
        <w:trPr>
          <w:trHeight w:val="223"/>
        </w:trPr>
        <w:tc>
          <w:tcPr>
            <w:tcW w:w="31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r>
      <w:tr>
        <w:trPr>
          <w:trHeight w:val="890"/>
        </w:trPr>
        <w:tc>
          <w:tcPr>
            <w:tcW w:w="3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102</w:t>
            </w:r>
          </w:p>
        </w:tc>
        <w:tc>
          <w:tcPr>
            <w:tcW w:w="494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Benjamin J. Zeskind, certify that:</w:t>
      </w:r>
    </w:p>
    <w:p>
      <w:pPr>
        <w:spacing w:after="0" w:line="114" w:lineRule="exact"/>
        <w:rPr>
          <w:sz w:val="20"/>
          <w:szCs w:val="20"/>
          <w:color w:val="auto"/>
        </w:rPr>
      </w:pPr>
    </w:p>
    <w:p>
      <w:pPr>
        <w:ind w:left="460" w:hanging="457"/>
        <w:spacing w:after="0"/>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Immuneering Corporation;</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460" w:right="100" w:hanging="457"/>
        <w:spacing w:after="0" w:line="287"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460" w:right="240" w:hanging="457"/>
        <w:spacing w:after="0" w:line="270"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940" w:right="80" w:hanging="473"/>
        <w:spacing w:after="0" w:line="270" w:lineRule="auto"/>
        <w:tabs>
          <w:tab w:leader="none" w:pos="93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940" w:right="60" w:hanging="473"/>
        <w:spacing w:after="0" w:line="270" w:lineRule="auto"/>
        <w:tabs>
          <w:tab w:leader="none" w:pos="93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940" w:right="120" w:hanging="473"/>
        <w:spacing w:after="0" w:line="287" w:lineRule="auto"/>
        <w:tabs>
          <w:tab w:leader="none" w:pos="93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940" w:right="140" w:hanging="473"/>
        <w:spacing w:after="0" w:line="270" w:lineRule="auto"/>
        <w:tabs>
          <w:tab w:leader="none" w:pos="93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460" w:right="680" w:hanging="457"/>
        <w:spacing w:after="0" w:line="287"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940" w:right="40" w:hanging="473"/>
        <w:spacing w:after="0" w:line="287" w:lineRule="auto"/>
        <w:tabs>
          <w:tab w:leader="none" w:pos="93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940" w:right="80" w:hanging="473"/>
        <w:spacing w:after="0" w:line="287" w:lineRule="auto"/>
        <w:tabs>
          <w:tab w:leader="none" w:pos="93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15, 2026</w:t>
      </w:r>
    </w:p>
    <w:p>
      <w:pPr>
        <w:spacing w:after="0" w:line="269" w:lineRule="exact"/>
        <w:rPr>
          <w:sz w:val="20"/>
          <w:szCs w:val="20"/>
          <w:color w:val="auto"/>
        </w:rPr>
      </w:pPr>
    </w:p>
    <w:tbl>
      <w:tblPr>
        <w:tblLayout w:type="fixed"/>
        <w:tblInd w:w="522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 Benjamin J. Zeskind</w:t>
            </w:r>
          </w:p>
        </w:tc>
      </w:tr>
      <w:tr>
        <w:trPr>
          <w:trHeight w:val="25"/>
        </w:trPr>
        <w:tc>
          <w:tcPr>
            <w:tcW w:w="8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5"/>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Benjamin J. Zeskind, Ph.D</w:t>
            </w:r>
          </w:p>
        </w:tc>
      </w:tr>
      <w:tr>
        <w:trPr>
          <w:trHeight w:val="241"/>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Co-Founder, President, Chief Executive Officer and Director (Principal</w:t>
            </w:r>
          </w:p>
        </w:tc>
      </w:tr>
      <w:tr>
        <w:trPr>
          <w:trHeight w:val="223"/>
        </w:trPr>
        <w:tc>
          <w:tcPr>
            <w:tcW w:w="8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Executive Officer)</w:t>
            </w:r>
          </w:p>
        </w:tc>
      </w:tr>
    </w:tbl>
    <w:p>
      <w:pPr>
        <w:sectPr>
          <w:pgSz w:w="11900" w:h="16838" w:orient="portrait"/>
          <w:cols w:equalWidth="0" w:num="1">
            <w:col w:w="11240"/>
          </w:cols>
          <w:pgMar w:left="320" w:top="109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Mallory Morales, certify that:</w:t>
      </w:r>
    </w:p>
    <w:p>
      <w:pPr>
        <w:spacing w:after="0" w:line="114" w:lineRule="exact"/>
        <w:rPr>
          <w:sz w:val="20"/>
          <w:szCs w:val="20"/>
          <w:color w:val="auto"/>
        </w:rPr>
      </w:pPr>
    </w:p>
    <w:p>
      <w:pPr>
        <w:ind w:left="460" w:hanging="457"/>
        <w:spacing w:after="0"/>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Immuneering Corporation;</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460" w:right="100" w:hanging="457"/>
        <w:spacing w:after="0" w:line="287"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460" w:right="240" w:hanging="457"/>
        <w:spacing w:after="0" w:line="270"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940" w:right="80" w:hanging="473"/>
        <w:spacing w:after="0" w:line="270" w:lineRule="auto"/>
        <w:tabs>
          <w:tab w:leader="none" w:pos="93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940" w:right="60" w:hanging="473"/>
        <w:spacing w:after="0" w:line="270" w:lineRule="auto"/>
        <w:tabs>
          <w:tab w:leader="none" w:pos="93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940" w:right="120" w:hanging="473"/>
        <w:spacing w:after="0" w:line="287" w:lineRule="auto"/>
        <w:tabs>
          <w:tab w:leader="none" w:pos="93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940" w:right="140" w:hanging="473"/>
        <w:spacing w:after="0" w:line="270" w:lineRule="auto"/>
        <w:tabs>
          <w:tab w:leader="none" w:pos="93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460" w:right="680" w:hanging="457"/>
        <w:spacing w:after="0" w:line="287"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940" w:right="40" w:hanging="473"/>
        <w:spacing w:after="0" w:line="287" w:lineRule="auto"/>
        <w:tabs>
          <w:tab w:leader="none" w:pos="93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940" w:right="80" w:hanging="473"/>
        <w:spacing w:after="0" w:line="287" w:lineRule="auto"/>
        <w:tabs>
          <w:tab w:leader="none" w:pos="93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15, 2026</w:t>
      </w:r>
    </w:p>
    <w:p>
      <w:pPr>
        <w:spacing w:after="0" w:line="269" w:lineRule="exact"/>
        <w:rPr>
          <w:sz w:val="20"/>
          <w:szCs w:val="20"/>
          <w:color w:val="auto"/>
        </w:rPr>
      </w:pPr>
    </w:p>
    <w:tbl>
      <w:tblPr>
        <w:tblLayout w:type="fixed"/>
        <w:tblInd w:w="526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Mallory Morales</w:t>
            </w:r>
          </w:p>
        </w:tc>
        <w:tc>
          <w:tcPr>
            <w:tcW w:w="0" w:type="dxa"/>
            <w:vAlign w:val="bottom"/>
          </w:tcPr>
          <w:p>
            <w:pPr>
              <w:spacing w:after="0"/>
              <w:rPr>
                <w:sz w:val="1"/>
                <w:szCs w:val="1"/>
                <w:color w:val="auto"/>
              </w:rPr>
            </w:pPr>
          </w:p>
        </w:tc>
      </w:tr>
      <w:tr>
        <w:trPr>
          <w:trHeight w:val="25"/>
        </w:trPr>
        <w:tc>
          <w:tcPr>
            <w:tcW w:w="78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Mallory Morales</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SVP Finance, Chief Accounting Officer and Treasurer</w:t>
            </w:r>
          </w:p>
        </w:tc>
        <w:tc>
          <w:tcPr>
            <w:tcW w:w="0" w:type="dxa"/>
            <w:vAlign w:val="bottom"/>
          </w:tcPr>
          <w:p>
            <w:pPr>
              <w:spacing w:after="0"/>
              <w:rPr>
                <w:sz w:val="1"/>
                <w:szCs w:val="1"/>
                <w:color w:val="auto"/>
              </w:rPr>
            </w:pPr>
          </w:p>
        </w:tc>
      </w:tr>
      <w:tr>
        <w:trPr>
          <w:trHeight w:val="86"/>
        </w:trPr>
        <w:tc>
          <w:tcPr>
            <w:tcW w:w="78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Immuneering Corporation (the “Company”) for the quarterly period ended March 31, 2026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2" w:lineRule="exact"/>
        <w:rPr>
          <w:sz w:val="20"/>
          <w:szCs w:val="20"/>
          <w:color w:val="auto"/>
        </w:rPr>
      </w:pPr>
    </w:p>
    <w:p>
      <w:pPr>
        <w:ind w:left="780" w:hanging="467"/>
        <w:spacing w:after="0"/>
        <w:tabs>
          <w:tab w:leader="none" w:pos="7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15, 2026</w:t>
      </w:r>
    </w:p>
    <w:p>
      <w:pPr>
        <w:spacing w:after="0" w:line="269" w:lineRule="exact"/>
        <w:rPr>
          <w:sz w:val="20"/>
          <w:szCs w:val="20"/>
          <w:color w:val="auto"/>
        </w:rPr>
      </w:pPr>
    </w:p>
    <w:tbl>
      <w:tblPr>
        <w:tblLayout w:type="fixed"/>
        <w:tblInd w:w="526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Benjamin J. Zeskind</w:t>
            </w:r>
          </w:p>
        </w:tc>
        <w:tc>
          <w:tcPr>
            <w:tcW w:w="0" w:type="dxa"/>
            <w:vAlign w:val="bottom"/>
          </w:tcPr>
          <w:p>
            <w:pPr>
              <w:spacing w:after="0"/>
              <w:rPr>
                <w:sz w:val="1"/>
                <w:szCs w:val="1"/>
                <w:color w:val="auto"/>
              </w:rPr>
            </w:pPr>
          </w:p>
        </w:tc>
      </w:tr>
      <w:tr>
        <w:trPr>
          <w:trHeight w:val="25"/>
        </w:trPr>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5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80" w:type="dxa"/>
            <w:vAlign w:val="bottom"/>
            <w:vMerge w:val="continue"/>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Benjamin J. Zeskind, Ph.D.</w:t>
            </w:r>
          </w:p>
        </w:tc>
        <w:tc>
          <w:tcPr>
            <w:tcW w:w="0" w:type="dxa"/>
            <w:vAlign w:val="bottom"/>
          </w:tcPr>
          <w:p>
            <w:pPr>
              <w:spacing w:after="0"/>
              <w:rPr>
                <w:sz w:val="1"/>
                <w:szCs w:val="1"/>
                <w:color w:val="auto"/>
              </w:rPr>
            </w:pPr>
          </w:p>
        </w:tc>
      </w:t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Co-Founder, President, Chief Executive Officer and Director (Principal</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9"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1"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Immuneering Corporation (the “Company”) for the quarterly period ended March 31, 2026,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2" w:lineRule="exact"/>
        <w:rPr>
          <w:sz w:val="20"/>
          <w:szCs w:val="20"/>
          <w:color w:val="auto"/>
        </w:rPr>
      </w:pPr>
    </w:p>
    <w:p>
      <w:pPr>
        <w:ind w:left="920" w:hanging="453"/>
        <w:spacing w:after="0"/>
        <w:tabs>
          <w:tab w:leader="none" w:pos="9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15, 2026</w:t>
      </w:r>
    </w:p>
    <w:p>
      <w:pPr>
        <w:spacing w:after="0" w:line="269" w:lineRule="exact"/>
        <w:rPr>
          <w:sz w:val="20"/>
          <w:szCs w:val="20"/>
          <w:color w:val="auto"/>
        </w:rPr>
      </w:pPr>
    </w:p>
    <w:tbl>
      <w:tblPr>
        <w:tblLayout w:type="fixed"/>
        <w:tblInd w:w="526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Mallory Morales</w:t>
            </w:r>
          </w:p>
        </w:tc>
        <w:tc>
          <w:tcPr>
            <w:tcW w:w="0" w:type="dxa"/>
            <w:vAlign w:val="bottom"/>
          </w:tcPr>
          <w:p>
            <w:pPr>
              <w:spacing w:after="0"/>
              <w:rPr>
                <w:sz w:val="1"/>
                <w:szCs w:val="1"/>
                <w:color w:val="auto"/>
              </w:rPr>
            </w:pPr>
          </w:p>
        </w:tc>
      </w:tr>
      <w:tr>
        <w:trPr>
          <w:trHeight w:val="25"/>
        </w:trPr>
        <w:tc>
          <w:tcPr>
            <w:tcW w:w="78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Mallory Morales</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SVP Finance, Chief Accounting Officer and Treasurer</w:t>
            </w:r>
          </w:p>
        </w:tc>
        <w:tc>
          <w:tcPr>
            <w:tcW w:w="0" w:type="dxa"/>
            <w:vAlign w:val="bottom"/>
          </w:tcPr>
          <w:p>
            <w:pPr>
              <w:spacing w:after="0"/>
              <w:rPr>
                <w:sz w:val="1"/>
                <w:szCs w:val="1"/>
                <w:color w:val="auto"/>
              </w:rPr>
            </w:pPr>
          </w:p>
        </w:tc>
      </w:tr>
      <w:tr>
        <w:trPr>
          <w:trHeight w:val="86"/>
        </w:trPr>
        <w:tc>
          <w:tcPr>
            <w:tcW w:w="78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415"/>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404"/>
    </w:lvl>
  </w:abstractNum>
  <w:abstractNum w:abstractNumId="46">
    <w:nsid w:val="684A481A"/>
    <w:multiLevelType w:val="hybridMultilevel"/>
    <w:lvl w:ilvl="0">
      <w:lvlJc w:val="left"/>
      <w:lvlText w:val="(%1)"/>
      <w:numFmt w:val="lowerLetter"/>
      <w:start w:val="2"/>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14" Type="http://schemas.openxmlformats.org/officeDocument/2006/relationships/hyperlink" Target="https://www.sec.gov/Archives/edgar/data/1790340/000155837021012336/imrx-20210630xex3d1.htm" TargetMode="External"/><Relationship Id="rId115" Type="http://schemas.openxmlformats.org/officeDocument/2006/relationships/hyperlink" Target="https://www.sec.gov/Archives/edgar/data/1790340/000110465924010041/tm245037d1_ex3-1.htm" TargetMode="External"/><Relationship Id="rId116" Type="http://schemas.openxmlformats.org/officeDocument/2006/relationships/hyperlink" Target="https://www.sec.gov/Archives/edgar/data/1790340/000110465925081995/tm2524079d1_ex4-1.htm" TargetMode="External"/><Relationship Id="rId117" Type="http://schemas.openxmlformats.org/officeDocument/2006/relationships/hyperlink" Target="https://www.sec.gov/Archives/edgar/data/1790340/000110465925081995/tm2524079d1_ex4-2.htm" TargetMode="External"/><Relationship Id="rId118" Type="http://schemas.openxmlformats.org/officeDocument/2006/relationships/hyperlink" Target="https://www.sec.gov/Archives/edgar/data/1790340/000179034026000042/imrx-20251231x10kxex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2026-05-15T06:55:50Z</dcterms:created>
  <dcterms:modified xsi:type="dcterms:W3CDTF">2026-05-15T06:55:50Z</dcterms:modified>
</cp:coreProperties>
</file>