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248920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128905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3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144145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82"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 w:lineRule="exact"/>
        <w:rPr>
          <w:sz w:val="24"/>
          <w:szCs w:val="24"/>
          <w:color w:val="auto"/>
        </w:rPr>
      </w:pPr>
    </w:p>
    <w:p>
      <w:pPr>
        <w:ind w:left="4140" w:right="1600" w:hanging="2470"/>
        <w:spacing w:after="0" w:line="282" w:lineRule="auto"/>
        <w:tabs>
          <w:tab w:leader="none" w:pos="2323"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For the quarterly period ended March 31, 2022</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84" w:lineRule="exact"/>
        <w:rPr>
          <w:sz w:val="24"/>
          <w:szCs w:val="24"/>
          <w:color w:val="auto"/>
        </w:rPr>
      </w:pPr>
    </w:p>
    <w:p>
      <w:pPr>
        <w:ind w:left="4140" w:right="1580" w:hanging="2488"/>
        <w:spacing w:after="0" w:line="301" w:lineRule="auto"/>
        <w:tabs>
          <w:tab w:leader="none" w:pos="2306"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For the transition period from</w:t>
            </w:r>
          </w:p>
        </w:tc>
        <w:tc>
          <w:tcPr>
            <w:tcW w:w="580" w:type="dxa"/>
            <w:vAlign w:val="bottom"/>
            <w:tcBorders>
              <w:bottom w:val="single" w:sz="8" w:color="auto"/>
            </w:tcBorders>
          </w:tcPr>
          <w:p>
            <w:pPr>
              <w:spacing w:after="0"/>
              <w:rPr>
                <w:sz w:val="12"/>
                <w:szCs w:val="12"/>
                <w:color w:val="auto"/>
              </w:rPr>
            </w:pPr>
          </w:p>
        </w:tc>
        <w:tc>
          <w:tcPr>
            <w:tcW w:w="3360" w:type="dxa"/>
            <w:vAlign w:val="bottom"/>
            <w:gridSpan w:val="4"/>
          </w:tcPr>
          <w:p>
            <w:pPr>
              <w:ind w:left="80"/>
              <w:spacing w:after="0"/>
              <w:rPr>
                <w:sz w:val="20"/>
                <w:szCs w:val="20"/>
                <w:color w:val="auto"/>
              </w:rPr>
            </w:pPr>
            <w:r>
              <w:rPr>
                <w:rFonts w:ascii="Times New Roman" w:cs="Times New Roman" w:eastAsia="Times New Roman" w:hAnsi="Times New Roman"/>
                <w:sz w:val="13"/>
                <w:szCs w:val="13"/>
                <w:b w:val="1"/>
                <w:bCs w:val="1"/>
                <w:color w:val="auto"/>
              </w:rPr>
              <w:t>to</w:t>
            </w: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20" w:type="dxa"/>
            <w:vAlign w:val="bottom"/>
            <w:gridSpan w:val="4"/>
          </w:tcPr>
          <w:p>
            <w:pPr>
              <w:jc w:val="center"/>
              <w:ind w:left="182"/>
              <w:spacing w:after="0"/>
              <w:rPr>
                <w:sz w:val="20"/>
                <w:szCs w:val="20"/>
                <w:color w:val="auto"/>
              </w:rPr>
            </w:pPr>
            <w:r>
              <w:rPr>
                <w:rFonts w:ascii="Times New Roman" w:cs="Times New Roman" w:eastAsia="Times New Roman" w:hAnsi="Times New Roman"/>
                <w:sz w:val="13"/>
                <w:szCs w:val="13"/>
                <w:b w:val="1"/>
                <w:bCs w:val="1"/>
                <w:color w:val="auto"/>
                <w:w w:val="96"/>
              </w:rPr>
              <w:t>Commission File Number: 001-40675</w:t>
            </w: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7"/>
        </w:trPr>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540" w:type="dxa"/>
            <w:vAlign w:val="bottom"/>
            <w:gridSpan w:val="2"/>
          </w:tcPr>
          <w:p>
            <w:pPr>
              <w:spacing w:after="0"/>
              <w:rPr>
                <w:sz w:val="8"/>
                <w:szCs w:val="8"/>
                <w:color w:val="auto"/>
              </w:rPr>
            </w:pPr>
          </w:p>
        </w:tc>
        <w:tc>
          <w:tcPr>
            <w:tcW w:w="2560" w:type="dxa"/>
            <w:vAlign w:val="bottom"/>
            <w:tcBorders>
              <w:bottom w:val="single" w:sz="8" w:color="auto"/>
            </w:tcBorders>
            <w:gridSpan w:val="5"/>
          </w:tcPr>
          <w:p>
            <w:pPr>
              <w:spacing w:after="0"/>
              <w:rPr>
                <w:sz w:val="8"/>
                <w:szCs w:val="8"/>
                <w:color w:val="auto"/>
              </w:rPr>
            </w:pPr>
          </w:p>
        </w:tc>
        <w:tc>
          <w:tcPr>
            <w:tcW w:w="312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508"/>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20" w:type="dxa"/>
            <w:vAlign w:val="bottom"/>
            <w:gridSpan w:val="10"/>
          </w:tcPr>
          <w:p>
            <w:pPr>
              <w:jc w:val="center"/>
              <w:ind w:right="1580"/>
              <w:spacing w:after="0"/>
              <w:rPr>
                <w:sz w:val="20"/>
                <w:szCs w:val="20"/>
                <w:color w:val="auto"/>
              </w:rPr>
            </w:pPr>
            <w:r>
              <w:rPr>
                <w:rFonts w:ascii="Times New Roman" w:cs="Times New Roman" w:eastAsia="Times New Roman" w:hAnsi="Times New Roman"/>
                <w:sz w:val="36"/>
                <w:szCs w:val="36"/>
                <w:b w:val="1"/>
                <w:bCs w:val="1"/>
                <w:color w:val="auto"/>
              </w:rPr>
              <w:t>Immuneering Corporation</w:t>
            </w:r>
          </w:p>
        </w:tc>
        <w:tc>
          <w:tcPr>
            <w:tcW w:w="0" w:type="dxa"/>
            <w:vAlign w:val="bottom"/>
          </w:tcPr>
          <w:p>
            <w:pPr>
              <w:spacing w:after="0"/>
              <w:rPr>
                <w:sz w:val="1"/>
                <w:szCs w:val="1"/>
                <w:color w:val="auto"/>
              </w:rPr>
            </w:pPr>
          </w:p>
        </w:tc>
      </w:tr>
      <w:tr>
        <w:trPr>
          <w:trHeight w:val="360"/>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80" w:type="dxa"/>
            <w:vAlign w:val="bottom"/>
            <w:gridSpan w:val="9"/>
          </w:tcPr>
          <w:p>
            <w:pPr>
              <w:jc w:val="center"/>
              <w:ind w:right="2700"/>
              <w:spacing w:after="0"/>
              <w:rPr>
                <w:sz w:val="20"/>
                <w:szCs w:val="20"/>
                <w:color w:val="auto"/>
              </w:rPr>
            </w:pPr>
            <w:r>
              <w:rPr>
                <w:rFonts w:ascii="Times New Roman" w:cs="Times New Roman" w:eastAsia="Times New Roman" w:hAnsi="Times New Roman"/>
                <w:sz w:val="13"/>
                <w:szCs w:val="13"/>
                <w:b w:val="1"/>
                <w:bCs w:val="1"/>
                <w:color w:val="auto"/>
                <w:w w:val="96"/>
              </w:rPr>
              <w:t>(Exact name of registrant as specified in its charter)</w:t>
            </w:r>
          </w:p>
        </w:tc>
        <w:tc>
          <w:tcPr>
            <w:tcW w:w="0" w:type="dxa"/>
            <w:vAlign w:val="bottom"/>
          </w:tcPr>
          <w:p>
            <w:pPr>
              <w:spacing w:after="0"/>
              <w:rPr>
                <w:sz w:val="1"/>
                <w:szCs w:val="1"/>
                <w:color w:val="auto"/>
              </w:rPr>
            </w:pPr>
          </w:p>
        </w:tc>
      </w:tr>
      <w:tr>
        <w:trPr>
          <w:trHeight w:val="83"/>
        </w:trPr>
        <w:tc>
          <w:tcPr>
            <w:tcW w:w="12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vMerge w:val="restart"/>
          </w:tcPr>
          <w:p>
            <w:pPr>
              <w:jc w:val="center"/>
              <w:ind w:right="479"/>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40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3100" w:type="dxa"/>
            <w:vAlign w:val="bottom"/>
            <w:gridSpan w:val="2"/>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gridSpan w:val="3"/>
          </w:tcPr>
          <w:p>
            <w:pPr>
              <w:jc w:val="right"/>
              <w:ind w:right="1466"/>
              <w:spacing w:after="0"/>
              <w:rPr>
                <w:sz w:val="20"/>
                <w:szCs w:val="20"/>
                <w:color w:val="auto"/>
              </w:rPr>
            </w:pPr>
            <w:r>
              <w:rPr>
                <w:rFonts w:ascii="Times New Roman" w:cs="Times New Roman" w:eastAsia="Times New Roman" w:hAnsi="Times New Roman"/>
                <w:sz w:val="13"/>
                <w:szCs w:val="13"/>
                <w:color w:val="auto"/>
              </w:rPr>
              <w:t>26-1976972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4860" w:type="dxa"/>
            <w:vAlign w:val="bottom"/>
            <w:gridSpan w:val="7"/>
          </w:tcPr>
          <w:p>
            <w:pPr>
              <w:jc w:val="center"/>
              <w:ind w:right="2300"/>
              <w:spacing w:after="0"/>
              <w:rPr>
                <w:sz w:val="20"/>
                <w:szCs w:val="20"/>
                <w:color w:val="auto"/>
              </w:rPr>
            </w:pPr>
            <w:r>
              <w:rPr>
                <w:rFonts w:ascii="Times New Roman" w:cs="Times New Roman" w:eastAsia="Times New Roman" w:hAnsi="Times New Roman"/>
                <w:sz w:val="9"/>
                <w:szCs w:val="9"/>
                <w:b w:val="1"/>
                <w:bCs w:val="1"/>
                <w:color w:val="auto"/>
                <w:w w:val="99"/>
              </w:rPr>
              <w:t>(State or other jurisdiction of incorporation or organization)</w:t>
            </w:r>
          </w:p>
        </w:tc>
        <w:tc>
          <w:tcPr>
            <w:tcW w:w="240" w:type="dxa"/>
            <w:vAlign w:val="bottom"/>
          </w:tcPr>
          <w:p>
            <w:pPr>
              <w:spacing w:after="0"/>
              <w:rPr>
                <w:sz w:val="10"/>
                <w:szCs w:val="10"/>
                <w:color w:val="auto"/>
              </w:rPr>
            </w:pPr>
          </w:p>
        </w:tc>
        <w:tc>
          <w:tcPr>
            <w:tcW w:w="3120" w:type="dxa"/>
            <w:vAlign w:val="bottom"/>
            <w:gridSpan w:val="3"/>
          </w:tcPr>
          <w:p>
            <w:pPr>
              <w:jc w:val="center"/>
              <w:ind w:right="560"/>
              <w:spacing w:after="0"/>
              <w:rPr>
                <w:sz w:val="20"/>
                <w:szCs w:val="20"/>
                <w:color w:val="auto"/>
              </w:rPr>
            </w:pPr>
            <w:r>
              <w:rPr>
                <w:rFonts w:ascii="Times New Roman" w:cs="Times New Roman" w:eastAsia="Times New Roman" w:hAnsi="Times New Roman"/>
                <w:sz w:val="9"/>
                <w:szCs w:val="9"/>
                <w:b w:val="1"/>
                <w:bCs w:val="1"/>
                <w:color w:val="auto"/>
                <w:w w:val="99"/>
              </w:rPr>
              <w:t>(I.R.S. Employer Identification Number)</w:t>
            </w:r>
          </w:p>
        </w:tc>
        <w:tc>
          <w:tcPr>
            <w:tcW w:w="0" w:type="dxa"/>
            <w:vAlign w:val="bottom"/>
          </w:tcPr>
          <w:p>
            <w:pPr>
              <w:spacing w:after="0"/>
              <w:rPr>
                <w:sz w:val="1"/>
                <w:szCs w:val="1"/>
                <w:color w:val="auto"/>
              </w:rPr>
            </w:pPr>
          </w:p>
        </w:tc>
      </w:tr>
      <w:tr>
        <w:trPr>
          <w:trHeight w:val="237"/>
        </w:trPr>
        <w:tc>
          <w:tcPr>
            <w:tcW w:w="1280" w:type="dxa"/>
            <w:vAlign w:val="bottom"/>
          </w:tcPr>
          <w:p>
            <w:pPr>
              <w:spacing w:after="0"/>
              <w:rPr>
                <w:sz w:val="20"/>
                <w:szCs w:val="20"/>
                <w:color w:val="auto"/>
              </w:rPr>
            </w:pPr>
          </w:p>
        </w:tc>
        <w:tc>
          <w:tcPr>
            <w:tcW w:w="2140" w:type="dxa"/>
            <w:vAlign w:val="bottom"/>
            <w:gridSpan w:val="2"/>
          </w:tcPr>
          <w:p>
            <w:pPr>
              <w:jc w:val="center"/>
              <w:ind w:left="362"/>
              <w:spacing w:after="0"/>
              <w:rPr>
                <w:sz w:val="20"/>
                <w:szCs w:val="20"/>
                <w:color w:val="auto"/>
              </w:rPr>
            </w:pPr>
            <w:r>
              <w:rPr>
                <w:rFonts w:ascii="Times New Roman" w:cs="Times New Roman" w:eastAsia="Times New Roman" w:hAnsi="Times New Roman"/>
                <w:sz w:val="13"/>
                <w:szCs w:val="13"/>
                <w:b w:val="1"/>
                <w:bCs w:val="1"/>
                <w:color w:val="auto"/>
                <w:w w:val="96"/>
              </w:rPr>
              <w:t>245 Main St.</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280" w:type="dxa"/>
            <w:vAlign w:val="bottom"/>
          </w:tcPr>
          <w:p>
            <w:pPr>
              <w:spacing w:after="0"/>
              <w:rPr>
                <w:sz w:val="11"/>
                <w:szCs w:val="11"/>
                <w:color w:val="auto"/>
              </w:rPr>
            </w:pPr>
          </w:p>
        </w:tc>
        <w:tc>
          <w:tcPr>
            <w:tcW w:w="2140" w:type="dxa"/>
            <w:vAlign w:val="bottom"/>
            <w:gridSpan w:val="2"/>
          </w:tcPr>
          <w:p>
            <w:pPr>
              <w:jc w:val="center"/>
              <w:ind w:left="342"/>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Second Floor</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280" w:type="dxa"/>
            <w:vAlign w:val="bottom"/>
          </w:tcPr>
          <w:p>
            <w:pPr>
              <w:spacing w:after="0"/>
              <w:rPr>
                <w:sz w:val="12"/>
                <w:szCs w:val="12"/>
                <w:color w:val="auto"/>
              </w:rPr>
            </w:pPr>
          </w:p>
        </w:tc>
        <w:tc>
          <w:tcPr>
            <w:tcW w:w="2140" w:type="dxa"/>
            <w:vAlign w:val="bottom"/>
            <w:gridSpan w:val="2"/>
          </w:tcPr>
          <w:p>
            <w:pPr>
              <w:jc w:val="center"/>
              <w:ind w:left="362"/>
              <w:spacing w:after="0" w:line="144" w:lineRule="exact"/>
              <w:rPr>
                <w:sz w:val="20"/>
                <w:szCs w:val="20"/>
                <w:color w:val="auto"/>
              </w:rPr>
            </w:pPr>
            <w:r>
              <w:rPr>
                <w:rFonts w:ascii="Times New Roman" w:cs="Times New Roman" w:eastAsia="Times New Roman" w:hAnsi="Times New Roman"/>
                <w:sz w:val="13"/>
                <w:szCs w:val="13"/>
                <w:b w:val="1"/>
                <w:bCs w:val="1"/>
                <w:color w:val="auto"/>
                <w:w w:val="96"/>
              </w:rPr>
              <w:t>Cambridge, MA</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40" w:type="dxa"/>
            <w:vAlign w:val="bottom"/>
            <w:gridSpan w:val="3"/>
          </w:tcPr>
          <w:p>
            <w:pPr>
              <w:jc w:val="right"/>
              <w:ind w:right="1606"/>
              <w:spacing w:after="0" w:line="144" w:lineRule="exact"/>
              <w:rPr>
                <w:sz w:val="20"/>
                <w:szCs w:val="20"/>
                <w:color w:val="auto"/>
              </w:rPr>
            </w:pPr>
            <w:r>
              <w:rPr>
                <w:rFonts w:ascii="Times New Roman" w:cs="Times New Roman" w:eastAsia="Times New Roman" w:hAnsi="Times New Roman"/>
                <w:sz w:val="13"/>
                <w:szCs w:val="13"/>
                <w:b w:val="1"/>
                <w:bCs w:val="1"/>
                <w:color w:val="auto"/>
              </w:rPr>
              <w:t>02142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2140" w:type="dxa"/>
            <w:vAlign w:val="bottom"/>
            <w:gridSpan w:val="2"/>
          </w:tcPr>
          <w:p>
            <w:pPr>
              <w:jc w:val="center"/>
              <w:ind w:left="342"/>
              <w:spacing w:after="0"/>
              <w:rPr>
                <w:sz w:val="20"/>
                <w:szCs w:val="20"/>
                <w:color w:val="auto"/>
              </w:rPr>
            </w:pPr>
            <w:r>
              <w:rPr>
                <w:rFonts w:ascii="Times New Roman" w:cs="Times New Roman" w:eastAsia="Times New Roman" w:hAnsi="Times New Roman"/>
                <w:sz w:val="9"/>
                <w:szCs w:val="9"/>
                <w:b w:val="1"/>
                <w:bCs w:val="1"/>
                <w:color w:val="auto"/>
                <w:w w:val="99"/>
              </w:rPr>
              <w:t>(Address of Principal Executive Offices)</w:t>
            </w: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20" w:type="dxa"/>
            <w:vAlign w:val="bottom"/>
            <w:gridSpan w:val="2"/>
          </w:tcPr>
          <w:p>
            <w:pPr>
              <w:jc w:val="center"/>
              <w:ind w:right="1540"/>
              <w:spacing w:after="0"/>
              <w:rPr>
                <w:sz w:val="20"/>
                <w:szCs w:val="20"/>
                <w:color w:val="auto"/>
              </w:rPr>
            </w:pPr>
            <w:r>
              <w:rPr>
                <w:rFonts w:ascii="Times New Roman" w:cs="Times New Roman" w:eastAsia="Times New Roman" w:hAnsi="Times New Roman"/>
                <w:sz w:val="9"/>
                <w:szCs w:val="9"/>
                <w:b w:val="1"/>
                <w:bCs w:val="1"/>
                <w:color w:val="auto"/>
              </w:rPr>
              <w:t>(Zip Code)</w:t>
            </w:r>
          </w:p>
        </w:tc>
        <w:tc>
          <w:tcPr>
            <w:tcW w:w="0" w:type="dxa"/>
            <w:vAlign w:val="bottom"/>
          </w:tcPr>
          <w:p>
            <w:pPr>
              <w:spacing w:after="0"/>
              <w:rPr>
                <w:sz w:val="1"/>
                <w:szCs w:val="1"/>
                <w:color w:val="auto"/>
              </w:rPr>
            </w:pPr>
          </w:p>
        </w:tc>
      </w:tr>
      <w:tr>
        <w:trPr>
          <w:trHeight w:val="314"/>
        </w:trPr>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20" w:type="dxa"/>
            <w:vAlign w:val="bottom"/>
            <w:gridSpan w:val="3"/>
          </w:tcPr>
          <w:p>
            <w:pPr>
              <w:jc w:val="center"/>
              <w:ind w:left="1203"/>
              <w:spacing w:after="0"/>
              <w:rPr>
                <w:sz w:val="20"/>
                <w:szCs w:val="20"/>
                <w:color w:val="auto"/>
              </w:rPr>
            </w:pPr>
            <w:r>
              <w:rPr>
                <w:rFonts w:ascii="Times New Roman" w:cs="Times New Roman" w:eastAsia="Times New Roman" w:hAnsi="Times New Roman"/>
                <w:sz w:val="13"/>
                <w:szCs w:val="13"/>
                <w:b w:val="1"/>
                <w:bCs w:val="1"/>
                <w:color w:val="auto"/>
                <w:w w:val="95"/>
              </w:rPr>
              <w:t>(617) 500-8080</w:t>
            </w: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320" w:type="dxa"/>
            <w:vAlign w:val="bottom"/>
            <w:gridSpan w:val="4"/>
          </w:tcPr>
          <w:p>
            <w:pPr>
              <w:jc w:val="center"/>
              <w:ind w:left="182"/>
              <w:spacing w:after="0"/>
              <w:rPr>
                <w:sz w:val="20"/>
                <w:szCs w:val="20"/>
                <w:color w:val="auto"/>
              </w:rPr>
            </w:pPr>
            <w:r>
              <w:rPr>
                <w:rFonts w:ascii="Times New Roman" w:cs="Times New Roman" w:eastAsia="Times New Roman" w:hAnsi="Times New Roman"/>
                <w:sz w:val="9"/>
                <w:szCs w:val="9"/>
                <w:b w:val="1"/>
                <w:bCs w:val="1"/>
                <w:color w:val="auto"/>
                <w:w w:val="99"/>
              </w:rPr>
              <w:t>(Registrant’s telephone number)</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40" w:type="dxa"/>
            <w:vAlign w:val="bottom"/>
            <w:gridSpan w:val="3"/>
          </w:tcPr>
          <w:p>
            <w:pPr>
              <w:jc w:val="center"/>
              <w:ind w:right="640"/>
              <w:spacing w:after="0"/>
              <w:rPr>
                <w:sz w:val="20"/>
                <w:szCs w:val="20"/>
                <w:color w:val="auto"/>
              </w:rPr>
            </w:pPr>
            <w:r>
              <w:rPr>
                <w:rFonts w:ascii="Times New Roman" w:cs="Times New Roman" w:eastAsia="Times New Roman" w:hAnsi="Times New Roman"/>
                <w:sz w:val="9"/>
                <w:szCs w:val="9"/>
                <w:b w:val="1"/>
                <w:bCs w:val="1"/>
                <w:color w:val="auto"/>
              </w:rPr>
              <w:t>N/A</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80" w:type="dxa"/>
            <w:vAlign w:val="bottom"/>
            <w:gridSpan w:val="9"/>
          </w:tcPr>
          <w:p>
            <w:pPr>
              <w:jc w:val="center"/>
              <w:ind w:right="2720"/>
              <w:spacing w:after="0"/>
              <w:rPr>
                <w:sz w:val="20"/>
                <w:szCs w:val="20"/>
                <w:color w:val="auto"/>
              </w:rPr>
            </w:pPr>
            <w:r>
              <w:rPr>
                <w:rFonts w:ascii="Times New Roman" w:cs="Times New Roman" w:eastAsia="Times New Roman" w:hAnsi="Times New Roman"/>
                <w:sz w:val="9"/>
                <w:szCs w:val="9"/>
                <w:b w:val="1"/>
                <w:bCs w:val="1"/>
                <w:color w:val="auto"/>
                <w:w w:val="99"/>
              </w:rPr>
              <w:t>(Former name, former address and former fiscal year, if changed since last report)</w:t>
            </w:r>
          </w:p>
        </w:tc>
        <w:tc>
          <w:tcPr>
            <w:tcW w:w="0" w:type="dxa"/>
            <w:vAlign w:val="bottom"/>
          </w:tcPr>
          <w:p>
            <w:pPr>
              <w:spacing w:after="0"/>
              <w:rPr>
                <w:sz w:val="1"/>
                <w:szCs w:val="1"/>
                <w:color w:val="auto"/>
              </w:rPr>
            </w:pPr>
          </w:p>
        </w:tc>
      </w:tr>
      <w:tr>
        <w:trPr>
          <w:trHeight w:val="150"/>
        </w:trPr>
        <w:tc>
          <w:tcPr>
            <w:tcW w:w="34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40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420" w:type="dxa"/>
            <w:vAlign w:val="bottom"/>
            <w:gridSpan w:val="3"/>
            <w:vMerge w:val="continue"/>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2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b w:val="1"/>
                <w:bCs w:val="1"/>
                <w:color w:val="auto"/>
                <w:w w:val="90"/>
              </w:rPr>
              <w:t>Class A common</w:t>
            </w:r>
          </w:p>
        </w:tc>
        <w:tc>
          <w:tcPr>
            <w:tcW w:w="21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400" w:type="dxa"/>
            <w:vAlign w:val="bottom"/>
          </w:tcPr>
          <w:p>
            <w:pPr>
              <w:spacing w:after="0"/>
              <w:rPr>
                <w:sz w:val="16"/>
                <w:szCs w:val="16"/>
                <w:color w:val="auto"/>
              </w:rPr>
            </w:pPr>
          </w:p>
        </w:tc>
        <w:tc>
          <w:tcPr>
            <w:tcW w:w="2320" w:type="dxa"/>
            <w:vAlign w:val="bottom"/>
            <w:gridSpan w:val="4"/>
          </w:tcPr>
          <w:p>
            <w:pPr>
              <w:jc w:val="center"/>
              <w:ind w:left="222"/>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240" w:type="dxa"/>
            <w:vAlign w:val="bottom"/>
          </w:tcPr>
          <w:p>
            <w:pPr>
              <w:spacing w:after="0"/>
              <w:rPr>
                <w:sz w:val="16"/>
                <w:szCs w:val="16"/>
                <w:color w:val="auto"/>
              </w:rPr>
            </w:pPr>
          </w:p>
        </w:tc>
        <w:tc>
          <w:tcPr>
            <w:tcW w:w="3120" w:type="dxa"/>
            <w:vAlign w:val="bottom"/>
            <w:gridSpan w:val="3"/>
          </w:tcPr>
          <w:p>
            <w:pPr>
              <w:jc w:val="center"/>
              <w:ind w:left="926"/>
              <w:spacing w:after="0"/>
              <w:rPr>
                <w:sz w:val="20"/>
                <w:szCs w:val="20"/>
                <w:color w:val="auto"/>
              </w:rPr>
            </w:pPr>
            <w:r>
              <w:rPr>
                <w:rFonts w:ascii="Times New Roman" w:cs="Times New Roman" w:eastAsia="Times New Roman" w:hAnsi="Times New Roman"/>
                <w:sz w:val="13"/>
                <w:szCs w:val="13"/>
                <w:b w:val="1"/>
                <w:bCs w:val="1"/>
                <w:color w:val="auto"/>
                <w:w w:val="97"/>
              </w:rPr>
              <w:t>Name of Exchange on which registered</w:t>
            </w:r>
          </w:p>
        </w:tc>
        <w:tc>
          <w:tcPr>
            <w:tcW w:w="0" w:type="dxa"/>
            <w:vAlign w:val="bottom"/>
          </w:tcPr>
          <w:p>
            <w:pPr>
              <w:spacing w:after="0"/>
              <w:rPr>
                <w:sz w:val="1"/>
                <w:szCs w:val="1"/>
                <w:color w:val="auto"/>
              </w:rPr>
            </w:pPr>
          </w:p>
        </w:tc>
      </w:tr>
      <w:tr>
        <w:trPr>
          <w:trHeight w:val="20"/>
        </w:trPr>
        <w:tc>
          <w:tcPr>
            <w:tcW w:w="1280" w:type="dxa"/>
            <w:vAlign w:val="bottom"/>
            <w:vMerge w:val="continue"/>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8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gridSpan w:val="2"/>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280" w:type="dxa"/>
            <w:vAlign w:val="bottom"/>
            <w:vMerge w:val="continue"/>
          </w:tcPr>
          <w:p>
            <w:pPr>
              <w:spacing w:after="0"/>
              <w:rPr>
                <w:sz w:val="13"/>
                <w:szCs w:val="13"/>
                <w:color w:val="auto"/>
              </w:rPr>
            </w:pPr>
          </w:p>
        </w:tc>
        <w:tc>
          <w:tcPr>
            <w:tcW w:w="21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Stock, par value $0.001 per share</w:t>
            </w:r>
          </w:p>
        </w:tc>
        <w:tc>
          <w:tcPr>
            <w:tcW w:w="4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IMRX</w:t>
            </w:r>
          </w:p>
        </w:tc>
        <w:tc>
          <w:tcPr>
            <w:tcW w:w="600" w:type="dxa"/>
            <w:vAlign w:val="bottom"/>
            <w:gridSpan w:val="2"/>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The Nasdaq Global Market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4"/>
          <w:szCs w:val="24"/>
          <w:color w:val="auto"/>
        </w:rPr>
      </w:pPr>
    </w:p>
    <w:p>
      <w:pPr>
        <w:ind w:right="24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8" w:lineRule="exact"/>
        <w:rPr>
          <w:sz w:val="24"/>
          <w:szCs w:val="24"/>
          <w:color w:val="auto"/>
        </w:rPr>
      </w:pPr>
    </w:p>
    <w:p>
      <w:pPr>
        <w:ind w:right="40"/>
        <w:spacing w:after="0" w:line="164"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40"/>
          </w:cols>
          <w:pgMar w:left="840" w:top="661" w:right="919" w:bottom="1440" w:gutter="0" w:footer="0" w:header="0"/>
        </w:sectPr>
      </w:pPr>
    </w:p>
    <w:p>
      <w:pPr>
        <w:spacing w:after="0" w:line="5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115" w:lineRule="exact"/>
        <w:rPr>
          <w:sz w:val="24"/>
          <w:szCs w:val="24"/>
          <w:color w:val="auto"/>
        </w:rPr>
      </w:pPr>
    </w:p>
    <w:p>
      <w:pPr>
        <w:sectPr>
          <w:pgSz w:w="11900" w:h="16838" w:orient="portrait"/>
          <w:cols w:equalWidth="0" w:num="4">
            <w:col w:w="1120" w:space="580"/>
            <w:col w:w="1680" w:space="720"/>
            <w:col w:w="1360" w:space="720"/>
            <w:col w:w="3960"/>
          </w:cols>
          <w:pgMar w:left="840" w:top="661" w:right="919" w:bottom="1440" w:gutter="0" w:footer="0" w:header="0"/>
          <w:type w:val="continuous"/>
        </w:sectPr>
      </w:pP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03" w:lineRule="exact"/>
        <w:rPr>
          <w:sz w:val="24"/>
          <w:szCs w:val="24"/>
          <w:color w:val="auto"/>
        </w:rPr>
      </w:pPr>
    </w:p>
    <w:p>
      <w:pPr>
        <w:sectPr>
          <w:pgSz w:w="11900" w:h="16838" w:orient="portrait"/>
          <w:cols w:equalWidth="0" w:num="6">
            <w:col w:w="1060" w:space="640"/>
            <w:col w:w="1680" w:space="720"/>
            <w:col w:w="1380" w:space="700"/>
            <w:col w:w="860" w:space="720"/>
            <w:col w:w="1400" w:space="720"/>
            <w:col w:w="260"/>
          </w:cols>
          <w:pgMar w:left="840" w:top="661" w:right="919" w:bottom="1440" w:gutter="0" w:footer="0" w:header="0"/>
          <w:type w:val="continuous"/>
        </w:sectPr>
      </w:pPr>
    </w:p>
    <w:p>
      <w:pPr>
        <w:ind w:right="300"/>
        <w:spacing w:after="0" w:line="16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4" w:lineRule="exact"/>
        <w:rPr>
          <w:sz w:val="24"/>
          <w:szCs w:val="24"/>
          <w:color w:val="auto"/>
        </w:rPr>
      </w:pPr>
    </w:p>
    <w:p>
      <w:pPr>
        <w:spacing w:after="0" w:line="150" w:lineRule="exact"/>
        <w:tabs>
          <w:tab w:leader="none" w:pos="626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55"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As of May 3, 2022 the registrant had 26,385,299 shares of Class A common stock, $0.001 par value per share, issued and outstanding and 0 shares of Class B common stock, $0.001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550545</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53340</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95885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140"/>
          </w:cols>
          <w:pgMar w:left="840" w:top="661" w:right="91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2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2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5"/>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62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Item 1.</w:t>
            </w: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62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8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March 31, 2022 and December 31, 2021</w:t>
            </w:r>
          </w:p>
        </w:tc>
        <w:tc>
          <w:tcPr>
            <w:tcW w:w="860" w:type="dxa"/>
            <w:vAlign w:val="bottom"/>
            <w:gridSpan w:val="5"/>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(Unaudited)</w:t>
            </w:r>
          </w:p>
        </w:tc>
        <w:tc>
          <w:tcPr>
            <w:tcW w:w="6260" w:type="dxa"/>
            <w:vAlign w:val="bottom"/>
            <w:gridSpan w:val="17"/>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w:t>
            </w: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440" w:type="dxa"/>
            <w:vAlign w:val="bottom"/>
            <w:tcBorders>
              <w:top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months ended March 31, 2022 and 2021 (Unaudited)</w:t>
            </w:r>
          </w:p>
        </w:tc>
        <w:tc>
          <w:tcPr>
            <w:tcW w:w="700" w:type="dxa"/>
            <w:vAlign w:val="bottom"/>
            <w:gridSpan w:val="4"/>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Convertible Preferred Stock and Stockholders’ equity</w:t>
            </w:r>
          </w:p>
        </w:tc>
        <w:tc>
          <w:tcPr>
            <w:tcW w:w="400" w:type="dxa"/>
            <w:vAlign w:val="bottom"/>
            <w:gridSpan w:val="2"/>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(deficit) for the three months ended March 31, 2022 and 2021 (Unaudited)</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2022</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1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and 2021 (Unaudited)</w:t>
            </w: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9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222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2.</w:t>
            </w: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5"/>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12"/>
        </w:trPr>
        <w:tc>
          <w:tcPr>
            <w:tcW w:w="2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620" w:type="dxa"/>
            <w:vAlign w:val="bottom"/>
            <w:gridSpan w:val="3"/>
          </w:tcPr>
          <w:p>
            <w:pPr>
              <w:spacing w:after="0"/>
              <w:rPr>
                <w:sz w:val="24"/>
                <w:szCs w:val="24"/>
                <w:color w:val="auto"/>
              </w:rPr>
            </w:pPr>
          </w:p>
        </w:tc>
        <w:tc>
          <w:tcPr>
            <w:tcW w:w="14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700" w:type="dxa"/>
            <w:vAlign w:val="bottom"/>
            <w:gridSpan w:val="14"/>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500" w:type="dxa"/>
            <w:vAlign w:val="bottom"/>
            <w:gridSpan w:val="2"/>
          </w:tcPr>
          <w:p>
            <w:pPr>
              <w:spacing w:after="0"/>
              <w:rPr>
                <w:sz w:val="24"/>
                <w:szCs w:val="24"/>
                <w:color w:val="auto"/>
              </w:rPr>
            </w:pP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500" w:type="dxa"/>
            <w:vAlign w:val="bottom"/>
            <w:gridSpan w:val="2"/>
          </w:tcPr>
          <w:p>
            <w:pPr>
              <w:spacing w:after="0"/>
              <w:rPr>
                <w:sz w:val="24"/>
                <w:szCs w:val="24"/>
                <w:color w:val="auto"/>
              </w:rPr>
            </w:pP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780" w:type="dxa"/>
            <w:vAlign w:val="bottom"/>
            <w:gridSpan w:val="8"/>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3.</w:t>
            </w: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4"/>
            <w:shd w:val="clear" w:color="auto" w:fill="0000EE"/>
          </w:tcPr>
          <w:p>
            <w:pPr>
              <w:spacing w:after="0" w:line="20" w:lineRule="exact"/>
              <w:rPr>
                <w:sz w:val="1"/>
                <w:szCs w:val="1"/>
                <w:color w:val="auto"/>
              </w:rPr>
            </w:pPr>
          </w:p>
        </w:tc>
        <w:tc>
          <w:tcPr>
            <w:tcW w:w="4820" w:type="dxa"/>
            <w:vAlign w:val="bottom"/>
            <w:gridSpan w:val="11"/>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5360" w:type="dxa"/>
            <w:vAlign w:val="bottom"/>
            <w:gridSpan w:val="1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5.</w:t>
            </w: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5820" w:type="dxa"/>
            <w:vAlign w:val="bottom"/>
            <w:gridSpan w:val="1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6.</w:t>
            </w:r>
          </w:p>
        </w:tc>
        <w:tc>
          <w:tcPr>
            <w:tcW w:w="71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Exhibits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1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885"/>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820" w:type="dxa"/>
            <w:vAlign w:val="bottom"/>
            <w:gridSpan w:val="9"/>
          </w:tcPr>
          <w:p>
            <w:pPr>
              <w:ind w:left="326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0" w:lineRule="exact"/>
        <w:rPr>
          <w:sz w:val="20"/>
          <w:szCs w:val="20"/>
          <w:color w:val="auto"/>
        </w:rPr>
      </w:pPr>
    </w:p>
    <w:p>
      <w:pPr>
        <w:ind w:left="600" w:right="639"/>
        <w:spacing w:after="0" w:line="250"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safe harbor provisions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 contained in this Quarterly Report on Form 10-Q, including without limitation statements regarding our plans to develop, manufacture and commercialize our product candidates, the timing or outcome of our ongoing or planned clinical trials for IMM-1-104, any of our other pipeline product candidates and any future product candidates, the clinical utility of our product candidates, the filing with, and approval by, regulatory authorities of our product candidates, the sufficiency of funds to operate the business of the Company, the ongoing impact of the pandemic related to COVID-19 and its variants on our business and operations, including manufacturing, research and development, clinical trials and employees, our cash needs and availability including our revenue streams, and the plans and objectives of management for future operations, are forward-looking statements.</w:t>
      </w:r>
    </w:p>
    <w:p>
      <w:pPr>
        <w:spacing w:after="0" w:line="156" w:lineRule="exact"/>
        <w:rPr>
          <w:sz w:val="20"/>
          <w:szCs w:val="20"/>
          <w:color w:val="auto"/>
        </w:rPr>
      </w:pPr>
    </w:p>
    <w:p>
      <w:pPr>
        <w:ind w:left="600" w:right="599"/>
        <w:spacing w:after="0" w:line="253" w:lineRule="auto"/>
        <w:rPr>
          <w:sz w:val="20"/>
          <w:szCs w:val="20"/>
          <w:color w:val="auto"/>
        </w:rPr>
      </w:pPr>
      <w:r>
        <w:rPr>
          <w:rFonts w:ascii="Times New Roman" w:cs="Times New Roman" w:eastAsia="Times New Roman" w:hAnsi="Times New Roman"/>
          <w:sz w:val="17"/>
          <w:szCs w:val="17"/>
          <w:color w:val="auto"/>
        </w:rPr>
        <w:t>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other important factors that could cause actual results to differ materially from those projected in the forward-looking statements, including, but not limited to, those described in the sections of this Quarterly Report on Form 10-Q entitled “Risk Factors” and “Management’s Discussion and Analysis of Financial Condition and Results of Operations.” These risks and uncertainties include, but are not limited to:</w:t>
      </w:r>
    </w:p>
    <w:p>
      <w:pPr>
        <w:spacing w:after="0" w:line="147" w:lineRule="exact"/>
        <w:rPr>
          <w:sz w:val="20"/>
          <w:szCs w:val="20"/>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operating history;</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history of operating losses;</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the pandemic related to COVID-19 and its variants;</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the substantial additional capital that will be required to finance our operations;</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difficulty of obtaining regulatory approval for any of our current or future product candidates;</w:t>
      </w:r>
    </w:p>
    <w:p>
      <w:pPr>
        <w:spacing w:after="0" w:line="182" w:lineRule="exact"/>
        <w:rPr>
          <w:rFonts w:ascii="Times New Roman" w:cs="Times New Roman" w:eastAsia="Times New Roman" w:hAnsi="Times New Roman"/>
          <w:sz w:val="17"/>
          <w:szCs w:val="17"/>
          <w:color w:val="auto"/>
        </w:rPr>
      </w:pPr>
    </w:p>
    <w:p>
      <w:pPr>
        <w:ind w:left="1260" w:right="919" w:hanging="319"/>
        <w:spacing w:after="0" w:line="28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file INDs (as defined below) or IND amendments or comparable documents in foreign jurisdictions in order to commence clinical trials on the timelines we expect;</w:t>
      </w:r>
    </w:p>
    <w:p>
      <w:pPr>
        <w:spacing w:after="0" w:line="12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limited experience in designing clinical trials;</w:t>
      </w:r>
    </w:p>
    <w:p>
      <w:pPr>
        <w:spacing w:after="0" w:line="182" w:lineRule="exact"/>
        <w:rPr>
          <w:rFonts w:ascii="Times New Roman" w:cs="Times New Roman" w:eastAsia="Times New Roman" w:hAnsi="Times New Roman"/>
          <w:sz w:val="17"/>
          <w:szCs w:val="17"/>
          <w:color w:val="auto"/>
        </w:rPr>
      </w:pPr>
    </w:p>
    <w:p>
      <w:pPr>
        <w:ind w:left="1260" w:right="979" w:hanging="319"/>
        <w:spacing w:after="0" w:line="28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substantial delays in completing, if at all, the development and commercialization of our current or future product candidates;</w:t>
      </w:r>
    </w:p>
    <w:p>
      <w:pPr>
        <w:spacing w:after="0" w:line="122" w:lineRule="exact"/>
        <w:rPr>
          <w:rFonts w:ascii="Times New Roman" w:cs="Times New Roman" w:eastAsia="Times New Roman" w:hAnsi="Times New Roman"/>
          <w:sz w:val="17"/>
          <w:szCs w:val="17"/>
          <w:color w:val="auto"/>
        </w:rPr>
      </w:pPr>
    </w:p>
    <w:p>
      <w:pPr>
        <w:ind w:left="1260" w:right="619" w:hanging="319"/>
        <w:spacing w:after="0" w:line="28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adverse events, toxicities or other undesirable side effects caused by our current or future product candidates;</w:t>
      </w:r>
    </w:p>
    <w:p>
      <w:pPr>
        <w:spacing w:after="0" w:line="12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of delays or difficulties in the enrollment and/or maintenance of patients in clinical trials;</w:t>
      </w:r>
    </w:p>
    <w:p>
      <w:pPr>
        <w:spacing w:after="0" w:line="182" w:lineRule="exact"/>
        <w:rPr>
          <w:rFonts w:ascii="Times New Roman" w:cs="Times New Roman" w:eastAsia="Times New Roman" w:hAnsi="Times New Roman"/>
          <w:sz w:val="17"/>
          <w:szCs w:val="17"/>
          <w:color w:val="auto"/>
        </w:rPr>
      </w:pPr>
    </w:p>
    <w:p>
      <w:pPr>
        <w:ind w:left="1260" w:right="759" w:hanging="319"/>
        <w:spacing w:after="0" w:line="281" w:lineRule="auto"/>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substantial reliance on the successful development of our current and future product candidates, as well as our platform, including our proprietary technologies such as DCT and Fluency;</w:t>
      </w:r>
    </w:p>
    <w:p>
      <w:pPr>
        <w:spacing w:after="0" w:line="12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competition in our industry;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hanging="319"/>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opportunity for our product candidates, if approved;</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manufacturing;</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reliance on third parties;</w:t>
      </w:r>
    </w:p>
    <w:p>
      <w:pPr>
        <w:spacing w:after="0" w:line="182" w:lineRule="exact"/>
        <w:rPr>
          <w:rFonts w:ascii="Times New Roman" w:cs="Times New Roman" w:eastAsia="Times New Roman" w:hAnsi="Times New Roman"/>
          <w:sz w:val="17"/>
          <w:szCs w:val="17"/>
          <w:color w:val="auto"/>
        </w:rPr>
      </w:pPr>
    </w:p>
    <w:p>
      <w:pPr>
        <w:ind w:left="1260" w:hanging="319"/>
        <w:spacing w:after="0"/>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related to our intellectual property; and</w:t>
      </w:r>
    </w:p>
    <w:p>
      <w:pPr>
        <w:spacing w:after="0" w:line="182" w:lineRule="exact"/>
        <w:rPr>
          <w:rFonts w:ascii="Times New Roman" w:cs="Times New Roman" w:eastAsia="Times New Roman" w:hAnsi="Times New Roman"/>
          <w:sz w:val="17"/>
          <w:szCs w:val="17"/>
          <w:color w:val="auto"/>
        </w:rPr>
      </w:pPr>
    </w:p>
    <w:p>
      <w:pPr>
        <w:ind w:left="1260" w:right="719" w:hanging="319"/>
        <w:spacing w:after="0" w:line="265" w:lineRule="auto"/>
        <w:tabs>
          <w:tab w:leader="none" w:pos="12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important risk factors that could affect the outcome of the events set forth in these statements and that could affect our operating results and financial condition are described in Part II, Item 1A. “Risk Factors” section of this Quarterly Report on Form 10-Q.</w:t>
      </w:r>
    </w:p>
    <w:p>
      <w:pPr>
        <w:spacing w:after="0" w:line="149" w:lineRule="exact"/>
        <w:rPr>
          <w:sz w:val="20"/>
          <w:szCs w:val="20"/>
          <w:color w:val="auto"/>
        </w:rPr>
      </w:pPr>
    </w:p>
    <w:p>
      <w:pPr>
        <w:ind w:left="600" w:right="719"/>
        <w:spacing w:after="0" w:line="254"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347" w:lineRule="exact"/>
        <w:rPr>
          <w:sz w:val="20"/>
          <w:szCs w:val="20"/>
          <w:color w:val="auto"/>
        </w:rPr>
      </w:pPr>
    </w:p>
    <w:p>
      <w:pPr>
        <w:ind w:left="600" w:right="59"/>
        <w:spacing w:after="0" w:line="281" w:lineRule="auto"/>
        <w:rPr>
          <w:sz w:val="20"/>
          <w:szCs w:val="20"/>
          <w:color w:val="auto"/>
        </w:rPr>
      </w:pPr>
      <w:r>
        <w:rPr>
          <w:rFonts w:ascii="Times New Roman" w:cs="Times New Roman" w:eastAsia="Times New Roman" w:hAnsi="Times New Roman"/>
          <w:sz w:val="17"/>
          <w:szCs w:val="17"/>
          <w:color w:val="auto"/>
        </w:rPr>
        <w:t>Unless otherwise stated or the context requires otherwise, references to “Immuneering,” the “Company,” “we,” “us,” and “our,” refer to Immuneering Corporation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are subject to numerous risks and uncertainties, including those further described below in Part II, Item 1A. “Risk Factors” in this Quarterly Report on Form 10-Q, that represent challenges that we face in connection with the successful implementation of our strategy and the growth of our business. In particular, the following are principal factors that may offset our competitive strengths or have a negative effect on our business strategy, which could materially adversely affect our business, financial conditions, results of operations, future growth prospects, or cause a decline in the price of our common stock:</w:t>
      </w:r>
    </w:p>
    <w:p>
      <w:pPr>
        <w:spacing w:after="0" w:line="187" w:lineRule="exact"/>
        <w:rPr>
          <w:sz w:val="20"/>
          <w:szCs w:val="20"/>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not completed any clinical trials and have no products approved for commercial sale, which may make it difficult for you to evaluate our current business and predict our future success and viability.</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for the past several years and we expect to continue to incur significant net losses for the foreseeable future and may never attain profitability.</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substantial delays in completing, or ultimately be unable to complete, the development and commercialization of our product candidates.</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7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prospects depend in part upon discovering, developing and commercializing product candidates, which may fail in development or suffer delays that adversely affect their commercial viability.</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commercialized a product candidate before and may lack the necessary expertise, personnel and resources to successfully commercialize any products on our own or together with suitable collaborators.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technologies or products more rapidly than we do or that are more effective, safer or less expensive than the product candidates we develop, our commercial opportunities could be negatively impacted.</w:t>
      </w:r>
    </w:p>
    <w:p>
      <w:pPr>
        <w:spacing w:after="0" w:line="67"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COVID-19 pandemic and potential future pandemics could continue to adversely impact our business, including our anticipated clinical trials and their timelines, supply chain and business development activities.</w:t>
      </w:r>
    </w:p>
    <w:p>
      <w:pPr>
        <w:spacing w:after="0" w:line="53"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substantially rely, and expect to continue to rely, on third parties, including independent clinical investigators and contract research organizations, or CROs, to conduct certain aspects of our preclinical studies, and in the future,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manufacturing of our product candidates for preclinical studies, and expect to continue to do so for clinical trials and ultimately,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67"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March 31, 2022</w:t>
            </w: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5"/>
              </w:rPr>
              <w:t>December 31, 2021</w:t>
            </w:r>
          </w:p>
        </w:tc>
      </w:tr>
      <w:tr>
        <w:trPr>
          <w:trHeight w:val="128"/>
        </w:trPr>
        <w:tc>
          <w:tcPr>
            <w:tcW w:w="64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6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Current assets:</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64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75,205,060</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74,888,145</w:t>
            </w:r>
          </w:p>
        </w:tc>
      </w:tr>
      <w:tr>
        <w:trPr>
          <w:trHeight w:val="135"/>
        </w:trPr>
        <w:tc>
          <w:tcPr>
            <w:tcW w:w="64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Marketable securities, current</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62,565,953</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74,311,203</w:t>
            </w:r>
          </w:p>
        </w:tc>
      </w:tr>
      <w:tr>
        <w:trPr>
          <w:trHeight w:val="135"/>
        </w:trPr>
        <w:tc>
          <w:tcPr>
            <w:tcW w:w="64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279,614</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246,040</w:t>
            </w:r>
          </w:p>
        </w:tc>
      </w:tr>
      <w:tr>
        <w:trPr>
          <w:trHeight w:val="135"/>
        </w:trPr>
        <w:tc>
          <w:tcPr>
            <w:tcW w:w="6420" w:type="dxa"/>
            <w:vAlign w:val="bottom"/>
            <w:tcBorders>
              <w:bottom w:val="single" w:sz="8" w:color="CCEEFF"/>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Prepaids and other current assets</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1,479,592</w:t>
            </w: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2,888,608</w:t>
            </w:r>
          </w:p>
        </w:tc>
      </w:tr>
      <w:tr>
        <w:trPr>
          <w:trHeight w:val="128"/>
        </w:trPr>
        <w:tc>
          <w:tcPr>
            <w:tcW w:w="6420" w:type="dxa"/>
            <w:vAlign w:val="bottom"/>
            <w:shd w:val="clear" w:color="auto" w:fill="CCEEFF"/>
          </w:tcPr>
          <w:p>
            <w:pPr>
              <w:ind w:left="240"/>
              <w:spacing w:after="0" w:line="129" w:lineRule="exact"/>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139,530,219</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152,333,996</w:t>
            </w:r>
          </w:p>
        </w:tc>
      </w:tr>
      <w:tr>
        <w:trPr>
          <w:trHeight w:val="135"/>
        </w:trPr>
        <w:tc>
          <w:tcPr>
            <w:tcW w:w="6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Marketable securities, non-current</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996,560</w:t>
            </w:r>
          </w:p>
        </w:tc>
      </w:tr>
      <w:tr>
        <w:trPr>
          <w:trHeight w:val="135"/>
        </w:trPr>
        <w:tc>
          <w:tcPr>
            <w:tcW w:w="6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874,569</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807,223</w:t>
            </w: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6,690,431</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6,701,726</w:t>
            </w:r>
          </w:p>
        </w:tc>
      </w:tr>
      <w:tr>
        <w:trPr>
          <w:trHeight w:val="135"/>
        </w:trPr>
        <w:tc>
          <w:tcPr>
            <w:tcW w:w="6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Intangible asset</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430,897</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439,000</w:t>
            </w: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Right-of-use assets, net</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4,831,639</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5,324,198</w:t>
            </w:r>
          </w:p>
        </w:tc>
      </w:tr>
      <w:tr>
        <w:trPr>
          <w:trHeight w:val="135"/>
        </w:trPr>
        <w:tc>
          <w:tcPr>
            <w:tcW w:w="6420" w:type="dxa"/>
            <w:vAlign w:val="bottom"/>
            <w:tcBorders>
              <w:bottom w:val="single" w:sz="8" w:color="CCEEFF"/>
            </w:tcBorders>
          </w:tcPr>
          <w:p>
            <w:pPr>
              <w:ind w:left="20"/>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89,579</w:t>
            </w: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102,129</w:t>
            </w:r>
          </w:p>
        </w:tc>
      </w:tr>
      <w:tr>
        <w:trPr>
          <w:trHeight w:val="128"/>
        </w:trPr>
        <w:tc>
          <w:tcPr>
            <w:tcW w:w="6420" w:type="dxa"/>
            <w:vAlign w:val="bottom"/>
            <w:tcBorders>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152,447,334</w:t>
            </w:r>
          </w:p>
        </w:tc>
        <w:tc>
          <w:tcPr>
            <w:tcW w:w="1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166,704,832</w:t>
            </w: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6"/>
        </w:trPr>
        <w:tc>
          <w:tcPr>
            <w:tcW w:w="6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6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Current liabilities:</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64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1,642,364</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1,394,340</w:t>
            </w:r>
          </w:p>
        </w:tc>
      </w:tr>
      <w:tr>
        <w:trPr>
          <w:trHeight w:val="135"/>
        </w:trPr>
        <w:tc>
          <w:tcPr>
            <w:tcW w:w="64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Accrued expenses</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1,718,804</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3,965,447</w:t>
            </w:r>
          </w:p>
        </w:tc>
      </w:tr>
      <w:tr>
        <w:trPr>
          <w:trHeight w:val="135"/>
        </w:trPr>
        <w:tc>
          <w:tcPr>
            <w:tcW w:w="64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Other liabilities, current</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47,213</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420" w:type="dxa"/>
            <w:vAlign w:val="bottom"/>
            <w:tcBorders>
              <w:bottom w:val="single" w:sz="8" w:color="CCEEFF"/>
            </w:tcBorders>
          </w:tcPr>
          <w:p>
            <w:pPr>
              <w:ind w:left="80"/>
              <w:spacing w:after="0" w:line="135" w:lineRule="exact"/>
              <w:rPr>
                <w:sz w:val="20"/>
                <w:szCs w:val="20"/>
                <w:color w:val="auto"/>
              </w:rPr>
            </w:pPr>
            <w:r>
              <w:rPr>
                <w:rFonts w:ascii="Times New Roman" w:cs="Times New Roman" w:eastAsia="Times New Roman" w:hAnsi="Times New Roman"/>
                <w:sz w:val="13"/>
                <w:szCs w:val="13"/>
                <w:color w:val="auto"/>
              </w:rPr>
              <w:t>Lease liabilities, current</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265,419</w:t>
            </w: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274,039</w:t>
            </w:r>
          </w:p>
        </w:tc>
      </w:tr>
      <w:tr>
        <w:trPr>
          <w:trHeight w:val="128"/>
        </w:trPr>
        <w:tc>
          <w:tcPr>
            <w:tcW w:w="6420" w:type="dxa"/>
            <w:vAlign w:val="bottom"/>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3,673,800</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5,633,826</w:t>
            </w:r>
          </w:p>
        </w:tc>
      </w:tr>
      <w:tr>
        <w:trPr>
          <w:trHeight w:val="135"/>
        </w:trPr>
        <w:tc>
          <w:tcPr>
            <w:tcW w:w="6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Long-term liabilities:</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64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color w:val="auto"/>
              </w:rPr>
              <w:t>Other liabilities, non-current</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9,898</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4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3"/>
                <w:szCs w:val="13"/>
                <w:color w:val="auto"/>
              </w:rPr>
              <w:t>Lease liabilities, non-current</w:t>
            </w:r>
          </w:p>
        </w:tc>
        <w:tc>
          <w:tcPr>
            <w:tcW w:w="1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4,707,526</w:t>
            </w:r>
          </w:p>
        </w:tc>
        <w:tc>
          <w:tcPr>
            <w:tcW w:w="1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5,090,897</w:t>
            </w:r>
          </w:p>
        </w:tc>
      </w:tr>
      <w:tr>
        <w:trPr>
          <w:trHeight w:val="128"/>
        </w:trPr>
        <w:tc>
          <w:tcPr>
            <w:tcW w:w="6420" w:type="dxa"/>
            <w:vAlign w:val="bottom"/>
            <w:tcBorders>
              <w:bottom w:val="single" w:sz="8" w:color="CCEEFF"/>
            </w:tcBorders>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8,391,224</w:t>
            </w: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10,724,723</w:t>
            </w:r>
          </w:p>
        </w:tc>
      </w:tr>
      <w:tr>
        <w:trPr>
          <w:trHeight w:val="129"/>
        </w:trPr>
        <w:tc>
          <w:tcPr>
            <w:tcW w:w="6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Commitments and contingencies (Note 12)</w:t>
            </w: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35"/>
        </w:trPr>
        <w:tc>
          <w:tcPr>
            <w:tcW w:w="6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17"/>
        </w:trPr>
        <w:tc>
          <w:tcPr>
            <w:tcW w:w="64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w w:val="99"/>
              </w:rPr>
              <w:t>Preferred stock, $0.001 par value; 10,000,000 shares authorized at March 31, 2022 and December 31, 2021, respectively; 0</w:t>
            </w: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5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or outstanding at March 31, 2022 and December 31, 2021</w:t>
            </w:r>
          </w:p>
        </w:tc>
        <w:tc>
          <w:tcPr>
            <w:tcW w:w="1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642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Class A common stock, $0.001 par value, 200,000,000 shares authorized at March 31, 2022 and December 31, 2021;</w:t>
            </w:r>
          </w:p>
        </w:tc>
        <w:tc>
          <w:tcPr>
            <w:tcW w:w="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53"/>
        </w:trPr>
        <w:tc>
          <w:tcPr>
            <w:tcW w:w="6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26,383,299 and 26,320,199 shares issued and outstanding at March 31, 2022 and December 31, 2021, respectively</w:t>
            </w:r>
          </w:p>
        </w:tc>
        <w:tc>
          <w:tcPr>
            <w:tcW w:w="1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26,383</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26,320</w:t>
            </w:r>
          </w:p>
        </w:tc>
      </w:tr>
      <w:tr>
        <w:trPr>
          <w:trHeight w:val="117"/>
        </w:trPr>
        <w:tc>
          <w:tcPr>
            <w:tcW w:w="64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3"/>
                <w:szCs w:val="13"/>
                <w:color w:val="auto"/>
              </w:rPr>
              <w:t>Class B common stock, $0.001 par value, 20,000,000 shares authorized at March 31, 2022 and December 31, 2021; 0</w:t>
            </w: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53"/>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and outstanding at March 31, 2022 and December 31, 2021</w:t>
            </w:r>
          </w:p>
        </w:tc>
        <w:tc>
          <w:tcPr>
            <w:tcW w:w="1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6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216,366,884</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215,276,186</w:t>
            </w:r>
          </w:p>
        </w:tc>
      </w:tr>
      <w:tr>
        <w:trPr>
          <w:trHeight w:val="135"/>
        </w:trPr>
        <w:tc>
          <w:tcPr>
            <w:tcW w:w="642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140" w:type="dxa"/>
            <w:vAlign w:val="bottom"/>
            <w:shd w:val="clear" w:color="auto" w:fill="CCEEFF"/>
          </w:tcPr>
          <w:p>
            <w:pPr>
              <w:spacing w:after="0"/>
              <w:rPr>
                <w:sz w:val="11"/>
                <w:szCs w:val="11"/>
                <w:color w:val="auto"/>
              </w:rPr>
            </w:pPr>
          </w:p>
        </w:tc>
        <w:tc>
          <w:tcPr>
            <w:tcW w:w="132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(167,395)</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(49,009)</w:t>
            </w:r>
          </w:p>
        </w:tc>
      </w:tr>
      <w:tr>
        <w:trPr>
          <w:trHeight w:val="135"/>
        </w:trPr>
        <w:tc>
          <w:tcPr>
            <w:tcW w:w="64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tcPr>
          <w:p>
            <w:pPr>
              <w:spacing w:after="0"/>
              <w:rPr>
                <w:sz w:val="11"/>
                <w:szCs w:val="11"/>
                <w:color w:val="auto"/>
              </w:rPr>
            </w:pPr>
          </w:p>
        </w:tc>
        <w:tc>
          <w:tcPr>
            <w:tcW w:w="13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(72,169,762)</w:t>
            </w:r>
          </w:p>
        </w:tc>
        <w:tc>
          <w:tcPr>
            <w:tcW w:w="22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(59,273,388)</w:t>
            </w:r>
          </w:p>
        </w:tc>
      </w:tr>
      <w:tr>
        <w:trPr>
          <w:trHeight w:val="129"/>
        </w:trPr>
        <w:tc>
          <w:tcPr>
            <w:tcW w:w="6420" w:type="dxa"/>
            <w:vAlign w:val="bottom"/>
            <w:tcBorders>
              <w:top w:val="single" w:sz="8" w:color="CCEEFF"/>
            </w:tcBorders>
            <w:shd w:val="clear" w:color="auto" w:fill="CCEEFF"/>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144,056,110</w:t>
            </w: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155,980,109</w:t>
            </w:r>
          </w:p>
        </w:tc>
      </w:tr>
      <w:tr>
        <w:trPr>
          <w:trHeight w:val="128"/>
        </w:trPr>
        <w:tc>
          <w:tcPr>
            <w:tcW w:w="642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1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152,447,334</w:t>
            </w: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166,704,832</w:t>
            </w: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225" w:lineRule="exact"/>
        <w:rPr>
          <w:sz w:val="20"/>
          <w:szCs w:val="20"/>
          <w:color w:val="auto"/>
        </w:rPr>
      </w:pPr>
    </w:p>
    <w:p>
      <w:pPr>
        <w:jc w:val="center"/>
        <w:ind w:left="1520" w:right="440"/>
        <w:spacing w:after="0" w:line="263"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(Unaudited)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r>
      <w:tr>
        <w:trPr>
          <w:trHeight w:val="209"/>
        </w:trPr>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183,698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748,200</w:t>
            </w:r>
          </w:p>
        </w:tc>
        <w:tc>
          <w:tcPr>
            <w:tcW w:w="22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409,163</w:t>
            </w:r>
          </w:p>
        </w:tc>
        <w:tc>
          <w:tcPr>
            <w:tcW w:w="220" w:type="dxa"/>
            <w:vAlign w:val="bottom"/>
            <w:tcBorders>
              <w:bottom w:val="single" w:sz="8" w:color="CCEEFF"/>
            </w:tcBorders>
          </w:tcPr>
          <w:p>
            <w:pPr>
              <w:spacing w:after="0"/>
              <w:rPr>
                <w:sz w:val="18"/>
                <w:szCs w:val="18"/>
                <w:color w:val="auto"/>
              </w:rPr>
            </w:pPr>
          </w:p>
        </w:tc>
      </w:tr>
      <w:tr>
        <w:trPr>
          <w:trHeight w:val="209"/>
        </w:trPr>
        <w:tc>
          <w:tcPr>
            <w:tcW w:w="6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92,852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339,037</w:t>
            </w:r>
          </w:p>
        </w:tc>
        <w:tc>
          <w:tcPr>
            <w:tcW w:w="220" w:type="dxa"/>
            <w:vAlign w:val="bottom"/>
            <w:tcBorders>
              <w:bottom w:val="single" w:sz="8" w:color="CCEEFF"/>
            </w:tcBorders>
          </w:tcPr>
          <w:p>
            <w:pPr>
              <w:spacing w:after="0"/>
              <w:rPr>
                <w:sz w:val="18"/>
                <w:szCs w:val="18"/>
                <w:color w:val="auto"/>
              </w:rPr>
            </w:pPr>
          </w:p>
        </w:tc>
      </w:tr>
      <w:tr>
        <w:trPr>
          <w:trHeight w:val="210"/>
        </w:trPr>
        <w:tc>
          <w:tcPr>
            <w:tcW w:w="6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9,058,545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5,391,020</w:t>
            </w:r>
          </w:p>
        </w:tc>
        <w:tc>
          <w:tcPr>
            <w:tcW w:w="220" w:type="dxa"/>
            <w:vAlign w:val="bottom"/>
            <w:shd w:val="clear" w:color="auto" w:fill="CCEEFF"/>
          </w:tcPr>
          <w:p>
            <w:pPr>
              <w:spacing w:after="0"/>
              <w:rPr>
                <w:sz w:val="18"/>
                <w:szCs w:val="18"/>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3,951,866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1,184,023</w:t>
            </w:r>
          </w:p>
        </w:tc>
        <w:tc>
          <w:tcPr>
            <w:tcW w:w="220" w:type="dxa"/>
            <w:vAlign w:val="bottom"/>
          </w:tcPr>
          <w:p>
            <w:pPr>
              <w:spacing w:after="0"/>
              <w:rPr>
                <w:sz w:val="18"/>
                <w:szCs w:val="18"/>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13,018,514</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6,575,043</w:t>
            </w:r>
          </w:p>
        </w:tc>
        <w:tc>
          <w:tcPr>
            <w:tcW w:w="220" w:type="dxa"/>
            <w:vAlign w:val="bottom"/>
            <w:tcBorders>
              <w:bottom w:val="single" w:sz="8" w:color="CCEEFF"/>
            </w:tcBorders>
          </w:tcPr>
          <w:p>
            <w:pPr>
              <w:spacing w:after="0"/>
              <w:rPr>
                <w:sz w:val="18"/>
                <w:szCs w:val="18"/>
                <w:color w:val="auto"/>
              </w:rPr>
            </w:pPr>
          </w:p>
        </w:tc>
      </w:tr>
      <w:tr>
        <w:trPr>
          <w:trHeight w:val="20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(12,925,662)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(6,236,006)</w:t>
            </w:r>
          </w:p>
        </w:tc>
        <w:tc>
          <w:tcPr>
            <w:tcW w:w="22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220" w:type="dxa"/>
            <w:vAlign w:val="bottom"/>
          </w:tcPr>
          <w:p>
            <w:pPr>
              <w:spacing w:after="0"/>
              <w:rPr>
                <w:sz w:val="18"/>
                <w:szCs w:val="18"/>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(103,218)</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(12,896,374)</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(6,229,651)</w:t>
            </w:r>
          </w:p>
        </w:tc>
        <w:tc>
          <w:tcPr>
            <w:tcW w:w="220" w:type="dxa"/>
            <w:vAlign w:val="bottom"/>
            <w:tcBorders>
              <w:bottom w:val="single" w:sz="8" w:color="CCEEFF"/>
            </w:tcBorders>
          </w:tcPr>
          <w:p>
            <w:pPr>
              <w:spacing w:after="0"/>
              <w:rPr>
                <w:sz w:val="21"/>
                <w:szCs w:val="21"/>
                <w:color w:val="auto"/>
              </w:rPr>
            </w:pPr>
          </w:p>
        </w:tc>
      </w:tr>
      <w:tr>
        <w:trPr>
          <w:trHeight w:val="197"/>
        </w:trPr>
        <w:tc>
          <w:tcPr>
            <w:tcW w:w="6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5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r>
      <w:tr>
        <w:trPr>
          <w:trHeight w:val="197"/>
        </w:trPr>
        <w:tc>
          <w:tcPr>
            <w:tcW w:w="63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26,359,080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4,950,129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6"/>
        </w:trPr>
        <w:tc>
          <w:tcPr>
            <w:tcW w:w="6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losses from marketable securities</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(118,386)</w:t>
            </w:r>
          </w:p>
        </w:tc>
        <w:tc>
          <w:tcPr>
            <w:tcW w:w="1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(13,014,760)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(6,229,651)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CONVERTIBLE PREFERRED STOCK AND STOCKHOLDERS’ EQUITY</w:t>
      </w:r>
    </w:p>
    <w:p>
      <w:pPr>
        <w:ind w:left="4660"/>
        <w:spacing w:after="0" w:line="223" w:lineRule="auto"/>
        <w:rPr>
          <w:sz w:val="20"/>
          <w:szCs w:val="20"/>
          <w:color w:val="auto"/>
        </w:rPr>
      </w:pPr>
      <w:r>
        <w:rPr>
          <w:rFonts w:ascii="Times New Roman" w:cs="Times New Roman" w:eastAsia="Times New Roman" w:hAnsi="Times New Roman"/>
          <w:sz w:val="18"/>
          <w:szCs w:val="18"/>
          <w:b w:val="1"/>
          <w:bCs w:val="1"/>
          <w:color w:val="auto"/>
        </w:rPr>
        <w:t>(DEFICIT)</w:t>
      </w:r>
    </w:p>
    <w:p>
      <w:pPr>
        <w:spacing w:after="0" w:line="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11"/>
          </w:tcPr>
          <w:p>
            <w:pPr>
              <w:ind w:left="200"/>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gridSpan w:val="12"/>
          </w:tcPr>
          <w:p>
            <w:pPr>
              <w:ind w:left="160"/>
              <w:spacing w:after="0"/>
              <w:rPr>
                <w:sz w:val="20"/>
                <w:szCs w:val="20"/>
                <w:color w:val="auto"/>
              </w:rPr>
            </w:pPr>
            <w:r>
              <w:rPr>
                <w:rFonts w:ascii="Times New Roman" w:cs="Times New Roman" w:eastAsia="Times New Roman" w:hAnsi="Times New Roman"/>
                <w:sz w:val="11"/>
                <w:szCs w:val="11"/>
                <w:b w:val="1"/>
                <w:bCs w:val="1"/>
                <w:color w:val="auto"/>
              </w:rPr>
              <w:t>Stockholders' Equity (Deficit)</w:t>
            </w: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7180" w:type="dxa"/>
            <w:vAlign w:val="bottom"/>
            <w:gridSpan w:val="51"/>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20" w:type="dxa"/>
            <w:vAlign w:val="bottom"/>
            <w:gridSpan w:val="3"/>
          </w:tcPr>
          <w:p>
            <w:pPr>
              <w:ind w:left="4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780" w:type="dxa"/>
            <w:vAlign w:val="bottom"/>
            <w:gridSpan w:val="9"/>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w w:val="97"/>
              </w:rPr>
              <w:t>Accumulated other</w:t>
            </w:r>
          </w:p>
        </w:tc>
        <w:tc>
          <w:tcPr>
            <w:tcW w:w="620" w:type="dxa"/>
            <w:vAlign w:val="bottom"/>
          </w:tcPr>
          <w:p>
            <w:pPr>
              <w:jc w:val="center"/>
              <w:ind w:right="46"/>
              <w:spacing w:after="0" w:line="113"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gridSpan w:val="6"/>
          </w:tcPr>
          <w:p>
            <w:pPr>
              <w:jc w:val="right"/>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ind w:left="34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Convertible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10"/>
          </w:tcPr>
          <w:p>
            <w:pPr>
              <w:spacing w:after="0"/>
              <w:rPr>
                <w:sz w:val="20"/>
                <w:szCs w:val="20"/>
                <w:color w:val="auto"/>
              </w:rPr>
            </w:pPr>
            <w:r>
              <w:rPr>
                <w:rFonts w:ascii="Times New Roman" w:cs="Times New Roman" w:eastAsia="Times New Roman" w:hAnsi="Times New Roman"/>
                <w:sz w:val="11"/>
                <w:szCs w:val="11"/>
                <w:b w:val="1"/>
                <w:bCs w:val="1"/>
                <w:color w:val="auto"/>
                <w:w w:val="97"/>
              </w:rPr>
              <w:t>Class A Common Stock</w:t>
            </w:r>
          </w:p>
        </w:tc>
        <w:tc>
          <w:tcPr>
            <w:tcW w:w="1800" w:type="dxa"/>
            <w:vAlign w:val="bottom"/>
            <w:gridSpan w:val="1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Class B Common Stock   Paid-In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Borders>
              <w:top w:val="single" w:sz="8" w:color="auto"/>
            </w:tcBorders>
            <w:gridSpan w:val="2"/>
          </w:tcPr>
          <w:p>
            <w:pPr>
              <w:jc w:val="right"/>
              <w:ind w:right="6"/>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jc w:val="right"/>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ind w:left="100"/>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20" w:type="dxa"/>
            <w:vAlign w:val="bottom"/>
            <w:gridSpan w:val="5"/>
          </w:tcPr>
          <w:p>
            <w:pPr>
              <w:ind w:left="80"/>
              <w:spacing w:after="0" w:line="115" w:lineRule="exact"/>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Borders>
              <w:top w:val="single" w:sz="8" w:color="auto"/>
            </w:tcBorders>
            <w:gridSpan w:val="2"/>
          </w:tcPr>
          <w:p>
            <w:pPr>
              <w:jc w:val="right"/>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gridSpan w:val="4"/>
          </w:tcPr>
          <w:p>
            <w:pPr>
              <w:ind w:left="20"/>
              <w:spacing w:after="0" w:line="115" w:lineRule="exact"/>
              <w:rPr>
                <w:sz w:val="20"/>
                <w:szCs w:val="20"/>
                <w:color w:val="auto"/>
              </w:rPr>
            </w:pPr>
            <w:r>
              <w:rPr>
                <w:rFonts w:ascii="Times New Roman" w:cs="Times New Roman" w:eastAsia="Times New Roman" w:hAnsi="Times New Roman"/>
                <w:sz w:val="11"/>
                <w:szCs w:val="11"/>
                <w:b w:val="1"/>
                <w:bCs w:val="1"/>
                <w:color w:val="auto"/>
                <w:w w:val="92"/>
              </w:rPr>
              <w:t>Par Value</w:t>
            </w:r>
          </w:p>
        </w:tc>
        <w:tc>
          <w:tcPr>
            <w:tcW w:w="80" w:type="dxa"/>
            <w:vAlign w:val="bottom"/>
          </w:tcPr>
          <w:p>
            <w:pPr>
              <w:spacing w:after="0"/>
              <w:rPr>
                <w:sz w:val="10"/>
                <w:szCs w:val="10"/>
                <w:color w:val="auto"/>
              </w:rPr>
            </w:pPr>
          </w:p>
        </w:tc>
        <w:tc>
          <w:tcPr>
            <w:tcW w:w="420" w:type="dxa"/>
            <w:vAlign w:val="bottom"/>
            <w:tcBorders>
              <w:top w:val="single" w:sz="8" w:color="auto"/>
            </w:tcBorders>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rPr>
              <w:t>Par Value</w:t>
            </w:r>
          </w:p>
        </w:tc>
        <w:tc>
          <w:tcPr>
            <w:tcW w:w="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tcPr>
          <w:p>
            <w:pPr>
              <w:jc w:val="center"/>
              <w:ind w:right="80"/>
              <w:spacing w:after="0" w:line="115" w:lineRule="exact"/>
              <w:rPr>
                <w:sz w:val="20"/>
                <w:szCs w:val="20"/>
                <w:color w:val="auto"/>
              </w:rPr>
            </w:pPr>
            <w:r>
              <w:rPr>
                <w:rFonts w:ascii="Times New Roman" w:cs="Times New Roman" w:eastAsia="Times New Roman" w:hAnsi="Times New Roman"/>
                <w:sz w:val="11"/>
                <w:szCs w:val="11"/>
                <w:b w:val="1"/>
                <w:bCs w:val="1"/>
                <w:color w:val="auto"/>
                <w:w w:val="93"/>
              </w:rPr>
              <w:t>loss</w:t>
            </w:r>
          </w:p>
        </w:tc>
        <w:tc>
          <w:tcPr>
            <w:tcW w:w="20" w:type="dxa"/>
            <w:vAlign w:val="bottom"/>
          </w:tcPr>
          <w:p>
            <w:pPr>
              <w:spacing w:after="0"/>
              <w:rPr>
                <w:sz w:val="10"/>
                <w:szCs w:val="10"/>
                <w:color w:val="auto"/>
              </w:rPr>
            </w:pPr>
          </w:p>
        </w:tc>
        <w:tc>
          <w:tcPr>
            <w:tcW w:w="6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80" w:type="dxa"/>
            <w:vAlign w:val="bottom"/>
          </w:tcPr>
          <w:p>
            <w:pPr>
              <w:spacing w:after="0"/>
              <w:rPr>
                <w:sz w:val="10"/>
                <w:szCs w:val="10"/>
                <w:color w:val="auto"/>
              </w:rPr>
            </w:pPr>
          </w:p>
        </w:tc>
        <w:tc>
          <w:tcPr>
            <w:tcW w:w="72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5"/>
              </w:rPr>
              <w:t>Equity (Deficit)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60" w:type="dxa"/>
            <w:vAlign w:val="bottom"/>
            <w:gridSpan w:val="2"/>
          </w:tcPr>
          <w:p>
            <w:pPr>
              <w:spacing w:after="0"/>
              <w:rPr>
                <w:sz w:val="10"/>
                <w:szCs w:val="10"/>
                <w:color w:val="auto"/>
              </w:rPr>
            </w:pPr>
          </w:p>
        </w:tc>
        <w:tc>
          <w:tcPr>
            <w:tcW w:w="460" w:type="dxa"/>
            <w:vAlign w:val="bottom"/>
            <w:tcBorders>
              <w:top w:val="single" w:sz="8" w:color="auto"/>
            </w:tcBorders>
            <w:gridSpan w:val="3"/>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top w:val="single" w:sz="8" w:color="auto"/>
            </w:tcBorders>
            <w:gridSpan w:val="4"/>
          </w:tcPr>
          <w:p>
            <w:pPr>
              <w:spacing w:after="0"/>
              <w:rPr>
                <w:sz w:val="10"/>
                <w:szCs w:val="10"/>
                <w:color w:val="auto"/>
              </w:rPr>
            </w:pPr>
          </w:p>
        </w:tc>
        <w:tc>
          <w:tcPr>
            <w:tcW w:w="80" w:type="dxa"/>
            <w:vAlign w:val="bottom"/>
            <w:gridSpan w:val="2"/>
          </w:tcPr>
          <w:p>
            <w:pPr>
              <w:spacing w:after="0"/>
              <w:rPr>
                <w:sz w:val="10"/>
                <w:szCs w:val="10"/>
                <w:color w:val="auto"/>
              </w:rPr>
            </w:pPr>
          </w:p>
        </w:tc>
        <w:tc>
          <w:tcPr>
            <w:tcW w:w="520" w:type="dxa"/>
            <w:vAlign w:val="bottom"/>
            <w:tcBorders>
              <w:top w:val="single" w:sz="8" w:color="auto"/>
            </w:tcBorders>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580" w:type="dxa"/>
            <w:vAlign w:val="bottom"/>
            <w:tcBorders>
              <w:top w:val="single" w:sz="8" w:color="auto"/>
            </w:tcBorders>
            <w:gridSpan w:val="5"/>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gridSpan w:val="4"/>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Borders>
              <w:top w:val="single" w:sz="8" w:color="auto"/>
            </w:tcBorders>
            <w:gridSpan w:val="4"/>
          </w:tcPr>
          <w:p>
            <w:pPr>
              <w:spacing w:after="0"/>
              <w:rPr>
                <w:sz w:val="10"/>
                <w:szCs w:val="10"/>
                <w:color w:val="auto"/>
              </w:rPr>
            </w:pPr>
          </w:p>
        </w:tc>
        <w:tc>
          <w:tcPr>
            <w:tcW w:w="60" w:type="dxa"/>
            <w:vAlign w:val="bottom"/>
            <w:gridSpan w:val="2"/>
          </w:tcPr>
          <w:p>
            <w:pPr>
              <w:spacing w:after="0"/>
              <w:rPr>
                <w:sz w:val="10"/>
                <w:szCs w:val="10"/>
                <w:color w:val="auto"/>
              </w:rPr>
            </w:pPr>
          </w:p>
        </w:tc>
        <w:tc>
          <w:tcPr>
            <w:tcW w:w="480" w:type="dxa"/>
            <w:vAlign w:val="bottom"/>
            <w:tcBorders>
              <w:top w:val="single" w:sz="8" w:color="auto"/>
            </w:tcBorders>
            <w:gridSpan w:val="4"/>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gridSpan w:val="4"/>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gridSpan w:val="4"/>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Borders>
              <w:top w:val="single" w:sz="8" w:color="auto"/>
            </w:tcBorders>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880" w:type="dxa"/>
            <w:vAlign w:val="bottom"/>
            <w:tcBorders>
              <w:top w:val="single" w:sz="8" w:color="auto"/>
            </w:tcBorders>
            <w:gridSpan w:val="3"/>
          </w:tcPr>
          <w:p>
            <w:pPr>
              <w:spacing w:after="0"/>
              <w:rPr>
                <w:sz w:val="10"/>
                <w:szCs w:val="10"/>
                <w:color w:val="auto"/>
              </w:rPr>
            </w:pPr>
          </w:p>
        </w:tc>
        <w:tc>
          <w:tcPr>
            <w:tcW w:w="40" w:type="dxa"/>
            <w:vAlign w:val="bottom"/>
            <w:gridSpan w:val="2"/>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99"/>
              </w:rPr>
              <w:t>Balance at December 31, 2020</w:t>
            </w:r>
          </w:p>
        </w:tc>
        <w:tc>
          <w:tcPr>
            <w:tcW w:w="48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9"/>
              </w:rPr>
              <w:t>3,619,292</w:t>
            </w:r>
          </w:p>
        </w:tc>
        <w:tc>
          <w:tcPr>
            <w:tcW w:w="680" w:type="dxa"/>
            <w:vAlign w:val="bottom"/>
            <w:gridSpan w:val="6"/>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$ 36,983,910</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2,495,933</w:t>
            </w:r>
          </w:p>
        </w:tc>
        <w:tc>
          <w:tcPr>
            <w:tcW w:w="20" w:type="dxa"/>
            <w:vAlign w:val="bottom"/>
            <w:shd w:val="clear" w:color="auto" w:fill="CCEEFF"/>
          </w:tcPr>
          <w:p>
            <w:pPr>
              <w:spacing w:after="0"/>
              <w:rPr>
                <w:sz w:val="10"/>
                <w:szCs w:val="10"/>
                <w:color w:val="auto"/>
              </w:rPr>
            </w:pPr>
          </w:p>
        </w:tc>
        <w:tc>
          <w:tcPr>
            <w:tcW w:w="660" w:type="dxa"/>
            <w:vAlign w:val="bottom"/>
            <w:gridSpan w:val="7"/>
            <w:shd w:val="clear" w:color="auto" w:fill="CCEEFF"/>
          </w:tcPr>
          <w:p>
            <w:pPr>
              <w:jc w:val="right"/>
              <w:ind w:right="13"/>
              <w:spacing w:after="0" w:line="122" w:lineRule="exact"/>
              <w:rPr>
                <w:sz w:val="20"/>
                <w:szCs w:val="20"/>
                <w:color w:val="auto"/>
              </w:rPr>
            </w:pPr>
            <w:r>
              <w:rPr>
                <w:rFonts w:ascii="Times New Roman" w:cs="Times New Roman" w:eastAsia="Times New Roman" w:hAnsi="Times New Roman"/>
                <w:sz w:val="11"/>
                <w:szCs w:val="11"/>
                <w:color w:val="auto"/>
              </w:rPr>
              <w:t>$ 21,119,940</w:t>
            </w:r>
          </w:p>
        </w:tc>
        <w:tc>
          <w:tcPr>
            <w:tcW w:w="16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58,103,850</w:t>
            </w:r>
          </w:p>
        </w:tc>
        <w:tc>
          <w:tcPr>
            <w:tcW w:w="100" w:type="dxa"/>
            <w:vAlign w:val="bottom"/>
            <w:tcBorders>
              <w:right w:val="single" w:sz="8" w:color="auto"/>
            </w:tcBorders>
            <w:shd w:val="clear" w:color="auto" w:fill="CCEEFF"/>
          </w:tcPr>
          <w:p>
            <w:pPr>
              <w:spacing w:after="0"/>
              <w:rPr>
                <w:sz w:val="10"/>
                <w:szCs w:val="10"/>
                <w:color w:val="auto"/>
              </w:rPr>
            </w:pPr>
          </w:p>
        </w:tc>
        <w:tc>
          <w:tcPr>
            <w:tcW w:w="580" w:type="dxa"/>
            <w:vAlign w:val="bottom"/>
            <w:gridSpan w:val="3"/>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4,950,129</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gridSpan w:val="2"/>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4,950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40" w:type="dxa"/>
            <w:vAlign w:val="bottom"/>
            <w:gridSpan w:val="4"/>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$ 3,251,240</w:t>
            </w:r>
          </w:p>
        </w:tc>
        <w:tc>
          <w:tcPr>
            <w:tcW w:w="20" w:type="dxa"/>
            <w:vAlign w:val="bottom"/>
            <w:shd w:val="clear" w:color="auto" w:fill="CCEEFF"/>
          </w:tcPr>
          <w:p>
            <w:pPr>
              <w:spacing w:after="0"/>
              <w:rPr>
                <w:sz w:val="10"/>
                <w:szCs w:val="10"/>
                <w:color w:val="auto"/>
              </w:rPr>
            </w:pPr>
          </w:p>
        </w:tc>
        <w:tc>
          <w:tcPr>
            <w:tcW w:w="140" w:type="dxa"/>
            <w:vAlign w:val="bottom"/>
            <w:gridSpan w:val="3"/>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3"/>
            <w:shd w:val="clear" w:color="auto" w:fill="CCEEFF"/>
          </w:tcPr>
          <w:p>
            <w:pPr>
              <w:ind w:left="6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 (25,737,640)</w:t>
            </w:r>
          </w:p>
        </w:tc>
        <w:tc>
          <w:tcPr>
            <w:tcW w:w="1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(22,481,450)</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4760" w:type="dxa"/>
            <w:vAlign w:val="bottom"/>
            <w:tcBorders>
              <w:right w:val="single" w:sz="8" w:color="auto"/>
            </w:tcBorders>
            <w:gridSpan w:val="28"/>
          </w:tcPr>
          <w:p>
            <w:pPr>
              <w:spacing w:after="0"/>
              <w:rPr>
                <w:sz w:val="10"/>
                <w:szCs w:val="10"/>
                <w:color w:val="auto"/>
              </w:rPr>
            </w:pPr>
          </w:p>
        </w:tc>
        <w:tc>
          <w:tcPr>
            <w:tcW w:w="542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600" w:type="dxa"/>
            <w:vAlign w:val="bottom"/>
            <w:tcBorders>
              <w:right w:val="single" w:sz="8" w:color="CCEEFF"/>
            </w:tcBorders>
            <w:gridSpan w:val="26"/>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rPr>
              <w:t>Stock-based compensation</w:t>
            </w:r>
          </w:p>
        </w:tc>
        <w:tc>
          <w:tcPr>
            <w:tcW w:w="160" w:type="dxa"/>
            <w:vAlign w:val="bottom"/>
            <w:tcBorders>
              <w:right w:val="single" w:sz="8" w:color="auto"/>
            </w:tcBorders>
            <w:gridSpan w:val="2"/>
            <w:shd w:val="clear" w:color="auto" w:fill="CCEEFF"/>
          </w:tcPr>
          <w:p>
            <w:pPr>
              <w:spacing w:after="0"/>
              <w:rPr>
                <w:sz w:val="9"/>
                <w:szCs w:val="9"/>
                <w:color w:val="auto"/>
              </w:rPr>
            </w:pPr>
          </w:p>
        </w:tc>
        <w:tc>
          <w:tcPr>
            <w:tcW w:w="542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expense</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gridSpan w:val="4"/>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1"/>
                <w:szCs w:val="11"/>
                <w:color w:val="auto"/>
                <w:w w:val="90"/>
              </w:rPr>
              <w:t>—</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182,225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182,225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4760" w:type="dxa"/>
            <w:vAlign w:val="bottom"/>
            <w:tcBorders>
              <w:right w:val="single" w:sz="8" w:color="auto"/>
            </w:tcBorders>
            <w:gridSpan w:val="28"/>
          </w:tcPr>
          <w:p>
            <w:pPr>
              <w:spacing w:after="0"/>
              <w:rPr>
                <w:sz w:val="10"/>
                <w:szCs w:val="10"/>
                <w:color w:val="auto"/>
              </w:rPr>
            </w:pPr>
          </w:p>
        </w:tc>
        <w:tc>
          <w:tcPr>
            <w:tcW w:w="5420" w:type="dxa"/>
            <w:vAlign w:val="bottom"/>
            <w:gridSpan w:val="35"/>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3"/>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60" w:type="dxa"/>
            <w:vAlign w:val="bottom"/>
            <w:gridSpan w:val="4"/>
            <w:shd w:val="clear" w:color="auto" w:fill="CCEEFF"/>
          </w:tcPr>
          <w:p>
            <w:pPr>
              <w:jc w:val="right"/>
              <w:ind w:right="13"/>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3"/>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gridSpan w:val="3"/>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3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3"/>
            <w:shd w:val="clear" w:color="auto" w:fill="CCEEFF"/>
          </w:tcPr>
          <w:p>
            <w:pPr>
              <w:ind w:left="6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(6,229,651)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(6,229,651)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460" w:type="dxa"/>
            <w:vAlign w:val="bottom"/>
            <w:tcBorders>
              <w:bottom w:val="single" w:sz="8" w:color="CCEEFF"/>
            </w:tcBorders>
            <w:gridSpan w:val="2"/>
          </w:tcPr>
          <w:p>
            <w:pPr>
              <w:spacing w:after="0"/>
              <w:rPr>
                <w:sz w:val="10"/>
                <w:szCs w:val="10"/>
                <w:color w:val="auto"/>
              </w:rPr>
            </w:pPr>
          </w:p>
        </w:tc>
        <w:tc>
          <w:tcPr>
            <w:tcW w:w="460" w:type="dxa"/>
            <w:vAlign w:val="bottom"/>
            <w:tcBorders>
              <w:bottom w:val="single" w:sz="8" w:color="auto"/>
            </w:tcBorders>
            <w:gridSpan w:val="3"/>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gridSpan w:val="4"/>
          </w:tcPr>
          <w:p>
            <w:pPr>
              <w:spacing w:after="0"/>
              <w:rPr>
                <w:sz w:val="10"/>
                <w:szCs w:val="10"/>
                <w:color w:val="auto"/>
              </w:rPr>
            </w:pPr>
          </w:p>
        </w:tc>
        <w:tc>
          <w:tcPr>
            <w:tcW w:w="80" w:type="dxa"/>
            <w:vAlign w:val="bottom"/>
            <w:tcBorders>
              <w:bottom w:val="single" w:sz="8" w:color="CCEEFF"/>
            </w:tcBorders>
            <w:gridSpan w:val="2"/>
          </w:tcPr>
          <w:p>
            <w:pPr>
              <w:spacing w:after="0"/>
              <w:rPr>
                <w:sz w:val="10"/>
                <w:szCs w:val="10"/>
                <w:color w:val="auto"/>
              </w:rPr>
            </w:pPr>
          </w:p>
        </w:tc>
        <w:tc>
          <w:tcPr>
            <w:tcW w:w="520" w:type="dxa"/>
            <w:vAlign w:val="bottom"/>
            <w:tcBorders>
              <w:bottom w:val="single" w:sz="8" w:color="auto"/>
            </w:tcBorders>
            <w:gridSpan w:val="3"/>
          </w:tcPr>
          <w:p>
            <w:pPr>
              <w:spacing w:after="0"/>
              <w:rPr>
                <w:sz w:val="10"/>
                <w:szCs w:val="10"/>
                <w:color w:val="auto"/>
              </w:rPr>
            </w:pPr>
          </w:p>
        </w:tc>
        <w:tc>
          <w:tcPr>
            <w:tcW w:w="80" w:type="dxa"/>
            <w:vAlign w:val="bottom"/>
            <w:tcBorders>
              <w:bottom w:val="single" w:sz="8" w:color="CCEEFF"/>
            </w:tcBorders>
            <w:gridSpan w:val="2"/>
          </w:tcPr>
          <w:p>
            <w:pPr>
              <w:spacing w:after="0"/>
              <w:rPr>
                <w:sz w:val="10"/>
                <w:szCs w:val="10"/>
                <w:color w:val="auto"/>
              </w:rPr>
            </w:pPr>
          </w:p>
        </w:tc>
        <w:tc>
          <w:tcPr>
            <w:tcW w:w="580" w:type="dxa"/>
            <w:vAlign w:val="bottom"/>
            <w:tcBorders>
              <w:bottom w:val="single" w:sz="8" w:color="auto"/>
            </w:tcBorders>
            <w:gridSpan w:val="5"/>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gridSpan w:val="4"/>
          </w:tcPr>
          <w:p>
            <w:pPr>
              <w:spacing w:after="0"/>
              <w:rPr>
                <w:sz w:val="10"/>
                <w:szCs w:val="10"/>
                <w:color w:val="auto"/>
              </w:rPr>
            </w:pPr>
          </w:p>
        </w:tc>
        <w:tc>
          <w:tcPr>
            <w:tcW w:w="100" w:type="dxa"/>
            <w:vAlign w:val="bottom"/>
            <w:tcBorders>
              <w:bottom w:val="single" w:sz="8" w:color="CCEEFF"/>
              <w:right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gridSpan w:val="4"/>
          </w:tcPr>
          <w:p>
            <w:pPr>
              <w:spacing w:after="0"/>
              <w:rPr>
                <w:sz w:val="10"/>
                <w:szCs w:val="10"/>
                <w:color w:val="auto"/>
              </w:rPr>
            </w:pPr>
          </w:p>
        </w:tc>
        <w:tc>
          <w:tcPr>
            <w:tcW w:w="60" w:type="dxa"/>
            <w:vAlign w:val="bottom"/>
            <w:tcBorders>
              <w:bottom w:val="single" w:sz="8" w:color="CCEEFF"/>
            </w:tcBorders>
            <w:gridSpan w:val="2"/>
          </w:tcPr>
          <w:p>
            <w:pPr>
              <w:spacing w:after="0"/>
              <w:rPr>
                <w:sz w:val="10"/>
                <w:szCs w:val="10"/>
                <w:color w:val="auto"/>
              </w:rPr>
            </w:pPr>
          </w:p>
        </w:tc>
        <w:tc>
          <w:tcPr>
            <w:tcW w:w="480" w:type="dxa"/>
            <w:vAlign w:val="bottom"/>
            <w:tcBorders>
              <w:bottom w:val="single" w:sz="8" w:color="auto"/>
            </w:tcBorders>
            <w:gridSpan w:val="4"/>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460" w:type="dxa"/>
            <w:vAlign w:val="bottom"/>
            <w:tcBorders>
              <w:bottom w:val="single" w:sz="8" w:color="auto"/>
            </w:tcBorders>
            <w:gridSpan w:val="4"/>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gridSpan w:val="4"/>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gridSpan w:val="2"/>
          </w:tcPr>
          <w:p>
            <w:pPr>
              <w:spacing w:after="0"/>
              <w:rPr>
                <w:sz w:val="10"/>
                <w:szCs w:val="10"/>
                <w:color w:val="auto"/>
              </w:rPr>
            </w:pPr>
          </w:p>
        </w:tc>
        <w:tc>
          <w:tcPr>
            <w:tcW w:w="80" w:type="dxa"/>
            <w:vAlign w:val="bottom"/>
            <w:tcBorders>
              <w:bottom w:val="single" w:sz="8" w:color="CCEEFF"/>
            </w:tcBorders>
            <w:gridSpan w:val="2"/>
          </w:tcPr>
          <w:p>
            <w:pPr>
              <w:spacing w:after="0"/>
              <w:rPr>
                <w:sz w:val="10"/>
                <w:szCs w:val="10"/>
                <w:color w:val="auto"/>
              </w:rPr>
            </w:pPr>
          </w:p>
        </w:tc>
        <w:tc>
          <w:tcPr>
            <w:tcW w:w="880" w:type="dxa"/>
            <w:vAlign w:val="bottom"/>
            <w:tcBorders>
              <w:bottom w:val="single" w:sz="8" w:color="auto"/>
            </w:tcBorders>
            <w:gridSpan w:val="3"/>
          </w:tcPr>
          <w:p>
            <w:pPr>
              <w:spacing w:after="0"/>
              <w:rPr>
                <w:sz w:val="10"/>
                <w:szCs w:val="10"/>
                <w:color w:val="auto"/>
              </w:rPr>
            </w:pPr>
          </w:p>
        </w:tc>
        <w:tc>
          <w:tcPr>
            <w:tcW w:w="40" w:type="dxa"/>
            <w:vAlign w:val="bottom"/>
            <w:tcBorders>
              <w:bottom w:val="single" w:sz="8" w:color="CCEEFF"/>
            </w:tcBorders>
            <w:gridSpan w:val="2"/>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20" w:type="dxa"/>
            <w:vAlign w:val="bottom"/>
            <w:tcBorders>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2021</w:t>
            </w:r>
          </w:p>
        </w:tc>
        <w:tc>
          <w:tcPr>
            <w:tcW w:w="4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0"/>
              </w:rPr>
              <w:t>3,619,292</w:t>
            </w:r>
          </w:p>
        </w:tc>
        <w:tc>
          <w:tcPr>
            <w:tcW w:w="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gridSpan w:val="4"/>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89"/>
              </w:rPr>
              <w:t>$ 36,983,910</w:t>
            </w:r>
          </w:p>
        </w:tc>
        <w:tc>
          <w:tcPr>
            <w:tcW w:w="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2,495,933</w:t>
            </w:r>
          </w:p>
        </w:tc>
        <w:tc>
          <w:tcPr>
            <w:tcW w:w="2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gridSpan w:val="5"/>
            <w:shd w:val="clear" w:color="auto" w:fill="CCEEFF"/>
          </w:tcPr>
          <w:p>
            <w:pPr>
              <w:jc w:val="right"/>
              <w:ind w:right="13"/>
              <w:spacing w:after="0" w:line="115" w:lineRule="exact"/>
              <w:rPr>
                <w:sz w:val="20"/>
                <w:szCs w:val="20"/>
                <w:color w:val="auto"/>
              </w:rPr>
            </w:pPr>
            <w:r>
              <w:rPr>
                <w:rFonts w:ascii="Times New Roman" w:cs="Times New Roman" w:eastAsia="Times New Roman" w:hAnsi="Times New Roman"/>
                <w:sz w:val="11"/>
                <w:szCs w:val="11"/>
                <w:color w:val="auto"/>
                <w:w w:val="89"/>
              </w:rPr>
              <w:t>$ 21,119,940</w:t>
            </w: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bottom w:val="single" w:sz="8" w:color="auto"/>
            </w:tcBorders>
            <w:gridSpan w:val="3"/>
            <w:shd w:val="clear" w:color="auto" w:fill="CCEEFF"/>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58,103,850</w:t>
            </w:r>
          </w:p>
        </w:tc>
        <w:tc>
          <w:tcPr>
            <w:tcW w:w="100" w:type="dxa"/>
            <w:vAlign w:val="bottom"/>
            <w:tcBorders>
              <w:bottom w:val="single" w:sz="8" w:color="CCEEFF"/>
              <w:right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520" w:type="dxa"/>
            <w:vAlign w:val="bottom"/>
            <w:tcBorders>
              <w:bottom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4,950,129</w:t>
            </w:r>
          </w:p>
        </w:tc>
        <w:tc>
          <w:tcPr>
            <w:tcW w:w="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bottom w:val="single" w:sz="8" w:color="auto"/>
            </w:tcBorders>
            <w:gridSpan w:val="2"/>
            <w:shd w:val="clear" w:color="auto" w:fill="CCEEFF"/>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4,950</w:t>
            </w:r>
          </w:p>
        </w:tc>
        <w:tc>
          <w:tcPr>
            <w:tcW w:w="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auto"/>
            </w:tcBorders>
            <w:gridSpan w:val="2"/>
            <w:shd w:val="clear" w:color="auto" w:fill="CCEEFF"/>
          </w:tcPr>
          <w:p>
            <w:pPr>
              <w:ind w:left="30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2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tcBorders>
              <w:bottom w:val="single" w:sz="8" w:color="auto"/>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5"/>
              </w:rPr>
              <w:t>$ 3,433,465</w:t>
            </w:r>
          </w:p>
        </w:tc>
        <w:tc>
          <w:tcPr>
            <w:tcW w:w="20" w:type="dxa"/>
            <w:vAlign w:val="bottom"/>
            <w:tcBorders>
              <w:bottom w:val="single" w:sz="8" w:color="auto"/>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tcBorders>
              <w:bottom w:val="single" w:sz="8" w:color="auto"/>
            </w:tcBorders>
            <w:gridSpan w:val="2"/>
            <w:shd w:val="clear" w:color="auto" w:fill="CCEEFF"/>
          </w:tcPr>
          <w:p>
            <w:pPr>
              <w:ind w:left="6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8"/>
              </w:rPr>
              <w:t>$ (31,967,291)</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(28,528,876)</w:t>
            </w:r>
          </w:p>
        </w:tc>
        <w:tc>
          <w:tcPr>
            <w:tcW w:w="0" w:type="dxa"/>
            <w:vAlign w:val="bottom"/>
          </w:tcPr>
          <w:p>
            <w:pPr>
              <w:spacing w:after="0"/>
              <w:rPr>
                <w:sz w:val="1"/>
                <w:szCs w:val="1"/>
                <w:color w:val="auto"/>
              </w:rPr>
            </w:pPr>
          </w:p>
        </w:tc>
      </w:tr>
      <w:tr>
        <w:trPr>
          <w:trHeight w:val="20"/>
        </w:trPr>
        <w:tc>
          <w:tcPr>
            <w:tcW w:w="1480" w:type="dxa"/>
            <w:vAlign w:val="bottom"/>
            <w:gridSpan w:val="3"/>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tcBorders>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Borders>
              <w:bottom w:val="single" w:sz="8" w:color="auto"/>
            </w:tcBorders>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8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11"/>
          </w:tcPr>
          <w:p>
            <w:pPr>
              <w:ind w:left="260"/>
              <w:spacing w:after="0"/>
              <w:rPr>
                <w:sz w:val="20"/>
                <w:szCs w:val="20"/>
                <w:color w:val="auto"/>
              </w:rPr>
            </w:pPr>
            <w:r>
              <w:rPr>
                <w:rFonts w:ascii="Times New Roman" w:cs="Times New Roman" w:eastAsia="Times New Roman" w:hAnsi="Times New Roman"/>
                <w:sz w:val="11"/>
                <w:szCs w:val="11"/>
                <w:b w:val="1"/>
                <w:bCs w:val="1"/>
                <w:color w:val="auto"/>
                <w:w w:val="96"/>
              </w:rPr>
              <w:t>Convertible Preferred Stock</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2"/>
          </w:tcPr>
          <w:p>
            <w:pPr>
              <w:ind w:left="80"/>
              <w:spacing w:after="0"/>
              <w:rPr>
                <w:sz w:val="20"/>
                <w:szCs w:val="20"/>
                <w:color w:val="auto"/>
              </w:rPr>
            </w:pPr>
            <w:r>
              <w:rPr>
                <w:rFonts w:ascii="Times New Roman" w:cs="Times New Roman" w:eastAsia="Times New Roman" w:hAnsi="Times New Roman"/>
                <w:sz w:val="11"/>
                <w:szCs w:val="11"/>
                <w:b w:val="1"/>
                <w:bCs w:val="1"/>
                <w:color w:val="auto"/>
              </w:rPr>
              <w:t>Stockholders' Equity (Deficit)</w:t>
            </w: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100" w:type="dxa"/>
            <w:vAlign w:val="bottom"/>
            <w:gridSpan w:val="50"/>
          </w:tcPr>
          <w:p>
            <w:pPr>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40" w:type="dxa"/>
            <w:vAlign w:val="bottom"/>
            <w:gridSpan w:val="3"/>
          </w:tcPr>
          <w:p>
            <w:pPr>
              <w:jc w:val="right"/>
              <w:ind w:right="100"/>
              <w:spacing w:after="0" w:line="113" w:lineRule="exact"/>
              <w:rPr>
                <w:sz w:val="20"/>
                <w:szCs w:val="20"/>
                <w:color w:val="auto"/>
              </w:rPr>
            </w:pPr>
            <w:r>
              <w:rPr>
                <w:rFonts w:ascii="Times New Roman" w:cs="Times New Roman" w:eastAsia="Times New Roman" w:hAnsi="Times New Roman"/>
                <w:sz w:val="11"/>
                <w:szCs w:val="11"/>
                <w:b w:val="1"/>
                <w:bCs w:val="1"/>
                <w:color w:val="auto"/>
              </w:rPr>
              <w:t>Additional</w:t>
            </w:r>
          </w:p>
        </w:tc>
        <w:tc>
          <w:tcPr>
            <w:tcW w:w="1840" w:type="dxa"/>
            <w:vAlign w:val="bottom"/>
            <w:gridSpan w:val="10"/>
          </w:tcPr>
          <w:p>
            <w:pPr>
              <w:ind w:left="60"/>
              <w:spacing w:after="0" w:line="113" w:lineRule="exact"/>
              <w:rPr>
                <w:sz w:val="20"/>
                <w:szCs w:val="20"/>
                <w:color w:val="auto"/>
              </w:rPr>
            </w:pPr>
            <w:r>
              <w:rPr>
                <w:rFonts w:ascii="Times New Roman" w:cs="Times New Roman" w:eastAsia="Times New Roman" w:hAnsi="Times New Roman"/>
                <w:sz w:val="11"/>
                <w:szCs w:val="11"/>
                <w:b w:val="1"/>
                <w:bCs w:val="1"/>
                <w:color w:val="auto"/>
                <w:w w:val="99"/>
              </w:rPr>
              <w:t>Accumulated other</w:t>
            </w:r>
          </w:p>
        </w:tc>
        <w:tc>
          <w:tcPr>
            <w:tcW w:w="620" w:type="dxa"/>
            <w:vAlign w:val="bottom"/>
          </w:tcPr>
          <w:p>
            <w:pPr>
              <w:jc w:val="center"/>
              <w:ind w:right="46"/>
              <w:spacing w:after="0" w:line="113"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7"/>
          </w:tcPr>
          <w:p>
            <w:pPr>
              <w:ind w:left="60"/>
              <w:spacing w:after="0"/>
              <w:rPr>
                <w:sz w:val="20"/>
                <w:szCs w:val="20"/>
                <w:color w:val="auto"/>
              </w:rPr>
            </w:pPr>
            <w:r>
              <w:rPr>
                <w:rFonts w:ascii="Times New Roman" w:cs="Times New Roman" w:eastAsia="Times New Roman" w:hAnsi="Times New Roman"/>
                <w:sz w:val="11"/>
                <w:szCs w:val="11"/>
                <w:b w:val="1"/>
                <w:bCs w:val="1"/>
                <w:color w:val="auto"/>
              </w:rPr>
              <w:t>Series B</w:t>
            </w:r>
          </w:p>
        </w:tc>
        <w:tc>
          <w:tcPr>
            <w:tcW w:w="60" w:type="dxa"/>
            <w:vAlign w:val="bottom"/>
          </w:tcPr>
          <w:p>
            <w:pPr>
              <w:spacing w:after="0"/>
              <w:rPr>
                <w:sz w:val="11"/>
                <w:szCs w:val="11"/>
                <w:color w:val="auto"/>
              </w:rPr>
            </w:pPr>
          </w:p>
        </w:tc>
        <w:tc>
          <w:tcPr>
            <w:tcW w:w="76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Series A</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Convertible</w:t>
            </w:r>
          </w:p>
        </w:tc>
        <w:tc>
          <w:tcPr>
            <w:tcW w:w="100" w:type="dxa"/>
            <w:vAlign w:val="bottom"/>
          </w:tcPr>
          <w:p>
            <w:pPr>
              <w:spacing w:after="0"/>
              <w:rPr>
                <w:sz w:val="11"/>
                <w:szCs w:val="11"/>
                <w:color w:val="auto"/>
              </w:rPr>
            </w:pPr>
          </w:p>
        </w:tc>
        <w:tc>
          <w:tcPr>
            <w:tcW w:w="2280" w:type="dxa"/>
            <w:vAlign w:val="bottom"/>
            <w:gridSpan w:val="20"/>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w w:val="97"/>
              </w:rPr>
              <w:t>Class A Common Stock  Class B Common Stock</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2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1"/>
                <w:szCs w:val="11"/>
                <w:color w:val="auto"/>
              </w:rPr>
            </w:pP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Stockholders'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top w:val="single" w:sz="8" w:color="auto"/>
            </w:tcBorders>
            <w:gridSpan w:val="4"/>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Borders>
              <w:top w:val="single" w:sz="8" w:color="auto"/>
            </w:tcBorders>
            <w:gridSpan w:val="2"/>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0"/>
                <w:szCs w:val="10"/>
                <w:color w:val="auto"/>
              </w:rPr>
            </w:pPr>
          </w:p>
        </w:tc>
        <w:tc>
          <w:tcPr>
            <w:tcW w:w="900" w:type="dxa"/>
            <w:vAlign w:val="bottom"/>
            <w:gridSpan w:val="7"/>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w w:val="96"/>
              </w:rPr>
              <w:t>Preferred Stock</w:t>
            </w:r>
          </w:p>
        </w:tc>
        <w:tc>
          <w:tcPr>
            <w:tcW w:w="100" w:type="dxa"/>
            <w:vAlign w:val="bottom"/>
          </w:tcPr>
          <w:p>
            <w:pPr>
              <w:spacing w:after="0"/>
              <w:rPr>
                <w:sz w:val="10"/>
                <w:szCs w:val="10"/>
                <w:color w:val="auto"/>
              </w:rPr>
            </w:pPr>
          </w:p>
        </w:tc>
        <w:tc>
          <w:tcPr>
            <w:tcW w:w="580" w:type="dxa"/>
            <w:vAlign w:val="bottom"/>
            <w:tcBorders>
              <w:top w:val="single" w:sz="8" w:color="auto"/>
            </w:tcBorders>
            <w:gridSpan w:val="3"/>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gridSpan w:val="5"/>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2"/>
              </w:rPr>
              <w:t>Par Value</w:t>
            </w:r>
          </w:p>
        </w:tc>
        <w:tc>
          <w:tcPr>
            <w:tcW w:w="8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ind w:left="60"/>
              <w:spacing w:after="0" w:line="115"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gridSpan w:val="3"/>
          </w:tcPr>
          <w:p>
            <w:pPr>
              <w:jc w:val="right"/>
              <w:spacing w:after="0" w:line="115" w:lineRule="exact"/>
              <w:rPr>
                <w:sz w:val="20"/>
                <w:szCs w:val="20"/>
                <w:color w:val="auto"/>
              </w:rPr>
            </w:pPr>
            <w:r>
              <w:rPr>
                <w:rFonts w:ascii="Times New Roman" w:cs="Times New Roman" w:eastAsia="Times New Roman" w:hAnsi="Times New Roman"/>
                <w:sz w:val="11"/>
                <w:szCs w:val="11"/>
                <w:b w:val="1"/>
                <w:bCs w:val="1"/>
                <w:color w:val="auto"/>
                <w:w w:val="92"/>
              </w:rPr>
              <w:t>Par Value</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ind w:left="40"/>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w w:val="93"/>
              </w:rPr>
              <w:t>loss</w:t>
            </w:r>
          </w:p>
        </w:tc>
        <w:tc>
          <w:tcPr>
            <w:tcW w:w="20" w:type="dxa"/>
            <w:vAlign w:val="bottom"/>
          </w:tcPr>
          <w:p>
            <w:pPr>
              <w:spacing w:after="0"/>
              <w:rPr>
                <w:sz w:val="10"/>
                <w:szCs w:val="10"/>
                <w:color w:val="auto"/>
              </w:rPr>
            </w:pPr>
          </w:p>
        </w:tc>
        <w:tc>
          <w:tcPr>
            <w:tcW w:w="6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6"/>
              </w:rPr>
              <w:t>Deficit</w:t>
            </w:r>
          </w:p>
        </w:tc>
        <w:tc>
          <w:tcPr>
            <w:tcW w:w="80" w:type="dxa"/>
            <w:vAlign w:val="bottom"/>
          </w:tcPr>
          <w:p>
            <w:pPr>
              <w:spacing w:after="0"/>
              <w:rPr>
                <w:sz w:val="10"/>
                <w:szCs w:val="10"/>
                <w:color w:val="auto"/>
              </w:rPr>
            </w:pPr>
          </w:p>
        </w:tc>
        <w:tc>
          <w:tcPr>
            <w:tcW w:w="720" w:type="dxa"/>
            <w:vAlign w:val="bottom"/>
            <w:gridSpan w:val="2"/>
          </w:tcPr>
          <w:p>
            <w:pPr>
              <w:spacing w:after="0" w:line="115" w:lineRule="exact"/>
              <w:rPr>
                <w:sz w:val="20"/>
                <w:szCs w:val="20"/>
                <w:color w:val="auto"/>
              </w:rPr>
            </w:pPr>
            <w:r>
              <w:rPr>
                <w:rFonts w:ascii="Times New Roman" w:cs="Times New Roman" w:eastAsia="Times New Roman" w:hAnsi="Times New Roman"/>
                <w:sz w:val="11"/>
                <w:szCs w:val="11"/>
                <w:b w:val="1"/>
                <w:bCs w:val="1"/>
                <w:color w:val="auto"/>
                <w:w w:val="95"/>
              </w:rPr>
              <w:t>Equity (Deficit)</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700" w:type="dxa"/>
            <w:vAlign w:val="bottom"/>
            <w:gridSpan w:val="3"/>
          </w:tcPr>
          <w:p>
            <w:pPr>
              <w:spacing w:after="0"/>
              <w:rPr>
                <w:sz w:val="10"/>
                <w:szCs w:val="10"/>
                <w:color w:val="auto"/>
              </w:rPr>
            </w:pPr>
          </w:p>
        </w:tc>
        <w:tc>
          <w:tcPr>
            <w:tcW w:w="380" w:type="dxa"/>
            <w:vAlign w:val="bottom"/>
            <w:tcBorders>
              <w:top w:val="single" w:sz="8" w:color="auto"/>
            </w:tcBorders>
            <w:gridSpan w:val="4"/>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top w:val="single" w:sz="8" w:color="auto"/>
            </w:tcBorders>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80" w:type="dxa"/>
            <w:vAlign w:val="bottom"/>
            <w:gridSpan w:val="2"/>
          </w:tcPr>
          <w:p>
            <w:pPr>
              <w:spacing w:after="0"/>
              <w:rPr>
                <w:sz w:val="10"/>
                <w:szCs w:val="10"/>
                <w:color w:val="auto"/>
              </w:rPr>
            </w:pPr>
          </w:p>
        </w:tc>
        <w:tc>
          <w:tcPr>
            <w:tcW w:w="460" w:type="dxa"/>
            <w:vAlign w:val="bottom"/>
            <w:tcBorders>
              <w:top w:val="single" w:sz="8" w:color="auto"/>
            </w:tcBorders>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720" w:type="dxa"/>
            <w:vAlign w:val="bottom"/>
            <w:tcBorders>
              <w:top w:val="single" w:sz="8" w:color="auto"/>
            </w:tcBorders>
            <w:gridSpan w:val="4"/>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60" w:type="dxa"/>
            <w:vAlign w:val="bottom"/>
            <w:gridSpan w:val="2"/>
          </w:tcPr>
          <w:p>
            <w:pPr>
              <w:spacing w:after="0"/>
              <w:rPr>
                <w:sz w:val="10"/>
                <w:szCs w:val="10"/>
                <w:color w:val="auto"/>
              </w:rPr>
            </w:pPr>
          </w:p>
        </w:tc>
        <w:tc>
          <w:tcPr>
            <w:tcW w:w="520" w:type="dxa"/>
            <w:vAlign w:val="bottom"/>
            <w:tcBorders>
              <w:top w:val="single" w:sz="8" w:color="auto"/>
            </w:tcBorders>
            <w:gridSpan w:val="2"/>
          </w:tcPr>
          <w:p>
            <w:pPr>
              <w:spacing w:after="0"/>
              <w:rPr>
                <w:sz w:val="10"/>
                <w:szCs w:val="10"/>
                <w:color w:val="auto"/>
              </w:rPr>
            </w:pPr>
          </w:p>
        </w:tc>
        <w:tc>
          <w:tcPr>
            <w:tcW w:w="80" w:type="dxa"/>
            <w:vAlign w:val="bottom"/>
            <w:gridSpan w:val="2"/>
          </w:tcPr>
          <w:p>
            <w:pPr>
              <w:spacing w:after="0"/>
              <w:rPr>
                <w:sz w:val="10"/>
                <w:szCs w:val="10"/>
                <w:color w:val="auto"/>
              </w:rPr>
            </w:pPr>
          </w:p>
        </w:tc>
        <w:tc>
          <w:tcPr>
            <w:tcW w:w="460" w:type="dxa"/>
            <w:vAlign w:val="bottom"/>
            <w:tcBorders>
              <w:top w:val="single" w:sz="8" w:color="auto"/>
            </w:tcBorders>
            <w:gridSpan w:val="5"/>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Borders>
              <w:top w:val="single" w:sz="8" w:color="auto"/>
            </w:tcBorders>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520" w:type="dxa"/>
            <w:vAlign w:val="bottom"/>
            <w:tcBorders>
              <w:top w:val="single" w:sz="8" w:color="auto"/>
            </w:tcBorders>
            <w:gridSpan w:val="4"/>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Borders>
              <w:top w:val="single" w:sz="8" w:color="auto"/>
            </w:tcBorders>
            <w:gridSpan w:val="3"/>
          </w:tcPr>
          <w:p>
            <w:pPr>
              <w:spacing w:after="0"/>
              <w:rPr>
                <w:sz w:val="10"/>
                <w:szCs w:val="10"/>
                <w:color w:val="auto"/>
              </w:rPr>
            </w:pPr>
          </w:p>
        </w:tc>
        <w:tc>
          <w:tcPr>
            <w:tcW w:w="80" w:type="dxa"/>
            <w:vAlign w:val="bottom"/>
            <w:gridSpan w:val="2"/>
          </w:tcPr>
          <w:p>
            <w:pPr>
              <w:spacing w:after="0"/>
              <w:rPr>
                <w:sz w:val="10"/>
                <w:szCs w:val="10"/>
                <w:color w:val="auto"/>
              </w:rPr>
            </w:pPr>
          </w:p>
        </w:tc>
        <w:tc>
          <w:tcPr>
            <w:tcW w:w="880" w:type="dxa"/>
            <w:vAlign w:val="bottom"/>
            <w:tcBorders>
              <w:top w:val="single" w:sz="8" w:color="auto"/>
            </w:tcBorders>
            <w:gridSpan w:val="3"/>
          </w:tcPr>
          <w:p>
            <w:pPr>
              <w:spacing w:after="0"/>
              <w:rPr>
                <w:sz w:val="10"/>
                <w:szCs w:val="10"/>
                <w:color w:val="auto"/>
              </w:rPr>
            </w:pPr>
          </w:p>
        </w:tc>
        <w:tc>
          <w:tcPr>
            <w:tcW w:w="60" w:type="dxa"/>
            <w:vAlign w:val="bottom"/>
            <w:gridSpan w:val="3"/>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99"/>
              </w:rPr>
              <w:t>Balance at December 31, 2021</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460" w:type="dxa"/>
            <w:vAlign w:val="bottom"/>
            <w:gridSpan w:val="3"/>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300" w:type="dxa"/>
            <w:vAlign w:val="bottom"/>
            <w:gridSpan w:val="3"/>
            <w:shd w:val="clear" w:color="auto" w:fill="CCEEFF"/>
          </w:tcPr>
          <w:p>
            <w:pPr>
              <w:jc w:val="right"/>
              <w:ind w:right="146"/>
              <w:spacing w:after="0" w:line="122"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auto"/>
            </w:tcBorders>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26,320,199</w:t>
            </w:r>
          </w:p>
        </w:tc>
        <w:tc>
          <w:tcPr>
            <w:tcW w:w="60" w:type="dxa"/>
            <w:vAlign w:val="bottom"/>
            <w:shd w:val="clear" w:color="auto" w:fill="CCEEFF"/>
          </w:tcPr>
          <w:p>
            <w:pPr>
              <w:spacing w:after="0"/>
              <w:rPr>
                <w:sz w:val="10"/>
                <w:szCs w:val="10"/>
                <w:color w:val="auto"/>
              </w:rPr>
            </w:pPr>
          </w:p>
        </w:tc>
        <w:tc>
          <w:tcPr>
            <w:tcW w:w="80" w:type="dxa"/>
            <w:vAlign w:val="bottom"/>
            <w:gridSpan w:val="3"/>
            <w:shd w:val="clear" w:color="auto" w:fill="CCEEFF"/>
          </w:tcPr>
          <w:p>
            <w:pPr>
              <w:jc w:val="right"/>
              <w:ind w:right="20"/>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26,320</w:t>
            </w: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gridSpan w:val="3"/>
            <w:shd w:val="clear" w:color="auto" w:fill="CCEEFF"/>
          </w:tcPr>
          <w:p>
            <w:pPr>
              <w:jc w:val="right"/>
              <w:ind w:right="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w w:val="94"/>
              </w:rPr>
              <w:t>$ 215,276,186</w:t>
            </w:r>
          </w:p>
        </w:tc>
        <w:tc>
          <w:tcPr>
            <w:tcW w:w="20" w:type="dxa"/>
            <w:vAlign w:val="bottom"/>
            <w:shd w:val="clear" w:color="auto" w:fill="CCEEFF"/>
          </w:tcPr>
          <w:p>
            <w:pPr>
              <w:spacing w:after="0"/>
              <w:rPr>
                <w:sz w:val="10"/>
                <w:szCs w:val="10"/>
                <w:color w:val="auto"/>
              </w:rPr>
            </w:pPr>
          </w:p>
        </w:tc>
        <w:tc>
          <w:tcPr>
            <w:tcW w:w="140" w:type="dxa"/>
            <w:vAlign w:val="bottom"/>
            <w:gridSpan w:val="3"/>
            <w:shd w:val="clear" w:color="auto" w:fill="CCEEFF"/>
          </w:tcPr>
          <w:p>
            <w:pPr>
              <w:ind w:lef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(49,009)</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 (59,273,388)</w:t>
            </w:r>
          </w:p>
        </w:tc>
        <w:tc>
          <w:tcPr>
            <w:tcW w:w="180" w:type="dxa"/>
            <w:vAlign w:val="bottom"/>
            <w:gridSpan w:val="2"/>
            <w:shd w:val="clear" w:color="auto" w:fill="CCEEFF"/>
          </w:tcPr>
          <w:p>
            <w:pPr>
              <w:ind w:lef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155,980,109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4600" w:type="dxa"/>
            <w:vAlign w:val="bottom"/>
            <w:tcBorders>
              <w:right w:val="single" w:sz="8" w:color="auto"/>
            </w:tcBorders>
            <w:gridSpan w:val="26"/>
          </w:tcPr>
          <w:p>
            <w:pPr>
              <w:spacing w:after="0"/>
              <w:rPr>
                <w:sz w:val="10"/>
                <w:szCs w:val="10"/>
                <w:color w:val="auto"/>
              </w:rPr>
            </w:pPr>
          </w:p>
        </w:tc>
        <w:tc>
          <w:tcPr>
            <w:tcW w:w="5580" w:type="dxa"/>
            <w:vAlign w:val="bottom"/>
            <w:gridSpan w:val="37"/>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4600" w:type="dxa"/>
            <w:vAlign w:val="bottom"/>
            <w:tcBorders>
              <w:right w:val="single" w:sz="8" w:color="auto"/>
            </w:tcBorders>
            <w:gridSpan w:val="26"/>
            <w:shd w:val="clear" w:color="auto" w:fill="CCEEFF"/>
          </w:tcPr>
          <w:p>
            <w:pPr>
              <w:spacing w:after="0" w:line="108" w:lineRule="exact"/>
              <w:rPr>
                <w:sz w:val="20"/>
                <w:szCs w:val="20"/>
                <w:color w:val="auto"/>
              </w:rPr>
            </w:pPr>
            <w:r>
              <w:rPr>
                <w:rFonts w:ascii="Times New Roman" w:cs="Times New Roman" w:eastAsia="Times New Roman" w:hAnsi="Times New Roman"/>
                <w:sz w:val="11"/>
                <w:szCs w:val="11"/>
                <w:color w:val="auto"/>
                <w:w w:val="98"/>
              </w:rPr>
              <w:t>Issuance of common stock upon</w:t>
            </w:r>
          </w:p>
        </w:tc>
        <w:tc>
          <w:tcPr>
            <w:tcW w:w="160" w:type="dxa"/>
            <w:vAlign w:val="bottom"/>
            <w:tcBorders>
              <w:right w:val="single" w:sz="8" w:color="CCEEFF"/>
            </w:tcBorders>
            <w:gridSpan w:val="2"/>
            <w:shd w:val="clear" w:color="auto" w:fill="CCEEFF"/>
          </w:tcPr>
          <w:p>
            <w:pPr>
              <w:spacing w:after="0"/>
              <w:rPr>
                <w:sz w:val="9"/>
                <w:szCs w:val="9"/>
                <w:color w:val="auto"/>
              </w:rPr>
            </w:pPr>
          </w:p>
        </w:tc>
        <w:tc>
          <w:tcPr>
            <w:tcW w:w="5420" w:type="dxa"/>
            <w:vAlign w:val="bottom"/>
            <w:gridSpan w:val="35"/>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exercise of stock options</w:t>
            </w:r>
          </w:p>
        </w:tc>
        <w:tc>
          <w:tcPr>
            <w:tcW w:w="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4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tcBorders>
              <w:right w:val="single" w:sz="8" w:color="auto"/>
            </w:tcBorders>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63,100</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193,048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193,111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4600" w:type="dxa"/>
            <w:vAlign w:val="bottom"/>
            <w:tcBorders>
              <w:right w:val="single" w:sz="8" w:color="auto"/>
            </w:tcBorders>
            <w:gridSpan w:val="26"/>
          </w:tcPr>
          <w:p>
            <w:pPr>
              <w:spacing w:after="0"/>
              <w:rPr>
                <w:sz w:val="10"/>
                <w:szCs w:val="10"/>
                <w:color w:val="auto"/>
              </w:rPr>
            </w:pPr>
          </w:p>
        </w:tc>
        <w:tc>
          <w:tcPr>
            <w:tcW w:w="5580" w:type="dxa"/>
            <w:vAlign w:val="bottom"/>
            <w:gridSpan w:val="37"/>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1900" w:type="dxa"/>
            <w:vAlign w:val="bottom"/>
            <w:gridSpan w:val="4"/>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Stock-based compensation expense</w:t>
            </w:r>
          </w:p>
        </w:tc>
        <w:tc>
          <w:tcPr>
            <w:tcW w:w="1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3"/>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auto"/>
            </w:tcBorders>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gridSpan w:val="3"/>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3"/>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897,650</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897,650</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4600" w:type="dxa"/>
            <w:vAlign w:val="bottom"/>
            <w:tcBorders>
              <w:right w:val="single" w:sz="8" w:color="auto"/>
            </w:tcBorders>
            <w:gridSpan w:val="26"/>
          </w:tcPr>
          <w:p>
            <w:pPr>
              <w:spacing w:after="0"/>
              <w:rPr>
                <w:sz w:val="10"/>
                <w:szCs w:val="10"/>
                <w:color w:val="auto"/>
              </w:rPr>
            </w:pPr>
          </w:p>
        </w:tc>
        <w:tc>
          <w:tcPr>
            <w:tcW w:w="5580" w:type="dxa"/>
            <w:vAlign w:val="bottom"/>
            <w:gridSpan w:val="37"/>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Net loss</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3"/>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auto"/>
            </w:tcBorders>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gridSpan w:val="3"/>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8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(12,896,374)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(12,896,374)</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4600" w:type="dxa"/>
            <w:vAlign w:val="bottom"/>
            <w:tcBorders>
              <w:right w:val="single" w:sz="8" w:color="auto"/>
            </w:tcBorders>
            <w:gridSpan w:val="26"/>
          </w:tcPr>
          <w:p>
            <w:pPr>
              <w:spacing w:after="0"/>
              <w:rPr>
                <w:sz w:val="10"/>
                <w:szCs w:val="10"/>
                <w:color w:val="auto"/>
              </w:rPr>
            </w:pPr>
          </w:p>
        </w:tc>
        <w:tc>
          <w:tcPr>
            <w:tcW w:w="5580" w:type="dxa"/>
            <w:vAlign w:val="bottom"/>
            <w:gridSpan w:val="37"/>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42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1"/>
                <w:szCs w:val="11"/>
                <w:color w:val="auto"/>
              </w:rPr>
              <w:t>Other comprehensive loss</w:t>
            </w: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80" w:type="dxa"/>
            <w:vAlign w:val="bottom"/>
            <w:gridSpan w:val="3"/>
            <w:shd w:val="clear" w:color="auto" w:fill="CCEEFF"/>
          </w:tcPr>
          <w:p>
            <w:pPr>
              <w:ind w:left="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3"/>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8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tcBorders>
              <w:right w:val="single" w:sz="8" w:color="auto"/>
            </w:tcBorders>
            <w:gridSpan w:val="2"/>
            <w:shd w:val="clear" w:color="auto" w:fill="CCEEFF"/>
          </w:tcPr>
          <w:p>
            <w:pPr>
              <w:ind w:left="3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tcBorders>
              <w:right w:val="single" w:sz="8" w:color="CCEEFF"/>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gridSpan w:val="3"/>
            <w:shd w:val="clear" w:color="auto" w:fill="CCEEFF"/>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420" w:type="dxa"/>
            <w:vAlign w:val="bottom"/>
            <w:gridSpan w:val="2"/>
            <w:shd w:val="clear" w:color="auto" w:fill="CCEEFF"/>
          </w:tcPr>
          <w:p>
            <w:pPr>
              <w:ind w:left="200"/>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gridSpan w:val="2"/>
            <w:shd w:val="clear" w:color="auto" w:fill="CCEEFF"/>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(118,386)</w:t>
            </w: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(118,386)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400" w:type="dxa"/>
            <w:vAlign w:val="bottom"/>
            <w:gridSpan w:val="3"/>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gridSpan w:val="2"/>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spacing w:after="0"/>
              <w:rPr>
                <w:sz w:val="10"/>
                <w:szCs w:val="10"/>
                <w:color w:val="auto"/>
              </w:rPr>
            </w:pPr>
          </w:p>
        </w:tc>
        <w:tc>
          <w:tcPr>
            <w:tcW w:w="180" w:type="dxa"/>
            <w:vAlign w:val="bottom"/>
            <w:gridSpan w:val="2"/>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42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at March 31, 2022</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CCEEFF"/>
              <w:bottom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gridSpan w:val="3"/>
            <w:shd w:val="clear" w:color="auto" w:fill="CCEEFF"/>
          </w:tcPr>
          <w:p>
            <w:pPr>
              <w:ind w:lef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bottom w:val="single" w:sz="8" w:color="auto"/>
            </w:tcBorders>
            <w:gridSpan w:val="2"/>
            <w:shd w:val="clear" w:color="auto" w:fill="CCEEFF"/>
          </w:tcPr>
          <w:p>
            <w:pPr>
              <w:ind w:left="2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40" w:type="dxa"/>
            <w:vAlign w:val="bottom"/>
            <w:tcBorders>
              <w:top w:val="single" w:sz="8" w:color="auto"/>
              <w:bottom w:val="single" w:sz="8" w:color="auto"/>
            </w:tcBorders>
            <w:shd w:val="clear" w:color="auto" w:fill="CCEEFF"/>
          </w:tcPr>
          <w:p>
            <w:pPr>
              <w:ind w:left="28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5"/>
                <w:szCs w:val="5"/>
                <w:color w:val="auto"/>
                <w:w w:val="78"/>
              </w:rPr>
              <w:t>$</w:t>
            </w:r>
          </w:p>
        </w:tc>
        <w:tc>
          <w:tcPr>
            <w:tcW w:w="2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500" w:type="dxa"/>
            <w:vAlign w:val="bottom"/>
            <w:tcBorders>
              <w:top w:val="single" w:sz="8" w:color="auto"/>
              <w:bottom w:val="single" w:sz="8" w:color="auto"/>
            </w:tcBorders>
            <w:shd w:val="clear" w:color="auto" w:fill="CCEEFF"/>
          </w:tcPr>
          <w:p>
            <w:pPr>
              <w:ind w:left="3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52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2"/>
              </w:rPr>
              <w:t>26,383,299</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top w:val="single" w:sz="8" w:color="auto"/>
              <w:bottom w:val="single" w:sz="8" w:color="auto"/>
            </w:tcBorders>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26,383</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auto"/>
              <w:bottom w:val="single" w:sz="8" w:color="auto"/>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360" w:type="dxa"/>
            <w:vAlign w:val="bottom"/>
            <w:tcBorders>
              <w:top w:val="single" w:sz="8" w:color="auto"/>
              <w:bottom w:val="single" w:sz="8" w:color="auto"/>
            </w:tcBorders>
            <w:shd w:val="clear" w:color="auto" w:fill="CCEEFF"/>
          </w:tcPr>
          <w:p>
            <w:pPr>
              <w:ind w:left="2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5"/>
                <w:szCs w:val="5"/>
                <w:color w:val="auto"/>
                <w:w w:val="78"/>
              </w:rPr>
              <w:t>$</w:t>
            </w: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4"/>
              </w:rPr>
              <w:t>$ 216,366,884</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(167,395)</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8"/>
              </w:rPr>
              <w:t>$ (72,169,762)</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rPr>
              <w:t>144,056,110</w:t>
            </w:r>
          </w:p>
        </w:tc>
        <w:tc>
          <w:tcPr>
            <w:tcW w:w="0" w:type="dxa"/>
            <w:vAlign w:val="bottom"/>
          </w:tcPr>
          <w:p>
            <w:pPr>
              <w:spacing w:after="0"/>
              <w:rPr>
                <w:sz w:val="1"/>
                <w:szCs w:val="1"/>
                <w:color w:val="auto"/>
              </w:rPr>
            </w:pPr>
          </w:p>
        </w:tc>
      </w:tr>
      <w:tr>
        <w:trPr>
          <w:trHeight w:val="20"/>
        </w:trPr>
        <w:tc>
          <w:tcPr>
            <w:tcW w:w="1720" w:type="dxa"/>
            <w:vAlign w:val="bottom"/>
            <w:gridSpan w:val="4"/>
          </w:tcPr>
          <w:p>
            <w:pPr>
              <w:spacing w:after="0" w:line="20" w:lineRule="exact"/>
              <w:rPr>
                <w:sz w:val="1"/>
                <w:szCs w:val="1"/>
                <w:color w:val="auto"/>
              </w:rPr>
            </w:pPr>
          </w:p>
        </w:tc>
        <w:tc>
          <w:tcPr>
            <w:tcW w:w="38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Borders>
              <w:bottom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20" w:type="dxa"/>
            <w:vAlign w:val="bottom"/>
            <w:tcBorders>
              <w:bottom w:val="single" w:sz="8" w:color="auto"/>
            </w:tcBorders>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64808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80810" cy="26035"/>
                    </a:xfrm>
                    <a:prstGeom prst="rect">
                      <a:avLst/>
                    </a:prstGeom>
                    <a:noFill/>
                  </pic:spPr>
                </pic:pic>
              </a:graphicData>
            </a:graphic>
          </wp:anchor>
        </w:drawing>
      </w:r>
    </w:p>
    <w:p>
      <w:pPr>
        <w:sectPr>
          <w:pgSz w:w="11900" w:h="16838" w:orient="portrait"/>
          <w:cols w:equalWidth="0" w:num="1">
            <w:col w:w="10200"/>
          </w:cols>
          <w:pgMar w:left="840" w:top="513" w:right="859"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225" w:lineRule="exact"/>
        <w:rPr>
          <w:sz w:val="20"/>
          <w:szCs w:val="20"/>
          <w:color w:val="auto"/>
        </w:rPr>
      </w:pPr>
    </w:p>
    <w:p>
      <w:pPr>
        <w:jc w:val="center"/>
        <w:ind w:left="1500" w:right="1740"/>
        <w:spacing w:after="0" w:line="259"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 FOR THE THREE MONTHS ENDED MARCH 31, 2022 and 2021 (Unaudited)</w:t>
      </w:r>
    </w:p>
    <w:tbl>
      <w:tblPr>
        <w:tblLayout w:type="fixed"/>
        <w:tblInd w:w="4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42"/>
        </w:trPr>
        <w:tc>
          <w:tcPr>
            <w:tcW w:w="6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(12,896,374)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(6,229,651)</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 to reconcile to net loss to net cash used in operating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w:t>
            </w:r>
          </w:p>
        </w:tc>
      </w:tr>
      <w:tr>
        <w:trPr>
          <w:trHeight w:val="216"/>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Right-of-use asset amortization</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25,027</w:t>
            </w:r>
          </w:p>
        </w:tc>
      </w:tr>
      <w:tr>
        <w:trPr>
          <w:trHeight w:val="216"/>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897,650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182,225</w:t>
            </w:r>
          </w:p>
        </w:tc>
      </w:tr>
      <w:tr>
        <w:trPr>
          <w:trHeight w:val="216"/>
        </w:trPr>
        <w:tc>
          <w:tcPr>
            <w:tcW w:w="6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amortization of premium (accretion of discount) on marketable securities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(33,573)</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w:t>
            </w:r>
          </w:p>
        </w:tc>
      </w:tr>
      <w:tr>
        <w:trPr>
          <w:trHeight w:val="216"/>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1,409,016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(615,645)</w:t>
            </w:r>
          </w:p>
        </w:tc>
      </w:tr>
      <w:tr>
        <w:trPr>
          <w:trHeight w:val="216"/>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Increase (decrease) in:</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(111,742)</w:t>
            </w:r>
          </w:p>
        </w:tc>
      </w:tr>
      <w:tr>
        <w:trPr>
          <w:trHeight w:val="216"/>
        </w:trPr>
        <w:tc>
          <w:tcPr>
            <w:tcW w:w="6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(2,235,349)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611,871</w:t>
            </w:r>
          </w:p>
        </w:tc>
      </w:tr>
      <w:tr>
        <w:trPr>
          <w:trHeight w:val="216"/>
        </w:trPr>
        <w:tc>
          <w:tcPr>
            <w:tcW w:w="66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Lease liability</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(44,252)</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w:t>
            </w:r>
          </w:p>
        </w:tc>
      </w:tr>
      <w:tr>
        <w:trPr>
          <w:trHeight w:val="216"/>
        </w:trPr>
        <w:tc>
          <w:tcPr>
            <w:tcW w:w="66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57,112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(12,281,039)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(6,139,840)</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(115,050)</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(16,564)</w:t>
            </w:r>
          </w:p>
        </w:tc>
      </w:tr>
      <w:tr>
        <w:trPr>
          <w:trHeight w:val="216"/>
        </w:trPr>
        <w:tc>
          <w:tcPr>
            <w:tcW w:w="6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(7,980,107)</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20,500,000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12,404,843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(16,564)</w:t>
            </w: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6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316,915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(6,156,404)</w:t>
            </w: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74,888,145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37,090,151</w:t>
            </w:r>
          </w:p>
        </w:tc>
      </w:tr>
      <w:tr>
        <w:trPr>
          <w:trHeight w:val="25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75,205,060</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30,933,747</w:t>
            </w:r>
          </w:p>
        </w:tc>
      </w:tr>
      <w:tr>
        <w:trPr>
          <w:trHeight w:val="196"/>
        </w:trPr>
        <w:tc>
          <w:tcPr>
            <w:tcW w:w="66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disclosures of noncash information:</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Reduction of right of use asset and lease liability in connection with lease modification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IMMUNEERING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 – Organization and Nature of Business</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Immuneering Corporation, a Delaware corporation, (“Immuneering” or the “Company”) was incorporated in 2008. The Company aims to improve patient outcomes by advancing a unique pipeline of oncology and neuroscience product candidates developed using the Company’s translational bioinformatics platform. The Company has more than a decade of experience applying translational bioinformatics to generate insights into drug mechanism of action and patient treatment response. Building on this experience, the Company’s disease-agnostic discovery platform enables the Company to create product candidates based on 1) biological insights that are both counterintuitive and deeply rooted in data, and 2) novel chemistry.</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October 30, 2019, Immuneering formed a wholly owned subsidiary, Immuneering Securities Corporation (“ISC”), a Massachusetts securities corporation, for the sole purpose of buying, selling and holding securities on the Company’s behalf.</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December 22, 2021, the Company acquired all outstanding shares of capital stock of BioArkive, Inc. (“BioArkive”), a California corporation, which as a result became a wholly owned subsidiary.</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Immuneering, ISC and BioArkive are collectively referred to as “the Company” throughout these condensed consolidated financial statements.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is subject to a number of inherent risks associated with any biotechnology company that has substantial expenditures for research and development. These risks include, but are not limited to, the need to obtain adequate additional funding, possible failure of clinical trials or other events demonstrating lack of clinical safety or efficacy of its product candidates, dependence on key personnel, reliance on third-party service providers for manufacturing drug product and conducting clinical trials, the ability to successfully secure its proprietary technology, and risks related to the regulatory approval and commercialization of a product candidate. There can be no assurance that the Company’s research and development program will be successful. In addition, the Company operates in an environment of rapid technological change and is largely dependent on the services of its employees, advisors, and consultants.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August 3, 2021, the Company completed its initial public offering (“IPO”)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date, the Company has funded its operations through service revenues, and with proceeds from the sale of its capital stock and convertible notes and, most recently, with proceeds from the IPO. The Company has incurred recurring losses over the past several years and as of March 31, 2022, the Company had an accumulated deficit of $72,169,762. The Company expects to continue to generate operating losses for the foreseeable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assurances that additional funding will be available on terms acceptable to the Company, or at all. If the Company is unable to raise additional funds when needed, it may be required to delay, reduce the scope of, or eliminate development programs, which may adversely affect its business and operations. Management considers that there are no conditions or events, in the aggregate, that raise substantial doubt about the entity’s ability to continue as a going concern and estimates that its cash and cash equivalents will be sufficient to fund its operating expenses and capital expenditure requirements for at least 12 months from the issuance date of the consolidated financial statements. The full extent to which coronavirus (“COVID-19”) pandemic will directly or indirectly impact the Company’s business, results of operations and financial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condition, including expenses and research and development costs, will depend on future developments that are highly uncertain, including as a result of new information that may emerge concerning COVID-19 and its variants and the actions taken to contain or treat COVID-19 and its variants, as well as the economic impact on local, regional, national and international markets. The Company has considered potential impacts arising from the pandemic related to COVID-19 and its variants and is not presently aware of any events or circumstances that would require the Company to update its estimates, judgements or revise the carrying values of its assets or liabilities.</w:t>
      </w:r>
    </w:p>
    <w:p>
      <w:pPr>
        <w:spacing w:after="0" w:line="1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accordance with accounting standards set by the Financial Accounting Standards Board (“FASB”). The FASB sets generally accepted accounting principles (“GAAP”) to ensure the condensed consolidated financial statements are consistently reported. References to GAAP issued by the FASB in these footnotes are to the FASB Accounting Standards Codifications (“ASC”). The condensed consolidated financial statements include the accounts of the Company and its wholly owned subsidiary. All intercompany balances and transactions have been eliminated in consolidation.</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accounting policies of the Company as those set forth in Note 2 to the audited consolidated financial statements contained in the Annual Report on Form 10-K for the fiscal period ended December 31, 2021.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have been prepared, without audit, in accordance with GAAP and in accordance with the rules and regulations of the Securities and Exchange Commission (“SEC”) regarding interim financial reporting. Certain information and footnote disclosures normally included in the annual financial statements prepared in accordance with GAAP have been omitted from the unaudited interim condensed consolidated financial statements, as is permitted by such rules and regulations. While we believe that the disclosures presented are adequate in order to make the information not misleading, these unaudited interim condensed consolidated financial statements should be read in conjunction with the Company’s audited consolidated financial statements and notes for the year ended December 31, 2021.</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It is management’s opinion that these financial statements include all normal and recurring adjustments necessary for a fair presentation of the Company’s financial position, operating results and cash flows. Revenues and net loss for any interim period are not necessarily indicative of future or annual results.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revenues and expenses during the reporting periods. These estimates and assumptions are based on current facts, historical experience and various other factors believed to be reasonable under the circumstances, the results of which form the basis for making judgements about the carrying values of assets, liabilities and the recording of expenses that are not readily apparent from other sources. Significant estimates reflected in these condensed consolidated financial statements included but are not limited to, the research and development expenses, determination of fair value of stock-based awards, the valuation of common stock prior to the IPO, and the right-to-use assets and operating lease liability. Actual results may differ materially and adversely from these estimates.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 Impairment</w:t>
      </w:r>
    </w:p>
    <w:p>
      <w:pPr>
        <w:spacing w:after="0" w:line="229" w:lineRule="exact"/>
        <w:rPr>
          <w:sz w:val="20"/>
          <w:szCs w:val="20"/>
          <w:color w:val="auto"/>
        </w:rPr>
      </w:pPr>
    </w:p>
    <w:p>
      <w:pPr>
        <w:jc w:val="both"/>
        <w:ind w:left="60" w:right="619"/>
        <w:spacing w:after="0" w:line="289" w:lineRule="auto"/>
        <w:rPr>
          <w:sz w:val="20"/>
          <w:szCs w:val="20"/>
          <w:color w:val="auto"/>
        </w:rPr>
      </w:pPr>
      <w:r>
        <w:rPr>
          <w:rFonts w:ascii="Times New Roman" w:cs="Times New Roman" w:eastAsia="Times New Roman" w:hAnsi="Times New Roman"/>
          <w:sz w:val="17"/>
          <w:szCs w:val="17"/>
          <w:color w:val="auto"/>
        </w:rPr>
        <w:t>Subsequent to December 31, 2021, the Company’s market capitalization has declined which may be an indicator of impairment. The Company will continue to assess the impact of its market capitalization and any other indicators of potential impairment. It is possible that if the Company’s market capitalization decline is more than temporary, or if</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other indicators of impairment are identified, an interim impairment analysis may be necessary, which could result in an impairment of goodwill, intangible assets and other long-lived assets in 2022.</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FASB or other standard setting bodies and adopted by the Company as of the specified effective date. The Company is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elected to avail itself of this extended transition period and, as a result, we will not be required to adopt new or revised accounting standards on the relevant dates on which adoption of such standards is required for other public companies.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2016, the FASB issued Accounting Standards Update (“ASU”) No. 2016-13, Financial Instruments – Credit Losses (Topic 326): Measurement of Credit Losses on Financial Statements. The new standard, as amended,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The targeted transition relief standard allows filers an option to irrevocably elect the fair value option of ASC 825-10, Financial Instruments - Overall, applied on an instrument-by-instrument basis for eligible instruments. ASU 2016-13, Financial Instruments - Credit Losses (Topic 326) will become effective for the Company on January 1, 2023. The Company is currently evaluating the new guidance and assessing the potential impact on its condensed consolidated financial statements.</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which eliminates Step 2 from the goodwill impairment test. Step 2 measures a goodwill impairment loss by comparing the implied fair value of a reporting unit’s goodwill with the carrying amount of that goodwill. Instead, entities will record an impairment charge based on the excess of a reporting unit’s carrying amount over its fair value (i.e., measure the charge based on today’s Step 1). This update is effective for annual and interim impairment tests performed in periods beginning after December 15, 2022. Early adoption of the standard is permitted. The Company is currently evaluating the new guidance and assessing the potential impact on its condensed consolidated financial statements.</w:t>
      </w:r>
    </w:p>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3 – Marketable Securities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marketable securities are classified as available-for-sale pursuant to ASC 320, Investments – Debt and Equity Securities and are recorded at fair value. Unrealized gains/(losses) are included as a component of accumulated other comprehensive loss in the condensed consolidated balance sheets and statements of convertible preferred stock and stockholders’ equity and a component of total comprehensive loss in the condensed consolidated statements of comprehensive loss, until realized. The Company assesses its available-for-sale marketable securities for impairment on a quarterly basis. There were no impairments of the Company’s available-for-sale marketable securities measured and carried at fair value during the three months ended March 31, 2022 or 2021. Realized gains and losses are included in other expense on a specific-identification basis. There were no realized gains or losses on marketable securities for the three months ended March 31, 2022 or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Marketable securities as of March 31, 2022 consisted of the following:</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6"/>
                <w:szCs w:val="16"/>
                <w:color w:val="auto"/>
              </w:rPr>
            </w:pPr>
          </w:p>
        </w:tc>
        <w:tc>
          <w:tcPr>
            <w:tcW w:w="13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138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00" w:type="dxa"/>
            <w:vAlign w:val="bottom"/>
          </w:tcPr>
          <w:p>
            <w:pPr>
              <w:spacing w:after="0"/>
              <w:rPr>
                <w:sz w:val="16"/>
                <w:szCs w:val="16"/>
                <w:color w:val="auto"/>
              </w:rPr>
            </w:pPr>
          </w:p>
        </w:tc>
        <w:tc>
          <w:tcPr>
            <w:tcW w:w="12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30"/>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1"/>
                <w:szCs w:val="11"/>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11"/>
                <w:szCs w:val="11"/>
                <w:color w:val="auto"/>
              </w:rPr>
            </w:pPr>
          </w:p>
        </w:tc>
        <w:tc>
          <w:tcPr>
            <w:tcW w:w="13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6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306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6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27,558,207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(86,602)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27,471,605</w:t>
            </w:r>
          </w:p>
        </w:tc>
        <w:tc>
          <w:tcPr>
            <w:tcW w:w="0" w:type="dxa"/>
            <w:vAlign w:val="bottom"/>
          </w:tcPr>
          <w:p>
            <w:pPr>
              <w:spacing w:after="0"/>
              <w:rPr>
                <w:sz w:val="1"/>
                <w:szCs w:val="1"/>
                <w:color w:val="auto"/>
              </w:rPr>
            </w:pPr>
          </w:p>
        </w:tc>
      </w:tr>
      <w:tr>
        <w:trPr>
          <w:trHeight w:val="216"/>
        </w:trPr>
        <w:tc>
          <w:tcPr>
            <w:tcW w:w="3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19,191,856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(43,968)</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19,147,888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15,983,285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(36,825)</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15,946,460</w:t>
            </w:r>
          </w:p>
        </w:tc>
        <w:tc>
          <w:tcPr>
            <w:tcW w:w="0" w:type="dxa"/>
            <w:vAlign w:val="bottom"/>
          </w:tcPr>
          <w:p>
            <w:pPr>
              <w:spacing w:after="0"/>
              <w:rPr>
                <w:sz w:val="1"/>
                <w:szCs w:val="1"/>
                <w:color w:val="auto"/>
              </w:rPr>
            </w:pPr>
          </w:p>
        </w:tc>
      </w:tr>
      <w:tr>
        <w:trPr>
          <w:trHeight w:val="209"/>
        </w:trPr>
        <w:tc>
          <w:tcPr>
            <w:tcW w:w="3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62,733,348</w:t>
            </w:r>
          </w:p>
        </w:tc>
        <w:tc>
          <w:tcPr>
            <w:tcW w:w="2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(167,395)</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62,565,953</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Marketable securities as of December 31, 2021 consisted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6"/>
                <w:szCs w:val="16"/>
                <w:color w:val="auto"/>
              </w:rPr>
            </w:pPr>
          </w:p>
        </w:tc>
        <w:tc>
          <w:tcPr>
            <w:tcW w:w="130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6"/>
                <w:szCs w:val="16"/>
                <w:color w:val="auto"/>
              </w:rPr>
            </w:pPr>
          </w:p>
        </w:tc>
        <w:tc>
          <w:tcPr>
            <w:tcW w:w="138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00" w:type="dxa"/>
            <w:vAlign w:val="bottom"/>
          </w:tcPr>
          <w:p>
            <w:pPr>
              <w:spacing w:after="0"/>
              <w:rPr>
                <w:sz w:val="16"/>
                <w:szCs w:val="16"/>
                <w:color w:val="auto"/>
              </w:rPr>
            </w:pPr>
          </w:p>
        </w:tc>
        <w:tc>
          <w:tcPr>
            <w:tcW w:w="126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130"/>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40" w:type="dxa"/>
            <w:vAlign w:val="bottom"/>
          </w:tcPr>
          <w:p>
            <w:pPr>
              <w:spacing w:after="0"/>
              <w:rPr>
                <w:sz w:val="11"/>
                <w:szCs w:val="11"/>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60" w:type="dxa"/>
            <w:vAlign w:val="bottom"/>
          </w:tcPr>
          <w:p>
            <w:pPr>
              <w:spacing w:after="0"/>
              <w:rPr>
                <w:sz w:val="11"/>
                <w:szCs w:val="11"/>
                <w:color w:val="auto"/>
              </w:rPr>
            </w:pPr>
          </w:p>
        </w:tc>
        <w:tc>
          <w:tcPr>
            <w:tcW w:w="13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06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2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306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60" w:type="dxa"/>
            <w:vAlign w:val="bottom"/>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42,147,385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(28,575)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42,118,810</w:t>
            </w:r>
          </w:p>
        </w:tc>
        <w:tc>
          <w:tcPr>
            <w:tcW w:w="0" w:type="dxa"/>
            <w:vAlign w:val="bottom"/>
          </w:tcPr>
          <w:p>
            <w:pPr>
              <w:spacing w:after="0"/>
              <w:rPr>
                <w:sz w:val="1"/>
                <w:szCs w:val="1"/>
                <w:color w:val="auto"/>
              </w:rPr>
            </w:pPr>
          </w:p>
        </w:tc>
      </w:tr>
      <w:tr>
        <w:trPr>
          <w:trHeight w:val="216"/>
        </w:trPr>
        <w:tc>
          <w:tcPr>
            <w:tcW w:w="30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19,218,057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(13,689)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19,204,368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Commercial paper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12,992,165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(4,197)</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12,988,025</w:t>
            </w:r>
          </w:p>
        </w:tc>
        <w:tc>
          <w:tcPr>
            <w:tcW w:w="0" w:type="dxa"/>
            <w:vAlign w:val="bottom"/>
          </w:tcPr>
          <w:p>
            <w:pPr>
              <w:spacing w:after="0"/>
              <w:rPr>
                <w:sz w:val="1"/>
                <w:szCs w:val="1"/>
                <w:color w:val="auto"/>
              </w:rPr>
            </w:pPr>
          </w:p>
        </w:tc>
      </w:tr>
      <w:tr>
        <w:trPr>
          <w:trHeight w:val="209"/>
        </w:trPr>
        <w:tc>
          <w:tcPr>
            <w:tcW w:w="3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Current</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74,357,607</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(46,461)</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74,311,203</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U.S. Treasuries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999,186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(2,626)</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996,560</w:t>
            </w:r>
          </w:p>
        </w:tc>
        <w:tc>
          <w:tcPr>
            <w:tcW w:w="0" w:type="dxa"/>
            <w:vAlign w:val="bottom"/>
          </w:tcPr>
          <w:p>
            <w:pPr>
              <w:spacing w:after="0"/>
              <w:rPr>
                <w:sz w:val="1"/>
                <w:szCs w:val="1"/>
                <w:color w:val="auto"/>
              </w:rPr>
            </w:pPr>
          </w:p>
        </w:tc>
      </w:tr>
      <w:tr>
        <w:trPr>
          <w:trHeight w:val="216"/>
        </w:trPr>
        <w:tc>
          <w:tcPr>
            <w:tcW w:w="3060" w:type="dxa"/>
            <w:vAlign w:val="bottom"/>
            <w:tcBorders>
              <w:bottom w:val="single" w:sz="8" w:color="CCEEFF"/>
            </w:tcBorders>
          </w:tcPr>
          <w:p>
            <w:pPr>
              <w:jc w:val="right"/>
              <w:ind w:right="210"/>
              <w:spacing w:after="0"/>
              <w:rPr>
                <w:sz w:val="20"/>
                <w:szCs w:val="20"/>
                <w:color w:val="auto"/>
              </w:rPr>
            </w:pPr>
            <w:r>
              <w:rPr>
                <w:rFonts w:ascii="Times New Roman" w:cs="Times New Roman" w:eastAsia="Times New Roman" w:hAnsi="Times New Roman"/>
                <w:sz w:val="18"/>
                <w:szCs w:val="18"/>
                <w:color w:val="auto"/>
              </w:rPr>
              <w:t>Government securities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Non-current</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999,186</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996,560</w:t>
            </w:r>
          </w:p>
        </w:tc>
        <w:tc>
          <w:tcPr>
            <w:tcW w:w="0" w:type="dxa"/>
            <w:vAlign w:val="bottom"/>
          </w:tcPr>
          <w:p>
            <w:pPr>
              <w:spacing w:after="0"/>
              <w:rPr>
                <w:sz w:val="1"/>
                <w:szCs w:val="1"/>
                <w:color w:val="auto"/>
              </w:rPr>
            </w:pPr>
          </w:p>
        </w:tc>
      </w:tr>
      <w:tr>
        <w:trPr>
          <w:trHeight w:val="209"/>
        </w:trPr>
        <w:tc>
          <w:tcPr>
            <w:tcW w:w="3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marketable securities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75,356,793</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(49,087)</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75,307,763</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ind w:left="60" w:right="79"/>
        <w:spacing w:after="0" w:line="289" w:lineRule="auto"/>
        <w:rPr>
          <w:sz w:val="20"/>
          <w:szCs w:val="20"/>
          <w:color w:val="auto"/>
        </w:rPr>
      </w:pPr>
      <w:r>
        <w:rPr>
          <w:rFonts w:ascii="Times New Roman" w:cs="Times New Roman" w:eastAsia="Times New Roman" w:hAnsi="Times New Roman"/>
          <w:sz w:val="17"/>
          <w:szCs w:val="17"/>
          <w:color w:val="auto"/>
        </w:rPr>
        <w:t>We record cash equivalents and marketable securities at fair value. ASC 820, Fair Value Measurements and Disclosures, establishes a fair value hierarchy for those instruments measured at fair value that distinguishes between assumptions based on market data (observable inputs) and our own assumptions (unobservable inputs). The hierarchy consists of three levels: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Unadjusted quoted prices in active markets for identical assets or liabilities.</w:t>
      </w:r>
    </w:p>
    <w:p>
      <w:pPr>
        <w:spacing w:after="0" w:line="225"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Quoted prices for similar assets and liabilities in active markets,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which are observable, directly or indirectly, for substantially the full term of the asset or liability.</w:t>
      </w:r>
    </w:p>
    <w:p>
      <w:pPr>
        <w:spacing w:after="0" w:line="158"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reflect our own assumptions about the assumptions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 in which there is little, if any, market activity for the asset or liability at the measurement date.</w:t>
      </w:r>
    </w:p>
    <w:p>
      <w:pPr>
        <w:spacing w:after="0" w:line="160"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equivalents and marketable securities measured at fair value on a recurring basis as of March 31, 2022:</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36,515,479</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36,515,479</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36,515,479</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36,515,479</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Treasuries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27,471,605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27,471,605</w:t>
            </w:r>
          </w:p>
        </w:tc>
        <w:tc>
          <w:tcPr>
            <w:tcW w:w="0" w:type="dxa"/>
            <w:vAlign w:val="bottom"/>
          </w:tcPr>
          <w:p>
            <w:pPr>
              <w:spacing w:after="0"/>
              <w:rPr>
                <w:sz w:val="1"/>
                <w:szCs w:val="1"/>
                <w:color w:val="auto"/>
              </w:rPr>
            </w:pPr>
          </w:p>
        </w:tc>
      </w:tr>
      <w:tr>
        <w:trPr>
          <w:trHeight w:val="216"/>
        </w:trPr>
        <w:tc>
          <w:tcPr>
            <w:tcW w:w="3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Government securities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19,147,888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19,147,888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15,946,460</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15,946,460</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27,471,605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35,094,348</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62,565,953</w:t>
            </w:r>
          </w:p>
        </w:tc>
        <w:tc>
          <w:tcPr>
            <w:tcW w:w="0" w:type="dxa"/>
            <w:vAlign w:val="bottom"/>
          </w:tcPr>
          <w:p>
            <w:pPr>
              <w:spacing w:after="0"/>
              <w:rPr>
                <w:sz w:val="1"/>
                <w:szCs w:val="1"/>
                <w:color w:val="auto"/>
              </w:rPr>
            </w:pPr>
          </w:p>
        </w:tc>
      </w:tr>
      <w:tr>
        <w:trPr>
          <w:trHeight w:val="209"/>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63,987,084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35,094,348</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99,081,432</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Cash equivalents and marketable securities have been initially valued at the transaction price and subsequently, at the end of each reporting period, valued utilizing third-party pricing services or other observable market data. The pricing services utilize industry standard valuation models, including both income and market-based approaches, and observable market inputs to determine value. After completing our valuation procedures, we did not adjust or override any fair value measurements provided by the pricing services as of March 31, 2022.</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valuation methods during the three months ended March 31, 2022. There were no transfers between Level 1 and Level 2 and we had no financial assets or liabilities that were classified as Level 3 at any point during the three months ended March 31, 2022.</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equivalents and marketable securities measured at fair value on a recurring basis as of December 31, 2021:</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20"/>
                <w:szCs w:val="20"/>
                <w:color w:val="auto"/>
              </w:rPr>
            </w:pPr>
          </w:p>
        </w:tc>
        <w:tc>
          <w:tcPr>
            <w:tcW w:w="960" w:type="dxa"/>
            <w:vAlign w:val="bottom"/>
          </w:tcPr>
          <w:p>
            <w:pPr>
              <w:jc w:val="right"/>
              <w:ind w:right="233"/>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8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Money market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33,961,344</w:t>
            </w:r>
          </w:p>
        </w:tc>
        <w:tc>
          <w:tcPr>
            <w:tcW w:w="20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33,961,344</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cash equivalents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33,961,344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35,961,344</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U.S. Treasuries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43,115,370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43,115,370</w:t>
            </w:r>
          </w:p>
        </w:tc>
        <w:tc>
          <w:tcPr>
            <w:tcW w:w="0" w:type="dxa"/>
            <w:vAlign w:val="bottom"/>
          </w:tcPr>
          <w:p>
            <w:pPr>
              <w:spacing w:after="0"/>
              <w:rPr>
                <w:sz w:val="1"/>
                <w:szCs w:val="1"/>
                <w:color w:val="auto"/>
              </w:rPr>
            </w:pPr>
          </w:p>
        </w:tc>
      </w:tr>
      <w:tr>
        <w:trPr>
          <w:trHeight w:val="216"/>
        </w:trPr>
        <w:tc>
          <w:tcPr>
            <w:tcW w:w="38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Government securities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19,204,368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19,204,368</w:t>
            </w: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12,988,025</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12,988,025</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43,115,370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32,192,393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75,307,763</w:t>
            </w:r>
          </w:p>
        </w:tc>
        <w:tc>
          <w:tcPr>
            <w:tcW w:w="0" w:type="dxa"/>
            <w:vAlign w:val="bottom"/>
          </w:tcPr>
          <w:p>
            <w:pPr>
              <w:spacing w:after="0"/>
              <w:rPr>
                <w:sz w:val="1"/>
                <w:szCs w:val="1"/>
                <w:color w:val="auto"/>
              </w:rPr>
            </w:pPr>
          </w:p>
        </w:tc>
      </w:tr>
      <w:tr>
        <w:trPr>
          <w:trHeight w:val="210"/>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77,076,714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34,192,393</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111,269,107</w:t>
            </w:r>
          </w:p>
        </w:tc>
        <w:tc>
          <w:tcPr>
            <w:tcW w:w="0" w:type="dxa"/>
            <w:vAlign w:val="bottom"/>
          </w:tcPr>
          <w:p>
            <w:pPr>
              <w:spacing w:after="0"/>
              <w:rPr>
                <w:sz w:val="1"/>
                <w:szCs w:val="1"/>
                <w:color w:val="auto"/>
              </w:rPr>
            </w:pPr>
          </w:p>
        </w:tc>
      </w:tr>
      <w:tr>
        <w:trPr>
          <w:trHeight w:val="20"/>
        </w:trPr>
        <w:tc>
          <w:tcPr>
            <w:tcW w:w="3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5 – Property and Equipment, net</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8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3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302,150</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281,666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84,477</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84,477</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 equipment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542,247</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463,182</w:t>
            </w: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167,618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152,117</w:t>
            </w:r>
          </w:p>
        </w:tc>
      </w:tr>
      <w:tr>
        <w:trPr>
          <w:trHeight w:val="21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1,096,492</w:t>
            </w:r>
          </w:p>
        </w:tc>
        <w:tc>
          <w:tcPr>
            <w:tcW w:w="2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981,442</w:t>
            </w:r>
          </w:p>
        </w:tc>
      </w:tr>
      <w:tr>
        <w:trPr>
          <w:trHeight w:val="209"/>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(221,923)</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(174,219)</w:t>
            </w:r>
          </w:p>
        </w:tc>
      </w:tr>
      <w:tr>
        <w:trPr>
          <w:trHeight w:val="210"/>
        </w:trPr>
        <w:tc>
          <w:tcPr>
            <w:tcW w:w="68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874,569</w:t>
            </w:r>
          </w:p>
        </w:tc>
        <w:tc>
          <w:tcPr>
            <w:tcW w:w="2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807,223</w:t>
            </w:r>
          </w:p>
        </w:tc>
      </w:tr>
      <w:tr>
        <w:trPr>
          <w:trHeight w:val="20"/>
        </w:trPr>
        <w:tc>
          <w:tcPr>
            <w:tcW w:w="6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Depreciation expense totaled $47,704 and $8,867 for the three months ended March 31, 2022 and 2021, respectively.</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6 – Business Combination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BioArkive Acquisition</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On December 22, 2021, the Company completed the acquisition of all outstanding shares of capital stock of BioArkive, Inc., a California corporation (“BioArkive”), for a market value of $8.75 million.</w:t>
      </w:r>
    </w:p>
    <w:p>
      <w:pPr>
        <w:spacing w:after="0" w:line="162" w:lineRule="exact"/>
        <w:rPr>
          <w:sz w:val="20"/>
          <w:szCs w:val="20"/>
          <w:color w:val="auto"/>
        </w:rPr>
      </w:pPr>
    </w:p>
    <w:p>
      <w:pPr>
        <w:ind w:left="60" w:right="239"/>
        <w:spacing w:after="0" w:line="261" w:lineRule="auto"/>
        <w:rPr>
          <w:sz w:val="20"/>
          <w:szCs w:val="20"/>
          <w:color w:val="auto"/>
        </w:rPr>
      </w:pPr>
      <w:r>
        <w:rPr>
          <w:rFonts w:ascii="Times New Roman" w:cs="Times New Roman" w:eastAsia="Times New Roman" w:hAnsi="Times New Roman"/>
          <w:sz w:val="18"/>
          <w:szCs w:val="18"/>
          <w:color w:val="auto"/>
        </w:rPr>
        <w:t>BioArkive is a San Diego based contract research organization that has previously provided preclinical research services and biosample storage to the Company and other biotechnology companies. BioArkive is in the process of being fully integrated into the Company to exclusively support the Company's internal preclinical research activities for its oncology pipeline.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connection with the acquisition, the Company has assumed the obligations under BioArkive’s three lease agreements.</w:t>
      </w:r>
    </w:p>
    <w:p>
      <w:pPr>
        <w:spacing w:after="0" w:line="225" w:lineRule="exact"/>
        <w:rPr>
          <w:sz w:val="20"/>
          <w:szCs w:val="20"/>
          <w:color w:val="auto"/>
        </w:rPr>
      </w:pPr>
    </w:p>
    <w:p>
      <w:pPr>
        <w:ind w:left="60" w:right="219"/>
        <w:spacing w:after="0" w:line="255" w:lineRule="auto"/>
        <w:rPr>
          <w:sz w:val="20"/>
          <w:szCs w:val="20"/>
          <w:color w:val="auto"/>
        </w:rPr>
      </w:pPr>
      <w:r>
        <w:rPr>
          <w:rFonts w:ascii="Times New Roman" w:cs="Times New Roman" w:eastAsia="Times New Roman" w:hAnsi="Times New Roman"/>
          <w:sz w:val="18"/>
          <w:szCs w:val="18"/>
          <w:color w:val="auto"/>
        </w:rPr>
        <w:t>The purchase price was paid by Immuneering through the issuance of an aggregate of 379,635 shares of Immuneering’s Class A common stock. The number of shares of common stock issued was calculated using a value based on the average of the daily volume weighted average prices of the common stock on the Nasdaq Stock Exchange for the 30-trading day period ending on and including the trading day immediately prior to the closing date. The sellers of BioArkive are restricted from selling these shares for a 6 month period from the date of the acquisition. As such, we estimated that there was an approximate 10% discount for the lack of marketability of the shares. The fair value of the purchase price in the acquisition was $7,875,000.</w:t>
      </w:r>
    </w:p>
    <w:p>
      <w:pPr>
        <w:spacing w:after="0" w:line="18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Prior to the acquistion, Brett Hall, Chief Scientific Officer of Immuneering and the Founder and Chairman of the board of directors of BioArkive, held the majority of the outstanding shares of BioArkive capital stock. BioArkive provided contract services to the Company. Research and development expenses in the consolidated statement of operations include the cost of services provided by BioArkive to the Company which amounted to $4,548,780 in 2021 through the date of the acquisition. The results of BioArkive’s operations are included in accounts payable or accrued contract research expenses in the consolidated balance sheets.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Assets Acquired and Liabilities Assumed at Fair Value</w:t>
      </w:r>
    </w:p>
    <w:p>
      <w:pPr>
        <w:spacing w:after="0" w:line="22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BioArkive acquisition has been accounted for using the acquisition method of accounting. This method requires assets acquired and liabilities assumed in a business combination to be recognized at their fair values as of the acquisition date. As of March 31, 2022, the purchase accounting had been finalized, and there was an immaterial measurement period adjustment related to accrued expenses and goodwill. No other adjustments were identified.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Intangible Assets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estimated fair value of the intangible assets was determined using the relief from royalty approach.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Goodwill is the excess of the consideration transferred over the net assets recognized and represents the expected cost savings of the combined company and assembled workforce. One of the key factors that contributes to the recognition of goodwill, and a driver for the Company's acquisition of BioArkive, is the planned investment in the internal preclinical research activities for our oncology pipeline. Goodwill recognized as a result of this acquisition is non-deductible for income tax purposes.</w:t>
      </w:r>
    </w:p>
    <w:p>
      <w:pPr>
        <w:spacing w:after="0" w:line="183"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Pro forma results are not presented for this acquisition as they are not material to the consolidated results of the Company’s operations.</w:t>
      </w:r>
    </w:p>
    <w:tbl>
      <w:tblPr>
        <w:tblLayout w:type="fixed"/>
        <w:tblInd w:w="40" w:type="dxa"/>
        <w:tblCellMar>
          <w:top w:w="0" w:type="dxa"/>
          <w:left w:w="0" w:type="dxa"/>
          <w:bottom w:w="0" w:type="dxa"/>
          <w:right w:w="0" w:type="dxa"/>
        </w:tblCellMar>
      </w:tblPr>
      <w:tr>
        <w:trPr>
          <w:trHeight w:val="137"/>
        </w:trPr>
        <w:tc>
          <w:tcPr>
            <w:tcW w:w="4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100" w:type="dxa"/>
            <w:vAlign w:val="bottom"/>
          </w:tcPr>
          <w:p>
            <w:pPr>
              <w:spacing w:after="0"/>
              <w:rPr>
                <w:sz w:val="11"/>
                <w:szCs w:val="11"/>
                <w:color w:val="auto"/>
              </w:rPr>
            </w:pPr>
          </w:p>
        </w:tc>
        <w:tc>
          <w:tcPr>
            <w:tcW w:w="1360" w:type="dxa"/>
            <w:vAlign w:val="bottom"/>
            <w:gridSpan w:val="4"/>
          </w:tcPr>
          <w:p>
            <w:pPr>
              <w:jc w:val="center"/>
              <w:ind w:right="270"/>
              <w:spacing w:after="0" w:line="137" w:lineRule="exact"/>
              <w:rPr>
                <w:sz w:val="20"/>
                <w:szCs w:val="20"/>
                <w:color w:val="auto"/>
              </w:rPr>
            </w:pPr>
            <w:r>
              <w:rPr>
                <w:rFonts w:ascii="Times New Roman" w:cs="Times New Roman" w:eastAsia="Times New Roman" w:hAnsi="Times New Roman"/>
                <w:sz w:val="14"/>
                <w:szCs w:val="14"/>
                <w:b w:val="1"/>
                <w:bCs w:val="1"/>
                <w:color w:val="auto"/>
              </w:rPr>
              <w:t>Measurement</w:t>
            </w: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Final</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4"/>
          </w:tcPr>
          <w:p>
            <w:pPr>
              <w:jc w:val="center"/>
              <w:ind w:right="270"/>
              <w:spacing w:after="0" w:line="149" w:lineRule="exact"/>
              <w:rPr>
                <w:sz w:val="20"/>
                <w:szCs w:val="20"/>
                <w:color w:val="auto"/>
              </w:rPr>
            </w:pPr>
            <w:r>
              <w:rPr>
                <w:rFonts w:ascii="Times New Roman" w:cs="Times New Roman" w:eastAsia="Times New Roman" w:hAnsi="Times New Roman"/>
                <w:sz w:val="14"/>
                <w:szCs w:val="14"/>
                <w:b w:val="1"/>
                <w:bCs w:val="1"/>
                <w:color w:val="auto"/>
              </w:rPr>
              <w:t>Period</w:t>
            </w:r>
          </w:p>
        </w:tc>
        <w:tc>
          <w:tcPr>
            <w:tcW w:w="7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Valuation</w:t>
            </w:r>
          </w:p>
        </w:tc>
        <w:tc>
          <w:tcPr>
            <w:tcW w:w="100" w:type="dxa"/>
            <w:vAlign w:val="bottom"/>
          </w:tcPr>
          <w:p>
            <w:pPr>
              <w:spacing w:after="0"/>
              <w:rPr>
                <w:sz w:val="15"/>
                <w:szCs w:val="15"/>
                <w:color w:val="auto"/>
              </w:rPr>
            </w:pPr>
          </w:p>
        </w:tc>
        <w:tc>
          <w:tcPr>
            <w:tcW w:w="1360" w:type="dxa"/>
            <w:vAlign w:val="bottom"/>
            <w:gridSpan w:val="4"/>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currents assets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225,790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 term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87,796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727,539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assets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4,824,700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4,824,700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6,701,726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11,295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6,690,431</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13,076,899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13,065,604</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(11,295)</w:t>
            </w:r>
          </w:p>
        </w:tc>
        <w:tc>
          <w:tcPr>
            <w:tcW w:w="12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58,419</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4,824,700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4,824,700</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7,875,000</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Note 7 – Accrued Expenses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consisted of the following:</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267,585</w:t>
            </w:r>
          </w:p>
        </w:tc>
        <w:tc>
          <w:tcPr>
            <w:tcW w:w="10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250,977</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employee expenses</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885,619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2,917,282</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contract research expenses</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479,808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585,416</w:t>
            </w:r>
          </w:p>
        </w:tc>
        <w:tc>
          <w:tcPr>
            <w:tcW w:w="0" w:type="dxa"/>
            <w:vAlign w:val="bottom"/>
          </w:tcPr>
          <w:p>
            <w:pPr>
              <w:spacing w:after="0"/>
              <w:rPr>
                <w:sz w:val="1"/>
                <w:szCs w:val="1"/>
                <w:color w:val="auto"/>
              </w:rPr>
            </w:pPr>
          </w:p>
        </w:tc>
      </w:tr>
      <w:tr>
        <w:trPr>
          <w:trHeight w:val="216"/>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other</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211,772</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$ 1,718,804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3,965,447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8 – Preferred Stock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Upon the closing of the IPO on August 3, 2021, all 8,528,078 shares of the Company’s convertible preferred stock then outstanding automatically converted into 11,939,281 shares of Class A common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9 - Common Stock</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had 200,000,000 authorized shares of Class A common stock, $0.001 par value per share as of March 31, 2022 and December 31, 2021 of which 26,383,299 and 26,320,199 were issued and outstanding, respectively. The holders of Class A common stock are entitled one vote for each share of common stock. Dividends may be paid when, and if</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declared by the Board of Directors, subject to the limitations, powers and preferences granted to the Preferred Stockholders and on a proportionate basis with holders of Class B common stock.</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2022 and December 31, 2021, the following number of shares of Class A common stock have been reserved:</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9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3,715,956</w:t>
            </w:r>
          </w:p>
        </w:tc>
        <w:tc>
          <w:tcPr>
            <w:tcW w:w="2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2,859,544</w:t>
            </w:r>
          </w:p>
        </w:tc>
      </w:tr>
      <w:tr>
        <w:trPr>
          <w:trHeight w:val="210"/>
        </w:trPr>
        <w:tc>
          <w:tcPr>
            <w:tcW w:w="698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3,715,956</w:t>
            </w:r>
          </w:p>
        </w:tc>
        <w:tc>
          <w:tcPr>
            <w:tcW w:w="2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2,859,544</w:t>
            </w:r>
          </w:p>
        </w:tc>
      </w:tr>
      <w:tr>
        <w:trPr>
          <w:trHeight w:val="20"/>
        </w:trPr>
        <w:tc>
          <w:tcPr>
            <w:tcW w:w="6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had 20,000,000 authorized shares of Class B common stock, $0.001 par value per share as of March 31, 2022 and December 31, 2021, of which no shares have been issued nor are outstanding. The holders of Class B common stock have no voting rights. Dividends may be paid when, and if, declared by the Board of Directors, subject to the limitations, powers and preferences granted to the preferred stockholders and on a proportionate basis with holders of Class A common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IPO</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August 3, 2021, the Company completed its initial public offering pursuant to which it issued and sold 8,625,000 shares of its Class A common stock, inclusive of 1,125,000 shares of its Class A common stock sold pursuant to the full exercise of the underwriters’ option to purchase additional shares. The aggregate net proceeds received by the Company from the IPO were $120,318,750, after deducting underwriting discounts and commissions, but before deducting offering costs payable by the Company, which were $2,124,317. Upon the closing of the IPO, all 8,528,078 shares of the Company’s convertible preferred stock then outstanding automatically converted into 11,939,281 shares of Class A common stock. Upon the conversion of the convertible preferred stock, the Company reclassified the carrying value of the convertible preferred stock to common stock (at par value) and additional paid-in capital.</w:t>
      </w:r>
    </w:p>
    <w:p>
      <w:pPr>
        <w:spacing w:after="0" w:line="30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August 3, 2021 in connection with the closing of the IPO, the Company filed a restated certificate of incorporation, which amended and restated the Company’s certificate of incorporation to, among other things: (i) increase the number of authorized shares of common stock to 200,000,000 shares of Class A common stock, 20,000,000 shares of Class B common stock, par value $0.001 per share, and (ii) authorize 10,000,000 shares of Preferred Stock; and (iii) authorize the Board of Directors to establish the rights, preferences and restrictions on any unissued series of Preferred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10 - Net Loss Per Share Attributable to Common Stockholders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Company’s participating securities include the Company’s Preferred Stock, as the holders are entitled to receive noncumulative dividends in the event that a dividend is paid on common stock. The holders of Preferred Stock do not have a contractual obligation to share in losses of the Company, and therefore during periods of loss there is no allocation required under the two-class method.</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Diluted net loss per share is computed by giving effect to all potentially dilutive securities outstanding for the period using the treasury stock method or the if-converted method based on the nature of such securities. The Company has reported net losses for all periods presented, therefore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at March 31, 2022 and 2021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5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r>
      <w:tr>
        <w:trPr>
          <w:trHeight w:val="142"/>
        </w:trPr>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(12,896,374)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9"/>
              </w:rPr>
              <w:t>(6,229,651)</w:t>
            </w: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 - basic and diluted:</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26,359,080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4,950,129</w:t>
            </w:r>
          </w:p>
        </w:tc>
        <w:tc>
          <w:tcPr>
            <w:tcW w:w="160" w:type="dxa"/>
            <w:vAlign w:val="bottom"/>
            <w:tcBorders>
              <w:bottom w:val="single" w:sz="8" w:color="CCEEFF"/>
            </w:tcBorders>
          </w:tcPr>
          <w:p>
            <w:pPr>
              <w:spacing w:after="0"/>
              <w:rPr>
                <w:sz w:val="18"/>
                <w:szCs w:val="18"/>
                <w:color w:val="auto"/>
              </w:rPr>
            </w:pPr>
          </w:p>
        </w:tc>
      </w:tr>
      <w:tr>
        <w:trPr>
          <w:trHeight w:val="209"/>
        </w:trPr>
        <w:tc>
          <w:tcPr>
            <w:tcW w:w="6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potentially dilutive securities that have been excluded from the calculation of diluted net loss per share because to include them would be anti-dilutive (in common stock equivalent shares) at March 31, 2022 and 2021:</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040" w:type="dxa"/>
            <w:vAlign w:val="bottom"/>
          </w:tcPr>
          <w:p>
            <w:pPr>
              <w:spacing w:after="0"/>
              <w:rPr>
                <w:sz w:val="15"/>
                <w:szCs w:val="15"/>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5"/>
                <w:szCs w:val="15"/>
                <w:color w:val="auto"/>
              </w:rPr>
            </w:pPr>
          </w:p>
        </w:tc>
        <w:tc>
          <w:tcPr>
            <w:tcW w:w="8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7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308,308</w:t>
            </w:r>
          </w:p>
        </w:tc>
      </w:tr>
      <w:tr>
        <w:trPr>
          <w:trHeight w:val="216"/>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3,715,956</w:t>
            </w: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2,859,544</w:t>
            </w:r>
          </w:p>
        </w:tc>
      </w:tr>
      <w:tr>
        <w:trPr>
          <w:trHeight w:val="209"/>
        </w:trPr>
        <w:tc>
          <w:tcPr>
            <w:tcW w:w="70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shares of common stock equivalents</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3,715,956</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2,859,544</w:t>
            </w:r>
          </w:p>
        </w:tc>
      </w:tr>
      <w:tr>
        <w:trPr>
          <w:trHeight w:val="20"/>
        </w:trPr>
        <w:tc>
          <w:tcPr>
            <w:tcW w:w="70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11 – Stock-Based Compensation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2015, the Company established the Long Term Incentive Plan (“Incentive Plan”), under which incentive stock options, nonqualified stock options, restricted stock or other awards may be awarded to employees, directors or consultants of the Company. The options typically vest over a four-year period. As of March 31, 2022, the maximum number of shares available for issuance under the Incentive Plan was 2,825,173 shares. Upon the effectiveness of the Company’s 2021 Incentive Award Plan, the Company ceased granting awards under the Incentive Plan. However, the Incentive Plan continues to govern awards outstanding thereunder.</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July 23, 2021, the Company’s Board of Directors adopted, and on July 23, 2021 its stockholders approved, the 2021 Incentive Award Plan (the “2021 Plan”), which became effective on July 29, 2021. The 2021 Plan provides for the grant of incentive stock options, stock appreciation rights, restricted stock awards, restricted stock units, and other stock-based awards. The number of shares reserved for issuance under the 2021 Plan was initially equal to 2,590,000 plus an annual increase on the first day of each calendar year, beginning on January 1, 2022 and ending on and including January 1, 2031, equal to the lesser of (i) 4% of the aggregate number of shares of Class A common stock outstanding on the final day of the immediately preceding calendar year and (ii) such smaller number of shares of Class A common stock as determined by the Board of Directors. No more than 15,350,000 shares of Class A common stock may be issued under the 2021 Plan upon the exercise of incentive stock options. Shares issued under the 2021 Plan may be authorized but unissued shares, shares purchased on the open market or treasury shares. If an award under the 2021 Plan expires, lapses or is terminated, exchanged for or settled in cash, surrendered, repurchased, cancelled without having been fully exercised/settled or forfeited, any unused shares subject to the award will, as applicable, become or again be available for new grants under the 2021 Plan. In addition, shares subject to stock options issued under the Incentive Plan may become available for issuance under the 2021 Plan to the extent such stock options are canceled, forfeited, exchanged, settled in cash or otherwise terminated. As of March 31, 2022, there were 2,431,728 shares available for future issuance under the 2021 Plan.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July 23, 2021, the Company’s Board of Directors adopted, and on July 23, 2021 its stockholders approved, the 2021 Employee Stock Purchase Plan (the “2021 ESPP”), which became effective on July 29, 2021. A total of 250,000 shares of Class A common stock were initially reserved for issuance under this plan. The number of shares of Class A common stock that may be issued under the 2021 ESPP will automatically increase on the first day of each calendar year, beginning on January 1, 2022 and ending on and including January 1, 2031, equal to the lesser of (i) 1% of the shares of Class A common stock outstanding on the final day of the immediately preceding calendar year and (ii) such smaller number of shares of Class A common stock as determined by the board of directors, provided that not more than 3,340,000 shares of Class A common stock may be issued under the 2021 ESPP. As of March 31, 2022, no shares had been issued under the 2021 ESPP.</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the Company recognized stock-based compensation expense of $897,650. During the three months ended March 31, 2021, the Company recognized stock-based compensation expense of $182,225. As of March 31, 2022, compensation expense remaining to be recognized for outstanding stock options was $13,195,203 and to be recognized over a weighted-average period of 3.06 years.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The fair value of options granted is calculated on the grant date using the Black-Scholes option valuation model. </w:t>
      </w:r>
      <w:r>
        <w:rPr>
          <w:rFonts w:ascii="Times New Roman" w:cs="Times New Roman" w:eastAsia="Times New Roman" w:hAnsi="Times New Roman"/>
          <w:sz w:val="17"/>
          <w:szCs w:val="17"/>
          <w:color w:val="auto"/>
        </w:rPr>
        <w:t>The</w:t>
      </w:r>
      <w:r>
        <w:rPr>
          <w:rFonts w:ascii="Times New Roman" w:cs="Times New Roman" w:eastAsia="Times New Roman" w:hAnsi="Times New Roman"/>
          <w:sz w:val="18"/>
          <w:szCs w:val="18"/>
          <w:color w:val="auto"/>
        </w:rPr>
        <w:t xml:space="preserve"> Company historically has been a private company and lacks company-specific historical and implied volatility information. Therefore, it estimates its expected stock volatility based on the historical volatility of a publicly traded set of peer public companies and expects to continue to do so until such time as it has adequate historical data regarding the volatility of its own traded stock price. For the three months ended March 31, 2022, the Company granted 942,025 shares of stock options at a weighted-average grant date fair value of $10.10.</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 used the following assumptions in its application of the Black-Scholes option pricing model for grants during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270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20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40" w:type="dxa"/>
            <w:vAlign w:val="bottom"/>
          </w:tcPr>
          <w:p>
            <w:pPr>
              <w:spacing w:after="0"/>
              <w:rPr>
                <w:sz w:val="12"/>
                <w:szCs w:val="12"/>
                <w:color w:val="auto"/>
              </w:rPr>
            </w:pPr>
          </w:p>
        </w:tc>
        <w:tc>
          <w:tcPr>
            <w:tcW w:w="12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42"/>
        </w:trPr>
        <w:tc>
          <w:tcPr>
            <w:tcW w:w="6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1.35% - 2.44%</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 - 1.71%</w:t>
            </w:r>
          </w:p>
        </w:tc>
      </w:tr>
      <w:tr>
        <w:trPr>
          <w:trHeight w:val="216"/>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5.00 - 10 years</w:t>
            </w:r>
          </w:p>
        </w:tc>
        <w:tc>
          <w:tcPr>
            <w:tcW w:w="1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5.83 - 10 years</w:t>
            </w:r>
          </w:p>
        </w:tc>
      </w:tr>
      <w:tr>
        <w:trPr>
          <w:trHeight w:val="216"/>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r>
      <w:tr>
        <w:trPr>
          <w:trHeight w:val="234"/>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65.96% - 78.12%</w:t>
            </w:r>
          </w:p>
        </w:tc>
        <w:tc>
          <w:tcPr>
            <w:tcW w:w="1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69.01% - 80.99%</w:t>
            </w:r>
          </w:p>
        </w:tc>
      </w:tr>
    </w:tbl>
    <w:p>
      <w:pPr>
        <w:spacing w:after="0" w:line="3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during the three months ended March 31, 2022 under the Plan:</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Term (in Years)</w:t>
            </w:r>
          </w:p>
        </w:tc>
        <w:tc>
          <w:tcPr>
            <w:tcW w:w="1140" w:type="dxa"/>
            <w:vAlign w:val="bottom"/>
            <w:gridSpan w:val="3"/>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of December 31, 2021</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2,859,544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942,025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(63,100)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Cancelled</w:t>
            </w:r>
          </w:p>
        </w:tc>
        <w:tc>
          <w:tcPr>
            <w:tcW w:w="18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(22,513)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9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3,715,956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5,289,348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 at March 31, 2022</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1,163,564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31, 2022</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3,715,956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5,289,348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3860" w:type="dxa"/>
            <w:vAlign w:val="bottom"/>
          </w:tcPr>
          <w:p>
            <w:pPr>
              <w:spacing w:after="0"/>
              <w:rPr>
                <w:sz w:val="24"/>
                <w:szCs w:val="24"/>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the Company recognized share-based compensation expense recognized on the accompanying condensed consolidated statements of operations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22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6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r>
      <w:tr>
        <w:trPr>
          <w:trHeight w:val="142"/>
        </w:trPr>
        <w:tc>
          <w:tcPr>
            <w:tcW w:w="6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22,515</w:t>
            </w:r>
          </w:p>
        </w:tc>
        <w:tc>
          <w:tcPr>
            <w:tcW w:w="180" w:type="dxa"/>
            <w:vAlign w:val="bottom"/>
            <w:shd w:val="clear" w:color="auto" w:fill="CCEEFF"/>
          </w:tcPr>
          <w:p>
            <w:pPr>
              <w:spacing w:after="0"/>
              <w:rPr>
                <w:sz w:val="18"/>
                <w:szCs w:val="18"/>
                <w:color w:val="auto"/>
              </w:rPr>
            </w:pPr>
          </w:p>
        </w:tc>
      </w:tr>
      <w:tr>
        <w:trPr>
          <w:trHeight w:val="216"/>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432,719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105,703</w:t>
            </w:r>
          </w:p>
        </w:tc>
        <w:tc>
          <w:tcPr>
            <w:tcW w:w="180" w:type="dxa"/>
            <w:vAlign w:val="bottom"/>
          </w:tcPr>
          <w:p>
            <w:pPr>
              <w:spacing w:after="0"/>
              <w:rPr>
                <w:sz w:val="18"/>
                <w:szCs w:val="18"/>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460,301</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54,007</w:t>
            </w:r>
          </w:p>
        </w:tc>
        <w:tc>
          <w:tcPr>
            <w:tcW w:w="180" w:type="dxa"/>
            <w:vAlign w:val="bottom"/>
            <w:shd w:val="clear" w:color="auto" w:fill="CCEEFF"/>
          </w:tcPr>
          <w:p>
            <w:pPr>
              <w:spacing w:after="0"/>
              <w:rPr>
                <w:sz w:val="18"/>
                <w:szCs w:val="18"/>
                <w:color w:val="auto"/>
              </w:rPr>
            </w:pPr>
          </w:p>
        </w:tc>
      </w:tr>
      <w:tr>
        <w:trPr>
          <w:trHeight w:val="209"/>
        </w:trPr>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897,650</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182,225</w:t>
            </w:r>
          </w:p>
        </w:tc>
        <w:tc>
          <w:tcPr>
            <w:tcW w:w="180" w:type="dxa"/>
            <w:vAlign w:val="bottom"/>
          </w:tcPr>
          <w:p>
            <w:pPr>
              <w:spacing w:after="0"/>
              <w:rPr>
                <w:sz w:val="18"/>
                <w:szCs w:val="18"/>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25" w:lineRule="exact"/>
        <w:rPr>
          <w:sz w:val="20"/>
          <w:szCs w:val="20"/>
          <w:color w:val="auto"/>
        </w:rPr>
      </w:pPr>
    </w:p>
    <w:p>
      <w:pPr>
        <w:jc w:val="both"/>
        <w:ind w:left="60" w:right="59"/>
        <w:spacing w:after="0" w:line="277" w:lineRule="auto"/>
        <w:rPr>
          <w:sz w:val="20"/>
          <w:szCs w:val="20"/>
          <w:color w:val="auto"/>
        </w:rPr>
      </w:pPr>
      <w:r>
        <w:rPr>
          <w:rFonts w:ascii="Times New Roman" w:cs="Times New Roman" w:eastAsia="Times New Roman" w:hAnsi="Times New Roman"/>
          <w:sz w:val="17"/>
          <w:szCs w:val="17"/>
          <w:color w:val="auto"/>
        </w:rPr>
        <w:t>The Company leases office space in Cambridge, Massachusetts, New York, New York and San Francisco, California, pursuant to short-term arrangements. The Cambridge and San Francisco leases are on a month-to-month basis, requiring one month’s notice before termination. The New York lease is renewable on a quarterly basis and the last renewal extended the lease term until March 31, 2023. These lease agreements include payments for lease and non-lease components and the Company has elected to not separate such components and these payments were recognized as rent expense.</w:t>
      </w:r>
    </w:p>
    <w:p>
      <w:pPr>
        <w:spacing w:after="0" w:line="16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March 31, 2022, total future minimum lease payments for its short-term leases in Cambridge, Massachusetts, New York, New York and San Francisco, California was $64,920 due in 2022. The Company leases storage space for its electronic data equipment in Somerville, Massachusetts. This lease is renewable on an annual basis effective every March 1st. Prior to December 31, 2021, the Company renewed the lease through March 31, 2023. As of March 31, 2022, total future minimum lease payments for this lease were $16,804 due in 2022.</w:t>
      </w:r>
    </w:p>
    <w:p>
      <w:pPr>
        <w:spacing w:after="0" w:line="18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In October 2020, the Company entered into an office lease (“Via Frontera Lease”) in San Diego, California with a lease term of 67 months. At the lease commencement date, a right-to-use asset and lease liability was recognized by the Company for $637,863. In January 2022, the Company exercised its option to terminate the Via Frontera Lease 20 months early. The lease will terminate on October 1, 2023. This was accounted for as a lease modification which reduces the term of the existing lease and the Company adjusted the value of its right-of-use asset and operating lease liability by $347,739 using an incremental borrowing rate of approximately 6%.</w:t>
      </w:r>
    </w:p>
    <w:p>
      <w:pPr>
        <w:spacing w:after="0" w:line="187" w:lineRule="exact"/>
        <w:rPr>
          <w:sz w:val="20"/>
          <w:szCs w:val="20"/>
          <w:color w:val="auto"/>
        </w:rPr>
      </w:pPr>
    </w:p>
    <w:p>
      <w:pPr>
        <w:jc w:val="both"/>
        <w:ind w:left="60" w:right="399"/>
        <w:spacing w:after="0" w:line="282" w:lineRule="auto"/>
        <w:rPr>
          <w:sz w:val="20"/>
          <w:szCs w:val="20"/>
          <w:color w:val="auto"/>
        </w:rPr>
      </w:pPr>
      <w:r>
        <w:rPr>
          <w:rFonts w:ascii="Times New Roman" w:cs="Times New Roman" w:eastAsia="Times New Roman" w:hAnsi="Times New Roman"/>
          <w:sz w:val="18"/>
          <w:szCs w:val="18"/>
          <w:color w:val="auto"/>
        </w:rPr>
        <w:t>The modification is reflected as a non-cash operating activity in the statement of cash flows for the three months ended March 31, 2022.</w:t>
      </w:r>
    </w:p>
    <w:p>
      <w:pPr>
        <w:spacing w:after="0" w:line="162" w:lineRule="exact"/>
        <w:rPr>
          <w:sz w:val="20"/>
          <w:szCs w:val="20"/>
          <w:color w:val="auto"/>
        </w:rPr>
      </w:pPr>
    </w:p>
    <w:p>
      <w:pPr>
        <w:jc w:val="both"/>
        <w:ind w:left="60" w:right="419"/>
        <w:spacing w:after="0" w:line="266" w:lineRule="auto"/>
        <w:rPr>
          <w:sz w:val="20"/>
          <w:szCs w:val="20"/>
          <w:color w:val="auto"/>
        </w:rPr>
      </w:pPr>
      <w:r>
        <w:rPr>
          <w:rFonts w:ascii="Times New Roman" w:cs="Times New Roman" w:eastAsia="Times New Roman" w:hAnsi="Times New Roman"/>
          <w:sz w:val="18"/>
          <w:szCs w:val="18"/>
          <w:color w:val="auto"/>
        </w:rPr>
        <w:t>The Company subsequently entered into a sublease of the Via Frontera Lease, the term of which commenced in March 2022 and continues through the full remaining obligation. Sublease income will be accounted for as a reduction of rent expense in the statement of operations.</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part of the BioArkive acquisition, the Company assumed the obligations of three leases in San Diego, California. One is for 38,613 square feet of office and laboratory space, under a lease that terminates on April 30, 2032, the second is for a 6,100 square feet of office and laboratory space under a lease that terminates on December 31, 2022 (the “Site 2 Lease”), and the third is for a lease for 4,760 square feet of office and laboratory space under a lease that terminates on March 31, 2024. As a result, the Company recorded right-to-use assets and lease liabilities of $4,824,700 on the acquisition date of December 22, 2021. In February 2022, the Company entered into a sublease of the Site 2 Lease, the term of which continues through the remaining term of the Site 2 Lease.</w:t>
      </w:r>
    </w:p>
    <w:p>
      <w:pPr>
        <w:spacing w:after="0" w:line="18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Future minimum lease payments for operating leases with initial or remaining terms in excess of one year at March 31, 2022 were as follows:</w:t>
      </w:r>
    </w:p>
    <w:p>
      <w:pPr>
        <w:spacing w:after="0" w:line="169"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7" w:lineRule="exact"/>
        <w:rPr>
          <w:sz w:val="20"/>
          <w:szCs w:val="20"/>
          <w:color w:val="auto"/>
        </w:rPr>
      </w:pPr>
    </w:p>
    <w:p>
      <w:pPr>
        <w:ind w:left="60"/>
        <w:spacing w:after="0"/>
        <w:tabs>
          <w:tab w:leader="none" w:pos="7840" w:val="left"/>
          <w:tab w:leader="none" w:pos="8280" w:val="left"/>
        </w:tabs>
        <w:rPr>
          <w:sz w:val="20"/>
          <w:szCs w:val="20"/>
          <w:color w:val="auto"/>
        </w:rPr>
      </w:pPr>
      <w:r>
        <w:rPr>
          <w:rFonts w:ascii="Times New Roman" w:cs="Times New Roman" w:eastAsia="Times New Roman" w:hAnsi="Times New Roman"/>
          <w:sz w:val="18"/>
          <w:szCs w:val="18"/>
          <w:color w:val="auto"/>
        </w:rPr>
        <w:t>Remainder of 2022</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496,015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843,463</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732,546</w:t>
            </w:r>
          </w:p>
        </w:tc>
        <w:tc>
          <w:tcPr>
            <w:tcW w:w="0" w:type="dxa"/>
            <w:vAlign w:val="bottom"/>
          </w:tcPr>
          <w:p>
            <w:pPr>
              <w:spacing w:after="0"/>
              <w:rPr>
                <w:sz w:val="1"/>
                <w:szCs w:val="1"/>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739,689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761,877</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4,467,246</w:t>
            </w: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8,040,836</w:t>
            </w:r>
          </w:p>
        </w:tc>
        <w:tc>
          <w:tcPr>
            <w:tcW w:w="0" w:type="dxa"/>
            <w:vAlign w:val="bottom"/>
          </w:tcPr>
          <w:p>
            <w:pPr>
              <w:spacing w:after="0"/>
              <w:rPr>
                <w:sz w:val="1"/>
                <w:szCs w:val="1"/>
                <w:color w:val="auto"/>
              </w:rPr>
            </w:pPr>
          </w:p>
        </w:tc>
      </w:tr>
      <w:tr>
        <w:trPr>
          <w:trHeight w:val="216"/>
        </w:trPr>
        <w:tc>
          <w:tcPr>
            <w:tcW w:w="78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(3,067,891)</w:t>
            </w:r>
          </w:p>
        </w:tc>
        <w:tc>
          <w:tcPr>
            <w:tcW w:w="0" w:type="dxa"/>
            <w:vAlign w:val="bottom"/>
          </w:tcPr>
          <w:p>
            <w:pPr>
              <w:spacing w:after="0"/>
              <w:rPr>
                <w:sz w:val="1"/>
                <w:szCs w:val="1"/>
                <w:color w:val="auto"/>
              </w:rPr>
            </w:pPr>
          </w:p>
        </w:tc>
      </w:tr>
      <w:tr>
        <w:trPr>
          <w:trHeight w:val="209"/>
        </w:trPr>
        <w:tc>
          <w:tcPr>
            <w:tcW w:w="7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4,972,945</w:t>
            </w:r>
          </w:p>
        </w:tc>
        <w:tc>
          <w:tcPr>
            <w:tcW w:w="0" w:type="dxa"/>
            <w:vAlign w:val="bottom"/>
          </w:tcPr>
          <w:p>
            <w:pPr>
              <w:spacing w:after="0"/>
              <w:rPr>
                <w:sz w:val="1"/>
                <w:szCs w:val="1"/>
                <w:color w:val="auto"/>
              </w:rPr>
            </w:pPr>
          </w:p>
        </w:tc>
      </w:tr>
      <w:tr>
        <w:trPr>
          <w:trHeight w:val="20"/>
        </w:trPr>
        <w:tc>
          <w:tcPr>
            <w:tcW w:w="7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Current portion lease liability</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820" w:type="dxa"/>
            <w:vAlign w:val="bottom"/>
            <w:vMerge w:val="continue"/>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265,419</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4,707,526</w:t>
            </w:r>
          </w:p>
        </w:tc>
        <w:tc>
          <w:tcPr>
            <w:tcW w:w="0" w:type="dxa"/>
            <w:vAlign w:val="bottom"/>
          </w:tcPr>
          <w:p>
            <w:pPr>
              <w:spacing w:after="0"/>
              <w:rPr>
                <w:sz w:val="1"/>
                <w:szCs w:val="1"/>
                <w:color w:val="auto"/>
              </w:rPr>
            </w:pPr>
          </w:p>
        </w:tc>
      </w:tr>
      <w:tr>
        <w:trPr>
          <w:trHeight w:val="210"/>
        </w:trPr>
        <w:tc>
          <w:tcPr>
            <w:tcW w:w="7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lease liability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4,972,945</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Quantitative information regarding the Company’s leases for the three months ended March 31, 2022 and 2021 is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73"/>
        </w:trPr>
        <w:tc>
          <w:tcPr>
            <w:tcW w:w="64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264,544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lease cost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81,927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57,346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Sublease income</w:t>
            </w:r>
          </w:p>
        </w:tc>
        <w:tc>
          <w:tcPr>
            <w:tcW w:w="12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(29,129)</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317,342</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163,975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Operating cash flows from short-term leases</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81,927</w:t>
            </w:r>
          </w:p>
        </w:tc>
        <w:tc>
          <w:tcPr>
            <w:tcW w:w="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245,902</w:t>
            </w: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85,066</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97"/>
              </w:rPr>
              <w:t>9.65 years</w:t>
            </w:r>
          </w:p>
        </w:tc>
        <w:tc>
          <w:tcPr>
            <w:tcW w:w="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5.08 years</w:t>
            </w:r>
          </w:p>
        </w:tc>
        <w:tc>
          <w:tcPr>
            <w:tcW w:w="1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the Company’s leases typically do not provide an implicit rate, the Company uses an estimate of its incremental borrowing rate based on the information available at the lease commencement date in determining the present value of lease payments.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Litigation</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time to time, the Company may have certain contingent liabilities that arise in the ordinary course of its business activities and may be exposed to litigation in connection with its products and operations. The Company’s policy is to assess the likelihood of any adverse judgments or outcomes related to legal matters, as well as ranges of probable losses. When it is probable that future expenditures will be made and can be reasonably estimated the Company will accrue a liability for such matters. Significant judgement is required to determine both probability and estimated amount. The Company is not aware of any material legal matters.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Clinical Research Contracts</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may enter into contracts in the normal course of business with clinical research organizations for clinical trials, with contract manufacturing organizations for clinical supplies, and with other vendors for preclinical studies, supplies and other services for our operating purposes. These contracts generally provide for termination with a 30-day notice.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with our Annual Report on Form 10-K for the fiscal year ended December 31, 2021, including the audited consolidated financial statements and notes thereto.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aim to improve patient outcomes by advancing a unique pipeline of oncology and neuroscience product candidates developed using our translational bioinformatics platform. We have more than a decade of experience applying translational bioinformatics to generate insights into drug mechanism of action and patient treatment response. Building on this experience, our disease-agnostic discovery platform enables us to create product candidates based on 1) biological insights that are both counterintuitive and deeply rooted in data, and 2) novel chemistry. Our lead product candidate IMM-1-104 is designed to be a highly selective dual-MEK inhibitor that further disrupts KSR to modulate the signaling dynamics of the MAPK pathway. Specifically, it is designed to drive deep cyclic inhibition that deprives tumor cells of the sustained proliferative signaling required for rapid growth, while providing a cadenced, moderate level of signaling sufficient to spare healthy cells. IMM-1-104 is being developed to treat advanced solid tumors in patients harboring RAS mutations, and is translationally guided by our proprietary, human-aligned 3D tumor modeling platform combined with patient-aligned bioinformatics. In addition to IMM-1-104, IMM-6-415, our MEK-io product candidate, is in IND-enabling studies, and we have five other oncology programs in the discovery stage that are designed to target components of the MAPK or mTOR pathway, as well as two discovery stage neuroscience programs.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plan to submit an Investigational New Drug application, or IND, for IMM-1-104 to the U.S. Food and Drug Administration, or the FDA, in the third quarter of 2022. In addition, we plan to submit an IND for IMM-6-415 to the FDA in 2023. We anticipate filing at least one additional IND for our other oncology programs in 2024.</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the period from inception through 2017, we devoted substantially all of our efforts to business planning, service revenue generation, developing tools to aid in drug discovery, and recruiting management and technical staff. Since 2018, we have also focused significant effort on our own internal research and development programs. We have financed our operations through service revenues, the issuance of convertible debt and the sale of convertible preferred stock and common stock.</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December 22, 2021, we completed the acquisition of all outstanding shares of capital stock of BioArkive, Inc., a California corporation (“BioArkive”) for a market value of $8.75 million.</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BioArkive is a San Diego based contract research organization that has previously provided preclinical research services and biosample storage to us and other biotechnology companies. BioArkive is in the process of being fully integrated into our operations so as to exclusively support our internal preclinical research activities for its oncology pipeline. In connection with the acquisition, we has assumed the obligations under BioArkive’s three lease agreements.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purchase price was paid by us through the issuance of an aggregate of 379,635 shares of our Class A common stock. The number of shares of Class A common stock issued was calculated using a value based on the average of the daily volume weighted average prices of our Class A common stock on the Nasdaq Stock Exchange for the 30-trading day period ending on and including the trading day immediately prior to the closing date. The sellers of BioArkive are restricted from selling these shares for a six month period from the date of the acquisition. As such, we estimated that there was an approximate 10% discount for the lack of marketability of the shares. The fair value of the purchase price in the acquisition was $7.88 million.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operations have been financed primarily by service revenues and aggregate net proceeds of approximately $81.4 million from the issuance of convertible notes payable, convertible preferred stock (Series A and B) including gross proceeds of approximately $24.8 million from the issuance of shares in the second tranche of Series B Preferred in April and May 2021, common stock, exercise of stock options. On August 3, 2021, we completed our IPO pursuant to which we issued and sold 8,625,000 shares of Class A common stock, inclusive of 1,125,000 shares sold by us pursuant to the full exercise of the underwriters’ option to purchase additional shares. We received aggregate net proceeds of approximately $120.3 million from the IPO, after deducting underwriting discounts and commissions, but before deducting offering costs payable by us, which were $2.1 million.</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Since inception, we have had significant annual operating losses. Our net loss was approximately $12.9 million, for the three months ended March 31, 2022 and $33.5 million for the year ended December 31, 2021. As of March 31, 2022, we had an accumulated deficit of approximately $72.2 million and approximately $137.8 million in cash and cash equivalents and marketable securities.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Cash used to fund operating expenses is impacted by the timing of when we pay these expenses, as reflected in the change in our accounts payable and accrued expenses. We expect to continue to incur net losses for the foreseeable future, and we expect our research and development expenses, general and administrative expenses, and capital expenditures will continue to increase. In particular, we expect our expenses to increase as we continue our development of, and seek regulatory approvals for, our internally developed product candidates as well as add operational, financial and management informational systems and personnel to support our product development. In addition, if and when we seek and obtain regulatory approval to commercialize any product candidate, we will also incur increased expenses in connection with commercialization and marketing of any such product. Our net losses may fluctuate significantly from quarter-to-quarter and year-to-year, depending on the timing of our clinical trials and our expenditures on other research and development activities.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Based upon our current business plans, we believe that our existing cash and cash equivalents and marketable securities will be sufficient to fund our development activities and other operations into the third quarter of 2024. We have based this estimate on assumptions that may prove to be wrong, and we could exhaust our available capital resources sooner than we expect. To finance our operations beyond that point we will need to raise additional capital, which cannot be assured.</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not had any internally developed products approved for sale. We do not expect to generate any product sales unless and until we successfully complete development and obtain regulatory approval for one or more of our internally developed product candidates. If we obtain regulatory approval for any of our internally developed product candidates, we expect to incur significant commercialization expenses related to product sales, marketing, manufacturing and distribution. As a result, until such time, if ever, that we can generate substantial product revenue, we expect to finance our cash needs through service revenue, equity offerings, debt financings or other capital sources, including collaborations, licenses or similar arrangements. However, we may be unable to raise additional funds or enter into such other arrangements when needed or on favorable terms, if at all. Any failure to raise capital as and when needed could have a negative impact on our financial condition and on our ability to pursue our business plans and strategies, including our research and development activities. If we are unable to raise capital, we will need to delay, reduce or terminate planned activities to reduce costs.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March 2020, the World Health Organization declared the coronavirus (“COVID-19”) outbreak a pandemic and we are monitoring the ongoing impacts of the COVID-19 pandemic. We cannot presently predict the scope and severity of any future potential business shutdowns or disruptions, but if we or any of the third parties with whom we engage, including personnel at third-party manufacturing facilities and other third parties with whom we conduct business, were to experience shutdowns or other business disruptions, our ability to conduct our business in the manner and on the timeline presently planned could be materially and adversely impacted. While to date we have been able to continue to execute our overall business plan, it is unknown how long these conditions will last and what the complete effect will be on us. Overall, we recognize the challenges the pandemic may pose to our business, will continue to closely monitor events as they develop and plan for alternative and mitigating measures that we can implement if needed.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revenue is generated by providing computational biology professional services to pharmaceutical and biotechnology companies. We charge an agreed upon rate per hour based on the aggregate level of personnel assigned to work on the project or a fixed fee for a defined scope of work. Our contracts specify the period of time over which these professional services will be provided. We recognize revenue over time by measuring the progress toward complete satisfaction of the performance obligation using a single method of measuring progress, which depicts the performance in transferring control of the associated services to the customer. We use input methods to measure the progress toward the complete satisfaction of performance obligations and evaluate the measure of progress each reporting period and, if necessary, adjust the measure of performance and related revenue recognition. Any such adjustments are recorded on a cumulative catch-up basis, which would affect revenue and net loss in the period of adjustment.</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expect revenue to continue to decrease as we have deprioritized new services work in order to focus on developing our wholly owned pipeline. We expect that, by the end of 2022, revenue associated with this computational biology professional services business will be eliminated.</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in the process of discontinuing biosample storage, which was acquired through the BioArkive transaction, to external parties and expect it to complete in the second half of 2022. The revenue earned associated with this is immaterial to the financial statements and is expected to continue to decrease until these external services are discontinued.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cost of revenue expenses consists primarily of costs related to providing professional services to our customers. These costs include salaries, bonuses, benefits, and stock-based compensation expense, depreciation, facilities, and other outside services.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operating expenses consist of (i) research and development expenses and (ii) general and administrative expenses.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account for a significant portion of our operating expenses. Our research and development expenses consist primarily of direct and indirect costs incurred in connection with the development of our research platform, product candidates, discovery efforts and preclinical studies related to our program pipeline.</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direct costs include:</w:t>
      </w:r>
    </w:p>
    <w:p>
      <w:pPr>
        <w:spacing w:after="0" w:line="225" w:lineRule="exact"/>
        <w:rPr>
          <w:sz w:val="20"/>
          <w:szCs w:val="20"/>
          <w:color w:val="auto"/>
        </w:rPr>
      </w:pPr>
    </w:p>
    <w:p>
      <w:pPr>
        <w:jc w:val="both"/>
        <w:ind w:left="1040" w:right="79" w:hanging="315"/>
        <w:spacing w:after="0" w:line="257"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or CROs, and other vendors that conduct our preclinical activities on our behalf; including laboratory expenses related to the execution of preclinical studies on our behalf;</w:t>
      </w:r>
    </w:p>
    <w:p>
      <w:pPr>
        <w:spacing w:after="0" w:line="1"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associated with the manufacturing of our product candidates and preclinical material, including fees paid to contract manufacturers; and</w:t>
      </w:r>
    </w:p>
    <w:p>
      <w:pPr>
        <w:ind w:left="1040" w:hanging="315"/>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and expenses related to preparation of initiation of clinical trials</w:t>
      </w: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indirect costs include:</w:t>
      </w:r>
    </w:p>
    <w:p>
      <w:pPr>
        <w:spacing w:after="0" w:line="225" w:lineRule="exact"/>
        <w:rPr>
          <w:sz w:val="20"/>
          <w:szCs w:val="20"/>
          <w:color w:val="auto"/>
        </w:rPr>
      </w:pPr>
    </w:p>
    <w:p>
      <w:pPr>
        <w:ind w:left="1040" w:right="79" w:hanging="315"/>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consisting of employee salaries, bonuses, benefits and stock-based compensation expense and recruiting costs for personnel engaged in research and development activities; and</w:t>
      </w:r>
    </w:p>
    <w:p>
      <w:pPr>
        <w:ind w:left="1040" w:right="79" w:hanging="315"/>
        <w:spacing w:after="0" w:line="260"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and equipment related expenses, consisting of indirect and allocated expenses for rent, depreciation, maintenance of facilities, insurance, and other supplies.</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expense research and development costs as incurred. Our direct research and development expenses are not currently tracked on a program-by-program basis, but we anticipate tracking costs on a program-by-program basis at the time IMM-1-104 enters clinical trials, which we expect to occur in the fourth quarter of 2022, assuming our IND application is accepted. We use our personnel and infrastructure resources across multiple research and development programs directed toward identifying and developing product candidates.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Due to the inherently unpredictable nature and numerous risks and uncertainties associated with product development and the current stage of development of our product candidates and programs, we cannot reasonably estimate or know the nature, timing and estimated costs necessary to complete the remainder of the development of our product candidates or programs. We are also unable to predict if, when, or to what extent we will obtain approval and generate revenues from the commercialization and sale of any of our product candidates.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duration, costs and timing of preclinical studies and clinical trials and development of our product candidates will depend on a variety of factors, such as:</w:t>
      </w:r>
    </w:p>
    <w:p>
      <w:pPr>
        <w:spacing w:after="0" w:line="162"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 and initiation of clinical trials for future product candidates;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completion of clinical trials for our current product candidates;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our clinical programs that support an acceptable risk-benefit profile of our product candidates in the intended patient populations;</w:t>
      </w: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the FDA or other applicable regulatory agencies of IND applications, clinical trial applications and/or other regulatory filings for our product candidates;</w:t>
      </w: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maintenance of a workforce of experienced scientists and others to continue to develop our product candidates;</w:t>
      </w: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application for and receipt of marketing approvals from applicable regulatory authorities;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intellectual property protection and regulatory exclusivity for our product candidates;</w:t>
      </w: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of arrangements with contract manufacturing organizations for, or establishment of, commercial manufacturing capabilities;</w:t>
      </w: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sales, marketing and distribution capabilities and successful launch of commercial sales of our product candidates, if and when approved, whether alone or in collaboration with others;</w:t>
      </w: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 candidates, if and when approved, by patients, the medical community and third-party payors;</w:t>
      </w: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competition with other therapies;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obtainment and maintenance of coverage, adequate pricing and adequate reimbursement from third-party payors, including government payors;</w:t>
      </w: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enforcement, defense and protection of our rights in our intellectual property portfolio;</w:t>
      </w:r>
    </w:p>
    <w:p>
      <w:pPr>
        <w:spacing w:after="0" w:line="9" w:lineRule="exact"/>
        <w:rPr>
          <w:rFonts w:ascii="Times New Roman" w:cs="Times New Roman" w:eastAsia="Times New Roman" w:hAnsi="Times New Roman"/>
          <w:sz w:val="18"/>
          <w:szCs w:val="18"/>
          <w:color w:val="auto"/>
        </w:rPr>
      </w:pPr>
    </w:p>
    <w:p>
      <w:pPr>
        <w:ind w:left="1040" w:right="79" w:hanging="315"/>
        <w:spacing w:after="0" w:line="249"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avoidance of infringement, misappropriation or other violations with respect to others</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intellectual property or proprietary rights; and</w:t>
      </w:r>
    </w:p>
    <w:p>
      <w:pPr>
        <w:spacing w:after="0" w:line="1" w:lineRule="exact"/>
        <w:rPr>
          <w:rFonts w:ascii="Times New Roman" w:cs="Times New Roman" w:eastAsia="Times New Roman" w:hAnsi="Times New Roman"/>
          <w:sz w:val="18"/>
          <w:szCs w:val="18"/>
          <w:color w:val="auto"/>
        </w:rPr>
      </w:pPr>
    </w:p>
    <w:p>
      <w:pPr>
        <w:ind w:left="1040" w:right="79" w:hanging="315"/>
        <w:spacing w:after="0" w:line="26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continued acceptable safety profile of our products following receipt of any marketing approvals.</w:t>
      </w:r>
    </w:p>
    <w:p>
      <w:pPr>
        <w:spacing w:after="0" w:line="18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process of conducting the necessary preclinical and clinical research to obtain regulatory approval is costly and time-consuming. The actual probability of success for our product candidates may be affected by a variety of factors.</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may never succeed in achieving regulatory approval for any of our product candidates. Further, a number of factors, including those outside of our control, could adversely impact the timing and duration of our product candidates’ development, which could increase our research and development expense. We may obtain unexpected results from our preclinical studies and clinical trials. We may elect to discontinue, delay or modify clinical trials of some product candidates or focus on others. A change in the outcome of any of these factors could mean a significant change in the costs and timing associated with the development of our current and future preclinical and clinical product candidates. For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example, if the FDA or another regulatory authority were to require us to conduct clinical trials beyond those that we currently anticipate will be required for the completion of clinical development, or if we experience significant delays in execution of or enrollment in any of our preclinical studies or clinical trials, we could be required to expend significant additional financial resources and time on the completion of preclinical and clinical development.</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expect that our research and development expenses will substantially increase for the foreseeable future as we continue to implement our business strategy, which includes advancing our product candidates through clinical development, expanding our research and development efforts, including hiring additional personnel to support our research and development efforts, and seeking regulatory approvals for our product candidates that successfully complete clinical trials. In addition, product candidates in later stages of clinical development generally incur higher development costs than those in earlier stages of clinical development, primarily due to the increased size and duration of later-stage clinical trials. As a result, we expect our research and development expenses to increase as our product candidates advance into later stages of clinical development. As of the date of this Quarterly Report on Form 10-Q, we cannot reasonably determine or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consist primarily of personnel-related expenses, including employee salaries, bonuses, benefits, stock-based compensation, and recruiting costs for personnel in executive, finance, and other administrative functions. Other significant general and administrative expenses include legal fees relating to intellectual property and corporate matters, professional fees for accounting, tax and consulting services, insurance costs, travel expenses and facility related expenses not otherwise included in research and development expenses.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expect our general and administrative expenses will substantially increase for the foreseeable future as we continue to increase our general and administrative headcount to support our continued research and development activities and, if any product candidates receive marketing approval, commercialization activities, as well as to support our operations generally. As we expand our operations, we also expect to incur increased expenses associated with operating as a public company, including costs related to accounting, audit, legal, regulatory, and tax-related services associated with maintaining compliance with exchange listing and rules and regulations of the SEC, Sarbanes-Oxley Act, director and officer insurance costs, and investor and public relations costs.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Amortization of intangible asset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Amortization of intangible asset relates to the technology acquired in the BioArkive acquisition.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9" w:lineRule="exact"/>
        <w:rPr>
          <w:sz w:val="20"/>
          <w:szCs w:val="20"/>
          <w:color w:val="auto"/>
        </w:rPr>
      </w:pPr>
    </w:p>
    <w:p>
      <w:pPr>
        <w:ind w:left="60" w:right="339"/>
        <w:spacing w:after="0" w:line="260" w:lineRule="auto"/>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balances and our marketable securities. The primary objective of our investment policy is capital preservation.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expense</w:t>
      </w:r>
    </w:p>
    <w:p>
      <w:pPr>
        <w:spacing w:after="0" w:line="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expense consists of the amortization of premiums or accretion of discounts related to our marketable securities.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2022 and 2021</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21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640" w:type="dxa"/>
            <w:vAlign w:val="bottom"/>
            <w:gridSpan w:val="4"/>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51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r>
      <w:tr>
        <w:trPr>
          <w:trHeight w:val="184"/>
        </w:trPr>
        <w:tc>
          <w:tcPr>
            <w:tcW w:w="5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83"/>
              </w:rPr>
              <w:t>thousands, except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7"/>
              </w:rPr>
              <w:t>percentages)</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61"/>
        </w:trPr>
        <w:tc>
          <w:tcPr>
            <w:tcW w:w="5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(564)</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r>
      <w:tr>
        <w:trPr>
          <w:trHeight w:val="216"/>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(318)</w:t>
            </w:r>
          </w:p>
        </w:tc>
        <w:tc>
          <w:tcPr>
            <w:tcW w:w="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68.0 %</w:t>
            </w:r>
          </w:p>
        </w:tc>
      </w:tr>
      <w:tr>
        <w:trPr>
          <w:trHeight w:val="216"/>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233.8 %</w:t>
            </w:r>
          </w:p>
        </w:tc>
      </w:tr>
      <w:tr>
        <w:trPr>
          <w:trHeight w:val="216"/>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intangible asset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 %</w:t>
            </w:r>
          </w:p>
        </w:tc>
      </w:tr>
      <w:tr>
        <w:trPr>
          <w:trHeight w:val="209"/>
        </w:trPr>
        <w:tc>
          <w:tcPr>
            <w:tcW w:w="5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13,019</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97.9 %</w:t>
            </w:r>
          </w:p>
        </w:tc>
      </w:tr>
      <w:tr>
        <w:trPr>
          <w:trHeight w:val="210"/>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(6,682)</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107.1 %</w:t>
            </w: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2,108.4 %</w:t>
            </w:r>
          </w:p>
        </w:tc>
      </w:tr>
      <w:tr>
        <w:trPr>
          <w:trHeight w:val="216"/>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(103)</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N/M %</w:t>
            </w:r>
          </w:p>
        </w:tc>
      </w:tr>
      <w:tr>
        <w:trPr>
          <w:trHeight w:val="210"/>
        </w:trPr>
        <w:tc>
          <w:tcPr>
            <w:tcW w:w="5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revenue recognized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00" w:type="dxa"/>
            <w:vAlign w:val="bottom"/>
          </w:tcPr>
          <w:p>
            <w:pPr>
              <w:spacing w:after="0"/>
              <w:rPr>
                <w:sz w:val="15"/>
                <w:szCs w:val="15"/>
                <w:color w:val="auto"/>
              </w:rPr>
            </w:pPr>
          </w:p>
        </w:tc>
        <w:tc>
          <w:tcPr>
            <w:tcW w:w="21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2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53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4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184"/>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180" w:type="dxa"/>
            <w:vAlign w:val="bottom"/>
          </w:tcPr>
          <w:p>
            <w:pPr>
              <w:spacing w:after="0"/>
              <w:rPr>
                <w:sz w:val="15"/>
                <w:szCs w:val="15"/>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6"/>
              </w:rPr>
              <w:t>thousands, except</w:t>
            </w:r>
          </w:p>
        </w:tc>
        <w:tc>
          <w:tcPr>
            <w:tcW w:w="16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71"/>
              </w:rPr>
              <w:t>percentages)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61"/>
        </w:trPr>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432"/>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8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shd w:val="clear" w:color="auto" w:fill="CCEEFF"/>
          </w:tcPr>
          <w:p>
            <w:pPr>
              <w:spacing w:after="0"/>
              <w:rPr>
                <w:sz w:val="24"/>
                <w:szCs w:val="2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 (564)</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(75.4)%</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Revenue decreased by approximately $0.6 million, or 75.4%, to approximately $0.2 million for the three months ended March 31, 2022 compared to approximately $0.7 million for the three months ended March 31, 2021. The decrease in revenue was due to approximately $0.6 million decrease in customers in the three months ended March 31, 2022 compared to March 31, 2021.</w:t>
      </w:r>
    </w:p>
    <w:p>
      <w:pPr>
        <w:spacing w:after="0" w:line="3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Cost of revenue decreased by approximately $0.3 million, or 77.8%, to approximately $0.1 million for the three months ended March 31, 2022 compared to approximately $0.4 million for the three months March 31, 2021. The decrease was primarily due to decreased employee-related costs of approximately $0.3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components of our research and development expenses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1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60" w:type="dxa"/>
            <w:vAlign w:val="bottom"/>
            <w:gridSpan w:val="3"/>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184"/>
        </w:trPr>
        <w:tc>
          <w:tcPr>
            <w:tcW w:w="5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71"/>
              </w:rPr>
              <w:t>percentages)</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61"/>
        </w:trPr>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related costs</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$1,725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contract research services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r>
      <w:tr>
        <w:trPr>
          <w:trHeight w:val="209"/>
        </w:trPr>
        <w:tc>
          <w:tcPr>
            <w:tcW w:w="516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9,059</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w:t>
            </w:r>
          </w:p>
        </w:tc>
        <w:tc>
          <w:tcPr>
            <w:tcW w:w="14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3,668</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increased by approximately $3.7 million, or 68.0%, to approximately $9.1 million for the three months ended March 31, 2022 compared to approximately $5.4 million for the three months ended March 31, 2021. The increase of approximately $3.7 million was primarily due to approximately $0.1 million of outside contract research services for our preclinical candidates resulting from an increased number of discovery programs and increased spending on later stage preclinical efforts. The increase also includes approximately $1.7 million of additional employee-related costs, primarily due to an increase in headcount and approximately $0.3 million increase for equity-based compensation expense and an increase of $1.5 million for depreciation and facilities and other allocated expenses.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components of our general and administrative expenses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80" w:type="dxa"/>
            <w:vAlign w:val="bottom"/>
          </w:tcPr>
          <w:p>
            <w:pPr>
              <w:spacing w:after="0"/>
              <w:rPr>
                <w:sz w:val="15"/>
                <w:szCs w:val="15"/>
                <w:color w:val="auto"/>
              </w:rPr>
            </w:pPr>
          </w:p>
        </w:tc>
        <w:tc>
          <w:tcPr>
            <w:tcW w:w="21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5"/>
                <w:szCs w:val="15"/>
                <w:color w:val="auto"/>
              </w:rPr>
            </w:pPr>
          </w:p>
        </w:tc>
        <w:tc>
          <w:tcPr>
            <w:tcW w:w="1460" w:type="dxa"/>
            <w:vAlign w:val="bottom"/>
            <w:gridSpan w:val="3"/>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5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84"/>
        </w:trPr>
        <w:tc>
          <w:tcPr>
            <w:tcW w:w="5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(in</w:t>
            </w:r>
          </w:p>
        </w:tc>
        <w:tc>
          <w:tcPr>
            <w:tcW w:w="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85"/>
              </w:rPr>
              <w:t>thousands, except</w:t>
            </w:r>
          </w:p>
        </w:tc>
        <w:tc>
          <w:tcPr>
            <w:tcW w:w="14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76"/>
              </w:rPr>
              <w:t>percentages)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1"/>
        </w:trPr>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432"/>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related costs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140" w:type="dxa"/>
            <w:vAlign w:val="bottom"/>
            <w:shd w:val="clear" w:color="auto" w:fill="CCEEFF"/>
          </w:tcPr>
          <w:p>
            <w:pPr>
              <w:spacing w:after="0"/>
              <w:rPr>
                <w:sz w:val="24"/>
                <w:szCs w:val="24"/>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$ 1,600</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281.2 %</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751.9 %</w:t>
            </w: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56.8 %</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relations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8"/>
                <w:szCs w:val="18"/>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consultants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2,166.7 %</w:t>
            </w: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Facilities and other allocated expenses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3,869.7 %</w:t>
            </w:r>
          </w:p>
        </w:tc>
      </w:tr>
      <w:tr>
        <w:trPr>
          <w:trHeight w:val="216"/>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2,165.6 %</w:t>
            </w:r>
          </w:p>
        </w:tc>
      </w:tr>
      <w:tr>
        <w:trPr>
          <w:trHeight w:val="210"/>
        </w:trPr>
        <w:tc>
          <w:tcPr>
            <w:tcW w:w="5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r>
      <w:tr>
        <w:trPr>
          <w:trHeight w:val="425"/>
        </w:trPr>
        <w:tc>
          <w:tcPr>
            <w:tcW w:w="51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general and administrative</w:t>
            </w: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1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1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$ 2,768</w:t>
            </w: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233.8 %</w:t>
            </w:r>
          </w:p>
        </w:tc>
      </w:tr>
      <w:tr>
        <w:trPr>
          <w:trHeight w:val="20"/>
        </w:trPr>
        <w:tc>
          <w:tcPr>
            <w:tcW w:w="5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approximately $2.8 million, or 233.8%, to approximately $4.0 million for the three months ended March 31, 2022 compared to approximately $1.2 million for the three months ended March 31, 2021. The increase of approximately $2.8 million was primarily due to increased employee-related costs of approximately $1.6 million, increased professional fees incurred for accounting, auditing, legal, public relations and tax services of approximately $0.4 million, increased facilities expenses of approximately $0.1 million, approximately $0.4 million increase in equity-based compensation expense and approximately $0.2 million in other expenses.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Amortization of Intangible Asset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Amortization of intangible asset of $8,103 in the three months ended March 31, 2022 related to the technology acquired in the BioArkive acquisition completed in December 2021.</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Interest income increased by approximately $0.1 million due to the interest earned on our cash and cash equivalents and marketable securities balances due to the higher balances as a result of the IPO proceeds.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expense increased by $0.1 million as a result of the amortization of premiums related to our marketable securities.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Since our inception, we have financed our operations through service revenues, the issuance of convertible notes payable, convertible preferred stock, common stock, and the exercise of stock options. As of March 31, 2022, we had an accumulated deficit of $72.2 million and $137.8 million in cash and cash equivalents and marketable securities. Cash and cash equivalents are comprised of deposits at major financial banking institutions and highly liquid investments with an original maturity of three months or less at the date of purchase. Our primary use of cash is to fund operating expenses, which consist primarily of research and development expenditures, and to a lesser extent, general and administrative expenditures. Cash used to fund operating expenses is impacted by the timing of when we pay these expenses, reflected in the change in our outstanding accounts payable and accrued expenses.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Since our inception, we have incurred significant operating losses. We have not yet commercialized any of our product candidates, and we do not expect to generate revenue from sales of any product candidates for the next several years, if at all. To date, our operations have been financed primarily by service revenues and aggregate net proceeds of approximately $81.4 million from the issuance of convertible notes payable, convertible preferred stock including gross proceeds of approximately $24.8 million from the issuance of shares in the second tranche of Series B Preferred in April and May 2021, common stock, and the exercise of stock options. In August 2021, we completed our IPO pursuant to which we issued and sold 8,625,000 shares of Class A common stock, inclusive of 1,150,000 shares sold by us pursuant to the full exercise of the underwriters’ option to purchase additional shares. We received aggregate net proceeds of approximately $120.3 million from the IPO, after deducting underwriting discounts and commissions, but before deducting offering costs payable by us, which were $2.1 million.</w:t>
      </w:r>
    </w:p>
    <w:p>
      <w:pPr>
        <w:spacing w:after="0" w:line="19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March 31, 2022, we have contractual obligations related to various leases of $0.5 million for 2022, $0.8 million for 2023, $0.7 million for 2024, $0.7 million for 2025, $0.8 million for 2026 and $4.5 million for the periods thereafter.</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the periods indicated:</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21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60" w:type="dxa"/>
            <w:vAlign w:val="bottom"/>
            <w:gridSpan w:val="4"/>
          </w:tcPr>
          <w:p>
            <w:pPr>
              <w:jc w:val="right"/>
              <w:ind w:right="51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(12,281)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2022, operating activities used approximately $12.3 million of cash, primarily resulting from our net loss of approximately $12.9 million and cash provided by changes in our operating assets and liabilities of approximately $0.4 million, partially offset by equity-based compensation expense of approximately $0.6 million.</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2021, operating activities used approximately $6.1 million of cash, primarily resulting from our net loss of approximately $6.2 million and cash used by changes in our operating assets and liabilities of approximately $0.1 million, partially offset by equity-based compensation expense of approximately $0.2 million.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2022, investing activities provided approximately $12.4 million of cash, primarily resulting from the maturities of marketable securities of approximately $20.5 million, offset by purchases of marketable securities for $8.0 million and purchases of property and equipment of $0.1 million.</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2021, investing activities used is the $16,564, resulting from purchases of property and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net cash provided by financing activities was approximately $0.2 million, consisting of approximately $0.2 million from the exercise of stock options.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three months ended March 31, 2021, there was no net cash provided by financing activities.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Future Funding Requirements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expect that our expenses will increase substantially in connection with our ongoing activities, particularly as we advance the preclinical activities and clinical trials for our product candidates in development. The timing and amount of our operating and capital expenditures will depend largely on:</w:t>
      </w:r>
    </w:p>
    <w:p>
      <w:pPr>
        <w:spacing w:after="0" w:line="176"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pandemic related to COVID-19 and its variants and potential future pandemics;</w:t>
      </w:r>
    </w:p>
    <w:p>
      <w:pPr>
        <w:spacing w:after="0" w:line="27"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results of our potential future clinical trials for our other product candidates;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research, preclinical development, laboratory testing and clinical trials for our other product candidates;</w:t>
      </w: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 manufacturing arrangements for supply of active pharmaceutical ingredient, or API, and manufacture of our product candidates and the terms of such arrangements;</w:t>
      </w: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or receipt of milestones and receipt of other collaboration-based revenues, if any;</w:t>
      </w:r>
    </w:p>
    <w:p>
      <w:pPr>
        <w:spacing w:after="0" w:line="9" w:lineRule="exact"/>
        <w:rPr>
          <w:rFonts w:ascii="Times New Roman" w:cs="Times New Roman" w:eastAsia="Times New Roman" w:hAnsi="Times New Roman"/>
          <w:sz w:val="18"/>
          <w:szCs w:val="18"/>
          <w:color w:val="auto"/>
        </w:rPr>
      </w:pP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any future commercialization activities, including product manufacturing, sales, marketing and distribution, for any of our product candidates for which we may receive marketing approval;</w:t>
      </w: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revenue, if any, received from commercial sales of our product candidates for which we receive marketing approval;</w:t>
      </w: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and proprietary rights and defending any intellectual property related claims;</w:t>
      </w: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product candidates, technologies or data referencing rights;</w:t>
      </w:r>
    </w:p>
    <w:p>
      <w:pPr>
        <w:ind w:left="1040" w:right="79" w:hanging="315"/>
        <w:spacing w:after="0" w:line="25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collaborations, licensing or other arrangements and the financial terms of such arrangements;</w:t>
      </w:r>
    </w:p>
    <w:p>
      <w:pPr>
        <w:ind w:left="1040" w:right="79" w:hanging="315"/>
        <w:spacing w:after="0" w:line="260"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private and public capital markets or to obtain financing at commercially reasonable rate;</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receive additional non-dilutive funding, including grants from organizations and foundations; and</w:t>
      </w:r>
    </w:p>
    <w:p>
      <w:pPr>
        <w:ind w:left="1040" w:hanging="315"/>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marketable securities, will enable us to fund our operating expenses and capital expenditure requirements into the third quarter of 2024. We have based this estimate on assumptions that may prove to be wrong, and we could utilize our available capital resources sooner than we expect.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The preparation of our financial statements and related disclosures requires us to make estimates, assumptions and judgments that affect the reported amount of assets, liabilities, revenue, costs and expenses, and related disclosures. Our critical accounting policies are described under the heading “Management’s Discussion and Analysis of Financial Condition and Results of Operations—Critical Accounting Policies and Use of Estimates” in our Annual Report on 10-K for the fiscal year ending December 31, 2021. If actual results or events differ materially from the estimates, judgments and assumptions used by us in applying these policies, our reported financial condition and results of operations could be materially affected. There have been no significant changes to our critical accounting policies from those described in the 10-K.</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 to our condensed consolidated financial statements appearing elsewhere in this Quarterly Report on Form 10-Q.</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an emerging growth company, or EGC, under the Jumpstart Our Business Startups Act of 2012, or JOBS Act, we may delay the adoption of certain accounting standards until such time as those standards apply to private companies. Other exemptions and reduced reporting requirements under the JOBS Act for EGCs include presentation of only two years of audited consolidated financial statements in a registration statement for an IPO, an exemption from the requirement to provide an auditor’s report on internal controls over financial reporting pursuant to Section 404(b) of the Sarbanes-Oxley Act, an exemption from any requirement that may be adopted by the Public Company Accounting Oversight Board, and less extensive disclosure about our executive compensation arrangements.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may remain classified as an EGC until the end of the fiscal year following the fifth anniversary of our IPO, although if the market value of our common stock that is held by non-affiliates exceeds $700 million as of September 30 of any year before that time, or if we have annual gross revenues of $1.07 billion or more in any fiscal year, we would cease to be an EGC as of December 31 of the applicable year. We also would cease to be an EGC if we issue more than $1.0 billion of non-convertible debt over a three-year period.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Rule 12b-2 of the Securities Exchange Act of 1934, as amended, we are not required to provide this information.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March 31, 2022. Based on that evaluation, our Chief Executive Officer and Chief Financial Officer concluded that, as of March 31, 2022, our disclosure controls and procedures were effective at the reasonable assurance level. As permitted by related SEC staff interpretive guidance for newly acquired businesses, the internal control over financial reporting of BioArkive, Inc. was excluded from the evaluation of the effectiveness of our disclosure controls and procedures as of March 31, 2022. BioArkive, Inc., which we acquired in December 2021, represented less than 1% of our consolidated total assets, as of March 31, 2022.</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March 31, 2022 that has materially affected, or is reasonably likely to materially affect, our internal control over financial reporting. As noted above, we acquired BioArkive, Inc. in December 2021, We are in the process of reviewing the internal control structure of BioArkive, Inc. and, if necessary, will make appropriate changes as we continue to integrate BioArkive, Inc. into our overall internal control over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time to time we may be involved in claims and proceedings arising in the course of our business. The outcome of any such claims or proceedings, regardless of the merits, is inherently uncertain. We are not currently party to any material legal proceedings</w:t>
      </w:r>
    </w:p>
    <w:p>
      <w:pPr>
        <w:spacing w:after="0" w:line="3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31"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i w:val="1"/>
          <w:iCs w:val="1"/>
          <w:color w:val="auto"/>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Additional risks and uncertainties not presently known to us or that we currently deem immaterial also may impair our business operations. In these circumstances, the market price of our Class A common stock would likely decline. In addition, we cannot assure investors that our assumptions and expectations will prove to be correct. Important factors could cause our actual results to differ materially from those indicated or implied by forward-looking statements. See “Forward Looking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for a discussion of some of the forward-looking statements that are qualified by these risk factors. Factors that could cause or contribute to such differences include those factors discussed below.</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in developing pharmaceutical products, have not completed any clinical trials and have no products approved for commercial sale, which may make it difficult for you to evaluate our current business and predict our future success and viability.</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Pharmaceutical product development is a highly speculative undertaking and involves a substantial degree of risk. We are a biopharmaceutical company with a limited operating history in developing pharmaceutical products which makes it difficult to evaluate our business and prospects in future product development. We have no products approved for commercial sale and have not generated any revenue from product sales. To date, we have devoted substantially all of our resources and efforts to providing computational biology services to pharmaceutical and biotechnology companies, organizing and staffing our company, business planning, executing partnerships, raising capital, discovering, identifying and developing potential product candidates, securing related intellectual property rights and undertaking research and preclinical studies of our product candidates, including the anticipated Phase 1 clinical trial of IMM-1-104 for the treatment of advanced solid tumors in patients harboring RAS mutant tumors. We have not yet demonstrated our ability to successfully initiate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to develop new pharmaceutical products than it could be if we had a longer operating history.</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we may encounter unforeseen expenses, difficulties, complications, delays and other known and unknown factors and risks frequently experienced by biopharmaceutical companies developing products in rapidly evolving fields. We also may need to transition from a company with a research focus to a company capable of supporting commercial activities. If we do not adequately address these risks and difficulties or successfully make such a transition, our business will suffer.</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net losses for the past several years and we expect to continue to incur significant net losses for the foreseeable future and may never obtain profitability.</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incurred net losses in each reporting period for the past several years, have not generated any revenue from product sales to date and have financed our operations principally through our computational biology services to pharmaceutical and biotechnology companies, the issuance of convertible debt and the sale of our convertible preferred stock and Class A common stock. We have incurred net losses of approximately $12.9 million and $33.5 million for the quarter ended March 31, 2022 and year ended December 31, 2021 respectively. As of March 31, 2022, we had an accumulated deficit of approximately $72.2 million. Our losses have resulted principally from expenses incurred in research and development of our product candidates, from management and administrative costs and other expenses that we have incurred while building our business infrastructure. Our lead product candidate, IMM-1-104, is undergoing IND-enabling studies and we expect to submit an IND to the FDA in the third quarter of 2022. Subject to the FDA’s allowing us to proceed with clinical studies under an IND, we intend to enroll the first patient in a Phase 1 clinical trial of IMM-1-104 in the fourth quarter of 2022 for the treatment of advanced solid tumors in patients harboring RAS mutant tumors. Our other product candidates are in earlier stages of drug development.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as we discover, develop and market additional potential product candidates.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substantially if and as we:</w:t>
      </w:r>
    </w:p>
    <w:p>
      <w:pPr>
        <w:spacing w:after="0" w:line="162" w:lineRule="exact"/>
        <w:rPr>
          <w:sz w:val="20"/>
          <w:szCs w:val="20"/>
          <w:color w:val="auto"/>
        </w:rPr>
      </w:pPr>
    </w:p>
    <w:p>
      <w:pPr>
        <w:jc w:val="both"/>
        <w:ind w:left="60" w:right="59" w:hanging="10"/>
        <w:spacing w:after="0" w:line="266" w:lineRule="auto"/>
        <w:tabs>
          <w:tab w:leader="none" w:pos="16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our lead product candidate, IMM-1-104, and our other product candidates, including IMM-6-415, through preclinical and clinical development, and, if approved by the FDA or other comparable foreign regulatory authorities, commercialization;</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manufacturing costs for our product candidates;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research and development activities to identify and develop new product candidates;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measures to protect and expand our intellectual property;</w:t>
      </w:r>
    </w:p>
    <w:p>
      <w:pPr>
        <w:spacing w:after="0" w:line="252" w:lineRule="exact"/>
        <w:rPr>
          <w:rFonts w:ascii="Times New Roman" w:cs="Times New Roman" w:eastAsia="Times New Roman" w:hAnsi="Times New Roman"/>
          <w:sz w:val="18"/>
          <w:szCs w:val="18"/>
          <w:color w:val="auto"/>
        </w:rPr>
      </w:pPr>
    </w:p>
    <w:p>
      <w:pPr>
        <w:ind w:left="60" w:right="79" w:hanging="10"/>
        <w:spacing w:after="0" w:line="282" w:lineRule="auto"/>
        <w:tabs>
          <w:tab w:leader="none" w:pos="1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medical affairs and distribution infrastructure to commercialize any product candidates for which we may obtain marketing approval and intend to commercialize;</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manufacturing and develop our commercialization efforts; and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as a public company.</w:t>
      </w:r>
    </w:p>
    <w:p>
      <w:pPr>
        <w:spacing w:after="0" w:line="23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and our ability to achieve and maintain profitability.</w:t>
      </w:r>
    </w:p>
    <w:p>
      <w:pPr>
        <w:spacing w:after="0" w:line="179"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initiate and conduct clinical trials of, and seek marketing approval for our current and any future product candidates. Even if one or more of the product candidates that we develop is approved for commercial sale, we anticipate incurring significant costs associated with commercializing any approved product candidate. Our expenses could increase beyond expectations if we are required by the FDA or other comparable foreign regulatory authorities to perform clinical trials or preclinical studies in addition to those that we currently anticipate. Other unanticipated costs may also arise. In addition, if we obtain marketing approval for any of our product candidates, we expect to incur significant commercialization expenses related to drug sales, marketing, manufacturing and distribution. Because the design and outcome of our anticipated clinical trials are highly uncertain, we cannot reasonably estimate the actual amounts necessary to successfully complete the development and commercialization of any product candidate we develop. We also expect to incur additional costs associated with operating as a public company. Accordingly, it is likely that we will need to obtain substantial additional funding in order to maintain our continuing operations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March 31, 2022, we had approximately $137.8 million in cash and cash equivalents and marketable securities. Based on our current business plans, we believe that our existing cash and cash equivalents and marketable securities will be sufficient to fund our operating expenses and capital expenditures requirements into the third quarter of 2024. Our estimate as to how long we expect our existing cash and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 but not limited to:</w:t>
      </w:r>
    </w:p>
    <w:p>
      <w:pPr>
        <w:spacing w:after="0" w:line="225" w:lineRule="exact"/>
        <w:rPr>
          <w:sz w:val="20"/>
          <w:szCs w:val="20"/>
          <w:color w:val="auto"/>
        </w:rPr>
      </w:pPr>
    </w:p>
    <w:p>
      <w:pPr>
        <w:ind w:left="160" w:hanging="110"/>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timeline, cost and results of our clinical trials for our product candidates;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2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timeline, cost and results of additional research and preclinical studies related to pipeline development and other research programs we initiate in the future;</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activities as we advance our product candidates through preclinical and clinical development, and commercialization;</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expansion of our current development programs to seek new indications;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negative impact of the COVID-19 pandemic or future pandemics on our business;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meeting regulatory requirements established by the FDA and other comparable foreign regulatory authorities;</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filing, prosecuting, defending and enforcing patent claims and other intellectual property rights, in-licensed or otherwise;</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licensing fees, potential royalty payments and potential milestone payments;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general operating expenses;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completion of commercial-scale manufacturing activities;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any product candidates for which we may receive regulatory approval in regions where we choose to commercialize our products on our own;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operating as a public company.</w:t>
      </w:r>
    </w:p>
    <w:p>
      <w:pPr>
        <w:spacing w:after="0" w:line="23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Advancing the development of our product candidates will require a significant amount of capital. Our existing cash and cash equivalents will not be sufficient to fund all of the activities that are necessary to complete the development of our product candidates.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Additionally, the impact of the pandemic related to COVID-19 and its variants on the capital markets may affect the availability, amount and type of financing available to us in the future. Our failure to raise capital as and when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existing stockholders, restrict our operations or require us to relinquish rights to our product candidates on unfavorable terms to us.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seek additional capital through a variety of means, including through public or private equity offering,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other tax attributes may be limited.</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December 31, 2021, we had approximately $56.5 million of federal and $51.3 million of state net operating loss carryforwards, or NOLs, available to offset future taxable income. Under Sections 382 and 383 of the U.S. Internal Revenue Code of 1986, as amended, or the Code, a corporation that undergoes an “ownership change,” generally defined as a greater than 50% change by value in its equity ownership over a three-year period is subject to limitations on its ability to utilize its pre-change NOLs and other tax attributes such as research tax credits to offset future taxable income. We have not performed an analysis to determine whether our past issuances of stock and other changes in our stock ownership may have resulted in other ownership changes. If it is determined that we have in the past experienced other ownership changes, or if we undergo one or more ownership changes as a result of future transactions in our stock, which may be outside our control, then our ability to utilize NOLs and other pre-change tax attributes could be further limited by Sections 382 and 383 of the Code, and certain of our NOLs and other pre-change tax attributes may expire unused. As a result, if or when we earn net taxable income, our ability to use our pre-change NOLs or other tax attributes to offset such taxable income or otherwise reduce any liability for income taxes may be subject to limitations, which could adversely affect our future cash flows.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Development, Regulatory Approval and Commercialization</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other comparable foreign regulatory authorities are lengthy, time consuming and inherently unpredictable. If we are ultimately unable to obtain regulatory approval for our product candidates, or to obtain regulatory approval to treat the indications we seek to treat with our product candidates, we will be unable to generate product revenue or the level of planned product revenue and our business will be substantially harmed.</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other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Even if we eventually complete clinical testing and receive approval of any regulatory filing for our product candidates, the FDA and other comparable foreign regulatory authorities may approve our product candidates for a more limited indication or a narrower patient population than we originally requested. We have not submitted for, or obtained,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regulatory approval for any product candidate, and it is possible that none of our existing product candidates or any product candidates we may seek to develop in the future will ever obtain regulatory approval.</w:t>
      </w:r>
    </w:p>
    <w:p>
      <w:pPr>
        <w:spacing w:after="0" w:line="16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the following:</w:t>
      </w:r>
    </w:p>
    <w:p>
      <w:pPr>
        <w:spacing w:after="0" w:line="162" w:lineRule="exact"/>
        <w:rPr>
          <w:sz w:val="20"/>
          <w:szCs w:val="20"/>
          <w:color w:val="auto"/>
        </w:rPr>
      </w:pPr>
    </w:p>
    <w:p>
      <w:pPr>
        <w:ind w:left="60" w:right="59" w:hanging="10"/>
        <w:spacing w:after="0" w:line="282" w:lineRule="auto"/>
        <w:tabs>
          <w:tab w:leader="none" w:pos="1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the design, implementation or results of our clinical trials;</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8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189"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assure efficacy and safety in the full population for which we seek approval;</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disagree with our interpretation of data from preclinical studies or clinical trials;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New Drug Application, or NDA, or other submission or to obtain regulatory approval in the United States or elsewhere;</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2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FDA or other comparable foreign regulatory authorities that a product candidate’s risk-benefit ratio for its proposed indication is acceptable;</w:t>
      </w:r>
    </w:p>
    <w:p>
      <w:pPr>
        <w:spacing w:after="0" w:line="175" w:lineRule="exact"/>
        <w:rPr>
          <w:rFonts w:ascii="Times New Roman" w:cs="Times New Roman" w:eastAsia="Times New Roman" w:hAnsi="Times New Roman"/>
          <w:sz w:val="18"/>
          <w:szCs w:val="18"/>
          <w:color w:val="auto"/>
        </w:rPr>
      </w:pPr>
    </w:p>
    <w:p>
      <w:pPr>
        <w:jc w:val="both"/>
        <w:ind w:left="60" w:right="79" w:hanging="10"/>
        <w:spacing w:after="0" w:line="266" w:lineRule="auto"/>
        <w:tabs>
          <w:tab w:leader="none" w:pos="20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189"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other comparable foreign regulatory authorities may significantly change in a manner rendering our clinical data insufficient for approval.</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the FDA or comparable foreign regulatory authorities may change their policies, adopt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185" w:lineRule="exact"/>
        <w:rPr>
          <w:sz w:val="20"/>
          <w:szCs w:val="20"/>
          <w:color w:val="auto"/>
        </w:rPr>
      </w:pPr>
    </w:p>
    <w:p>
      <w:pPr>
        <w:jc w:val="both"/>
        <w:ind w:left="60" w:right="5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submit INDs or IND amendments or comparable documents in foreign jurisdictions to commence additional clinical trials on the timelines we expect, and even if we are able to, the FDA may not permit us to proceed.</w:t>
      </w:r>
    </w:p>
    <w:p>
      <w:pPr>
        <w:spacing w:after="0" w:line="13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While we plan to submit INDs or comparable documents for our potential product candidates, we may not be able to submit such INDs or comparable documents on the timeline we expect. For example, due to supply chain constraints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impact of follow-on effects due to such constraints, we have had to move our planned submission of the IND for IMM-1-104 to the FDA from the first quarter of 2022 to the third quarter of 2022. We may also experience manufacturing delays or other delays with IND-enabling studies. Moreover, we cannot be sure that submission of an IND or comparable document will result in the FDA or other comparable foreign regulatory authorities allowing further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company has limited experience in designing clinical trials and may experience delays or unexpected difficulties in obtaining regulatory approval for our current and future product candidates.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limited experience in designing clinical trials and may be unable to design and execute a clinical trial to support marketing approval. We cannot be certain that our planned clinical trials or any future clinical trials will be successful. It is possible that the FDA may refuse to accept any or all of our planned NDAs for substantive review or may conclude after review of our data that our application is insufficient to obtain regulatory approval for any product candidates. If the FDA does not approve any of our planned NDAs, it may require that we conduct additional costly clinical trials, preclinical studies or manufacturing validation studies before it will reconsider our applications. Depending on the extent of these or any other FDA-required studies, approval of any NDA or other application that we submit may be significantly delayed, possibly for several years, or may require us to expend more resources than we have available. Any failure or delay in obtaining regulatory approvals would prevent us from commercializing our product candidates, generating revenues and achieving and sustaining profitability. It is also possible that additional studies, if performed and completed, may not be considered sufficient by the FDA to approve any NDA or other application that we submit. If any of these outcomes occur, we may be forced to abandon the development of our product candidates, which would materially adversely affect our business and could potentially cause us to cease operations. We face similar risks for our applications in foreign jurisdictions.</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completing, or ultimately be unable to complete, the development and commercialization of our product candidates.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 The outcome of preclinical studies and early-stage clinical trials may not be predictive of the success of later clinical trials.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we are substantially dependent on preclinical, clinical and quality data generated by CROs and other third parties for regulatory submissions for our product candidates. While we have or will have agreements governing these third parties’ services, we have limited influence over their actual performance. If these third parties do not make data available to us, or, if applicable, make regulatory submissions in a timely manner, in each case pursuant to our agreements with them, our development programs may be significantly delayed, and we may need to conduct additional studies or collect additional data independently. In either case, our development costs would increase, perhaps substantially.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do not know whether our future clinical trials will begin on time or enroll patients on time, or whether our future clinical trials will be completed on schedule or at all. Clinical trials can be delayed for a variety of reasons, including delays related to:</w:t>
      </w:r>
    </w:p>
    <w:p>
      <w:pPr>
        <w:spacing w:after="0" w:line="176" w:lineRule="exact"/>
        <w:rPr>
          <w:sz w:val="20"/>
          <w:szCs w:val="20"/>
          <w:color w:val="auto"/>
        </w:rPr>
      </w:pPr>
    </w:p>
    <w:p>
      <w:pPr>
        <w:ind w:left="60" w:right="79" w:hanging="10"/>
        <w:spacing w:after="0" w:line="282" w:lineRule="auto"/>
        <w:tabs>
          <w:tab w:leader="none" w:pos="1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disagreeing as to the design or implementation of our clinical studies;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2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authorizations to commence a trial or reaching a consensus with regulatory authorities on trial design;</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from one or more institutional review boards, or IRBs;</w:t>
      </w:r>
    </w:p>
    <w:p>
      <w:pPr>
        <w:spacing w:after="0" w:line="21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•IRBs refusing to approve, suspending or terminating the trial at an investigational site, precluding enrollment of additional subjects, or withdrawing their approval of the trial;</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•delays in enrollment due to travel or quarantine policies, or other factors related to COVID-19 and its variants, other pandemics or other events outside our control;</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•changes to clinical trial protocol;</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•clinical sites deviating from trial protocol or dropping out of a trial;</w:t>
      </w:r>
    </w:p>
    <w:p>
      <w:pPr>
        <w:spacing w:after="0" w:line="23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•manufacturing sufficient quantities of product candidates or obtaining sufficient quantities of combination therapies for use in clinical trials;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•subjects failing to enroll or remain in our trial at the rate we expect, or failing to return for post-treatment follow-up;</w:t>
      </w:r>
    </w:p>
    <w:p>
      <w:pPr>
        <w:spacing w:after="0" w:line="23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•subjects choosing an alternative treatment for the indication for which we are developing our product candidates, or participating in competing clinical trials;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•lack of adequate funding to continue the clinical trial;</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•occurrence of serious adverse events in trials of the same class of agents conducted by other companies;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•selection of clinical end points that require prolonged periods of clinical observation or analysis of the resulting data;</w:t>
      </w:r>
    </w:p>
    <w:p>
      <w:pPr>
        <w:spacing w:after="0" w:line="23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 facility manufacturing our product candidates or any of their components being ordered by the FDA or comparable foreign regulatory authorities to temporarily or permanently shut down due to violations of current good manufacturing practice, or cGMP, regulations or other applicable requirements, or infections or cross-contaminations of product candidates in the manufacturing process;</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3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•third-party contractors not performing data collection or analysis in a timely or accurate manner; or</w:t>
      </w:r>
    </w:p>
    <w:p>
      <w:pPr>
        <w:spacing w:after="0" w:line="23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9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 instance, due to supply chain constraints and the impact of follow-on effects due to such constraints, we have had to move our previously announced planned enrollment of the first patient in our first-in-human Phase 1 clinical trial of IMM-1-104 for the treatment of advanced solid tumors in patients harboring RAS mutant tumors in the fourth quarter of 2022 from the first half of 2022 as previously expected, assuming our IND for IMM-1-104 is accepted. In addition, the ongoing pandemic related to COVID-19 and its variants and the measures taken by the governmental authorities could disrupt the supply chain and the manufacture or shipment of drug substances and finished drug products for our product candidates for use in our research and clinical trials, delay, limit or prevent our employees and CROs from continuing research and development activities, impede the ability of patients to enroll or continue in clinical trials, or impede testing, monitoring, data collection and analysis or other related activities, any of which could delay our clinical trials and increase our development costs, and have a material adverse effect on our business, financial condition and results of operations.</w:t>
      </w:r>
    </w:p>
    <w:p>
      <w:pPr>
        <w:spacing w:after="0" w:line="194"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3"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Additionally, if the results of our clinical trials are inconclusive or if there are safety concerns or serious adverse events associated with our product candidates, we may:</w:t>
      </w:r>
    </w:p>
    <w:p>
      <w:pPr>
        <w:spacing w:after="0" w:line="162" w:lineRule="exact"/>
        <w:rPr>
          <w:sz w:val="20"/>
          <w:szCs w:val="20"/>
          <w:color w:val="auto"/>
        </w:rPr>
      </w:pPr>
    </w:p>
    <w:p>
      <w:pPr>
        <w:ind w:left="160" w:hanging="110"/>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if at all;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perform additional clinical trials to support approval or be subject to additional post-marketing testing requirements;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approval of the drug or impose restrictions on its distribution in the form of a modified REMS;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the addition of labeling statements, such as warnings or contraindications;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sued; or</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damage to our reputation.</w:t>
      </w:r>
    </w:p>
    <w:p>
      <w:pPr>
        <w:spacing w:after="0" w:line="23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development costs will also increase if we experience delays in testing or obtaining marketing approvals. We do not know whether any of our preclinical studies or clinical trials will begin as planned, need to be restructured or be completed on schedule, if at all. Any delay in, or termination of, our clinical trials will delay the submission of an NDA to the FDA or similar applications with comparable foreign regulatory authorities and, ultimately, our ability to commercialize our product candidates, if approved, and generate product revenue. Even if our clinical trials are completed as planned, we cannot be certain that their results will support our claims for differentiation or the effectiveness or safety of our product candidate. The FDA has substantial discretion in the review and approval process and may disagree that our data support the claims we propose.</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outcome of preclinical studies and early clinical trials may not be predictive of the success of later clinical trials, and the results of our clinical trials may not satisfy the requirements of the FDA or other comparable foreign regulatory authorities.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any of our product candidates, we will be required to demonstrate with substantial evidence through well-controlled clinical trials that our product candidates are safe and effective for their intended uses. Clinical testing is expensive and can take many years to complete, and its outcome is inherently uncertain. Failure can occur at any time during the clinical trial process. Success in preclinical studies and early-stage clinical trials does not mean that future clinical trials will be successful. We do not know whether any of our product candidates will perform in current or future clinical trials as they have performed in preclinical studies. Product candidates in later-stage clinical trials may fail to demonstrate sufficient safety and efficacy to the satisfaction of the FDA or other comparable foreign regulatory authorities despite having progressed through preclinical studies and early-stage clinical trials.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our product candidates. Most product candidates that begin clinical trials are never approved by regulatory authorities for commercialization.</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have limited experience in designing clinical trials and may be unable to design and execute a clinical trial to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seriously harm our business.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Moreover, preclinical and clinical data are often susceptible to varying interpretations and analyses and many companies that believed their product candidates performed satisfactorily in preclinical studies and clinical trials nonetheless failed to obtain FDA or comparable foreign regulatory authority approval. We cannot guarantee that the FDA or comparable foreign regulatory authorities will interpret trial results as we do, and more trials could be required before we are able to submit applications seeking approval of our product candidates. To the extent that the results of the trials are not satisfactory to the FDA or comparable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our product candidates.</w:t>
      </w:r>
    </w:p>
    <w:p>
      <w:pPr>
        <w:spacing w:after="0" w:line="18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top-line, preliminary or interim data and final data could significantly harm our business prospects. Further, disclosure of interim data by us or by our competitors could result in volatility in the trading price of our Class A common stock.</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Moreover, such disclosure could adversely affect the trading price of our Class A common stock.</w:t>
      </w:r>
    </w:p>
    <w:p>
      <w:pPr>
        <w:spacing w:after="0" w:line="18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is the case with pharmaceuticals generally, it is likely that there may be side effects and adverse events associated with the use of our product candidates. Results of our preclinical studies and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unexpected characteristics in preclinical studies or clinical trials when used alone or in combination with approved or other investigational products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the trial, or result in potential product liability claims. Any of these occurrences may prevent us from achieving or maintaining market acceptance of the affected product candidate and may harm our business, financial condition and prospects significantly.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Patients in our clinical trials may in the future suffer significant adverse events or other side effects not observed in our preclinical studies or previous clinical trials. Some of our product candidates may be used as chronic therapies or be used in pediatric populations, for which safety concerns may be particularly scrutinized by regulatory agencies. In addition, if our product candidates are used in combination with other therapies, our product candidates may exacerbate adverse events associated with the therapy. Patients treated with our product candidates may also be undergoing surgical, radiation and chemotherapy 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significant adverse events or other side effects are observed in any of our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harm our business, financial condition and prospects.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risks for each potential patient, which may include, among other things, a communication plan to health care practitioners, patient education, extensive patient monitoring or distribution systems and processes that are highly controlled, restrictive and costlier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 Other potentially significant negative consequences include that:</w:t>
      </w:r>
    </w:p>
    <w:p>
      <w:pPr>
        <w:spacing w:after="0" w:line="187" w:lineRule="exact"/>
        <w:rPr>
          <w:sz w:val="20"/>
          <w:szCs w:val="20"/>
          <w:color w:val="auto"/>
        </w:rPr>
      </w:pPr>
    </w:p>
    <w:p>
      <w:pPr>
        <w:ind w:left="60" w:right="79" w:hanging="10"/>
        <w:spacing w:after="0" w:line="282" w:lineRule="auto"/>
        <w:tabs>
          <w:tab w:leader="none" w:pos="19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suspend marketing of that product, or be forced to or decide to remove the product form the marketplace;</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change their approvals of that product in one or more countries;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limit access of that product to selective</w:t>
      </w:r>
    </w:p>
    <w:p>
      <w:pPr>
        <w:spacing w:after="0" w:line="27" w:lineRule="exact"/>
        <w:rPr>
          <w:sz w:val="20"/>
          <w:szCs w:val="20"/>
          <w:color w:val="auto"/>
        </w:rPr>
      </w:pPr>
    </w:p>
    <w:p>
      <w:pPr>
        <w:ind w:left="60" w:right="59"/>
        <w:spacing w:after="0" w:line="260" w:lineRule="auto"/>
        <w:rPr>
          <w:sz w:val="20"/>
          <w:szCs w:val="20"/>
          <w:color w:val="auto"/>
        </w:rPr>
      </w:pPr>
      <w:r>
        <w:rPr>
          <w:rFonts w:ascii="Times New Roman" w:cs="Times New Roman" w:eastAsia="Times New Roman" w:hAnsi="Times New Roman"/>
          <w:sz w:val="18"/>
          <w:szCs w:val="18"/>
          <w:color w:val="auto"/>
        </w:rPr>
        <w:t>specialized centers with additional safety reporting and with requirements that patients be geographically close to these centers for all or part of their treatment;</w:t>
      </w:r>
    </w:p>
    <w:p>
      <w:pPr>
        <w:spacing w:after="0" w:line="195" w:lineRule="exact"/>
        <w:rPr>
          <w:sz w:val="20"/>
          <w:szCs w:val="20"/>
          <w:color w:val="auto"/>
        </w:rPr>
      </w:pPr>
    </w:p>
    <w:p>
      <w:pPr>
        <w:ind w:left="60" w:right="59" w:hanging="10"/>
        <w:spacing w:after="0" w:line="282" w:lineRule="auto"/>
        <w:tabs>
          <w:tab w:leader="none" w:pos="19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the product for patients, or to conduct post-marketing studies;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fines, injunctions, or the imposition of criminal or civil penalties, or to be sued and held liable for harm caused to subjects or patients;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 and our reputation may suffer.</w:t>
      </w:r>
    </w:p>
    <w:p>
      <w:pPr>
        <w:spacing w:after="0" w:line="23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our product candidates if we are unable to locate and enroll a sufficient number of eligible patients to participate in these trials to such trial’s conclusion as required by the FDA or other comparable foreign regulatory authorities. Additionally, our clinical trials will compete with other clinical trials for product candidates that focusing on the same therapeutic targets (e.g., evaluating patients harboring RAS mutant tumors) as our current and potential future product candidates, which may further limit enrollment of eligible patients or may result in slower enrollment than we anticipate. The eligibility criteria of our clinical trials, once established, may further limit the pool of available trial participants.</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Patient enrollment may also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for any of our clinical trials may be affected by other factors, including:</w:t>
      </w:r>
    </w:p>
    <w:p>
      <w:pPr>
        <w:spacing w:after="0" w:line="180" w:lineRule="exact"/>
        <w:rPr>
          <w:sz w:val="20"/>
          <w:szCs w:val="20"/>
          <w:color w:val="auto"/>
        </w:rPr>
      </w:pPr>
    </w:p>
    <w:p>
      <w:pPr>
        <w:ind w:left="160" w:hanging="110"/>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and nature of the patient population;</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efficacy of approved drugs for the disease under investigation;</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eligibility criteria for the trial in question as defined in the protocol;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under study;</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8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patients;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enrollment of prospective patients by clinical trial sites;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 or, because they may be late-stage cancer patients, will not survive the full terms of the clinical trials; and</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6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enrollment and completion of studies due to the pandemic related to COVID-19 and its variants or any future pandemic.</w:t>
      </w:r>
    </w:p>
    <w:p>
      <w:pPr>
        <w:spacing w:after="0" w:line="175"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enrollment of such patients in our clinical trials.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approved, our product candidates may not achieve adequate market acceptance among physicians, patients, healthcare payors and others in the medical community necessary for commercial success.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The degree of market acceptance of any of our approved product candidates will depend on a number of factors, including:</w:t>
      </w:r>
    </w:p>
    <w:p>
      <w:pPr>
        <w:spacing w:after="0" w:line="176" w:lineRule="exact"/>
        <w:rPr>
          <w:sz w:val="20"/>
          <w:szCs w:val="20"/>
          <w:color w:val="auto"/>
        </w:rPr>
      </w:pPr>
    </w:p>
    <w:p>
      <w:pPr>
        <w:ind w:left="160" w:hanging="110"/>
        <w:spacing w:after="0"/>
        <w:tabs>
          <w:tab w:leader="none" w:pos="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as demonstrated in clinical trials compared to alternative treatments;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use of our product candidates, such as boxed warnings or contraindications in labeling, or a REMS, if any, which may not be required of alternative treatments and competitor products;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product candidates over alternative treatments;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59" w:hanging="10"/>
        <w:spacing w:after="0" w:line="282" w:lineRule="auto"/>
        <w:tabs>
          <w:tab w:leader="none" w:pos="17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as well as pricing, by third-party payors, including government authorities;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the approved product candidate for use as a combination therapy;</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w:t>
      </w:r>
    </w:p>
    <w:p>
      <w:pPr>
        <w:spacing w:after="0" w:line="26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our products or product candidates or similar approved products or product candidates in development by third parties;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other new therapies for the same indications.</w:t>
      </w:r>
    </w:p>
    <w:p>
      <w:pPr>
        <w:spacing w:after="0" w:line="23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is approved but does not achieve an adequate level of acceptance by physicians, hospitals, healthcare payors and patients, we may not generate or derive sufficient revenue from that product candidate and our financial results could be negatively impacted.</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U.S. or foreign regulatory approvals and, as a result, may be unable to commercialize our product candidates.</w:t>
      </w:r>
    </w:p>
    <w:p>
      <w:pPr>
        <w:spacing w:after="0" w:line="159"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Rigorous preclinical testing and clinical trials and an extensive regulatory approval 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any product candidate we may develop will progress through required clinical testing and obtain the regulatory approvals necessary for us to begin selling them.</w:t>
      </w:r>
    </w:p>
    <w:p>
      <w:pPr>
        <w:spacing w:after="0" w:line="17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and its foreign counterparts use when evaluating clinical trial data can and often changes during drug development, which makes it difficult to predict with any certainty how they will be applied. We may also encounter unexpected delays or increased costs due to new government regulations, including future legislation or administrative action, or changes in FDA policy during the period of drug development, clinical trials and FDA regulatory review.</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4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product candidates is unproven, and we may not be successful in our efforts to use and expand our DCT platform to build a pipeline of product candidates with commercial value.</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 key element of our strategy is to use and expand our DCT platform to build a pipeline of product candidates and progress these product candidates through clinical development for the treatment of various cancers. Although our research and development efforts to date have resulted in our discovery and preclinical development of IMM-1-104, it and other product candidates may not be safe or effective for the indications for which we study them in clinical trials, and we may not be able to develop any other product candidates. Our DCT platform is evolving and may not reach a state at which building a pipeline of product candidates is possible.</w:t>
      </w:r>
    </w:p>
    <w:p>
      <w:pPr>
        <w:spacing w:after="0" w:line="201"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not commenced clinical trials for any product candidates developed with our DCT platform. The scientific research that forms the basis of our efforts to develop product candidates with our platforms is still ongoing. Further, the scientific evidence to support the feasibility of developing therapeutic treatments based on our DCT platform is both preliminary and limited. As a result, we are exposed to a number of unforeseen risks and it is difficult to predict the types of challenges and risks that we may encounter during development of our product candidates. For example, we have not tested any of the product candidates being developed using our DCT platform in humans, and our current data is limited to animal models and preclinical cell lines, the results of which may not translate into humans. As a result, it is possible that safety events or concerns could negatively affect the development of our product candidates, including adversely affecting patient enrollment among the patient populations that we intend to treat.</w:t>
      </w:r>
    </w:p>
    <w:p>
      <w:pPr>
        <w:spacing w:after="0" w:line="20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Given the novelty of our technologies, we intend to work closely with the FDA and comparable foreign regulatory authorities to perform the requisite scientific analyses and evaluation of our methods to obtain regulatory approval for our product candidates; however, due to a lack of comparable experiences, the regulatory pathway with the FDA and comparable regulatory authorities may be more complex and time-consuming relative to other more well-known therapeutics. Even if we obtain human data to support our product candidates, the FDA or comparable foreign regulatory agencies may lack experience in evaluating the safety and efficacy of our product candidates developed using our platforms, which could result in a longer than expected regulatory review process, increase our expected development costs, and delay or prevent commercialization of our product candidates. The validation process takes time and resources, may require independent third-party analyses, and may not be accepted or approved by the FDA and comparable foreign regulatory authorities. We cannot be certain that our approach will lead to the development of approvable or marketable products, alone or in combination with other therapies.</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Additionally, a key element of our strategy is to use and expand our platforms to build a pipeline of product candidates and progress those product candidates through clinical development for the treatment of a variety of different types of diseases. Although our research and development efforts to date have been focused on identifying a pipeline of product candidates directed at various disease types, we may not be able to develop product candidates that are safe and effective. Even if we are successful in building our pipeline, the potential product candidates that we identify may not be suitable for clinical development, including as a result of being shown to have harmful side effects or other characteristics that indicate that they are unlikely to be approvable or marketable products that will receive marketing approval and achieve market acceptance. If we do not continue to successfully develop, get approval for and begin to commercialize any product candidates, we will face difficulty in obtaining product revenue in future periods, which could result in significant harm to our financial position and adversely affect our share price.</w:t>
      </w:r>
    </w:p>
    <w:p>
      <w:pPr>
        <w:spacing w:after="0" w:line="20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marketing approval from the FDA or other regulatory authorities or achieve market acceptance. If we do not successfully develop and commercialize product candidates, we will not be able to generate product revenue in the future, which likely would result in significant harm to our financial position and adversely affect our stock price.</w:t>
      </w:r>
    </w:p>
    <w:p>
      <w:pPr>
        <w:spacing w:after="0" w:line="1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develop our current and future product candidates in combination with other therapies, which exposes us to additional risks.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may also develop certain product candidates as biologic/drug combination products. Additional time may be required to obtain regulatory approval for our product candidates if they are combination products. Our product candidates that may be biologic/drug combination products will require coordination within the FDA and other comparable foreign regulatory authorities for review of their biologic and drug components. Although the FDA and other comparable foreign regulatory authorities have systems in place for the review and approval of combination products, we may experience delays in the development and commercialization of our product candidates that may be combination products due to regulatory timing constraints and uncertainties in the product development and approval process.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even if any product candidate we develop were to receive marketing approval or be commercialized for use in combination with other existing therapies, we would continue to be subject to the risks that the FDA or comparable foreign regulatory authorities outside of the United States could revoke approval of the therapy used in combination with our product or that safety, efficacy, manufacturing or supply issues could arise with any of those existing therapies. If the therapies we use in combination with our product candidates are replaced as the standard of care for the indications we choose for any of our product candidates, the FDA or comparable foreign regulatory authorities may require us to conduct additional clinical trials. The occurrence of any of these risks could result in our own products, if approved, being removed from the market or being less successful commercially.</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also may choose to evaluate our current product candidates or any other future product candidates in combination with one or more cancer therapies that have not yet been approved for marketing by the FDA or comparable foreign regulatory authorities. We will not be able to market and sell our product candidates we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our product candidates currently in development and clinical trials, including the potential for serious adverse effects, delay in their clinical trials and lack of FDA approval.</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If the FDA or comparable foreign regulatory authorities do not approve these other drugs or revoke their approval of, or if safety, efficacy, quality, manufacturing or supply issues arise with, the drugs we choose to evaluate in combination with our product candidate we develop, we may be unable to obtain approval of or market such combination therapy.</w:t>
      </w:r>
    </w:p>
    <w:p>
      <w:pPr>
        <w:spacing w:after="0" w:line="172"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If we successfully develop our product candidates, we may seek approval from the FDA through the use of accelerated approval pathways. If we are unable to obtain such approval, we may be required to conduct additional preclinical studies or clinical trials beyond those that we initially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8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may in the future seek an accelerated approval for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such post-approval studies fail to confirm the drug’s clinical benefit, the FDA may withdraw its approval of the drug.</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therapeutic platforms and product candidates that we identify for specific indications. As a result, we may forego or delay pursuit of opportunities with other therapeutic platforms or product candidates or for other indications that later prove to have greater commercial potential or a greater likelihood of success than our product candidates. Our resource allocation decisions may cause us to fail to capitalize on viable commercial products or profitable market opportunities. Our spending on current and future research and development programs, therapeutic platforms and product candidates for specific indications may not yield any commercially viable products.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early in our development efforts. Our business is substantially dependent on the successful development of our current and future product candidates. If we are unable to advance our current or future product candidates through clinical trials, obtain marketing approval to treat the indications we seek to treat with our product candidates, and ultimately commercialize any product candidates we develop, or experience significant delays in doing so, our business will be materially harmed.</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early in our development efforts and we have not yet completed our IND-enabling studies for our lead product candidate, IMM-1-104. Our other product candidates are in earlier stages of drug development. We have invested substantially all of our efforts and financial resources in the identification of targets and preclinical development of small molecules targeting the MAPK and mTOR pathways in cancer therapy and small molecules targeting central nervous system disorders, including AD.</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clinical development and commercial production, building of a commercial organization, and substantial investment and significant marketing efforts before we generate any revenues from product sales.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success of our current and future product candidates will depend on several factors, including the following:</w:t>
      </w:r>
    </w:p>
    <w:p>
      <w:pPr>
        <w:spacing w:after="0" w:line="225" w:lineRule="exact"/>
        <w:rPr>
          <w:sz w:val="20"/>
          <w:szCs w:val="20"/>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and timely completion of additional preclinical studies;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initiation, patient enrollment and completion of our anticipated clinical trials on a timely basis, including any delays arising out of the pandemic related to COVID-19 and its variants or any future pandemic;</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establishing relationships with CROs and clinical sites for clinical development, both in the United States and internationally;</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 in the clinical trials;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20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tolerability profiles that are satisfactory to the FDA or any comparable foreign regulatory authority for marketing approval;</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receipt of marketing approvals from applicable regulatory authorities;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extent of any required post-marketing approval commitments to applicable regulatory authorities;</w:t>
      </w:r>
    </w:p>
    <w:p>
      <w:pPr>
        <w:spacing w:after="0" w:line="239" w:lineRule="exact"/>
        <w:rPr>
          <w:sz w:val="20"/>
          <w:szCs w:val="20"/>
          <w:color w:val="auto"/>
        </w:rPr>
      </w:pPr>
    </w:p>
    <w:p>
      <w:pPr>
        <w:ind w:left="60" w:right="59" w:hanging="10"/>
        <w:spacing w:after="0" w:line="282" w:lineRule="auto"/>
        <w:tabs>
          <w:tab w:leader="none" w:pos="17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supply arrangements with third-party drug product suppliers and manufacturers for clinical development;</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existing, or the establishment of new, scaled production arrangements with third-party manufacturers to obtain finished products that are appropriate for commercial sale of our product candidates, if approved;</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protection, trade secret protection and regulatory exclusivity, both in the United States and internationally;</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our rights in our intellectual property portfolio;</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launch of commercial sales following any marketing approval;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following any marketing approval;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by patients, the medical community and third-party payors; and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therapies.</w:t>
      </w:r>
    </w:p>
    <w:p>
      <w:pPr>
        <w:spacing w:after="0" w:line="23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IMM-1-104, or any other product candidate we develop, we may not be able to continue our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substantially dependent on our platform, including our proprietary technologies such as DCT and Fluency, which are supported by our information technology systems. Any failure of these or other elements of our platform will materially harm our business.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our platform, including our proprietary technologies such as DCT and Fluency, which are supported by our information technology systems, for significant elements of our drug discovery process, bioinformatics and computational biology software systems, database of information relating to our product candidates and their role in the targeted disease process, amongst others. Although we invest substantially in the backup/restore, high-availability architecture, monitoring and reporting, documentation and preventive security controls of our systems and proprietary technologies, these elements of our platform are still vulnerable to damage from a variety of sources, including telecommunications or network failures, malicious or inadvertent human acts, and natural disasters. Our information technology systems and proprietary technologies are potentially also vulnerable to physical or electronic break-ins, employee errors, computer viruses and similar disruptive problems. Despite the precautionary measures we have taken to prevent unanticipated problems that could affect our information technology systems and proprietary technologies, failures or significant downtime of these systems could prevent us from conducting research and development activities for our current and future product candidates, and ultimately delay our drug discovery process. Any failure of our information technology systems and proprietary technologies will materially harm our business.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product candidates, which may fail in development or suffer delays that adversely affect their commercial viability.</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future results of operations are dependent on our ability to successfully discover, develop, obtain regulatory approval for and commercialize product candidates beyond those we currently have in preclinical studies and early stage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 variables. The results from preclinical studies or early clinical trials of a product candidate may not be predictive of the results that will be obtained in later stage clinical trials of the product candidate.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success of the product candidates we have or may develop will depend on many factors, including the following:</w:t>
      </w:r>
    </w:p>
    <w:p>
      <w:pPr>
        <w:spacing w:after="0" w:line="225" w:lineRule="exact"/>
        <w:rPr>
          <w:sz w:val="20"/>
          <w:szCs w:val="20"/>
          <w:color w:val="auto"/>
        </w:rPr>
      </w:pPr>
    </w:p>
    <w:p>
      <w:pPr>
        <w:ind w:left="160" w:hanging="110"/>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research methodology in identifying potential indications or product candidates;</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the product candidate for use in clinical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the clinical trials; and</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potential interruptions or delays resulting from factors related to the pandemic related to COVID-19 and its variants or any future pandemic.</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never commercialized a product candidate, and we currently have no sales force, marketing or distribution capabilities. We will have to develop our own sales, marketing and supply organization or outsource these activities to a third party to commercialize our products. If we decide to license our product candidate to others, we may need to rely on the marketing assistance and guidance of those collaborators.</w:t>
      </w:r>
    </w:p>
    <w:p>
      <w:pPr>
        <w:spacing w:after="0" w:line="180"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will be expensive and time-consuming and could delay the launch of our product candidates. We may not be able to build an effective sales and marketing organization.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67"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may attempt to develop product candidates. In addition, our products may need to compete with off-label drugs used by physicians to treat the indications for which we seek approval. This may make it difficult for us to replace existing therapies with our products.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particular, there is intense competition in the fields of oncology we are pursuing. We have competitors both in the United States and internationally, including major multinational biopharmaceutical companies, established biotechnology companies, specialty biopharmaceutical companies, emerging and start-up companies, universities and other research institutions. For example, our product candidates and programs for oncology and neuroscience will compete with products or programs being advanced by certain pharmaceutical and biotechnology companies.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chosen to initially address well-validated biochemical targets, and therefore expect to face competition from existing products and products in development for each of our product candidates. There are a large number of companies developing or marketing treatments for cancer, including many major pharmaceutical and biotechnology companies. Many of these current and potential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and experience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FDA or other comparable foreign regulatory authorities or in discovering, developing and commercializing products in our field before we do.</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commercial opportunities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marketing approval from the FDA or other comparable foreign regulatory authorities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opportunity for any product candidate that we develop is smaller than we believe, our revenue may be adversely affected and our business may suffer.</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intend to initially focus our product candidate development on treatments for various oncology indications. Our projections of addressable patient populations that may benefit from treatment with our product candidates are based on our estimates. These estimates, which have been derived from a variety of sources, including scientific literature, surveys of clinics,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prove to be inaccurate, the market opportunity for any product candidate that we develop could be significantly diminished and have an adverse material impact on our business.</w:t>
      </w:r>
    </w:p>
    <w:p>
      <w:pPr>
        <w:spacing w:after="0" w:line="18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obtained marketing approval for a product candidate and we may be unable to obtain, or may be delayed in obtaining, marketing approval for any product candidate.</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never obtained marketing approval for a product candidate. It is possible that the FDA may refuse to accept for substantive review any NDAs that we submit for our product candidates or may conclude after review of our data that our applications are insufficient to obtain marketing approval of our product candidates. We believe our approach of treating conditions or diseases through neuroregeneration is novel and, as a result, the process for, and the outcome of, FDA approval is especially uncertain. If the FDA does not accept or approve our NDAs for our product candidates, it may require that we conduct additional clinical, preclinical, or manufacturing validation studies and submit that data before it will reconsider our applications. Depending on the extent of these or any other FDA-required studies, approval of any NDA that we submit may be delayed or may require us to expend more resources than we have available. It is also possible that additional studies, if performed and completed, may not be considered sufficient by the FDA to approve our NDAs.</w:t>
      </w:r>
    </w:p>
    <w:p>
      <w:pPr>
        <w:spacing w:after="0" w:line="18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delay in obtaining, or an inability to obtain, marketing approvals would prevent us from commercializing our product candidates, generating revenues, and achieving and sustaining profitability. If any of these outcomes occur, we may be forced to abandon our development efforts for our product candidates, which could significantly harm our business.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and potential future pandemics could continue to adversely impact our business, including our anticipated clinical trials, supply chain and business development activities.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December 2019, SARS-CoV-2, a novel strain of coronavirus, was first reported in Wuhan, China and has since become a global pandemic. The President of the United States declared the COVID-19 pandemic a national emergency and many states and municipalities in the United States have announced aggressive actions to reduce the spread of the disease, including limiting non-essential gatherings of people, ceasing all non-essential travel, ordering certain businesses and government agencies to cease non-essential operations at physical locations and issuing “shelter-in-place” orders which direct individuals to shelter at their places of residence (subject to limited exceptions). We may experience limitations 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employee resources in the future, including because of sickness of employees or their families. The effects of government actions and our own policies and those of third parties to reduce the spread of COVID-19 and its variants may negatively impact productivity and slow down or delay our future clinical trials, preclinical studies and research and development activities, and may cause disruptions to our supply chain and impair our ability to execute our business development strategy. In the event that government authorities were to enhance current restrictions, our employees who currently are not telecommuting may no longer be able to access our facilities, and our operations may be further limited or curtailed.</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COVID-19 and its variants continues to spread, we may experience ongoing disruptions that could severely impact our business, preclinical studies and clinical trials, including:</w:t>
      </w:r>
    </w:p>
    <w:p>
      <w:pPr>
        <w:spacing w:after="0" w:line="162" w:lineRule="exact"/>
        <w:rPr>
          <w:sz w:val="20"/>
          <w:szCs w:val="20"/>
          <w:color w:val="auto"/>
        </w:rPr>
      </w:pPr>
    </w:p>
    <w:p>
      <w:pPr>
        <w:ind w:left="60" w:right="59" w:hanging="10"/>
        <w:spacing w:after="0" w:line="282" w:lineRule="auto"/>
        <w:tabs>
          <w:tab w:leader="none" w:pos="1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our operations, which may impact our ability to conduct and produce preclinical results required for submission of an IND;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patients in our clinical trials;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 including interruption in global shipping that may affect the transport of clinical trial materials;</w:t>
      </w:r>
    </w:p>
    <w:p>
      <w:pPr>
        <w:spacing w:after="0" w:line="161"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9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pandemic related to COVID-19 and its variants which may require us to change the ways in which our clinical trials are conducted, which may result in unexpected costs, or to discontinue such clinical trials altogether;</w:t>
      </w:r>
    </w:p>
    <w:p>
      <w:pPr>
        <w:spacing w:after="0" w:line="189"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the occurrence of which could affect the integrity of clinical trial data;</w:t>
      </w:r>
    </w:p>
    <w:p>
      <w:pPr>
        <w:spacing w:after="0" w:line="189" w:lineRule="exact"/>
        <w:rPr>
          <w:rFonts w:ascii="Times New Roman" w:cs="Times New Roman" w:eastAsia="Times New Roman" w:hAnsi="Times New Roman"/>
          <w:sz w:val="18"/>
          <w:szCs w:val="18"/>
          <w:color w:val="auto"/>
        </w:rPr>
      </w:pPr>
    </w:p>
    <w:p>
      <w:pPr>
        <w:ind w:left="60" w:right="79" w:hanging="10"/>
        <w:spacing w:after="0" w:line="282" w:lineRule="auto"/>
        <w:tabs>
          <w:tab w:leader="none" w:pos="1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or other regulatory authorities, which may impact review and approval timelines;</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contract COVID-19 while the clinical trial is ongoing, which could impact the results of the clinical trial, including by increasing the number of observed adverse events;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from clinical trials in affected geographies.</w:t>
      </w:r>
    </w:p>
    <w:p>
      <w:pPr>
        <w:spacing w:after="0" w:line="23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These and other disruptions in our operations and the global economy could negatively impact our business, results of operations and financial condition. For example, due to supply chain constraints and the impact of follow-on effects due to such constraints, we had to move the timing of our recently announced plans to submit an IND for IMM-1-104 to the FDA, which are now expected to be in the third quarter of 2022, as well as the timing of our enrollment of the first patient in our first-in-human Phase 1 clinical trial of IMM-1-104 for the treatment of advanced solid tumors in patients harboring RAS mutant tumors in the fourth quarter of 2022, assuming our IND for IMM-1-104 is accepted.</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future clinical trials may be affected by the pandemic related to COVID-19 and its variants or any future pandemic. For example, some clinical trial sites have slowed down or stopped further enrollment of new patients in clinical trials, denied access to site monitors and otherwise curtailed certain operations. Similarly, our ability to recruit and retain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principal investigators and site staff who, as healthcare providers, may have heightened exposure to COVID-19 and its variants, may be adversely impacted. Our planned clinical trials may also be impacted by interruptions or delays in the operations of the FDA and comparable foreign regulatory agencies. We and our CROs will act in accordance with the guidance issued by the FDA in our future clinical trials to ensure the monitoring and safety of patients and minimize risks to trial integrity during the pandemic related to COVID-19 and its variants. This may have unforeseen effects on the enrollment, progress and completion of these trials and the findings. These events could delay our clinical trials, increase the cost of completing our clinical trials and negatively impact the integrity, reliability or robustness of the data from our clinical trials.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quarantines, shelter-in-place and similar government orders, or the perception that such orders, shutdowns or other restrictions on the conduct of business operations could occur, related to COVID-19 and its variants or other infectious diseases could impact personnel at third-party manufacturing facilities upon which we may rely in the future, or the availability or cost of materials, which could disrupt the supply chain for our product candidates. To the extent our future suppliers and service providers are unable to comply with their obligations under our future agreements with them or they are otherwise unable to deliver or are delayed in delivering goods and services to us due to the pandemic related to COVID-19 and its variants, our future ability to continue meeting clinical supply demand for our product candidates or otherwise advancing development of our product candidates may become impaired.</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spread of COVID-19 and its variants and actions taken to reduce its spread may also materially affect us economically. While the potential economic impact brought by, and the duration of, the pandemic related to COVID-19 and its variants may be difficult to assess or predict, there could be a significant disruption of global financial markets, reducing our ability to access capital, which could in the future negatively affect our liquidity and financial position. In addition, the trading prices for other biopharmaceutical companies have been highly volatile as a result of the pandemic related to COVID-19 and its variants. As a result, we may face difficulties raising capital through sales of our Class A common stock or such sales may be on unfavorable terms. COVID-19 and its variants and actions taken to reduce their spread continue to rapidly evolve. The extent to which COVID-19 and its variants may impede the development of our product candidates, reduce the productivity of our employees, disrupt our supply chains, delay our clinical trials, reduce our access to capital or limit our business development activities, will depend on future developments, which are highly uncertain and cannot be predicted with confidence. To the extent the pandemic related to COVID-19 and its variants adversely affects our business and financial results, it may also have the effect of heightening many of the other risks described in this “Risk Factors” section, such as those relating to the timing and results of our clinical trials and our financing needs</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adequately meet the requirements under our computational biology service contracts to pharmaceutical and biotechnology companies, which may harm our reputation, possibly resulting in related losses.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Over a decade ago, we began to offer computational biology services to pharmaceutical and biotechnology companies. We have deprioritized this business and plan to gradually wind down our computational biology services to pharmaceutical and biotechnology companies in the future. However, we are currently servicing several companies and in doing so, we must:</w:t>
      </w:r>
    </w:p>
    <w:p>
      <w:pPr>
        <w:spacing w:after="0" w:line="176" w:lineRule="exact"/>
        <w:rPr>
          <w:sz w:val="20"/>
          <w:szCs w:val="20"/>
          <w:color w:val="auto"/>
        </w:rPr>
      </w:pPr>
    </w:p>
    <w:p>
      <w:pPr>
        <w:ind w:left="160" w:hanging="110"/>
        <w:spacing w:after="0"/>
        <w:tabs>
          <w:tab w:leader="none" w:pos="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assess and meet the customer’s needs;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our computational biology services meet industry standards and practices for performance of similar services;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the proper personnel to fulfill these service contracts; and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compete effectively with other computational biology service providers performing similar services.</w:t>
      </w:r>
    </w:p>
    <w:p>
      <w:pPr>
        <w:spacing w:after="0" w:line="23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we fail to adequately meet the requirements under our computational biology service contracts to our typical high standards, our reputation, growth opportunities and prospects could be adversely affected, possibly resulting in related losses. In addition, as is typical for contracts of this nature, there are inherent legal risks and potential liabilities associated with our work under each of our past, present and future contracts.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Relating to Our Dependence on Third Parties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substantially rely, and expect to continue to rely, on third parties, including independent clinical investigators and CROs, to conduct certain aspects of our preclinical studies, and in the future, our clinical trials. If these third parties do not successfully carry out their contractual duties, comply with applicable regulatory requirements or meet expected deadlines, we may not be able to obtain regulatory approval for or commercialize our product candidates and our business could be substantially harmed.</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substantially rely, and expect to continue to rely, on third parties, including independent clinical investigators and third-party CROs, to conduct certain aspects of our preclinical studies and to monitor and manage data for our ongoing preclinical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our third-party contractors and CROs are required to comply with GCP requirements, which are regulations and guidelines enforced by the FDA and comparable foreign regulatory authorities for all of our products candidates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9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 there is no guarantee that any such CROs, investigators or other third parties on which we rely will devote adequate time and resources to our development activities or perform as contractually required. These risks are heightened as a result of the efforts of government agencies and the CROs themselves to limit the spread of COVID-19 and its variants, including quarantines and shelter-in-place orders.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our product candidates,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or precluded entirely.</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and in the future may rely on, third-party datasets and collaborations with third parties to inform patient selection, drug target identification and other bioinformatic and computational biology analyses for our existing product candidates and any future product candidates and for the supply of biomarker companion diagnostics.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using bioinformatics, including data analytics, biostatistics and computational biology, throughout our drug discovery and development process, including to identify new target and biomarker opportunities. As part of this approach, we interrogate public and proprietary datasets, including, but not limited to, human tumor genetic information and specific cancer-target dependency networks. We rely on these datasets and data analytics for multiple analyses, including identifying or validating some of our biomarker-target relationships and access to these databases may not continue to be available publicly or through a proprietary subscription on acceptable terms. Our past, present and future use of such datasets could also create potential liabilities for us if the data provided to us contains inherent errors, inaccuracies or artifacts, or if we improperly analyze, handle, store or utilize the data.</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Many of our product candidates also rely on the availability and use of commercially available tumor diagnostics panels or data on the prevalence of our target patient population to inform the patient selection and drug target identification for our product candidates. In cases where such biomarker diagnostic is not already commercially available, we expect to establish strategic collaborations for the clinical supply and development of companion diagnostics. If these diagnostics are not able to be developed, or if commercial tumor profiling panels are not able to be updated to include additional tumor-associated genes, or if clinical oncologists do not incorporate molecular or genetic sequencing into their clinical practice, we may not be successful in developing our existing product candidates or any future product candidates.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decide to establish new collaborations in the future, but are not able to establish those collaborations on commercially reasonable terms, we may have to alter our development and commercialization plans.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face significant competition in seeking appropriate collaborators and the related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there have been a significant number of recent business combinations among large biopharmaceutical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80"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If and when we seek to enter into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w:t>
      </w:r>
    </w:p>
    <w:p>
      <w:pPr>
        <w:sectPr>
          <w:pgSz w:w="11900" w:h="16838" w:orient="portrait"/>
          <w:cols w:equalWidth="0" w:num="1">
            <w:col w:w="9019"/>
          </w:cols>
          <w:pgMar w:left="1440" w:top="51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enter into collaborations in the future with third parties for the development and commercialization of product candidates. If those collaborations are not successful, we may not be able to capitalize on the market potential of these product candidates.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may seek third-party collaborators in the future for the development and commercialization of one or more of our product candidates. Our likely collaborators for any future collaboration arrangements include large and mid-size pharmaceutical companies, regional and national pharmaceutical companies and biotechnology companies. We will likely have limited control over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Collaborations involving our product candidates could pose numerous risks to us, including the following:</w:t>
      </w:r>
    </w:p>
    <w:p>
      <w:pPr>
        <w:spacing w:after="0" w:line="189" w:lineRule="exact"/>
        <w:rPr>
          <w:sz w:val="20"/>
          <w:szCs w:val="20"/>
          <w:color w:val="auto"/>
        </w:rPr>
      </w:pPr>
    </w:p>
    <w:p>
      <w:pPr>
        <w:ind w:left="60" w:right="59" w:hanging="10"/>
        <w:spacing w:after="0" w:line="282" w:lineRule="auto"/>
        <w:tabs>
          <w:tab w:leader="none" w:pos="22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 and may not perform their obligations as expected;</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1" w:lineRule="auto"/>
        <w:tabs>
          <w:tab w:leader="none" w:pos="1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193"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9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9" w:lineRule="exact"/>
        <w:rPr>
          <w:rFonts w:ascii="Times New Roman" w:cs="Times New Roman" w:eastAsia="Times New Roman" w:hAnsi="Times New Roman"/>
          <w:sz w:val="18"/>
          <w:szCs w:val="18"/>
          <w:color w:val="auto"/>
        </w:rPr>
      </w:pPr>
    </w:p>
    <w:p>
      <w:pPr>
        <w:jc w:val="both"/>
        <w:ind w:left="60" w:right="79" w:hanging="10"/>
        <w:spacing w:after="0" w:line="266" w:lineRule="auto"/>
        <w:tabs>
          <w:tab w:leader="none" w:pos="17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175"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multiple products may not commit sufficient resources to the marketing and distribution of our product relative to other products;</w:t>
      </w:r>
    </w:p>
    <w:p>
      <w:pPr>
        <w:spacing w:after="0" w:line="175" w:lineRule="exact"/>
        <w:rPr>
          <w:rFonts w:ascii="Times New Roman" w:cs="Times New Roman" w:eastAsia="Times New Roman" w:hAnsi="Times New Roman"/>
          <w:sz w:val="18"/>
          <w:szCs w:val="18"/>
          <w:color w:val="auto"/>
        </w:rPr>
      </w:pPr>
    </w:p>
    <w:p>
      <w:pPr>
        <w:jc w:val="both"/>
        <w:ind w:left="60" w:right="59" w:hanging="10"/>
        <w:spacing w:after="0" w:line="261" w:lineRule="auto"/>
        <w:tabs>
          <w:tab w:leader="none" w:pos="20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193" w:lineRule="exact"/>
        <w:rPr>
          <w:rFonts w:ascii="Times New Roman" w:cs="Times New Roman" w:eastAsia="Times New Roman" w:hAnsi="Times New Roman"/>
          <w:sz w:val="18"/>
          <w:szCs w:val="18"/>
          <w:color w:val="auto"/>
        </w:rPr>
      </w:pPr>
    </w:p>
    <w:p>
      <w:pPr>
        <w:jc w:val="both"/>
        <w:ind w:left="60" w:right="79" w:hanging="10"/>
        <w:spacing w:after="0" w:line="266" w:lineRule="auto"/>
        <w:tabs>
          <w:tab w:leader="none" w:pos="1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189" w:lineRule="exact"/>
        <w:rPr>
          <w:rFonts w:ascii="Times New Roman" w:cs="Times New Roman" w:eastAsia="Times New Roman" w:hAnsi="Times New Roman"/>
          <w:sz w:val="18"/>
          <w:szCs w:val="18"/>
          <w:color w:val="auto"/>
        </w:rPr>
      </w:pPr>
    </w:p>
    <w:p>
      <w:pPr>
        <w:ind w:left="60" w:right="59" w:hanging="10"/>
        <w:spacing w:after="0" w:line="282" w:lineRule="auto"/>
        <w:tabs>
          <w:tab w:leader="none" w:pos="20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 candidates;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hanging="10"/>
        <w:spacing w:after="0" w:line="282" w:lineRule="auto"/>
        <w:tabs>
          <w:tab w:leader="none" w:pos="1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collaborator of ours were to be involved in a business combination, the continued pursuit and emphasis on our drug development or commercialization program could be delayed, diminished or terminated.</w:t>
      </w:r>
    </w:p>
    <w:p>
      <w:pPr>
        <w:spacing w:after="0" w:line="17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and compliance laws and regulations, accurately report financial information or data or disclose unauthorized activities to us. In particular, sales, marketing and business arrangements in the health care industry are subject to extensive laws and regulations intended to prevent fraud, submission of false claims, misconduct, kickbacks, self-dealing and other abusive practices. These laws and regulations may restrict or prohibit a wide range of pricing, discounting/rebating, marketing and promotion, consulting,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Manufacturing</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adversely harm our business.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have an adverse effect on our business, financial condition, results of operations and growth prospects.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studies, and expect to continue to do so for clinical trials and ultimately, for commercialization of any approved product candidate.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We do not have long-term supply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80" w:lineRule="exact"/>
        <w:rPr>
          <w:sz w:val="20"/>
          <w:szCs w:val="20"/>
          <w:color w:val="auto"/>
        </w:rPr>
      </w:pPr>
    </w:p>
    <w:p>
      <w:pPr>
        <w:jc w:val="both"/>
        <w:ind w:left="60" w:right="59" w:hanging="10"/>
        <w:spacing w:after="0" w:line="266" w:lineRule="auto"/>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or termination of production or deliveries by suppliers, or the raising of prices or renegotiation of terms;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8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or nonrenewal of arrangements or agreements by our third-party contractors at a time that is costly or inconvenient for us;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breach by the third-party contractors of our agreements with them;</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third-party contractors to comply with applicable regulatory requirements;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 party to manufacture our product candidates according to our specifications;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mislabeling of clinical supplies, potentially resulting in the wrong dose amounts being supplied or active drug or placebo not being properly identified;</w:t>
      </w:r>
    </w:p>
    <w:p>
      <w:pPr>
        <w:spacing w:after="0" w:line="269" w:lineRule="exact"/>
        <w:rPr>
          <w:rFonts w:ascii="Times New Roman" w:cs="Times New Roman" w:eastAsia="Times New Roman" w:hAnsi="Times New Roman"/>
          <w:sz w:val="18"/>
          <w:szCs w:val="18"/>
          <w:color w:val="auto"/>
        </w:rPr>
      </w:pPr>
    </w:p>
    <w:p>
      <w:pPr>
        <w:ind w:left="60" w:right="159" w:hanging="10"/>
        <w:spacing w:after="0" w:line="282" w:lineRule="auto"/>
        <w:tabs>
          <w:tab w:leader="none" w:pos="1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67"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misappropriation of our proprietary information, including our trade secrets and know-how.</w:t>
      </w:r>
    </w:p>
    <w:p>
      <w:pPr>
        <w:spacing w:after="0" w:line="239" w:lineRule="exact"/>
        <w:rPr>
          <w:sz w:val="20"/>
          <w:szCs w:val="20"/>
          <w:color w:val="auto"/>
        </w:rPr>
      </w:pPr>
    </w:p>
    <w:p>
      <w:pPr>
        <w:jc w:val="both"/>
        <w:ind w:left="60" w:right="59"/>
        <w:spacing w:after="0" w:line="271" w:lineRule="auto"/>
        <w:rPr>
          <w:sz w:val="20"/>
          <w:szCs w:val="20"/>
          <w:color w:val="auto"/>
        </w:rPr>
      </w:pPr>
      <w:r>
        <w:rPr>
          <w:rFonts w:ascii="Times New Roman" w:cs="Times New Roman" w:eastAsia="Times New Roman" w:hAnsi="Times New Roman"/>
          <w:sz w:val="17"/>
          <w:szCs w:val="17"/>
          <w:color w:val="auto"/>
        </w:rPr>
        <w:t>We do not have complete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including due to the impact of the pandemic related to COVID-19 and its variants, we may be forced to manufacture the materials ourselves, for which we currently do not have the capabilities or resources, or enter into an agreement with another third-party,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In addition, certain of our product candidates and our own proprietary methods have never been produced or implemented outside of our company, and we may therefore experience delays to our development programs if and when we attempt to establish new third-party manufacturing arrangements for these product candidates or methods. These factors would increase our reliance on such manufacturer or require us to obtain a license from such manufacturer in order to have another third-party manufacture our product candidates. If we are required to or voluntarily change manufacturers for any reason, we will be required to verify that the new manufacturer maintains facilities and procedures that comply with quality standards and with all applicable regulations and guidelines and that the product produced is equivalent to that produced in a prior facility. The delays associated with the verification of a new manufacturer and equivalent product could negatively affect our ability to develop product candidates in a timely manner or within budget.</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Our or a third-party’s failure to execute on our manufacturing requirements, do so on commercially reasonable terms and timelines and comply with cGMP requirements could adversely affect our business in a number of ways, including:</w:t>
      </w:r>
    </w:p>
    <w:p>
      <w:pPr>
        <w:spacing w:after="0" w:line="162" w:lineRule="exact"/>
        <w:rPr>
          <w:sz w:val="20"/>
          <w:szCs w:val="20"/>
          <w:color w:val="auto"/>
        </w:rPr>
      </w:pPr>
    </w:p>
    <w:p>
      <w:pPr>
        <w:ind w:left="160" w:hanging="110"/>
        <w:spacing w:after="0"/>
        <w:tabs>
          <w:tab w:leader="none" w:pos="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meet our product specifications and quality requirements consistently;</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initiate or continue clinical trials of our product candidates under development;</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regulatory applications, or receiving marketing approvals, for our product candidates, if at all;</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commercialize any product candidates that receive marketing approval on a timely basis;</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future collaborators;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20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161"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our product candidates;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our product candidates, an inability to meet commercial demands for our product or any other future product candidates;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profit margins.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and government price reporting, which could expose us to, among other things, criminal sanctions, civil penalties, contractual damages, exclusion from governmental healthcare programs, reputational harm, administrative burdens and diminished profits and future earnings.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among others, the following:</w:t>
      </w:r>
    </w:p>
    <w:p>
      <w:pPr>
        <w:spacing w:after="0" w:line="187" w:lineRule="exact"/>
        <w:rPr>
          <w:sz w:val="20"/>
          <w:szCs w:val="20"/>
          <w:color w:val="auto"/>
        </w:rPr>
      </w:pPr>
    </w:p>
    <w:p>
      <w:pPr>
        <w:jc w:val="both"/>
        <w:ind w:left="60" w:right="59" w:hanging="10"/>
        <w:spacing w:after="0" w:line="256" w:lineRule="auto"/>
        <w:tabs>
          <w:tab w:leader="none" w:pos="2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The term “remuneration” has been broadly interpreted to include anything of value. A person or entity does not need to have actual knowledge of the federal Anti-Kickback Statute or specific intent to violate it in order to have committed a violation;</w:t>
      </w:r>
    </w:p>
    <w:p>
      <w:pPr>
        <w:spacing w:after="0" w:line="200" w:lineRule="exact"/>
        <w:rPr>
          <w:rFonts w:ascii="Times New Roman" w:cs="Times New Roman" w:eastAsia="Times New Roman" w:hAnsi="Times New Roman"/>
          <w:sz w:val="18"/>
          <w:szCs w:val="18"/>
          <w:color w:val="auto"/>
        </w:rPr>
      </w:pPr>
    </w:p>
    <w:p>
      <w:pPr>
        <w:jc w:val="both"/>
        <w:ind w:left="60" w:right="59" w:hanging="10"/>
        <w:spacing w:after="0" w:line="255" w:lineRule="auto"/>
        <w:tabs>
          <w:tab w:leader="none" w:pos="1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with potential liability including mandatory treble damages and significant per claim penalties per false claim or statement. In addition, the government may assert that a claim including items or services resulting from a violation of the U.S. federal Anti-Kickback Statute constitutes a false or fraudulent claim for purposes of the civil False Claims Act;</w:t>
      </w:r>
    </w:p>
    <w:p>
      <w:pPr>
        <w:spacing w:after="0" w:line="202" w:lineRule="exact"/>
        <w:rPr>
          <w:rFonts w:ascii="Times New Roman" w:cs="Times New Roman" w:eastAsia="Times New Roman" w:hAnsi="Times New Roman"/>
          <w:sz w:val="18"/>
          <w:szCs w:val="18"/>
          <w:color w:val="auto"/>
        </w:rPr>
      </w:pPr>
    </w:p>
    <w:p>
      <w:pPr>
        <w:jc w:val="both"/>
        <w:ind w:left="60" w:right="59" w:hanging="10"/>
        <w:spacing w:after="0" w:line="258" w:lineRule="auto"/>
        <w:tabs>
          <w:tab w:leader="none" w:pos="16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Statute on False Statements Relating to Healthcare Matters, which makes it a crime to knowingly and willfully falsify, conceal, or cover up a material fact, make any materially false, fictitious, or fraudulent statements or representations, or make or use any materially false writing or document knowing the same to contain any materially false, fictitious, or fraudulent statement or entry in connection with the delivery of or payment for healthcare benefits, items, or services;</w:t>
      </w:r>
    </w:p>
    <w:p>
      <w:pPr>
        <w:spacing w:after="0" w:line="183" w:lineRule="exact"/>
        <w:rPr>
          <w:rFonts w:ascii="Times New Roman" w:cs="Times New Roman" w:eastAsia="Times New Roman" w:hAnsi="Times New Roman"/>
          <w:sz w:val="18"/>
          <w:szCs w:val="18"/>
          <w:color w:val="auto"/>
        </w:rPr>
      </w:pPr>
    </w:p>
    <w:p>
      <w:pPr>
        <w:jc w:val="both"/>
        <w:ind w:left="60" w:right="59" w:hanging="10"/>
        <w:spacing w:after="0" w:line="261" w:lineRule="auto"/>
        <w:tabs>
          <w:tab w:leader="none" w:pos="17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authorizes the imposition of substantial civil monetary penalties against an entity, such as a pharmaceutical manufacturer, that engages in activities including, among others (1) knowingly presenting, or causing to be presented, a claim for services not provided as claimed or that is otherwise false or fraudulent in any way; (2) arranging for or contracting with an individual or entity that is excluded from participation in federal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healthcare programs to provide items or services reimbursable by a federal healthcare program; (3) violations of the federal Anti-Kickback Statute; or (4) failing to report and return a known overpayment;</w:t>
      </w:r>
    </w:p>
    <w:p>
      <w:pPr>
        <w:spacing w:after="0" w:line="175" w:lineRule="exact"/>
        <w:rPr>
          <w:sz w:val="20"/>
          <w:szCs w:val="20"/>
          <w:color w:val="auto"/>
        </w:rPr>
      </w:pPr>
    </w:p>
    <w:p>
      <w:pPr>
        <w:jc w:val="both"/>
        <w:ind w:left="60" w:right="79" w:hanging="10"/>
        <w:spacing w:after="0" w:line="261" w:lineRule="auto"/>
        <w:tabs>
          <w:tab w:leader="none" w:pos="20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06" w:lineRule="exact"/>
        <w:rPr>
          <w:rFonts w:ascii="Times New Roman" w:cs="Times New Roman" w:eastAsia="Times New Roman" w:hAnsi="Times New Roman"/>
          <w:sz w:val="18"/>
          <w:szCs w:val="18"/>
          <w:color w:val="auto"/>
        </w:rPr>
      </w:pPr>
    </w:p>
    <w:p>
      <w:pPr>
        <w:jc w:val="both"/>
        <w:ind w:left="60" w:right="59" w:hanging="10"/>
        <w:spacing w:after="0" w:line="255" w:lineRule="auto"/>
        <w:tabs>
          <w:tab w:leader="none" w:pos="1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the Centers for Medicare and Medicaid Services, or CMS, information regarding payments and other transfers of value to physicians (as defined by statute), certain other healthcare providers starting in 2022 and teaching hospitals, as well as information regarding ownership and investment interests held by physicians and their immediate family members. The information reported is publicly available on a searchable website, with disclosure required annually;</w:t>
      </w:r>
    </w:p>
    <w:p>
      <w:pPr>
        <w:spacing w:after="0" w:line="202" w:lineRule="exact"/>
        <w:rPr>
          <w:rFonts w:ascii="Times New Roman" w:cs="Times New Roman" w:eastAsia="Times New Roman" w:hAnsi="Times New Roman"/>
          <w:sz w:val="18"/>
          <w:szCs w:val="18"/>
          <w:color w:val="auto"/>
        </w:rPr>
      </w:pPr>
    </w:p>
    <w:p>
      <w:pPr>
        <w:jc w:val="both"/>
        <w:ind w:left="60" w:right="59" w:hanging="10"/>
        <w:spacing w:after="0" w:line="256" w:lineRule="auto"/>
        <w:tabs>
          <w:tab w:leader="none" w:pos="17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 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w:t>
      </w:r>
    </w:p>
    <w:p>
      <w:pPr>
        <w:spacing w:after="0" w:line="200" w:lineRule="exact"/>
        <w:rPr>
          <w:rFonts w:ascii="Times New Roman" w:cs="Times New Roman" w:eastAsia="Times New Roman" w:hAnsi="Times New Roman"/>
          <w:sz w:val="18"/>
          <w:szCs w:val="18"/>
          <w:color w:val="auto"/>
        </w:rPr>
      </w:pPr>
    </w:p>
    <w:p>
      <w:pPr>
        <w:jc w:val="both"/>
        <w:ind w:left="60" w:right="59" w:hanging="10"/>
        <w:spacing w:after="0" w:line="258" w:lineRule="auto"/>
        <w:tabs>
          <w:tab w:leader="none" w:pos="1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state laws require biotechnology companies to report information to state agencies and/or commercial purchasers on the pricing of certain drug products that exceed a certain level as identified in the relevant statute. Some of these laws and regulations contain ambiguous requirements that government officials have not yet clarified. Given the lack of clarity in the laws and their implementation, our reporting actions could be subject to the penalty provisions of the pertinent federal and state laws and regulations.</w:t>
      </w:r>
    </w:p>
    <w:p>
      <w:pPr>
        <w:spacing w:after="0" w:line="183" w:lineRule="exact"/>
        <w:rPr>
          <w:sz w:val="20"/>
          <w:szCs w:val="20"/>
          <w:color w:val="auto"/>
        </w:rPr>
      </w:pPr>
    </w:p>
    <w:p>
      <w:pPr>
        <w:ind w:left="60" w:right="79"/>
        <w:spacing w:after="0" w:line="252" w:lineRule="auto"/>
        <w:rPr>
          <w:sz w:val="20"/>
          <w:szCs w:val="20"/>
          <w:color w:val="auto"/>
        </w:rPr>
      </w:pPr>
      <w:r>
        <w:rPr>
          <w:rFonts w:ascii="Times New Roman" w:cs="Times New Roman" w:eastAsia="Times New Roman" w:hAnsi="Times New Roman"/>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including our arrangements with physicians, some of whom have ownership interests in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9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For instance, in the U.S., most healthcare providers, including research institutions from which we may obtain patient health information, are subject to privacy and security regulations promulgated under HIPAA, as amended. We are not currently acting as a covered entity or business associate under HIPAA and thus are not subject to its requirements.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are also or may become subject to rapidly evolving data protection laws, rules and regulations in foreign jurisdictions. For example, the European Union General Data Protection Regulation, or the GDPR, governs certain collection and other processing activities involving personal data about individuals in the European Economic Area, or the EEA. Among other things, the GDPR imposes requirements regarding the security of personal data, the rights of data subjects to access and delete personal data, requires having lawful bases on which personal data can be processed, includes requirements relating to the consent of individuals to whom the personal data relates, requires detailed notices for clinical trial participants and investigators and regulates transfers of personal data from the EEA to third countries that have not been found to provide adequate protection to such personal data, including the United States. In addition, the GDPR imposes substantial fines for breaches and violations (up to the greater of €20 million or 4% of our annual global revenue). The GDPR also confers a private right of action on data subjects and consumer associations to lodge complaints with supervisory authorities, seek judicial remedies and obtain compensation for damages resulting from violations of the GDPR. Further, from January 1, 2021, companies have to comply with the GDPR and also the UK GDPR, which, together with the amended UK Data Protection Act 2018, retains the GDPR in UK national law. The UK GDPR mirrors the fines under the GDPR, e.g. fines up to the greater of €20 million (£17.5 million) or 4% of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These changes may lead to additional costs and increase our overall risk exposure.</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we or third-party contract manufacturing organizations, or CMOs, CROs or other contractors or consultants fail to comply with applicable federal, state or local regulatory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19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candidates we develop may become subject to unfavorable third-party coverage and reimbursement practices, as well as pricing regulations.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There is significant uncertainty related to third-party payor coverage and reimbursement of newly approved products. In the United States, no uniform policy of coverage and reimbursement for products exists among third-party payors and coverage and reimbursement levels for products can differ significantly from payor to payor. The Medicare and Medicaid programs increasingly are used as models for how private payors and other governmental payors develop their coverage and reimbursement policies for drugs and biologics.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future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 the future may involve the use of hazardous and flammable materials, including chemicals and biological materials. Our operations in the future may also produce hazardous waste products. In the future, we may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will maintain workers’ compensation insurance to cover us for costs and expenses we may incur due to injuries to our employees resulting from the potential use of hazardous materials in the future,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or other comparable foreign regulatory authorities may not accept data from trials conducted in locations outside of their jurisdiction.</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may choose to conduct international clinical trials in the future.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If the FDA or any other comparable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179"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will be subject to significant post-marketing regulatory requirements and oversight.</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market or suspension of manufacturing. In addition, failure to comply with FDA and other comparable foreign regulatory authority requirements may subject our company to administrative or judicially imposed sanctions, including:</w:t>
      </w:r>
    </w:p>
    <w:p>
      <w:pPr>
        <w:spacing w:after="0" w:line="162" w:lineRule="exact"/>
        <w:rPr>
          <w:sz w:val="20"/>
          <w:szCs w:val="20"/>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23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We currently have a limited set of compliance policies and personnel, and intend to develop our compliance infrastructure in the future, as our clinical development programs progress. Developing a compliance infrastructure is costly and time-consuming, and even a well-designed and implemented compliance program cannot necessarily prevent all violations of relevant laws.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approved. If regulatory sanctions are applied or if regulatory approval is withdrawn, the value of our company and our operating results will be adversely affected.</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FDA and other regulatory agencies actively enforce the laws and regulations prohibiting the promotion of off-label uses.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4"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FDA have fluctuated in recent years as a result.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recent years, the U.S. government shut down several times and certain regulatory agencies, such as the FDA and the SEC, had to furlough critical employees and stop critical activities. If a prolonged government shutdown occurs, it could significantly impact the ability of the FDA to timely review and process our regulatory submissions, which could have a material adverse effect on our business. Further, as a public company, future government shutdowns could impact our ability to further access the public markets and obtain necessary capital in order to properly capitalize and continue our operations.</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 level of operation as of September 2021. More recently, the FDA has continued to monitor and implement changes to its inspectional activities to ensure the safety of its employees and those of the firms it regulates as it adapts to the evolving COVID-19 pandemic Regulatory authorities outside the United States may adopt similar restrictions or other policy measures in response to the pandemic related to COVID-19 and its variants.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face difficulties from changes to current regulations and future legislation.</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Existing regulatory policies may change and additional government regulations may be enacted that could prevent, limit or delay regulatory approval of our product candidates. We cannot predict the likelihood, nature or extent of government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For example, the Patient Protection and Affordable Care Act, as amended by the Health Care and Education Reconciliation Act, collectively referred to as the ACA, was passed, which substantially changed the way healthcare is financed by both the government and private insurers, and significantly impacts the U.S. pharmaceutical industry. The ACA, among other things, subjected biologic products to potential competition by lower-cost biosimilars; increased the minimum level of Medicaid rebates payable by manufacturers of brand name drugs from 15.1% to 23.1% of the average manufacturer price;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required reporting of certain financial arrangements between manufacturers of biologics, physicians and teaching hospitals under the federal Physician Payments Sunshine Act; expanded the types of entities eligible for the 340B Drug Pricing Program; created a new Patient-Centered Outcomes Research Institute to oversee, identify priorities in, and conduct comparative clinical effectiveness research, along with funding for such research; and established a Center for Medicare &amp; Medicaid Innovation at CMS to test innovative payment and service delivery models to lower Medicare and Medicaid spending, potentially including prescription drug spending.</w:t>
      </w:r>
    </w:p>
    <w:p>
      <w:pPr>
        <w:spacing w:after="0" w:line="19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through 2030, with the exception of a temporary suspension from May 1, 2020 through March 31, 2022 due to the coronavirus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which could have a material adverse effect on customers for our drugs, if approved, and accordingly, our financial operations.</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expect that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Further, it is possible that additional governmental action is taken in response to the pandemic related to COVID-19 and its variants.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and other intellectual property protection for our product candidates and technologies or if the scope of the intellectual property protection obtained is not sufficiently broad, our competitors could develop and commercialize products and technology similar or identical to ours, and our ability to successfully commercialize our products and technology may be impaired, and we may not be able to compete effectively in our market.</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trade secret or other intellectual property protection for our product candidates, proprietary technologies and their uses as well as our ability to operate without infringing the proprietary rights of others. If we are unable to protect our intellectual property rights or if our intellectual property rights are inadequate for our technology or our product candidates, our competitive position could be harmed. We generally seek to protect our proprietary position by filing patent applications in the United States and, in some cases, abroad related to our product candidates, technology platforms and their uses that are important to our business.</w:t>
      </w:r>
    </w:p>
    <w:p>
      <w:pPr>
        <w:spacing w:after="0" w:line="188"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As of May 3, 2022, we owned one issued patent and pending patent applications, in the United States only, related to our platform technologies, as well as pending patent applications related to our product candidates. We currently do not have any issued patents related to our product candidates. Further, patent prosecution with respect to our pending patent applications related to our product candidates is in the early stages and, as such, no patent examiner has yet scrutinized the merits of such pending patent applications. Our patent applications cannot be enforced against third parties practicing the technology claimed in such applications unless, and until, patents issue from such applications, and then only to the extent the issued claims cover the technology and such third parties practice the technology in countries where such patents have issued. With respect to our issued patent and patent applications related to our platform technology, we filed those applications only in the U.S., so it is possible that a competitor may practice outside the U.S. the aspects of our platform technology disclosed in those patent applications. We maintain other aspects of our platform technology as trade secrets, which were not disclosed in those patent applications. There can be no assurance that any of our current and future issued patents and patent applications, if any, owned by us or our future in-licensed patent applications will result in patents being issued or that issued patents will afford sufficient protection against competitors with similar technology, nor can there be any assurance that the patents if issued will not be infringed, designed around, invalidated or rendered unenforceable by third parties, or would effectively prevent others from commercializing competitive products or technologies. Composition of matter patents for biological and pharmaceutical product candidates often provide a strong form of intellectual property protection for those types of products, as such patents may provide protection without regard to any method of use. We cannot be certain that the claims in our pending patent applications related to composition of matter of our product candidates will be considered patentable by the United States Patent and Trademark Office, or USPTO, or by patent offices in foreign countries, or that the claims in any of our issued patents will be considered valid and enforceable by courts in the United States or foreign countries. Method of use patents protect the use of a product for the specified method. This type of patent does not prevent a competitor from making and marketing a product that is identical to our product for an indication that is outside the scope of the patented method. The patent position of biopharmaceutical companies generally is highly uncertain, involves complex legal and factual questions, and has been the subject of much litigation in recent years. As a result, the existence, issuance, scope, validity, enforceability and commercial value of our patent rights are highly uncertain.</w:t>
      </w:r>
    </w:p>
    <w:p>
      <w:pPr>
        <w:spacing w:after="0" w:line="20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may obtain licenses to issued patents in the United States and foreign countries in the future, we cannot be certain that the claims in future in-licensed U.S. pending patent applications, if any, corresponding international patent applications and patent applications in certain foreign countries will be considered patentable by the USPTO, courts in the United States or by the patent offices and courts in foreign countries, nor can we be certain that the claims in future in-licensed issued patents will not be found invalid or unenforceable if challenged.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patent application process is subject to numerous risks and uncertainties, and there can be no assurance that we or our licensors or any of our potential future collaborators will be successful in protecting our product candidates by obtaining and defending patents. These risks and uncertainties include the following:</w:t>
      </w:r>
    </w:p>
    <w:p>
      <w:pPr>
        <w:spacing w:after="0" w:line="176" w:lineRule="exact"/>
        <w:rPr>
          <w:sz w:val="20"/>
          <w:szCs w:val="20"/>
          <w:color w:val="auto"/>
        </w:rPr>
      </w:pPr>
    </w:p>
    <w:p>
      <w:pPr>
        <w:jc w:val="both"/>
        <w:ind w:left="60" w:right="59" w:hanging="10"/>
        <w:spacing w:after="0" w:line="261" w:lineRule="auto"/>
        <w:tabs>
          <w:tab w:leader="none" w:pos="2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193"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may not result in any patents being issued;</w:t>
      </w:r>
    </w:p>
    <w:p>
      <w:pPr>
        <w:spacing w:after="0" w:line="26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may be challenged, invalidated, modified, revoked, circumvented, found to be unenforceable or otherwise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not provide any competitive advantage;</w:t>
      </w:r>
    </w:p>
    <w:p>
      <w:pPr>
        <w:spacing w:after="0" w:line="220" w:lineRule="exact"/>
        <w:rPr>
          <w:sz w:val="20"/>
          <w:szCs w:val="20"/>
          <w:color w:val="auto"/>
        </w:rPr>
      </w:pPr>
    </w:p>
    <w:p>
      <w:pPr>
        <w:jc w:val="both"/>
        <w:ind w:left="60" w:right="59" w:hanging="10"/>
        <w:spacing w:after="0" w:line="266" w:lineRule="auto"/>
        <w:tabs>
          <w:tab w:leader="none" w:pos="18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many of whom have substantially greater resources than we or our potential licensors do and many of whom have made significant investments in competing technologies, may seek or may have already obtained patents that will limit, interfere with or block our ability to make, use and sell our product candidates;</w:t>
      </w:r>
    </w:p>
    <w:p>
      <w:pPr>
        <w:spacing w:after="0" w:line="189"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8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p>
      <w:pPr>
        <w:spacing w:after="0" w:line="189"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19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countries other than the United States may have patent laws less favorable to patentees than the patent law typically applied by U.S. courts, allowing foreign competitors a better opportunity to create, develop and market competing products.</w:t>
      </w:r>
    </w:p>
    <w:p>
      <w:pPr>
        <w:spacing w:after="0" w:line="18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patent prosecution process is also expensive and time-consuming, and we may not be able to file and prosecute all necessary or desirable patent applications at a reasonable cost or in a timely manner or in all jurisdictions where protection may be commercially advantageous. In addition, we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be refused in other jurisdictions. It is also quite common that depending on the country, the scope of patent protection may vary for the same product or technology. For example, certain jurisdictions do not allow for patent protection with respect to method of treatment. Moreover, the scope of claims in a patent application can be significantly reduced before any claims in a patent are issued, and claim scope can be reinterpreted after issuance. Even if our current or future patent applications issue as patents, they may not issue in a form that will provide us with any meaningful protection, prevent competitors or other third parties from competing with us, or otherwise provide us with any competitive advantage. Consequently, we do not know whether our product candidates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w:t>
      </w:r>
    </w:p>
    <w:p>
      <w:pPr>
        <w:spacing w:after="0" w:line="19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It is also possible that we may not identify patentable aspects of our research and development output before it is too late to obtain patent protection.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USPTO might require that the term of a patent issuing from a pending patent application to be disclaimed and limited to the term of another patent that is commonly owned or names a common inventor. Moreover, in some circumstances, we may not have the right to control the preparation, filing and prosecution of patent applications, or to maintain the patents, directed to technology that we license, including those from our licensors, if any, and from third parties. We also may require the cooperation of our potential future licensors in order to enforce the licensed patent rights, and such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cooperation may not be provided. Therefore, these patents and applications may not be prosecuted and enforced in a manner consistent with the best interests of our business. We cannot be certain that patent prosecution and maintenance activities by our potential future licensors have been or will be conducted in compliance with applicable laws and regulations, which may affect the validity and enforceability of such patents or any patents that may issue from such applications. If they fail to do so, this could cause us to lose rights in any applicable intellectual property that we may in-license, and as a result our ability to develop and commercialize products or product candidates may be adversely affected and we may be unable to prevent competitors from making, using and selling competing products.</w:t>
      </w:r>
    </w:p>
    <w:p>
      <w:pPr>
        <w:spacing w:after="0" w:line="18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Even if our current or future patent applications issue as patents, they may not issue in a form that will provide us with any meaningful protection, prevent competitors from competing with us or otherwise provide us with any competitive advantage. Our competitors may be able to circumvent our owned or potential future in-licensed patents by developing similar or alternative technologies or products in a non-infringing manner. The issuance of a patent is not conclusive as to its scope, validity or enforceability, and our owned and any future in-licensed patents may be challenged in the courts or patent offices in the United States and abroad. We may be subject to a third party pre-issuance submission of prior art to the USPTO, or become involved in opposition, derivation, revocation, reexamination, post-grant review, or PGR, and inter partes review, or IPR, or other similar proceedings in the USPTO or foreign patent offices challenging our patent rights. The outcome following legal assertions of invalidity and unenforceability is unpredictable. With respect to validity of our patents, for example, we cannot be certain that there is no invalidating prior art, of which we and the patent examiner were unaware during prosecution. There is no assurance that all potentially relevant prior art relating to our patents and patent applications has been found. There is also no assurance that there is no prior art of which we are aware, but which we do not believe affects the validity or enforceability of a claim in our patents and patent applications, which may, nonetheless, ultimately be found to affect the validity or enforceability of a claim. An adverse determination in any such submission, proceeding or litigation could reduce the scope of, or invalidate or render unenforceable, our patent rights, allow third parties to commercialize our product candidates and compete directly with us, without payment to us. Such loss of patent rights, loss of exclusivity or our patent claims being narrowed, invalidated or held unenforceable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20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although we enter into non-disclosure and confidentiality agreements with parties who have access to patentable or trade secret aspects of our technology platforms and research and development output, such as our employees, outside scientific collaborators, CROs, third-party manufacturers, consultants, advisors, licensors, and other third parties, any of these parties may breach such agreements and disclose such aspects or output before a patent application is filed, thereby jeopardizing our ability to seek patent protection or maintain the trade secret status of our technology platforms or research and development output.</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referenced above, we have filed patent applications directed to our platform technologies that involve certain of our proprietary software modules. Moreover, while software and other of our proprietary works may be protected under copyright law, we have chosen not to register any copyrights in these works, and instead, rely on the above-referenced patent applications for protection of certain modules and trade secret protection for other of our software modules. In order to bring a copyright infringement lawsuit in the United States, the copyright must be registered. Accordingly, the remedies and damages available to us for unauthorized use of our software may be limited.</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future agreements under which we may license intellectual property rights from licensors and third parties or otherwise experience disruptions to our business relationships with future licensors, we could lose license rights that may in the future be important to our business.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the future, we may enter into license agreements under which we are granted rights to intellectual property that may be important to our business. We expect that any future license agreements where we in-license intellectual property would impose on us various development, regulatory and/or commercial diligence obligations, payment of milestones and/or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royalties and other obligations. If we fail to comply with our obligations under these agreements (including as a result of COVID-19 and its variants impacting our operations), or we use the licensed intellectual property in an unauthorized manner or are subject to bankruptcy-related proceedings, the licensors may have the right to materially modify the terms of the licenses, such as by rendering currently exclusive licenses non-exclusive, or terminate the licenses, in which event we would not be able to market products covered by the licenses. 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may need to obtain licenses from third parties to advance our research or allow commercialization of our product candidates or platform, and we cannot provide any assurances that third-party patents do not exist that might be enforced against our product candidates or platform in the absence of such a license.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 We may fail to obtain any of these licenses on commercially reasonable terms, if at all. We may need to cease use of the compositions or methods covered by such third-party intellectual property rights, and may need to seek to develop alternative approaches that do not infringe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91"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disputes may arise between us and any future licensors regarding intellectual property subject to a license agreement, including:</w:t>
      </w:r>
    </w:p>
    <w:p>
      <w:pPr>
        <w:spacing w:after="0" w:line="162" w:lineRule="exact"/>
        <w:rPr>
          <w:sz w:val="20"/>
          <w:szCs w:val="20"/>
          <w:color w:val="auto"/>
        </w:rPr>
      </w:pPr>
    </w:p>
    <w:p>
      <w:pPr>
        <w:ind w:left="160" w:hanging="110"/>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and obligations imposed under the license agreement and other interpretation-related issues;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infringe intellectual property of the licensor that is not subject to the licensing agreement;</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patents and other rights to third parties;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21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if any, we owe to a potential licensor in respect of sublicense fees or income or in respect of backup product;</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transfer or assign the license; and</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20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inventions and know-how resulting from the joint creation or use of intellectual property by our licensors and its affiliates and sublicensees and by us and our partners and sublicensees.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color w:val="auto"/>
        </w:rPr>
        <w:t>If disputes over intellectual property that we have licensed prevent or impair our ability to maintain our future licensing arrangements on acceptable terms, we may not be able to successfully develop and commercialize the affected product candidates, which would have a material adverse effect on our business.</w:t>
      </w:r>
    </w:p>
    <w:p>
      <w:pPr>
        <w:spacing w:after="0" w:line="1"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certain of our agreements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product candidates may be dependent on our future licensors and third parties.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or our future potential licensors may fail to identify patentable aspects of inventions made in the course of development and commercialization activities before it is too late to obtain patent protection on them. Therefore, we may miss potential opportunities to strengthen our patent position. It is possible that defects as to form in the preparation or filing of our potential future in-licensed patents or patent applications may exist, or may arise in the future, for example with respect to proper priority claims, inventorship, claim scope, or requests for patent term adjustments. If we or our future potential licensors fail to establish, maintain or protect such patents and other intellectual property rights, such rights may be reduced or eliminated. If our future potential licensors are not fully cooperative or disagree with us as to the prosecution, maintenance or enforcement of any patent rights, such patent rights could be compromised. If there are material defects in the form, preparation, prosecution, or enforcement of our future potential in-licensed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9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As a future potential licensee of third parties, we would rely on third parties to file and prosecute patent applications and maintain patents and otherwise protect the licensed intellectual property under some of our future license agreements. We would not have primary control over these activities for certain of our patents or patent applications and other intellectual property rights. We cannot be certain that such activities by third parties have been or will be conducted in compliance with applicable laws and regulations or will result in valid and enforceable patents or other intellectual property rights. Future potential licensors may have the right to control enforcement of our future potential licensed patents or defense of any claims asserting the invalidity of these patents and even if we are permitted to pursue such enforcement or defense, we will require the cooperation of our future licensors. We cannot be certain that our future licensors will allocate sufficient resources or prioritize their or our enforcement of such patents or defense of such claims to protect our interests in the licensed patents. Even if we are not a party to these legal actions, an adverse outcome could harm our business because it might prevent us from continuing to license intellectual property that we may need to operate our business. If any of our future potential licensors or future collaborators fail to appropriately prosecute and maintain patent protection for patents directed to any of our product candidates, our ability to develop and commercialize those product candidates may be adversely affected and we may not be able to prevent competitors from making, using and selling competing products.</w:t>
      </w:r>
    </w:p>
    <w:p>
      <w:pPr>
        <w:spacing w:after="0" w:line="19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even where we have the right to control patent prosecution of patents and patent applications we have acquired or licensed from third parties in the future, we may still be adversely affected or prejudiced by actions or inactions of our potential licensors and their counsel that took place prior to us assuming control over patent prosecution.</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Technology we may acquire or license from various third parties in the future may be subject to retained rights. Our future licensors may retain certain rights under their agreements with us, including the right to use the underlying technology for use in fields other than the fields licensed to us or for use in noncommercial academic and research use, to publish general scientific findings from research related to the technology, and to make customary scientific and scholarly disclosures of information relating to the technology. It may be difficult to monitor whether our future licensors may limit their use of the technology to these uses, and we could incur substantial expenses to enforce our rights to our licensed technology in the event of misuse.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 Claims by third parties that we infringe or misappropriate their proprietary rights may result in liability for damages or prevent or delay our developmental and commercialization efforts.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avoiding infringement or misappropriation of the patents and other proprietary rights of third parties. However, our research, development and commercialization activities may be subject to claims that we infringe or otherwise violate patents or other intellectual property rights owned or controlled by third parties. Because the intellectual property landscape in the industry in which we participate is rapidly evolving and interdisciplinary, it is difficult to conclusively assess our ability to freely make, use, and sell our products without infringing third party rights.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well as related to our platform.</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the biopharmaceutical industry expands and more patents are issued, the risk increases that our product candidates or platform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others have not filed patent applications for a product candidate or technology covered by our pending patent applications, or that we were the first to file a patent application related to a product candidate or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relating to such technologies. Moreover, because patent applications can take many years to issue, there may be currently pending patent applications that may later result in issued patents that our product candidates may infringe.</w:t>
      </w:r>
    </w:p>
    <w:p>
      <w:pPr>
        <w:spacing w:after="0" w:line="192"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In addition, identification of third-party patent rights that may be relevant to our product candidates or platform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Further, third parties may obtain patents in the future and claim that use of our technologies infringes upon these patents.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Any claims of patent infringement asserted by third parties would be time-consuming and could:</w:t>
      </w:r>
    </w:p>
    <w:p>
      <w:pPr>
        <w:spacing w:after="0" w:line="207" w:lineRule="exact"/>
        <w:rPr>
          <w:sz w:val="20"/>
          <w:szCs w:val="20"/>
          <w:color w:val="auto"/>
        </w:rPr>
      </w:pPr>
    </w:p>
    <w:p>
      <w:pPr>
        <w:ind w:left="160" w:hanging="110"/>
        <w:spacing w:after="0"/>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costly litigation that may cause negative publicity;</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the time and attention of our technical personnel and management;</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development delays;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hanging="10"/>
        <w:spacing w:after="0" w:line="282" w:lineRule="auto"/>
        <w:tabs>
          <w:tab w:leader="none" w:pos="17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us from commercializing any of our product candidates until the asserted patent expires or is held finally invalid or unenforceable or not infringed in a court of law;</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develop non-infringing technology, which may not be possible on a cost-effective basis;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liability to third parties; or</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6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royalty or licensing agreements, that may not be available on commercially reasonable terms, or at all, or that might be non-exclusive, which could result in our competitors gaining access to the same technology.</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Although no third party has asserted a claim of patent infringement against us as of the date of this Quarterly Report on Form 10-Q, others may hold proprietary rights that could prevent our product candidates from being marketed. Any patent-related legal action against us claiming damages and seeking to enjoin activities relating to our product candidates or processes could subject us to potential liability for damages, including treble damages if we were determined to willfully infringe, and require us to obtain a license to manufacture or develop our product candidates. Defense of these claims, regardless of their merit, would involve substantial litigation expense and would be a substantial diversion of management and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non-exclusive, which could result in our competitors gaining access to the same intellectual property. In addition, we cannot be certain that we could redesign our product candidates or processes to avoid infringement, if necessary.</w:t>
      </w:r>
    </w:p>
    <w:p>
      <w:pPr>
        <w:spacing w:after="0" w:line="19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Accordingly, an adverse determination in a judicial or administrative proceeding, or the failure to obtain necessary licenses, could prevent us from developing and commercializing our product candidates, which could harm our business, financial condition and results of operations.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Parties making claims against us may be able to sustain the costs of complex patent or trade secret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Moreover, if our product candidates or platform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The claims may require us to initiate or defend protracted and costly litigation on behalf of such licensees and other parties regardless of the merits of these claims. If any of these claims succeed, we may be forced to pay damages on behalf of those parties or may be required to obtain licenses for the products they use.</w:t>
      </w:r>
    </w:p>
    <w:p>
      <w:pPr>
        <w:spacing w:after="0" w:line="183"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patents or the patents of our future licensors, which could be expensive, time-consuming and unsuccessful. Further, our future in-licensed issued patents could be found invalid or unenforceable if challenged in court.</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Competitors may infringe or otherwise violate our, or our future licensors’, patents, trademarks or other intellectual property. To prevent infringement or other violations, we and/or our future licensors may be required to file claims, which can be expensive and time-consuming. Further, our future licensors may need to file such claims, but elect not to file them. In addition, in a patent infringement proceeding, a court may decide that a patent we own or license is not valid, is unenforceable and/or is not infringed. If we or any of our future licensors or potential future collaborators were to initiate legal proceedings against a third party to enforce a patent directed at one of our product candidates, the defendant could counterclaim that our patent is invalid and/or unenforceable in whole or in part. In patent litigation, defendant counterclaims alleging invalidity and/or unenforceability are commonplace. Grounds for a validity challenge include 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alleged failure to meet any of several statutory requirements, including lack of novelty or written description, non-patentable subject matter (laws of nature, natural phenomena, or abstract idea), obviousness or non-enablement. Grounds for an unenforceability assertion could include an allegation that someone connected with prosecution of the patent intentionally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to the USPTO and in good faith. The outcome following such a challenge is unpredictable. With respect to challenges to the validity of our patents, there might be invalidating prior art, of which we and the patent examiner were unaware during prosecution.</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companies from collaborating with us to license, develop or commercialize current or future product candidates. Such a loss of patent protection would have a material adverse impact on our business. Even if a defendant does not prevail on a legal assertion of invalidity and/or unenforceability, our patent claims may be construed in a manner that would limit our ability to enforce such claims against the defendant and others.</w:t>
      </w:r>
    </w:p>
    <w:p>
      <w:pPr>
        <w:spacing w:after="0" w:line="18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our intellectual property rights, particularly those in a foreign jurisdiction,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Class A common stock may decline. Such announcements could also harm our reputation or the market for our future products, which could have a material adverse effect on our business.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Derivation or interference proceedings may be necessary to determine priority of inventions, and an unfavorable outcome may require us to cease using the related technology or to attempt to license rights from the prevailing party.</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Derivation or interference proceedings provoked by third parties or brought by us or our future licensors, or declared by the USPTO or similar proceedings in foreign patent offices may be necessary to determine the priority of inventions with respect to our or our potential future licensors’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or our licensors’ defense of such proceedings may fail and, even if successful, may result in substantial costs and distract our management and other employees. In addition, the uncertainties associated with such proceedings could have a material adverse effect on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ability to raise the funds necessary to continue our clinical trials, continue our research programs, license necessary technology from third parties or enter into development or manufacturing partnerships that would help us bring our product candidates to market.</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requires us to be cognizant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cannot be certain that we were the first to either (1) file any patent application related to our product candidates or (2) 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w:t>
      </w:r>
    </w:p>
    <w:p>
      <w:pPr>
        <w:spacing w:after="0" w:line="19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Leahy-Smith Act also includes a number of significant changes that (i) affect the way patent applications are prosecuted, (ii) redefine prior art, and (iii)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have been insufficient to invalidate the claim if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increase the uncertainties and costs surrounding the prosecution of our or our future licensors’ patent applications and the enforcement or defense of our issued patents, all of which could have a material adverse effect on our business, financial condition, results of operations and prospects.</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Further, the laws of foreign countries may not protect our rights to the same extent as the laws of the United States. We cannot predict the breadth of claims that may be allowed or enforced in our patents or in third-party patents.</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addition, Congress or other foreign legislative bodies may pass patent reform legislation that is unfavorable to us. For example, the U.S. Supreme Court has ruled on several patent cases in recent years, either narrowing the scope of patent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protection available in certain circumstances or weakening the rights of patent owners in certain situations. In addition to increasing uncertainty with regard to our or our future licensors’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or our licensors’ ability to obtain new patents or to enforce our existing patents and patents we might obtain in the future.</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future licensors may be subject to claims challenging the inventorship or ownership of our or our future in-licensed patents and other intellectual property.</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or other third parties have an ownership interest in our patents or other intellectual property.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defend against these and other claims challenging inventorship or ownership. If we or our future licensors fail in defending any such claims, in addition to paying monetary damages, we may lose valuable intellectual property rights. Such an outcome could have a material adverse effect on our business. Even if we or our future licensors are successful in defending against such claims, litigation could result in substantial costs and distraction to management and other employees.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future licensors may have relied on third-party consultants or collaborators or on funds from third parties, such as the U.S. government, such that our future licensors are not the sole and exclusive owners of any patents we may in-license.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term of a patent, and the protection it affords, is limited. Even if patents directed to our product candidates are obtained, once the patent term has expired, we may be open to competition from competitive products. Given the amount of time required for the development, testing and regulatory review of product candidates, patents directed to our product candidates might expire before or shortly after such candidates are commercialized. As a result, our patent portfolio may not provide us with sufficient rights to exclude others from commercializing products similar or identical to ours.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available in certain foreign countries upon regulatory approval of our product candidates. However, we or our licensors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or our licensors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Although we have pending patent applications in the United States and we seek to file patent applications in certain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or our licensors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or our licensors’ patents or marketing of competing products in violation of our proprietary rights. Proceedings to enforce our or our potential future licensors’ patent rights in foreign jurisdictions could result in substantial costs and divert our efforts and attention from other aspects of our business, could put our or our potential future licensors’ patents at risk of being invalidated or interpreted narrowly and our or our potential future licensors’ patent applications at risk of not issuing and could provoke third parties to assert claims against us. We or our licensors may not prevail in any lawsuits that we or our potential future licensors initiate, and the damages or other remedies awarded, if any, may not be commercially meaningful. Accordingly, our or our potential future licensors’ efforts to enforce our intellectual property rights around the world may be inadequate to obtain a significant commercial advantage from the intellectual property that we develop or in-license.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Many countries have compulsory licensing laws under which a patent owner may be compelled to grant licenses to third parties. In addition, many countries limit the enforceability of patents against government agencies or</w:t>
      </w: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government contractors. In these countries, the patent owner may have limited remedies, which could materially diminish the value of such patent.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18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third parties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While an inadvertent lapse,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including due to the effect of the pandemic related to COVID-19 and its variants, our patent maintenance vendors or law firms,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relating to our product candidates, our competitive position would be adversely affected.</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to seeking patent protection for some of our technology and product candidates, we rely on the protection of our trade secrets, including unpatented know-how, technology and other proprietary information to maintain our competitive position, especially with respect to our technology platform. Any disclosure, either intentional or unintentional, by our employees or third-party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 Because we expect to rely on third parties in the development and manufacture of our product candidates, we must, at times, share trade secrets with them. Our reliance on third parties may require us to share our trade secrets, which increases the possibility that a competitor will discover them or that our trade secrets will be misappropriated or disclosed.</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Although we have taken steps to protect our trade secrets and unpatented know-how, including entering into non-disclosure and confidentiality agreements with third parties who are given access to them, such as our corporate collaborators, outside scientific collaborators, contract research organizations, contract manufacturers, consultants, advisors and other third parties. With our consultants, contractors and outside scientific collaborators, these agreements typically include invention assignment obligations. We cannot guarantee that we have entered into such agreements with each party that may have or has had access to our trade secrets or proprietary technology and processes. Further, we cannot provide any assurances that all such agreements have been duly executed or that competitors will not otherwise gain access to our trade secrets or independently develop substantially equivalent information and techniques. In addition,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w:t>
      </w:r>
    </w:p>
    <w:p>
      <w:pPr>
        <w:spacing w:after="0" w:line="19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or our licensors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is common in the pharmaceutical and biotechnology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we have wrongfully hired an employee from a competitor or that we or our employees have wrongfully used or disclosed alleged confidential information,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190"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Moreover, any name we have proposed to use with our product candidate in the United States must be approved by the FDA, regardless of whether we have registered it, or 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it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8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third-party open source software, which could negatively affect our ability to offer our solutions and subject us to litigation or other actions.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use open source software licensed to us by third-party authors under “open source” licenses in our platform and solutions and expect to continue to use such open source software in the future.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To the extent that our platform depends upon the successful operation of open source software, any undetected errors or defects in this open source software could prevent the deployment or impair the functionality of our platform, delay introductions of new solutions, result in a failure of our platform, and injure our reputation. For example, undetected errors or defects in open source software could render it vulnerable to breaches or security attacks, and, as a result, possibly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make our systems more vulnerable to data breaches. In addition, the public availability of such software may make it easier for others to compromise our platform.</w:t>
      </w:r>
    </w:p>
    <w:p>
      <w:pPr>
        <w:spacing w:after="0" w:line="16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Further, there are uncertainties regarding the proper interpretation of and compliance with open source licenses, and there is a risk that such licenses could be construed in a manner that imposes unanticipated conditions or restrictions on our ability to use such open source software, and consequently to provide or distribute our platform and solutions. Some open source licenses contain express requirements that we make available source code for modifications or derivative works we create based upon the type of open source software we use, or grant other licenses to our intellectual property. If we combine our proprietary software with open source software in a certain manner, we could, under certain open source licenses, be required to release the source code of our proprietary software to the public. This would allow our competitors to create similar offerings with lower development effort and time and ultimately could result in a loss of our competitive advantages. Alternatively, to avoid the public release of the affected portions of our source code, we could be required to expend substantial time and resources to re-engineer some or all of our software.</w:t>
      </w:r>
    </w:p>
    <w:p>
      <w:pPr>
        <w:spacing w:after="0" w:line="194"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Despite our efforts to monitor our use of open source software to avoid subjecting our platform to conditions we do not intend, there is a risk that open source licenses could be construed in a way that could impose unanticipated conditions or restrictions on our ability to provide or distribute our platform. Additionally, we may from time to time face claims from third parties claiming ownership of, or seeking to enforce the terms of, an open source license, including by demanding release of source code for the open source software, derivative works or our proprietary source code that was developed using, or that is distributed with, such open source software. These claims could also result in litigation and could require us to make our proprietary software source code freely available, devote additional research and development resources to re-engineer our platform, seek costly licenses from third parties, pay monetary damages to the owner of the copyright in the relevant open source software or otherwise incur additional costs and expenses, any of which could result in reputational harm and would have a negative effect on our business and results of operations. In addition, if the license terms for the open source software we utilize change, we may be forced to re-engineer our platform, incur additional costs to comply with the changed license terms or replace the affected open source software. Although we have implemented policies to regulate the use and incorporation of open source software into our platform and solutions, we cannot be certain that that such policies will be effective and that we have not incorporated open source software in our platform and solutions in a manner that is inconsistent with such policies.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degree of future protection afforded by intellectual property rights is uncertain because intellectual property rights have limitations, and may not adequately protect our business or permit us to maintain our competitive advantage. For example:</w:t>
      </w:r>
    </w:p>
    <w:p>
      <w:pPr>
        <w:spacing w:after="0" w:line="176" w:lineRule="exact"/>
        <w:rPr>
          <w:sz w:val="20"/>
          <w:szCs w:val="20"/>
          <w:color w:val="auto"/>
        </w:rPr>
      </w:pPr>
    </w:p>
    <w:p>
      <w:pPr>
        <w:ind w:left="60" w:right="59" w:hanging="10"/>
        <w:spacing w:after="0" w:line="282" w:lineRule="auto"/>
        <w:tabs>
          <w:tab w:leader="none" w:pos="17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products that are similar to our product candidates but that are not covered by the claims of the patents that we may own or license;</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potential future licensors might not have been the first to make the inventions covered by the issued patents or patent application that we may own or license;</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9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potential future licensors might not have been the first to file patent applications covering certain of our inventions;</w:t>
      </w:r>
    </w:p>
    <w:p>
      <w:pPr>
        <w:spacing w:after="0" w:line="161" w:lineRule="exact"/>
        <w:rPr>
          <w:rFonts w:ascii="Times New Roman" w:cs="Times New Roman" w:eastAsia="Times New Roman" w:hAnsi="Times New Roman"/>
          <w:sz w:val="18"/>
          <w:szCs w:val="18"/>
          <w:color w:val="auto"/>
        </w:rPr>
      </w:pPr>
    </w:p>
    <w:p>
      <w:pPr>
        <w:ind w:left="60" w:right="659" w:hanging="10"/>
        <w:spacing w:after="0" w:line="282" w:lineRule="auto"/>
        <w:tabs>
          <w:tab w:leader="none" w:pos="1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or our future licensors’ pending patent applications will not lead to issued patents;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issued patents that we own or license may be held invalid or unenforceable, as a result of legal challenges by our competitors;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hanging="10"/>
        <w:spacing w:after="0" w:line="266" w:lineRule="auto"/>
        <w:tabs>
          <w:tab w:leader="none" w:pos="17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Should any of these events occur, it could significantly harm our business, results of operations and prospects.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22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or marketing capabilities or enter into agreements with third parties to sell or market our product candidates, we may not be able to successfully sell or market our product candidates that obtain regulatory approval.</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our product candidates. We may not be successful in accomplishing these required tasks.</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Establishing an internal sales or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success is highly dependent on our ability to attract and retain highly skilled executive officers and employees.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succeed, we must recruit, retain, manage and motivate qualified clinical, scientific, technical and management personnel, and we face significant competition for experienced personnel. We are highly dependent on the principal members of our management and scientific and medical staff. If we do not succeed in attracting and retaining qualified personnel, particularly at the management level, it could adversely affect our ability to execute our business plan and harm our results of operations.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including bioinformatics and computational biologist specialists, for the future success of our business. We could in the future have difficulty attracting experienced personnel to our company and may be required to expend significant financial resources in our employee recruitment and retention efforts.</w:t>
      </w:r>
    </w:p>
    <w:p>
      <w:pPr>
        <w:spacing w:after="0" w:line="194"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Many of the other biotechnology companies that we compete against for qualified personnel have greater financial and other resources, different risk profiles and a longer history in the industry than we do. They also may provide a wide range of opportunities and better prospects for career advancement. Some of these characteristics may be more appealing to high-quality candidates than what we have to offer. If we are unable to continue to attract and retain high-quality personnel,</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rate and success at which we can discover, develop and commercialize our product candidates will be limited and the potential for successfully growing our business will be harmed.</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March 31, 2022, we had 68 full-time employees, including 57 employees engaged in research and development. In order to successfully implement our development and commercialization plans and strategies, including operating as a public company, we expect to need additional managerial, operational, sales, marketing, financial and other personnel. Future growth would impose significant added responsibilities on members of management, including:</w:t>
      </w:r>
    </w:p>
    <w:p>
      <w:pPr>
        <w:spacing w:after="0" w:line="180" w:lineRule="exact"/>
        <w:rPr>
          <w:sz w:val="20"/>
          <w:szCs w:val="20"/>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integrating, maintaining and motivating additional employees;</w:t>
      </w:r>
    </w:p>
    <w:p>
      <w:pPr>
        <w:spacing w:after="0" w:line="238" w:lineRule="exact"/>
        <w:rPr>
          <w:rFonts w:ascii="Times New Roman" w:cs="Times New Roman" w:eastAsia="Times New Roman" w:hAnsi="Times New Roman"/>
          <w:sz w:val="18"/>
          <w:szCs w:val="18"/>
          <w:color w:val="auto"/>
        </w:rPr>
      </w:pPr>
    </w:p>
    <w:p>
      <w:pPr>
        <w:jc w:val="both"/>
        <w:ind w:left="60" w:right="59" w:hanging="10"/>
        <w:spacing w:after="0" w:line="266" w:lineRule="auto"/>
        <w:tabs>
          <w:tab w:leader="none" w:pos="2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including the clinical, FDA and other comparable foreign regulatory agencies’ review process of IMM-1-104, IMM-6-415, and any other product candidate we develop, while complying with any contractual obligations to contractors and other third parties we may have; and</w:t>
      </w:r>
    </w:p>
    <w:p>
      <w:pPr>
        <w:spacing w:after="0" w:line="189"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operational, financial and management controls, reporting systems and procedures.</w:t>
      </w:r>
    </w:p>
    <w:p>
      <w:pPr>
        <w:spacing w:after="0" w:line="23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future financial performance and our ability to successfully develop and, if approved, commercialize IMM-1-104 and any other product candidate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third party service providers or find other competent outside contractors and consultants on economically reasonable terms, or at all.</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If we are not able to effectively expand our organization by hiring new employees and/or engaging additional third party service providers, we may not be able to successfully implement the tasks necessary to further develop and commercialize IMM-1-104, IMM-6-415 and any other current or future product candidates and, accordingly, may not achieve our research, development and commercialization goals.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maintain an active, liquid and orderly trading market for our Class A common stock and, as a result, it may be difficult for you to sell your shares of our Class A common stock.</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market value of our Class A common stock may decrease from time to time, and you may not be able to resell your shares of our Class A common stock at or above the price you purchased them.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Class A common stock and may impair our ability to enter into strategic collaborations or acquire companies, technologies or other assets by using our shares of Class A common stock as consideration.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trading price of our Class A common stock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 The trading prices for common stock of other pharmaceutical and biotechnology companies have also been highly volatile as a result of the pandemic related to COVID-19 and its variants.</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Broad market and industry factors may negatively affect the market price of our Class A common stock, regardless of our actual operating performance. In addition to the factors discussed in this “Risk Factors” section and elsewhere in this Quarterly Report on Form 10-Q, these factors include:</w:t>
      </w:r>
    </w:p>
    <w:p>
      <w:pPr>
        <w:spacing w:after="0" w:line="176" w:lineRule="exact"/>
        <w:rPr>
          <w:sz w:val="20"/>
          <w:szCs w:val="20"/>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results of preclinical studies and clinical trials of our product candidates or those of our competitors;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announcements by potential competitors of their product development efforts;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6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175"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Class A common stock by us, our insiders or our other stockholders;</w:t>
      </w:r>
    </w:p>
    <w:p>
      <w:pPr>
        <w:spacing w:after="0" w:line="252"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market stand-off or lock-up agreements;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and future impact of the pandemic related to COVID-19 and its variants, or any future pandemics, and actions taken to slow their spread; and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hanging="10"/>
        <w:spacing w:after="0" w:line="261" w:lineRule="auto"/>
        <w:tabs>
          <w:tab w:leader="none" w:pos="16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the effects of recession or slow economic growth in the U.S. and abroad, interest rates, fuel prices, international currency fluctuations, corruption, political instability, acts of war, including the Russian Federation’s invasion of Ukraine in February 2022, acts of terrorism, and the ongoing COVID-19 pandemic or other public health crises.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 dramatic and adverse impact on the market price of our Class A common stock.</w:t>
      </w:r>
    </w:p>
    <w:p>
      <w:pPr>
        <w:spacing w:after="0" w:line="15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will be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of March 31, 2022, our executive officers, directors, holders of 5% or more of our capital stock and their respective affiliates beneficially owned approximately 67.9% of our voting stock and these stockholders will be able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Class A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Class A common stock, and might affect the prevailing market price for our Class A common stock.</w:t>
      </w:r>
    </w:p>
    <w:p>
      <w:pPr>
        <w:spacing w:after="0" w:line="200" w:lineRule="exact"/>
        <w:rPr>
          <w:sz w:val="20"/>
          <w:szCs w:val="20"/>
          <w:color w:val="auto"/>
        </w:rPr>
      </w:pPr>
    </w:p>
    <w:p>
      <w:pPr>
        <w:spacing w:after="0" w:line="20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Class A common stock in the public market could cause our stock price to fall.</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Class A and/or Class B common stock, or the perception that these sales might occur, could depress the market price of our Class A common stock and could impair our ability to raise capital through the sale of additional equity securities. The shares of Class A common stock that were sold in the initial public offering of our Class A common stock are freely transferable without restrictions or further registration under the Securities Act of 1933, as amended, or the Securities Act, except for any shares acquired by our affiliates, as defined in Rule 144 under the Securities Act. The remaining shares of our Class A common stock that are outstanding are either unrestricted or restricted as a result of securities laws. In addition, there are shares of Class A common stock that are either subject to outstanding options or reserved for future issuance under our existing equity incentive plans and may become eligible for future sale subject to vesting, and Rule 144 and Rule 701 under the Securities Act. If these additional shares of Class A common stock are sold, or if it is perceived that they will be sold, in the public market, the trading price of our Class A common stock could decline.</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March 31, 2022, the holders of approximately 8,788,608 shares, or approximately 33.3% of our outstanding shares of our common stock have rights, subject to some conditions, to require us to file registration statements covering the sale of their shares or to include their shares in registration statements that we may file for ourselves or our other stockholders. Once we register the offer and sale of shares for the holders of registration rights, these shares will be able to be sold in the public market upon issuance, subject to the lock-up agreements described above.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in the future, we may issue additional shares of Class A common stock, or other equity or debt securities convertible into Class A common stock, in connection with a financing, acquisition, employee arrangement or otherwise. Any such issuance could result in substantial dilution to our existing stockholders and could cause the price of our Class A common stock to decline.</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Class A common stock and, consequently, your ability to achieve a return on your investment will depend on appreciation of the value of our Class A common stock.</w:t>
      </w:r>
    </w:p>
    <w:p>
      <w:pPr>
        <w:spacing w:after="0" w:line="15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Class A common stock, which is not certain.</w:t>
      </w:r>
    </w:p>
    <w:p>
      <w:pPr>
        <w:spacing w:after="0" w:line="176"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certificate of incorporation and bylaws and Delaware law might discourage, delay or prevent a change in control of our company or changes in our management and, therefore, depress the market price of our Class A common stock.</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and bylaws contain provisions that could depress the market price of our Class A common stock by acting to discourage, delay or prevent a change in control of our company or changes in our management that the stockholders of our company may deem advantageous. These provisions, among other things:</w:t>
      </w:r>
    </w:p>
    <w:p>
      <w:pPr>
        <w:spacing w:after="0" w:line="176" w:lineRule="exact"/>
        <w:rPr>
          <w:sz w:val="20"/>
          <w:szCs w:val="20"/>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 so that not all members of our board are elected at one time;</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on the board;</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only be removed “for cause” and only with the approval of two-thirds of our stockholders;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7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could use to implement a stockholder rights plan (also known as a “poison pill”);</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which requires all stockholder actions to be taken at a meeting of our stockholders;</w:t>
      </w:r>
    </w:p>
    <w:p>
      <w:pPr>
        <w:spacing w:after="0" w:line="18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w:t>
      </w:r>
    </w:p>
    <w:p>
      <w:pPr>
        <w:spacing w:after="0" w:line="238"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amend the bylaws;</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or for proposing matters that can be acted upon by stockholders at annual stockholder meetings; and</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provisions described above.</w:t>
      </w:r>
    </w:p>
    <w:p>
      <w:pPr>
        <w:spacing w:after="0" w:line="23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Section 203 of the General Corporation Law of the State of Delaware, or the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Class A common stock.</w:t>
      </w:r>
    </w:p>
    <w:p>
      <w:pPr>
        <w:spacing w:after="0" w:line="172"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and amended and restated bylaws provides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80"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the Court of Chancery of the State of Delaware (or, in the event that the Court of Chancery does not have jurisdiction, the federal district court for the District of Delaware or other state courts of the State of Delaware) is the exclusive forum for any derivative action or proceeding brought on our behalf, any action asserting a claim of breach of fiduciary duty, any action asserting a claim against us arising pursuant to the DGCL,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and amended and restated bylaws also provide that the federal district courts of the United States of America is the exclusive forum for the resolution of any complaint asserting a cause or causes of action against any defendant arising under the Securities Act. Such provision is intended to benefit and may be enforced by us, our officers and directors, employees and agents, including the underwriters and any other professional or entity who has prepared or certified any part of this Quarterly Report on Form 10-Q. Nothing in our amended and restated certificate of incorporation or amended and restated bylaws preclude stockholders that assert claims under the Exchange Act from bringing such claims in state or federal court, subject to applicable law.</w:t>
      </w:r>
    </w:p>
    <w:p>
      <w:pPr>
        <w:spacing w:after="0" w:line="19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that will be contained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any of our CROs, manufacturers, other contractors, consultants, collaborators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current and any future CROs and other contractors, consultants, collaborators and third-party service providers, are vulnerable to damage from computer viruses, cybersecurity threats, unauthorized access, natural disasters, terrorism, war and telecommunication and electrical failure. If such an event were to occur and cause interruptions in our operations or result in the unauthorized acquisition of or access to health-related or other personal information (violating certain privacy laws such), it could result in a material disruption of our drug discovery and development programs and our business operations, whether due to a loss of our trade secrets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9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7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by fire, severe weather conditions, power loss, telecommunications failure, terrorist activity, future pandemics and other events beyond our control, which could harm our business.</w:t>
      </w:r>
    </w:p>
    <w:p>
      <w:pPr>
        <w:spacing w:after="0" w:line="15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facilities are located in regions which experience severe weather from time to time. We have not undertaken a systematic analysis of the potential consequences to our business and financial results from a major tornado, flood, fire, earthquake, power loss, terrorist activity, future pandemics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183"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Class A common stock less attractive to investors.</w:t>
      </w:r>
    </w:p>
    <w:p>
      <w:pPr>
        <w:spacing w:after="0" w:line="15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76" w:lineRule="exact"/>
        <w:rPr>
          <w:sz w:val="20"/>
          <w:szCs w:val="20"/>
          <w:color w:val="auto"/>
        </w:rPr>
      </w:pPr>
    </w:p>
    <w:p>
      <w:pPr>
        <w:jc w:val="both"/>
        <w:ind w:left="60" w:right="59" w:hanging="10"/>
        <w:spacing w:after="0" w:line="266" w:lineRule="auto"/>
        <w:tabs>
          <w:tab w:leader="none" w:pos="1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financial statements, with correspondingly reduced “Management’s Discussion and Analysis of Financial Condition and Results of Operations” disclosure in this Quarterly Report on Form 10-Q;</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0" w:hanging="110"/>
        <w:spacing w:after="0"/>
        <w:tabs>
          <w:tab w:leader="none" w:pos="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 of the Sarbanes-Oxley Act;</w:t>
      </w:r>
    </w:p>
    <w:p>
      <w:pPr>
        <w:spacing w:after="0" w:line="238" w:lineRule="exact"/>
        <w:rPr>
          <w:rFonts w:ascii="Times New Roman" w:cs="Times New Roman" w:eastAsia="Times New Roman" w:hAnsi="Times New Roman"/>
          <w:sz w:val="18"/>
          <w:szCs w:val="18"/>
          <w:color w:val="auto"/>
        </w:rPr>
      </w:pPr>
    </w:p>
    <w:p>
      <w:pPr>
        <w:ind w:left="60" w:right="59" w:hanging="10"/>
        <w:spacing w:after="0" w:line="282" w:lineRule="auto"/>
        <w:tabs>
          <w:tab w:leader="none" w:pos="18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the communication of critical audit matters in the auditor’s report on financial statements;</w:t>
      </w:r>
    </w:p>
    <w:p>
      <w:pPr>
        <w:spacing w:after="0" w:line="175" w:lineRule="exact"/>
        <w:rPr>
          <w:rFonts w:ascii="Times New Roman" w:cs="Times New Roman" w:eastAsia="Times New Roman" w:hAnsi="Times New Roman"/>
          <w:sz w:val="18"/>
          <w:szCs w:val="18"/>
          <w:color w:val="auto"/>
        </w:rPr>
      </w:pPr>
    </w:p>
    <w:p>
      <w:pPr>
        <w:ind w:left="160" w:hanging="110"/>
        <w:spacing w:after="0"/>
        <w:tabs>
          <w:tab w:leader="none" w:pos="1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proxy statements; and</w:t>
      </w:r>
    </w:p>
    <w:p>
      <w:pPr>
        <w:spacing w:after="0" w:line="238" w:lineRule="exact"/>
        <w:rPr>
          <w:rFonts w:ascii="Times New Roman" w:cs="Times New Roman" w:eastAsia="Times New Roman" w:hAnsi="Times New Roman"/>
          <w:sz w:val="18"/>
          <w:szCs w:val="18"/>
          <w:color w:val="auto"/>
        </w:rPr>
      </w:pPr>
    </w:p>
    <w:p>
      <w:pPr>
        <w:ind w:left="60" w:right="79" w:hanging="10"/>
        <w:spacing w:after="0" w:line="282" w:lineRule="auto"/>
        <w:tabs>
          <w:tab w:leader="none" w:pos="19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stockholder votes on executive compensation and stockholder approval of any golden parachute payments not previously approved.</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be more volatile.</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result in more litigation and divert management’s attention.</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or the Dodd-Frank Act, the listing requirements of Nasdaq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results of operations.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results of operations. We may also need to hire additional employees or engage outside consultants to comply with these requirements, which will increase our costs and expenses.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bodies due to ambiguities related to their application and practice, regulatory authorities may initiate legal proceedings against us and our business may be adversely affected.</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These new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By disclosing information in this Quarterly Report on Form 10-Q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Class A common stock.</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will be required to disclose changes made in our internal controls and procedures on a quarterly basis and our management will be required to assess the effectiveness of these controls annually. However, for as long as we are an emerging growth company, our independent registered public accounting firm will not be required to attest to the effectiveness of our internal controls over financial reporting pursuant to Section 404.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tax legislation may impact our results of operations and financial condition.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U.S. government may enact significant changes to the taxation of business entities including, among others, an increase in the corporate income tax rate, an increase in the tax rate applicable to the global intangible low-taxed income and elimination of certain exemptions, and the imposition of minimum taxes or surtaxes on certain types of income. The likelihood of these changes being enacted or implemented is unclear. We are currently unable to predict whether such changes will occur. If such changes are enacted or implemented, we are currently unable to predict the ultimate impact on our business.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0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880" w:type="dxa"/>
            <w:vAlign w:val="bottom"/>
          </w:tcPr>
          <w:p>
            <w:pPr>
              <w:spacing w:after="0"/>
              <w:rPr>
                <w:sz w:val="10"/>
                <w:szCs w:val="10"/>
                <w:color w:val="auto"/>
              </w:rPr>
            </w:pPr>
          </w:p>
        </w:tc>
        <w:tc>
          <w:tcPr>
            <w:tcW w:w="3160" w:type="dxa"/>
            <w:vAlign w:val="bottom"/>
            <w:gridSpan w:val="9"/>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9"/>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63"/>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9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Amended and Restated Certificate of Incorporation of</w:t>
              </w:r>
            </w:hyperlink>
          </w:p>
        </w:tc>
        <w:tc>
          <w:tcPr>
            <w:tcW w:w="140" w:type="dxa"/>
            <w:vAlign w:val="bottom"/>
            <w:gridSpan w:val="2"/>
          </w:tcPr>
          <w:p>
            <w:pPr>
              <w:spacing w:after="0"/>
              <w:rPr>
                <w:sz w:val="22"/>
                <w:szCs w:val="22"/>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001-40675</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80" w:type="dxa"/>
            <w:vAlign w:val="bottom"/>
          </w:tcPr>
          <w:p>
            <w:pPr>
              <w:jc w:val="center"/>
              <w:ind w:right="20"/>
              <w:spacing w:after="0"/>
              <w:rPr>
                <w:sz w:val="20"/>
                <w:szCs w:val="20"/>
                <w:color w:val="auto"/>
              </w:rPr>
            </w:pPr>
            <w:r>
              <w:rPr>
                <w:rFonts w:ascii="Times New Roman" w:cs="Times New Roman" w:eastAsia="Times New Roman" w:hAnsi="Times New Roman"/>
                <w:sz w:val="18"/>
                <w:szCs w:val="18"/>
                <w:color w:val="auto"/>
                <w:w w:val="99"/>
              </w:rPr>
              <w:t>9/9/2021</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40" w:type="dxa"/>
            <w:vAlign w:val="bottom"/>
            <w:gridSpan w:val="10"/>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Immuneering Corporation</w:t>
              </w:r>
            </w:hyperlink>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4040" w:type="dxa"/>
            <w:vAlign w:val="bottom"/>
            <w:gridSpan w:val="10"/>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Amended and Restated Bylaws of Immuneering</w:t>
              </w:r>
            </w:hyperlink>
          </w:p>
        </w:tc>
        <w:tc>
          <w:tcPr>
            <w:tcW w:w="56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001-40675</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980" w:type="dxa"/>
            <w:vAlign w:val="bottom"/>
          </w:tcPr>
          <w:p>
            <w:pPr>
              <w:jc w:val="center"/>
              <w:ind w:right="20"/>
              <w:spacing w:after="0" w:line="196" w:lineRule="exact"/>
              <w:rPr>
                <w:sz w:val="20"/>
                <w:szCs w:val="20"/>
                <w:color w:val="auto"/>
              </w:rPr>
            </w:pPr>
            <w:r>
              <w:rPr>
                <w:rFonts w:ascii="Times New Roman" w:cs="Times New Roman" w:eastAsia="Times New Roman" w:hAnsi="Times New Roman"/>
                <w:sz w:val="18"/>
                <w:szCs w:val="18"/>
                <w:color w:val="auto"/>
                <w:w w:val="99"/>
              </w:rPr>
              <w:t>9/9/2021</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8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08">
              <w:r>
                <w:rPr>
                  <w:rFonts w:ascii="Times New Roman" w:cs="Times New Roman" w:eastAsia="Times New Roman" w:hAnsi="Times New Roman"/>
                  <w:sz w:val="18"/>
                  <w:szCs w:val="18"/>
                  <w:color w:val="0000EE"/>
                  <w:w w:val="98"/>
                </w:rPr>
                <w:t>Corporation</w:t>
              </w:r>
            </w:hyperlink>
          </w:p>
        </w:tc>
        <w:tc>
          <w:tcPr>
            <w:tcW w:w="2580" w:type="dxa"/>
            <w:vAlign w:val="bottom"/>
            <w:tcBorders>
              <w:top w:val="single" w:sz="8" w:color="0000EE"/>
            </w:tcBorders>
            <w:gridSpan w:val="4"/>
          </w:tcPr>
          <w:p>
            <w:pPr>
              <w:spacing w:after="0"/>
              <w:rPr>
                <w:sz w:val="17"/>
                <w:szCs w:val="17"/>
                <w:color w:val="auto"/>
              </w:rPr>
            </w:pPr>
          </w:p>
        </w:tc>
        <w:tc>
          <w:tcPr>
            <w:tcW w:w="58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0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9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13a-14(a)/15d-14(a).</w:t>
            </w:r>
          </w:p>
        </w:tc>
        <w:tc>
          <w:tcPr>
            <w:tcW w:w="1820" w:type="dxa"/>
            <w:vAlign w:val="bottom"/>
            <w:tcBorders>
              <w:top w:val="single" w:sz="8" w:color="0000EE"/>
            </w:tcBorders>
            <w:gridSpan w:val="3"/>
          </w:tcPr>
          <w:p>
            <w:pPr>
              <w:spacing w:after="0"/>
              <w:rPr>
                <w:sz w:val="17"/>
                <w:szCs w:val="17"/>
                <w:color w:val="auto"/>
              </w:rPr>
            </w:pPr>
          </w:p>
        </w:tc>
        <w:tc>
          <w:tcPr>
            <w:tcW w:w="32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6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w:t>
            </w:r>
          </w:p>
        </w:tc>
        <w:tc>
          <w:tcPr>
            <w:tcW w:w="36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9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Rule 13a-14(a)/15d-14(a).</w:t>
            </w:r>
          </w:p>
        </w:tc>
        <w:tc>
          <w:tcPr>
            <w:tcW w:w="214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9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18</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0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404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w:t>
            </w: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9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U.S.C. Section 1350.</w:t>
            </w:r>
          </w:p>
        </w:tc>
        <w:tc>
          <w:tcPr>
            <w:tcW w:w="1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52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 Data File</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XBRL document.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800" w:type="dxa"/>
            <w:vAlign w:val="bottom"/>
          </w:tcPr>
          <w:p>
            <w:pPr>
              <w:spacing w:after="0"/>
              <w:rPr>
                <w:sz w:val="20"/>
                <w:szCs w:val="20"/>
                <w:color w:val="auto"/>
              </w:rPr>
            </w:pPr>
          </w:p>
        </w:tc>
        <w:tc>
          <w:tcPr>
            <w:tcW w:w="40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74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40" w:type="dxa"/>
            <w:vAlign w:val="bottom"/>
            <w:tcBorders>
              <w:bottom w:val="single" w:sz="8" w:color="auto"/>
            </w:tcBorders>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740" w:type="dxa"/>
            <w:vAlign w:val="bottom"/>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410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40" w:type="dxa"/>
            <w:vAlign w:val="bottom"/>
          </w:tcPr>
          <w:p>
            <w:pPr>
              <w:jc w:val="center"/>
              <w:ind w:right="271"/>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10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740" w:type="dxa"/>
            <w:vAlign w:val="bottom"/>
            <w:tcBorders>
              <w:bottom w:val="single" w:sz="8" w:color="auto"/>
            </w:tcBorders>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Date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8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Inline XBRL Taxonomy Extension Definition Linkbase</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Document.</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Linkbase Document.</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4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80" w:hanging="730"/>
        <w:spacing w:after="0"/>
        <w:tabs>
          <w:tab w:leader="none" w:pos="7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780" w:hanging="730"/>
        <w:spacing w:after="0"/>
        <w:tabs>
          <w:tab w:leader="none" w:pos="7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duly authorized.</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6220" w:type="dxa"/>
            <w:vAlign w:val="bottom"/>
            <w:gridSpan w:val="2"/>
          </w:tcPr>
          <w:p>
            <w:pPr>
              <w:ind w:left="1220"/>
              <w:spacing w:after="0"/>
              <w:rPr>
                <w:sz w:val="20"/>
                <w:szCs w:val="20"/>
                <w:color w:val="auto"/>
              </w:rPr>
            </w:pPr>
            <w:r>
              <w:rPr>
                <w:rFonts w:ascii="Times New Roman" w:cs="Times New Roman" w:eastAsia="Times New Roman" w:hAnsi="Times New Roman"/>
                <w:sz w:val="18"/>
                <w:szCs w:val="18"/>
                <w:b w:val="1"/>
                <w:bCs w:val="1"/>
                <w:color w:val="auto"/>
              </w:rPr>
              <w:t>IMMUNEERING CORPORATION</w:t>
            </w:r>
          </w:p>
        </w:tc>
      </w:tr>
      <w:tr>
        <w:trPr>
          <w:trHeight w:val="648"/>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18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J. Zeskind</w:t>
            </w:r>
          </w:p>
        </w:tc>
      </w:tr>
      <w:tr>
        <w:trPr>
          <w:trHeight w:val="191"/>
        </w:trPr>
        <w:tc>
          <w:tcPr>
            <w:tcW w:w="2660" w:type="dxa"/>
            <w:vAlign w:val="bottom"/>
          </w:tcPr>
          <w:p>
            <w:pPr>
              <w:spacing w:after="0"/>
              <w:rPr>
                <w:sz w:val="16"/>
                <w:szCs w:val="16"/>
                <w:color w:val="auto"/>
              </w:rPr>
            </w:pPr>
          </w:p>
        </w:tc>
        <w:tc>
          <w:tcPr>
            <w:tcW w:w="1800" w:type="dxa"/>
            <w:vAlign w:val="bottom"/>
          </w:tcPr>
          <w:p>
            <w:pPr>
              <w:ind w:left="1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Benjamin J. Zeskind, Ph.D.</w:t>
            </w:r>
          </w:p>
        </w:tc>
      </w:tr>
      <w:tr>
        <w:trPr>
          <w:trHeight w:val="216"/>
        </w:trPr>
        <w:tc>
          <w:tcPr>
            <w:tcW w:w="2660" w:type="dxa"/>
            <w:vAlign w:val="bottom"/>
          </w:tcPr>
          <w:p>
            <w:pPr>
              <w:spacing w:after="0"/>
              <w:rPr>
                <w:sz w:val="18"/>
                <w:szCs w:val="18"/>
                <w:color w:val="auto"/>
              </w:rPr>
            </w:pPr>
          </w:p>
        </w:tc>
        <w:tc>
          <w:tcPr>
            <w:tcW w:w="18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Co-Founder, President, Chief Executive Officer and Director</w:t>
            </w:r>
          </w:p>
        </w:tc>
      </w:tr>
      <w:tr>
        <w:trPr>
          <w:trHeight w:val="234"/>
        </w:trPr>
        <w:tc>
          <w:tcPr>
            <w:tcW w:w="26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Date: May 10, 2022</w:t>
            </w:r>
          </w:p>
        </w:tc>
        <w:tc>
          <w:tcPr>
            <w:tcW w:w="18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By:</w:t>
            </w:r>
          </w:p>
        </w:tc>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Biren Amin</w:t>
            </w:r>
          </w:p>
        </w:tc>
      </w:tr>
      <w:tr>
        <w:trPr>
          <w:trHeight w:val="191"/>
        </w:trPr>
        <w:tc>
          <w:tcPr>
            <w:tcW w:w="2660" w:type="dxa"/>
            <w:vAlign w:val="bottom"/>
          </w:tcPr>
          <w:p>
            <w:pPr>
              <w:spacing w:after="0"/>
              <w:rPr>
                <w:sz w:val="16"/>
                <w:szCs w:val="16"/>
                <w:color w:val="auto"/>
              </w:rPr>
            </w:pPr>
          </w:p>
        </w:tc>
        <w:tc>
          <w:tcPr>
            <w:tcW w:w="1800" w:type="dxa"/>
            <w:vAlign w:val="bottom"/>
          </w:tcPr>
          <w:p>
            <w:pPr>
              <w:ind w:left="1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Biren Amin</w:t>
            </w:r>
          </w:p>
        </w:tc>
      </w:tr>
      <w:tr>
        <w:trPr>
          <w:trHeight w:val="216"/>
        </w:trPr>
        <w:tc>
          <w:tcPr>
            <w:tcW w:w="2660" w:type="dxa"/>
            <w:vAlign w:val="bottom"/>
          </w:tcPr>
          <w:p>
            <w:pPr>
              <w:spacing w:after="0"/>
              <w:rPr>
                <w:sz w:val="18"/>
                <w:szCs w:val="18"/>
                <w:color w:val="auto"/>
              </w:rPr>
            </w:pPr>
          </w:p>
        </w:tc>
        <w:tc>
          <w:tcPr>
            <w:tcW w:w="1800" w:type="dxa"/>
            <w:vAlign w:val="bottom"/>
          </w:tcPr>
          <w:p>
            <w:pPr>
              <w:ind w:left="1220"/>
              <w:spacing w:after="0"/>
              <w:rPr>
                <w:sz w:val="20"/>
                <w:szCs w:val="20"/>
                <w:color w:val="auto"/>
              </w:rPr>
            </w:pPr>
            <w:r>
              <w:rPr>
                <w:rFonts w:ascii="Times New Roman" w:cs="Times New Roman" w:eastAsia="Times New Roman" w:hAnsi="Times New Roman"/>
                <w:sz w:val="18"/>
                <w:szCs w:val="18"/>
                <w:color w:val="auto"/>
              </w:rPr>
              <w:t>Title:</w:t>
            </w: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26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w:t>
            </w:r>
          </w:p>
        </w:tc>
      </w:tr>
      <w:tr>
        <w:trPr>
          <w:trHeight w:val="234"/>
        </w:trPr>
        <w:tc>
          <w:tcPr>
            <w:tcW w:w="26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Benjamin J. Zeskind, certify that:</w:t>
      </w:r>
    </w:p>
    <w:p>
      <w:pPr>
        <w:spacing w:after="0" w:line="117" w:lineRule="exact"/>
        <w:rPr>
          <w:sz w:val="20"/>
          <w:szCs w:val="20"/>
          <w:color w:val="auto"/>
        </w:rPr>
      </w:pPr>
    </w:p>
    <w:p>
      <w:pPr>
        <w:ind w:left="700" w:hanging="656"/>
        <w:spacing w:after="0"/>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Immuneering Corporation;</w:t>
      </w:r>
    </w:p>
    <w:p>
      <w:pPr>
        <w:spacing w:after="0" w:line="117" w:lineRule="exact"/>
        <w:rPr>
          <w:rFonts w:ascii="Times New Roman" w:cs="Times New Roman" w:eastAsia="Times New Roman" w:hAnsi="Times New Roman"/>
          <w:sz w:val="18"/>
          <w:szCs w:val="18"/>
          <w:color w:val="auto"/>
        </w:rPr>
      </w:pPr>
    </w:p>
    <w:p>
      <w:pPr>
        <w:ind w:left="700" w:right="299" w:hanging="656"/>
        <w:spacing w:after="0" w:line="258"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8"/>
          <w:szCs w:val="18"/>
          <w:color w:val="auto"/>
        </w:rPr>
      </w:pPr>
    </w:p>
    <w:p>
      <w:pPr>
        <w:ind w:left="700" w:right="219" w:hanging="656"/>
        <w:spacing w:after="0" w:line="296" w:lineRule="auto"/>
        <w:tabs>
          <w:tab w:leader="none" w:pos="7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57" w:lineRule="exact"/>
        <w:rPr>
          <w:rFonts w:ascii="Times New Roman" w:cs="Times New Roman" w:eastAsia="Times New Roman" w:hAnsi="Times New Roman"/>
          <w:sz w:val="17"/>
          <w:szCs w:val="17"/>
          <w:color w:val="auto"/>
        </w:rPr>
      </w:pPr>
    </w:p>
    <w:p>
      <w:pPr>
        <w:ind w:left="1340" w:right="79" w:hanging="648"/>
        <w:spacing w:after="0" w:line="255" w:lineRule="auto"/>
        <w:tabs>
          <w:tab w:leader="none" w:pos="13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ind w:left="1340" w:hanging="648"/>
        <w:spacing w:after="0"/>
        <w:tabs>
          <w:tab w:leader="none" w:pos="13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17" w:lineRule="exact"/>
        <w:rPr>
          <w:rFonts w:ascii="Times New Roman" w:cs="Times New Roman" w:eastAsia="Times New Roman" w:hAnsi="Times New Roman"/>
          <w:sz w:val="18"/>
          <w:szCs w:val="18"/>
          <w:color w:val="auto"/>
        </w:rPr>
      </w:pPr>
    </w:p>
    <w:p>
      <w:pPr>
        <w:ind w:left="1340" w:right="179" w:hanging="648"/>
        <w:spacing w:after="0" w:line="258" w:lineRule="auto"/>
        <w:tabs>
          <w:tab w:leader="none" w:pos="13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Times New Roman" w:cs="Times New Roman" w:eastAsia="Times New Roman" w:hAnsi="Times New Roman"/>
          <w:sz w:val="18"/>
          <w:szCs w:val="18"/>
          <w:color w:val="auto"/>
        </w:rPr>
      </w:pPr>
    </w:p>
    <w:p>
      <w:pPr>
        <w:ind w:left="1340" w:right="119" w:hanging="648"/>
        <w:spacing w:after="0" w:line="255" w:lineRule="auto"/>
        <w:tabs>
          <w:tab w:leader="none" w:pos="13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Times New Roman" w:cs="Times New Roman" w:eastAsia="Times New Roman" w:hAnsi="Times New Roman"/>
          <w:sz w:val="18"/>
          <w:szCs w:val="18"/>
          <w:color w:val="auto"/>
        </w:rPr>
      </w:pPr>
    </w:p>
    <w:p>
      <w:pPr>
        <w:ind w:left="700" w:right="379" w:hanging="656"/>
        <w:spacing w:after="0" w:line="258" w:lineRule="auto"/>
        <w:tabs>
          <w:tab w:leader="none" w:pos="7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8"/>
          <w:szCs w:val="18"/>
          <w:color w:val="auto"/>
        </w:rPr>
      </w:pPr>
    </w:p>
    <w:p>
      <w:pPr>
        <w:ind w:left="1340" w:right="319" w:hanging="648"/>
        <w:spacing w:after="0" w:line="258" w:lineRule="auto"/>
        <w:tabs>
          <w:tab w:leader="none" w:pos="13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Times New Roman" w:cs="Times New Roman" w:eastAsia="Times New Roman" w:hAnsi="Times New Roman"/>
          <w:sz w:val="18"/>
          <w:szCs w:val="18"/>
          <w:color w:val="auto"/>
        </w:rPr>
      </w:pPr>
    </w:p>
    <w:p>
      <w:pPr>
        <w:ind w:left="1340" w:right="99" w:hanging="648"/>
        <w:spacing w:after="0" w:line="266" w:lineRule="auto"/>
        <w:tabs>
          <w:tab w:leader="none" w:pos="13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7" w:lineRule="exact"/>
        <w:rPr>
          <w:sz w:val="20"/>
          <w:szCs w:val="20"/>
          <w:color w:val="auto"/>
        </w:rPr>
      </w:pPr>
    </w:p>
    <w:p>
      <w:pPr>
        <w:ind w:left="4680"/>
        <w:spacing w:after="0"/>
        <w:tabs>
          <w:tab w:leader="none" w:pos="5200" w:val="left"/>
        </w:tabs>
        <w:rPr>
          <w:sz w:val="20"/>
          <w:szCs w:val="20"/>
          <w:color w:val="auto"/>
        </w:rPr>
      </w:pPr>
      <w:r>
        <w:rPr>
          <w:rFonts w:ascii="Times New Roman" w:cs="Times New Roman" w:eastAsia="Times New Roman" w:hAnsi="Times New Roman"/>
          <w:sz w:val="18"/>
          <w:szCs w:val="18"/>
          <w:color w:val="auto"/>
        </w:rPr>
        <w:t>By:</w:t>
        <w:tab/>
        <w:t>/s/ Benjamin J. Zeskind</w:t>
      </w:r>
    </w:p>
    <w:p>
      <w:pPr>
        <w:spacing w:after="0" w:line="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-119380</wp:posOffset>
            </wp:positionV>
            <wp:extent cx="24003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Title: Co-Founder, President, Chief Executive Officer and</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648970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8" w:name="page99"/>
    <w:bookmarkEnd w:id="9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Biren Amin, certify that:</w:t>
      </w:r>
    </w:p>
    <w:p>
      <w:pPr>
        <w:spacing w:after="0" w:line="117" w:lineRule="exact"/>
        <w:rPr>
          <w:sz w:val="20"/>
          <w:szCs w:val="20"/>
          <w:color w:val="auto"/>
        </w:rPr>
      </w:pPr>
    </w:p>
    <w:p>
      <w:pPr>
        <w:ind w:left="700" w:hanging="656"/>
        <w:spacing w:after="0"/>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Immuneering Corporation;</w:t>
      </w:r>
    </w:p>
    <w:p>
      <w:pPr>
        <w:spacing w:after="0" w:line="117" w:lineRule="exact"/>
        <w:rPr>
          <w:rFonts w:ascii="Times New Roman" w:cs="Times New Roman" w:eastAsia="Times New Roman" w:hAnsi="Times New Roman"/>
          <w:sz w:val="18"/>
          <w:szCs w:val="18"/>
          <w:color w:val="auto"/>
        </w:rPr>
      </w:pPr>
    </w:p>
    <w:p>
      <w:pPr>
        <w:ind w:left="700" w:right="299" w:hanging="656"/>
        <w:spacing w:after="0" w:line="258"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8" w:lineRule="exact"/>
        <w:rPr>
          <w:rFonts w:ascii="Times New Roman" w:cs="Times New Roman" w:eastAsia="Times New Roman" w:hAnsi="Times New Roman"/>
          <w:sz w:val="18"/>
          <w:szCs w:val="18"/>
          <w:color w:val="auto"/>
        </w:rPr>
      </w:pPr>
    </w:p>
    <w:p>
      <w:pPr>
        <w:ind w:left="700" w:right="199" w:hanging="656"/>
        <w:spacing w:after="0" w:line="258"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8" w:lineRule="exact"/>
        <w:rPr>
          <w:rFonts w:ascii="Times New Roman" w:cs="Times New Roman" w:eastAsia="Times New Roman" w:hAnsi="Times New Roman"/>
          <w:sz w:val="18"/>
          <w:szCs w:val="18"/>
          <w:color w:val="auto"/>
        </w:rPr>
      </w:pPr>
    </w:p>
    <w:p>
      <w:pPr>
        <w:ind w:left="700" w:right="219" w:hanging="656"/>
        <w:spacing w:after="0" w:line="296" w:lineRule="auto"/>
        <w:tabs>
          <w:tab w:leader="none" w:pos="7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57" w:lineRule="exact"/>
        <w:rPr>
          <w:rFonts w:ascii="Times New Roman" w:cs="Times New Roman" w:eastAsia="Times New Roman" w:hAnsi="Times New Roman"/>
          <w:sz w:val="17"/>
          <w:szCs w:val="17"/>
          <w:color w:val="auto"/>
        </w:rPr>
      </w:pPr>
    </w:p>
    <w:p>
      <w:pPr>
        <w:ind w:left="1340" w:right="79" w:hanging="648"/>
        <w:spacing w:after="0" w:line="255" w:lineRule="auto"/>
        <w:tabs>
          <w:tab w:leader="none" w:pos="13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ind w:left="1340" w:hanging="648"/>
        <w:spacing w:after="0"/>
        <w:tabs>
          <w:tab w:leader="none" w:pos="13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Omitted;</w:t>
      </w:r>
    </w:p>
    <w:p>
      <w:pPr>
        <w:spacing w:after="0" w:line="117" w:lineRule="exact"/>
        <w:rPr>
          <w:rFonts w:ascii="Times New Roman" w:cs="Times New Roman" w:eastAsia="Times New Roman" w:hAnsi="Times New Roman"/>
          <w:sz w:val="18"/>
          <w:szCs w:val="18"/>
          <w:color w:val="auto"/>
        </w:rPr>
      </w:pPr>
    </w:p>
    <w:p>
      <w:pPr>
        <w:ind w:left="1340" w:right="179" w:hanging="648"/>
        <w:spacing w:after="0" w:line="258" w:lineRule="auto"/>
        <w:tabs>
          <w:tab w:leader="none" w:pos="13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8" w:lineRule="exact"/>
        <w:rPr>
          <w:rFonts w:ascii="Times New Roman" w:cs="Times New Roman" w:eastAsia="Times New Roman" w:hAnsi="Times New Roman"/>
          <w:sz w:val="18"/>
          <w:szCs w:val="18"/>
          <w:color w:val="auto"/>
        </w:rPr>
      </w:pPr>
    </w:p>
    <w:p>
      <w:pPr>
        <w:ind w:left="1340" w:right="119" w:hanging="648"/>
        <w:spacing w:after="0" w:line="255" w:lineRule="auto"/>
        <w:tabs>
          <w:tab w:leader="none" w:pos="13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Times New Roman" w:cs="Times New Roman" w:eastAsia="Times New Roman" w:hAnsi="Times New Roman"/>
          <w:sz w:val="18"/>
          <w:szCs w:val="18"/>
          <w:color w:val="auto"/>
        </w:rPr>
      </w:pPr>
    </w:p>
    <w:p>
      <w:pPr>
        <w:ind w:left="700" w:right="379" w:hanging="656"/>
        <w:spacing w:after="0" w:line="258" w:lineRule="auto"/>
        <w:tabs>
          <w:tab w:leader="none" w:pos="7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8" w:lineRule="exact"/>
        <w:rPr>
          <w:rFonts w:ascii="Times New Roman" w:cs="Times New Roman" w:eastAsia="Times New Roman" w:hAnsi="Times New Roman"/>
          <w:sz w:val="18"/>
          <w:szCs w:val="18"/>
          <w:color w:val="auto"/>
        </w:rPr>
      </w:pPr>
    </w:p>
    <w:p>
      <w:pPr>
        <w:ind w:left="1340" w:right="319" w:hanging="648"/>
        <w:spacing w:after="0" w:line="258" w:lineRule="auto"/>
        <w:tabs>
          <w:tab w:leader="none" w:pos="13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8" w:lineRule="exact"/>
        <w:rPr>
          <w:rFonts w:ascii="Times New Roman" w:cs="Times New Roman" w:eastAsia="Times New Roman" w:hAnsi="Times New Roman"/>
          <w:sz w:val="18"/>
          <w:szCs w:val="18"/>
          <w:color w:val="auto"/>
        </w:rPr>
      </w:pPr>
    </w:p>
    <w:p>
      <w:pPr>
        <w:ind w:left="1340" w:right="99" w:hanging="648"/>
        <w:spacing w:after="0" w:line="266" w:lineRule="auto"/>
        <w:tabs>
          <w:tab w:leader="none" w:pos="134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79" w:lineRule="exact"/>
        <w:rPr>
          <w:sz w:val="20"/>
          <w:szCs w:val="20"/>
          <w:color w:val="auto"/>
        </w:rPr>
      </w:pPr>
    </w:p>
    <w:p>
      <w:pPr>
        <w:ind w:left="4700"/>
        <w:spacing w:after="0"/>
        <w:tabs>
          <w:tab w:leader="none" w:pos="5180" w:val="left"/>
        </w:tabs>
        <w:rPr>
          <w:sz w:val="20"/>
          <w:szCs w:val="20"/>
          <w:color w:val="auto"/>
        </w:rPr>
      </w:pPr>
      <w:r>
        <w:rPr>
          <w:rFonts w:ascii="Times New Roman" w:cs="Times New Roman" w:eastAsia="Times New Roman" w:hAnsi="Times New Roman"/>
          <w:sz w:val="18"/>
          <w:szCs w:val="18"/>
          <w:color w:val="auto"/>
        </w:rPr>
        <w:t>By:</w:t>
        <w:tab/>
        <w:t>/s/ Biren Amin</w:t>
      </w:r>
    </w:p>
    <w:p>
      <w:pPr>
        <w:spacing w:after="0" w:line="5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Name: Biren 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-119380</wp:posOffset>
            </wp:positionV>
            <wp:extent cx="23914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ind w:left="4700"/>
        <w:spacing w:after="0" w:line="194" w:lineRule="auto"/>
        <w:rPr>
          <w:sz w:val="20"/>
          <w:szCs w:val="20"/>
          <w:color w:val="auto"/>
        </w:rPr>
      </w:pPr>
      <w:r>
        <w:rPr>
          <w:rFonts w:ascii="Times New Roman" w:cs="Times New Roman" w:eastAsia="Times New Roman" w:hAnsi="Times New Roman"/>
          <w:sz w:val="35"/>
          <w:szCs w:val="35"/>
          <w:color w:val="auto"/>
          <w:vertAlign w:val="superscript"/>
        </w:rPr>
        <w:t>Title:</w:t>
      </w:r>
      <w:r>
        <w:rPr>
          <w:rFonts w:ascii="Times New Roman" w:cs="Times New Roman" w:eastAsia="Times New Roman" w:hAnsi="Times New Roman"/>
          <w:sz w:val="18"/>
          <w:szCs w:val="18"/>
          <w:color w:val="auto"/>
        </w:rPr>
        <w:t xml:space="preserve"> Chief Financial Officer and Treasurer</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(Principal Financial Officer and Principal</w:t>
      </w:r>
    </w:p>
    <w:p>
      <w:pPr>
        <w:spacing w:after="0" w:line="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9" w:name="page100"/>
    <w:bookmarkEnd w:id="9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ind w:left="40" w:right="59"/>
        <w:spacing w:after="0" w:line="393"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67"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Immuneering Corporation (the “Company”) for the quarterly period ended March 31, 2022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58" w:lineRule="exact"/>
        <w:rPr>
          <w:sz w:val="20"/>
          <w:szCs w:val="20"/>
          <w:color w:val="auto"/>
        </w:rPr>
      </w:pPr>
    </w:p>
    <w:p>
      <w:pPr>
        <w:ind w:left="1340" w:right="539" w:hanging="648"/>
        <w:spacing w:after="0" w:line="282" w:lineRule="auto"/>
        <w:tabs>
          <w:tab w:leader="none" w:pos="1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40" w:right="279" w:hanging="648"/>
        <w:spacing w:after="0" w:line="282" w:lineRule="auto"/>
        <w:tabs>
          <w:tab w:leader="none" w:pos="1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00" w:lineRule="exact"/>
        <w:rPr>
          <w:sz w:val="20"/>
          <w:szCs w:val="20"/>
          <w:color w:val="auto"/>
        </w:rPr>
      </w:pPr>
    </w:p>
    <w:p>
      <w:pPr>
        <w:spacing w:after="0" w:line="349"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Benjamin J. Zeskind</w:t>
      </w:r>
    </w:p>
    <w:p>
      <w:pPr>
        <w:spacing w:after="0" w:line="5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Name: Benjamin J. Zeskind,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-119380</wp:posOffset>
            </wp:positionV>
            <wp:extent cx="24688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30" w:lineRule="exact"/>
        <w:rPr>
          <w:sz w:val="20"/>
          <w:szCs w:val="20"/>
          <w:color w:val="auto"/>
        </w:rPr>
      </w:pPr>
    </w:p>
    <w:p>
      <w:pPr>
        <w:ind w:left="450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Co-Founder, President, Chief Executive Officer and</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Director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674370</wp:posOffset>
            </wp:positionV>
            <wp:extent cx="565785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100" w:name="page101"/>
    <w:bookmarkEnd w:id="10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ind w:left="40" w:right="59"/>
        <w:spacing w:after="0" w:line="393"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67" w:lineRule="exact"/>
        <w:rPr>
          <w:sz w:val="20"/>
          <w:szCs w:val="20"/>
          <w:color w:val="auto"/>
        </w:rPr>
      </w:pPr>
    </w:p>
    <w:p>
      <w:pPr>
        <w:ind w:left="40" w:right="79"/>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Immuneering Corporation (the “Company”) for the quarterly period ended March 31, 2022, as filed with the Securities and Exchange Commission on the date hereof (the “Report”), I, the undersigned, certify, pursuant to 18 U.S.C. Section 1350, as adopted pursuant to Section 906 of the Sarbanes-Oxley Act of 2002, to the best of my knowledge, that:</w:t>
      </w:r>
    </w:p>
    <w:p>
      <w:pPr>
        <w:spacing w:after="0" w:line="58" w:lineRule="exact"/>
        <w:rPr>
          <w:sz w:val="20"/>
          <w:szCs w:val="20"/>
          <w:color w:val="auto"/>
        </w:rPr>
      </w:pPr>
    </w:p>
    <w:p>
      <w:pPr>
        <w:ind w:left="1340" w:right="539" w:hanging="648"/>
        <w:spacing w:after="0" w:line="282" w:lineRule="auto"/>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53" w:lineRule="exact"/>
        <w:rPr>
          <w:rFonts w:ascii="Times New Roman" w:cs="Times New Roman" w:eastAsia="Times New Roman" w:hAnsi="Times New Roman"/>
          <w:sz w:val="18"/>
          <w:szCs w:val="18"/>
          <w:color w:val="auto"/>
        </w:rPr>
      </w:pPr>
    </w:p>
    <w:p>
      <w:pPr>
        <w:ind w:left="1340" w:right="279" w:hanging="648"/>
        <w:spacing w:after="0" w:line="282" w:lineRule="auto"/>
        <w:tabs>
          <w:tab w:leader="none" w:pos="1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May 10, 2022</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0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/s/ Biren Amin</w:t>
            </w:r>
          </w:p>
        </w:tc>
        <w:tc>
          <w:tcPr>
            <w:tcW w:w="0" w:type="dxa"/>
            <w:vAlign w:val="bottom"/>
          </w:tcPr>
          <w:p>
            <w:pPr>
              <w:spacing w:after="0"/>
              <w:rPr>
                <w:sz w:val="1"/>
                <w:szCs w:val="1"/>
                <w:color w:val="auto"/>
              </w:rPr>
            </w:pPr>
          </w:p>
        </w:tc>
      </w:tr>
      <w:tr>
        <w:trPr>
          <w:trHeight w:val="41"/>
        </w:trPr>
        <w:tc>
          <w:tcPr>
            <w:tcW w:w="5040" w:type="dxa"/>
            <w:vAlign w:val="bottom"/>
            <w:vMerge w:val="restart"/>
          </w:tcPr>
          <w:p>
            <w:pPr>
              <w:ind w:left="4460"/>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04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Biren Amin</w:t>
            </w:r>
          </w:p>
        </w:tc>
        <w:tc>
          <w:tcPr>
            <w:tcW w:w="0" w:type="dxa"/>
            <w:vAlign w:val="bottom"/>
          </w:tcPr>
          <w:p>
            <w:pPr>
              <w:spacing w:after="0"/>
              <w:rPr>
                <w:sz w:val="1"/>
                <w:szCs w:val="1"/>
                <w:color w:val="auto"/>
              </w:rPr>
            </w:pPr>
          </w:p>
        </w:tc>
      </w:tr>
      <w:tr>
        <w:trPr>
          <w:trHeight w:val="257"/>
        </w:trPr>
        <w:tc>
          <w:tcPr>
            <w:tcW w:w="5040" w:type="dxa"/>
            <w:vAlign w:val="bottom"/>
          </w:tcPr>
          <w:p>
            <w:pPr>
              <w:ind w:left="446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w w:val="99"/>
              </w:rPr>
              <w:t>(Principal Financial Officer and Principal Accounting</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817"/>
        </w:trPr>
        <w:tc>
          <w:tcPr>
            <w:tcW w:w="50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9019"/>
      </w:cols>
      <w:pgMar w:left="1440" w:top="1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07" Type="http://schemas.openxmlformats.org/officeDocument/2006/relationships/hyperlink" Target="https://www.sec.gov/Archives/edgar/data/1790340/000155837021012336/imrx-20210630xex3d1.htm" TargetMode="External"/><Relationship Id="rId108" Type="http://schemas.openxmlformats.org/officeDocument/2006/relationships/hyperlink" Target="https://www.sec.gov/Archives/edgar/data/1790340/000155837021012336/imrx-20210630x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2022-05-10T05:42:35Z</dcterms:created>
  <dcterms:modified xsi:type="dcterms:W3CDTF">2022-05-10T05:42:35Z</dcterms:modified>
</cp:coreProperties>
</file>