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72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_________________________________________________</w:t>
      </w:r>
    </w:p>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_________________________________________________</w:t>
      </w:r>
    </w:p>
    <w:p>
      <w:pPr>
        <w:pStyle w:val="TextBody"/>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ingdings;sans-serif" w:hAnsi="Wingdings;sans-serif"/>
                <w:b/>
                <w:color w:val="000000"/>
                <w:sz w:val="18"/>
              </w:rPr>
            </w:pPr>
            <w:r>
              <w:rPr>
                <w:rFonts w:ascii="Wingdings;sans-serif" w:hAnsi="Wingdings;sans-serif"/>
                <w:b/>
                <w:color w:val="000000"/>
                <w:sz w:val="18"/>
              </w:rPr>
              <w:t>x</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20" w:after="283"/>
        <w:jc w:val="center"/>
        <w:rPr>
          <w:rFonts w:ascii="Times New Roman;serif" w:hAnsi="Times New Roman;serif"/>
          <w:b/>
          <w:color w:val="000000"/>
          <w:sz w:val="14"/>
        </w:rPr>
      </w:pPr>
      <w:r>
        <w:rPr>
          <w:rFonts w:ascii="Times New Roman;serif" w:hAnsi="Times New Roman;serif"/>
          <w:b/>
          <w:color w:val="000000"/>
          <w:sz w:val="14"/>
        </w:rPr>
        <w:t>For the quarterly period ended June 30, 2026</w:t>
      </w:r>
    </w:p>
    <w:p>
      <w:pPr>
        <w:pStyle w:val="TextBody"/>
        <w:bidi w:val="0"/>
        <w:spacing w:lineRule="auto" w:line="288" w:before="120" w:after="283"/>
        <w:jc w:val="center"/>
        <w:rPr>
          <w:rFonts w:ascii="Times New Roman;serif" w:hAnsi="Times New Roman;serif"/>
          <w:b/>
          <w:color w:val="000000"/>
          <w:sz w:val="14"/>
        </w:rPr>
      </w:pPr>
      <w:r>
        <w:rPr>
          <w:rFonts w:ascii="Times New Roman;serif" w:hAnsi="Times New Roman;serif"/>
          <w:b/>
          <w:color w:val="000000"/>
          <w:sz w:val="14"/>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20" w:after="283"/>
        <w:jc w:val="center"/>
        <w:rPr>
          <w:rFonts w:ascii="Times New Roman;serif" w:hAnsi="Times New Roman;serif"/>
          <w:b/>
          <w:color w:val="000000"/>
          <w:sz w:val="14"/>
        </w:rPr>
      </w:pPr>
      <w:r>
        <w:rPr>
          <w:rFonts w:ascii="Times New Roman;serif" w:hAnsi="Times New Roman;serif"/>
          <w:b/>
          <w:color w:val="000000"/>
          <w:sz w:val="14"/>
        </w:rPr>
        <w:t>For the transition period from _____________ to</w:t>
      </w:r>
    </w:p>
    <w:p>
      <w:pPr>
        <w:pStyle w:val="TextBody"/>
        <w:bidi w:val="0"/>
        <w:spacing w:lineRule="auto" w:line="288" w:before="120" w:after="283"/>
        <w:jc w:val="center"/>
        <w:rPr>
          <w:rFonts w:ascii="Times New Roman;serif" w:hAnsi="Times New Roman;serif"/>
          <w:b/>
          <w:color w:val="000000"/>
          <w:sz w:val="14"/>
        </w:rPr>
      </w:pPr>
      <w:r>
        <w:rPr>
          <w:rFonts w:ascii="Times New Roman;serif" w:hAnsi="Times New Roman;serif"/>
          <w:b/>
          <w:color w:val="000000"/>
          <w:sz w:val="14"/>
        </w:rPr>
        <w:t>Commission File Number: 001-40675</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_________________________________________________</w:t>
      </w:r>
    </w:p>
    <w:p>
      <w:pPr>
        <w:pStyle w:val="TextBody"/>
        <w:bidi w:val="0"/>
        <w:spacing w:lineRule="auto" w:line="288" w:before="120" w:after="283"/>
        <w:jc w:val="center"/>
        <w:rPr>
          <w:rFonts w:ascii="Times New Roman;serif" w:hAnsi="Times New Roman;serif"/>
          <w:b/>
          <w:color w:val="000000"/>
          <w:sz w:val="40"/>
        </w:rPr>
      </w:pPr>
      <w:r>
        <w:rPr>
          <w:rFonts w:ascii="Times New Roman;serif" w:hAnsi="Times New Roman;serif"/>
          <w:b/>
          <w:color w:val="000000"/>
          <w:sz w:val="40"/>
        </w:rPr>
        <w:t>Immuneering Corporation</w:t>
      </w:r>
    </w:p>
    <w:p>
      <w:pPr>
        <w:pStyle w:val="TextBody"/>
        <w:bidi w:val="0"/>
        <w:spacing w:lineRule="auto" w:line="288" w:before="120" w:after="283"/>
        <w:jc w:val="center"/>
        <w:rPr>
          <w:rFonts w:ascii="Times New Roman;serif" w:hAnsi="Times New Roman;serif"/>
          <w:b/>
          <w:color w:val="000000"/>
          <w:sz w:val="14"/>
        </w:rPr>
      </w:pPr>
      <w:r>
        <w:rPr>
          <w:rFonts w:ascii="Times New Roman;serif" w:hAnsi="Times New Roman;serif"/>
          <w:b/>
          <w:color w:val="000000"/>
          <w:sz w:val="14"/>
        </w:rPr>
        <w:t>(Exact name of registrant as specified in its charter)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_________________________________________________</w:t>
      </w:r>
    </w:p>
    <w:tbl>
      <w:tblPr>
        <w:tblW w:w="5503" w:type="dxa"/>
        <w:jc w:val="left"/>
        <w:tblInd w:w="0" w:type="dxa"/>
        <w:tblLayout w:type="fixed"/>
        <w:tblCellMar>
          <w:top w:w="28" w:type="dxa"/>
          <w:left w:w="28" w:type="dxa"/>
          <w:bottom w:w="28" w:type="dxa"/>
          <w:right w:w="28" w:type="dxa"/>
        </w:tblCellMar>
      </w:tblPr>
      <w:tblGrid>
        <w:gridCol w:w="1178"/>
        <w:gridCol w:w="1032"/>
        <w:gridCol w:w="1044"/>
        <w:gridCol w:w="659"/>
        <w:gridCol w:w="659"/>
        <w:gridCol w:w="931"/>
      </w:tblGrid>
      <w:tr>
        <w:trPr/>
        <w:tc>
          <w:tcPr>
            <w:tcW w:w="117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Delaware</w:t>
            </w:r>
          </w:p>
        </w:tc>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26-1976972</w:t>
            </w:r>
          </w:p>
        </w:tc>
      </w:tr>
      <w:tr>
        <w:trPr/>
        <w:tc>
          <w:tcPr>
            <w:tcW w:w="32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(State or other jurisdiction of incorporation or organization)</w:t>
            </w:r>
          </w:p>
        </w:tc>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(I.R.S. Employer Identification Number)</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245 Main St.</w:t>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Second Floor</w:t>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Cambridge, MA</w:t>
            </w:r>
          </w:p>
        </w:tc>
        <w:tc>
          <w:tcPr>
            <w:tcW w:w="22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02142</w:t>
            </w:r>
          </w:p>
        </w:tc>
      </w:tr>
      <w:tr>
        <w:trPr/>
        <w:tc>
          <w:tcPr>
            <w:tcW w:w="32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(Address of Principal Executive Offices)</w:t>
            </w:r>
          </w:p>
        </w:tc>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(Zip Code)</w:t>
            </w:r>
          </w:p>
        </w:tc>
      </w:tr>
    </w:tbl>
    <w:p>
      <w:pPr>
        <w:pStyle w:val="TextBody"/>
        <w:bidi w:val="0"/>
        <w:spacing w:lineRule="auto" w:line="288" w:before="120" w:after="283"/>
        <w:jc w:val="center"/>
        <w:rPr>
          <w:rFonts w:ascii="Times New Roman;serif" w:hAnsi="Times New Roman;serif"/>
          <w:b/>
          <w:color w:val="000000"/>
          <w:sz w:val="14"/>
        </w:rPr>
      </w:pPr>
      <w:r>
        <w:rPr>
          <w:rFonts w:ascii="Times New Roman;serif" w:hAnsi="Times New Roman;serif"/>
          <w:b/>
          <w:color w:val="000000"/>
          <w:sz w:val="14"/>
        </w:rPr>
        <w:t>(617) 500-8080</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(Registrant’s telephone number, including area code)</w:t>
      </w:r>
    </w:p>
    <w:p>
      <w:pPr>
        <w:pStyle w:val="TextBody"/>
        <w:bidi w:val="0"/>
        <w:spacing w:lineRule="auto" w:line="288" w:before="120" w:after="283"/>
        <w:jc w:val="center"/>
        <w:rPr>
          <w:rFonts w:ascii="Times New Roman;serif" w:hAnsi="Times New Roman;serif"/>
          <w:b/>
          <w:color w:val="000000"/>
          <w:sz w:val="12"/>
        </w:rPr>
      </w:pPr>
      <w:r>
        <w:rPr>
          <w:rFonts w:ascii="Times New Roman;serif" w:hAnsi="Times New Roman;serif"/>
          <w:b/>
          <w:color w:val="000000"/>
          <w:sz w:val="12"/>
        </w:rPr>
        <w:t>N/A</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(Former name, former address and former fiscal year, if changed since last report)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_________________________________________________</w:t>
      </w:r>
    </w:p>
    <w:p>
      <w:pPr>
        <w:pStyle w:val="TextBody"/>
        <w:bidi w:val="0"/>
        <w:spacing w:lineRule="auto" w:line="288" w:before="120" w:after="283"/>
        <w:jc w:val="left"/>
        <w:rPr>
          <w:rFonts w:ascii="Times New Roman;serif" w:hAnsi="Times New Roman;serif"/>
          <w:b w:val="false"/>
          <w:color w:val="000000"/>
          <w:sz w:val="14"/>
        </w:rPr>
      </w:pPr>
      <w:r>
        <w:rPr>
          <w:rFonts w:ascii="Times New Roman;serif" w:hAnsi="Times New Roman;serif"/>
          <w:b w:val="false"/>
          <w:color w:val="000000"/>
          <w:sz w:val="14"/>
        </w:rPr>
        <w:t>Securities registered pursuant to Section 12(b) of the Act:</w:t>
      </w:r>
    </w:p>
    <w:tbl>
      <w:tblPr>
        <w:tblW w:w="7252" w:type="dxa"/>
        <w:jc w:val="left"/>
        <w:tblInd w:w="0" w:type="dxa"/>
        <w:tblLayout w:type="fixed"/>
        <w:tblCellMar>
          <w:top w:w="28" w:type="dxa"/>
          <w:left w:w="28" w:type="dxa"/>
          <w:bottom w:w="28" w:type="dxa"/>
          <w:right w:w="28" w:type="dxa"/>
        </w:tblCellMar>
      </w:tblPr>
      <w:tblGrid>
        <w:gridCol w:w="1122"/>
        <w:gridCol w:w="985"/>
        <w:gridCol w:w="997"/>
        <w:gridCol w:w="109"/>
        <w:gridCol w:w="109"/>
        <w:gridCol w:w="109"/>
        <w:gridCol w:w="354"/>
        <w:gridCol w:w="354"/>
        <w:gridCol w:w="356"/>
        <w:gridCol w:w="109"/>
        <w:gridCol w:w="109"/>
        <w:gridCol w:w="109"/>
        <w:gridCol w:w="712"/>
        <w:gridCol w:w="712"/>
        <w:gridCol w:w="1006"/>
      </w:tblGrid>
      <w:tr>
        <w:trPr/>
        <w:tc>
          <w:tcPr>
            <w:tcW w:w="112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Name of Exchange on which registered</w:t>
            </w:r>
          </w:p>
        </w:tc>
      </w:tr>
      <w:tr>
        <w:trPr/>
        <w:tc>
          <w:tcPr>
            <w:tcW w:w="3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Class A 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IMRX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The Nasdaq Global Market</w:t>
            </w:r>
          </w:p>
        </w:tc>
      </w:tr>
    </w:tbl>
    <w:p>
      <w:pPr>
        <w:pStyle w:val="TextBody"/>
        <w:bidi w:val="0"/>
        <w:spacing w:lineRule="auto" w:line="288" w:before="120" w:after="283"/>
        <w:jc w:val="left"/>
        <w:rPr/>
      </w:pPr>
      <w:r>
        <w:rPr>
          <w:rFonts w:ascii="Times New Roman;serif" w:hAnsi="Times New Roman;serif"/>
          <w:b w:val="false"/>
          <w:color w:val="000000"/>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4"/>
        </w:rPr>
        <w:t>x</w:t>
      </w:r>
      <w:r>
        <w:rPr>
          <w:color w:val="000000"/>
        </w:rPr>
        <w:t xml:space="preserve"> </w:t>
      </w:r>
      <w:r>
        <w:rPr>
          <w:rFonts w:ascii="Times New Roman;serif" w:hAnsi="Times New Roman;serif"/>
          <w:b w:val="false"/>
          <w:color w:val="000000"/>
          <w:sz w:val="14"/>
        </w:rPr>
        <w:t xml:space="preserve">No </w:t>
      </w:r>
      <w:r>
        <w:rPr>
          <w:rFonts w:ascii="Wingdings;sans-serif" w:hAnsi="Wingdings;sans-serif"/>
          <w:b w:val="false"/>
          <w:color w:val="000000"/>
          <w:sz w:val="14"/>
        </w:rPr>
        <w:t>o</w:t>
      </w:r>
    </w:p>
    <w:p>
      <w:pPr>
        <w:pStyle w:val="TextBody"/>
        <w:bidi w:val="0"/>
        <w:spacing w:lineRule="auto" w:line="288" w:before="120" w:after="283"/>
        <w:jc w:val="left"/>
        <w:rPr/>
      </w:pPr>
      <w:r>
        <w:rPr>
          <w:rFonts w:ascii="Times New Roman;serif" w:hAnsi="Times New Roman;serif"/>
          <w:b w:val="false"/>
          <w:color w:val="000000"/>
          <w:sz w:val="14"/>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4"/>
        </w:rPr>
        <w:t>x</w:t>
      </w:r>
      <w:r>
        <w:rPr>
          <w:color w:val="000000"/>
        </w:rPr>
        <w:t xml:space="preserve"> </w:t>
      </w:r>
      <w:r>
        <w:rPr>
          <w:rFonts w:ascii="Times New Roman;serif" w:hAnsi="Times New Roman;serif"/>
          <w:b w:val="false"/>
          <w:color w:val="000000"/>
          <w:sz w:val="14"/>
        </w:rPr>
        <w:t xml:space="preserve">No </w:t>
      </w:r>
      <w:r>
        <w:rPr>
          <w:rFonts w:ascii="Wingdings;sans-serif" w:hAnsi="Wingdings;sans-serif"/>
          <w:b w:val="false"/>
          <w:color w:val="000000"/>
          <w:sz w:val="14"/>
        </w:rPr>
        <w:t>o</w:t>
      </w:r>
    </w:p>
    <w:p>
      <w:pPr>
        <w:pStyle w:val="TextBody"/>
        <w:bidi w:val="0"/>
        <w:spacing w:lineRule="auto" w:line="288" w:before="120" w:after="283"/>
        <w:jc w:val="left"/>
        <w:rPr>
          <w:rFonts w:ascii="Times New Roman;serif" w:hAnsi="Times New Roman;serif"/>
          <w:b w:val="false"/>
          <w:color w:val="000000"/>
          <w:sz w:val="14"/>
        </w:rPr>
      </w:pPr>
      <w:r>
        <w:rPr>
          <w:rFonts w:ascii="Times New Roman;serif" w:hAnsi="Times New Roman;serif"/>
          <w:b w:val="false"/>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704" w:type="dxa"/>
        <w:jc w:val="left"/>
        <w:tblInd w:w="0" w:type="dxa"/>
        <w:tblLayout w:type="fixed"/>
        <w:tblCellMar>
          <w:top w:w="28" w:type="dxa"/>
          <w:left w:w="28" w:type="dxa"/>
          <w:bottom w:w="28" w:type="dxa"/>
          <w:right w:w="28" w:type="dxa"/>
        </w:tblCellMar>
      </w:tblPr>
      <w:tblGrid>
        <w:gridCol w:w="494"/>
        <w:gridCol w:w="434"/>
        <w:gridCol w:w="436"/>
        <w:gridCol w:w="109"/>
        <w:gridCol w:w="109"/>
        <w:gridCol w:w="109"/>
        <w:gridCol w:w="554"/>
        <w:gridCol w:w="554"/>
        <w:gridCol w:w="557"/>
        <w:gridCol w:w="109"/>
        <w:gridCol w:w="109"/>
        <w:gridCol w:w="109"/>
        <w:gridCol w:w="549"/>
        <w:gridCol w:w="549"/>
        <w:gridCol w:w="551"/>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4"/>
              </w:rPr>
            </w:pPr>
            <w:r>
              <w:rPr>
                <w:rFonts w:ascii="Wingdings;sans-serif" w:hAnsi="Wingdings;sans-serif"/>
                <w:b w:val="false"/>
                <w:color w:val="000000"/>
                <w:sz w:val="14"/>
              </w:rPr>
              <w:t>o</w:t>
            </w:r>
          </w:p>
        </w:tc>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4"/>
              </w:rPr>
            </w:pPr>
            <w:r>
              <w:rPr>
                <w:rFonts w:ascii="Wingdings;sans-serif" w:hAnsi="Wingdings;sans-serif"/>
                <w:b w:val="false"/>
                <w:color w:val="000000"/>
                <w:sz w:val="14"/>
              </w:rPr>
              <w:t>o</w:t>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4"/>
              </w:rPr>
            </w:pPr>
            <w:r>
              <w:rPr>
                <w:rFonts w:ascii="Wingdings;sans-serif" w:hAnsi="Wingdings;sans-serif"/>
                <w:b w:val="false"/>
                <w:color w:val="000000"/>
                <w:sz w:val="14"/>
              </w:rPr>
              <w:t>x</w:t>
            </w:r>
          </w:p>
        </w:tc>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4"/>
              </w:rPr>
            </w:pPr>
            <w:r>
              <w:rPr>
                <w:rFonts w:ascii="Wingdings;sans-serif" w:hAnsi="Wingdings;sans-serif"/>
                <w:b w:val="false"/>
                <w:color w:val="000000"/>
                <w:sz w:val="14"/>
              </w:rPr>
              <w:t>x</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4"/>
              </w:rPr>
            </w:pPr>
            <w:r>
              <w:rPr>
                <w:rFonts w:ascii="Wingdings;sans-serif" w:hAnsi="Wingdings;sans-serif"/>
                <w:b w:val="false"/>
                <w:color w:val="000000"/>
                <w:sz w:val="14"/>
              </w:rPr>
              <w:t>x</w:t>
            </w:r>
          </w:p>
        </w:tc>
      </w:tr>
    </w:tbl>
    <w:p>
      <w:pPr>
        <w:pStyle w:val="TextBody"/>
        <w:bidi w:val="0"/>
        <w:spacing w:lineRule="auto" w:line="288" w:before="120" w:after="283"/>
        <w:jc w:val="left"/>
        <w:rPr/>
      </w:pPr>
      <w:r>
        <w:rPr>
          <w:rFonts w:ascii="Times New Roman;serif" w:hAnsi="Times New Roman;serif"/>
          <w:b w:val="false"/>
          <w:color w:val="000000"/>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4"/>
        </w:rPr>
        <w:t>o</w:t>
      </w:r>
    </w:p>
    <w:p>
      <w:pPr>
        <w:pStyle w:val="TextBody"/>
        <w:bidi w:val="0"/>
        <w:spacing w:lineRule="auto" w:line="288" w:before="120" w:after="283"/>
        <w:jc w:val="left"/>
        <w:rPr/>
      </w:pPr>
      <w:r>
        <w:rPr>
          <w:rFonts w:ascii="Times New Roman;serif" w:hAnsi="Times New Roman;serif"/>
          <w:b w:val="false"/>
          <w:color w:val="000000"/>
          <w:sz w:val="14"/>
        </w:rPr>
        <w:t xml:space="preserve">Indicate by check mark whether the registrant is a shell company (as defined in Rule 12b-2 of the Exchange Act). Yes </w:t>
      </w:r>
      <w:r>
        <w:rPr>
          <w:rFonts w:ascii="Wingdings;sans-serif" w:hAnsi="Wingdings;sans-serif"/>
          <w:b w:val="false"/>
          <w:color w:val="000000"/>
          <w:sz w:val="14"/>
        </w:rPr>
        <w:t>o</w:t>
      </w:r>
      <w:r>
        <w:rPr>
          <w:color w:val="000000"/>
        </w:rPr>
        <w:t xml:space="preserve"> </w:t>
      </w:r>
      <w:r>
        <w:rPr>
          <w:rFonts w:ascii="Times New Roman;serif" w:hAnsi="Times New Roman;serif"/>
          <w:b w:val="false"/>
          <w:color w:val="000000"/>
          <w:sz w:val="14"/>
        </w:rPr>
        <w:t xml:space="preserve">No </w:t>
      </w:r>
      <w:r>
        <w:rPr>
          <w:rFonts w:ascii="Wingdings;sans-serif" w:hAnsi="Wingdings;sans-serif"/>
          <w:b w:val="false"/>
          <w:color w:val="000000"/>
          <w:sz w:val="14"/>
        </w:rPr>
        <w:t>x</w:t>
      </w:r>
    </w:p>
    <w:p>
      <w:pPr>
        <w:pStyle w:val="TextBody"/>
        <w:bidi w:val="0"/>
        <w:spacing w:lineRule="auto" w:line="288" w:before="120" w:after="283"/>
        <w:jc w:val="left"/>
        <w:rPr>
          <w:rFonts w:ascii="Times New Roman;serif" w:hAnsi="Times New Roman;serif"/>
          <w:b w:val="false"/>
          <w:color w:val="000000"/>
          <w:sz w:val="14"/>
        </w:rPr>
      </w:pPr>
      <w:r>
        <w:rPr>
          <w:rFonts w:ascii="Times New Roman;serif" w:hAnsi="Times New Roman;serif"/>
          <w:b w:val="false"/>
          <w:color w:val="000000"/>
          <w:sz w:val="14"/>
        </w:rPr>
        <w:t>As of July 31, 2026 the registrant had 64,697,402 shares of Class A common stock, $0.001 par value per share, issued and outstanding and 0 shares of Class B common stock, $0.001 par value per share, issued and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80060"/>
                <wp:effectExtent l="0" t="0" r="0" b="0"/>
                <wp:wrapNone/>
                <wp:docPr id="1" name="Frame1"/>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6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600"/>
                        <w:jc w:val="center"/>
                        <w:rPr/>
                      </w:pPr>
                      <w:r>
                        <w:rPr/>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38"/>
        <w:gridCol w:w="298"/>
        <w:gridCol w:w="280"/>
        <w:gridCol w:w="2961"/>
        <w:gridCol w:w="2903"/>
        <w:gridCol w:w="2912"/>
        <w:gridCol w:w="149"/>
        <w:gridCol w:w="149"/>
        <w:gridCol w:w="215"/>
      </w:tblGrid>
      <w:tr>
        <w:trPr/>
        <w:tc>
          <w:tcPr>
            <w:tcW w:w="33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16"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5cbc15addcc4407e96ca0b7a16b2820b_16">
              <w:r>
                <w:rPr>
                  <w:rStyle w:val="InternetLink"/>
                  <w:rFonts w:ascii="Times New Roman;serif" w:hAnsi="Times New Roman;serif"/>
                  <w:b/>
                  <w:color w:val="0000FF"/>
                  <w:sz w:val="20"/>
                  <w:u w:val="single"/>
                </w:rPr>
                <w:t>Part I</w:t>
              </w:r>
            </w:hyperlink>
          </w:p>
        </w:tc>
        <w:tc>
          <w:tcPr>
            <w:tcW w:w="87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cbc15addcc4407e96ca0b7a16b2820b_16">
              <w:r>
                <w:rPr>
                  <w:rStyle w:val="InternetLink"/>
                  <w:rFonts w:ascii="Times New Roman;serif" w:hAnsi="Times New Roman;serif"/>
                  <w:b/>
                  <w:color w:val="0000FF"/>
                  <w:sz w:val="20"/>
                  <w:u w:val="single"/>
                </w:rPr>
                <w:t>Financial Information</w:t>
              </w:r>
            </w:hyperlink>
          </w:p>
        </w:tc>
        <w:tc>
          <w:tcPr>
            <w:tcW w:w="5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right"/>
              <w:rPr/>
            </w:pPr>
            <w:hyperlink w:anchor="i5cbc15addcc4407e96ca0b7a16b2820b_16">
              <w:r>
                <w:rPr>
                  <w:rStyle w:val="InternetLink"/>
                  <w:rFonts w:ascii="Times New Roman;serif" w:hAnsi="Times New Roman;serif"/>
                  <w:b w:val="false"/>
                  <w:strike w:val="false"/>
                  <w:dstrike w:val="false"/>
                  <w:color w:val="000000"/>
                  <w:sz w:val="20"/>
                  <w:u w:val="none"/>
                  <w:effect w:val="none"/>
                </w:rPr>
                <w:t>7</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5cbc15addcc4407e96ca0b7a16b2820b_19">
              <w:r>
                <w:rPr>
                  <w:rStyle w:val="InternetLink"/>
                  <w:rFonts w:ascii="Times New Roman;serif" w:hAnsi="Times New Roman;serif"/>
                  <w:b w:val="false"/>
                  <w:color w:val="0000FF"/>
                  <w:sz w:val="20"/>
                  <w:u w:val="single"/>
                </w:rPr>
                <w:t>Item 1.</w:t>
              </w:r>
            </w:hyperlink>
          </w:p>
        </w:tc>
        <w:tc>
          <w:tcPr>
            <w:tcW w:w="87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cbc15addcc4407e96ca0b7a16b2820b_19">
              <w:r>
                <w:rPr>
                  <w:rStyle w:val="InternetLink"/>
                  <w:rFonts w:ascii="Times New Roman;serif" w:hAnsi="Times New Roman;serif"/>
                  <w:b w:val="false"/>
                  <w:color w:val="0000FF"/>
                  <w:sz w:val="20"/>
                  <w:u w:val="single"/>
                </w:rPr>
                <w:t>Financial Statements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cbc15addcc4407e96ca0b7a16b2820b_19">
              <w:r>
                <w:rPr>
                  <w:rStyle w:val="InternetLink"/>
                  <w:rFonts w:ascii="Times New Roman;serif" w:hAnsi="Times New Roman;serif"/>
                  <w:b w:val="false"/>
                  <w:strike w:val="false"/>
                  <w:dstrike w:val="false"/>
                  <w:color w:val="000000"/>
                  <w:sz w:val="20"/>
                  <w:u w:val="none"/>
                  <w:effect w:val="none"/>
                </w:rPr>
                <w:t>7</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cbc15addcc4407e96ca0b7a16b2820b_22">
              <w:r>
                <w:rPr>
                  <w:rStyle w:val="InternetLink"/>
                  <w:rFonts w:ascii="Times New Roman;serif" w:hAnsi="Times New Roman;serif"/>
                  <w:b w:val="false"/>
                  <w:color w:val="0000FF"/>
                  <w:sz w:val="20"/>
                  <w:u w:val="single"/>
                </w:rPr>
                <w:t>Condensed Consolidated Balance Sheets as of June 30, 2026 and December 31, 2025</w:t>
              </w:r>
            </w:hyperlink>
          </w:p>
        </w:tc>
        <w:tc>
          <w:tcPr>
            <w:tcW w:w="51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cbc15addcc4407e96ca0b7a16b2820b_22">
              <w:r>
                <w:rPr>
                  <w:rStyle w:val="InternetLink"/>
                  <w:rFonts w:ascii="Times New Roman;serif" w:hAnsi="Times New Roman;serif"/>
                  <w:b w:val="false"/>
                  <w:strike w:val="false"/>
                  <w:dstrike w:val="false"/>
                  <w:color w:val="000000"/>
                  <w:sz w:val="20"/>
                  <w:u w:val="none"/>
                  <w:effect w:val="none"/>
                </w:rPr>
                <w:t>7</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bc15addcc4407e96ca0b7a16b2820b_25">
              <w:r>
                <w:rPr>
                  <w:rStyle w:val="InternetLink"/>
                  <w:rFonts w:ascii="Times New Roman;serif" w:hAnsi="Times New Roman;serif"/>
                  <w:b w:val="false"/>
                  <w:color w:val="0000FF"/>
                  <w:sz w:val="20"/>
                  <w:u w:val="single"/>
                </w:rPr>
                <w:t>Condensed Consolidated Statements of Operations and Comprehensive Loss for the three and six months ended June 30,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cbc15addcc4407e96ca0b7a16b2820b_25">
              <w:r>
                <w:rPr>
                  <w:rStyle w:val="InternetLink"/>
                  <w:rFonts w:ascii="Times New Roman;serif" w:hAnsi="Times New Roman;serif"/>
                  <w:b w:val="false"/>
                  <w:strike w:val="false"/>
                  <w:dstrike w:val="false"/>
                  <w:color w:val="000000"/>
                  <w:sz w:val="20"/>
                  <w:u w:val="none"/>
                  <w:effect w:val="none"/>
                </w:rPr>
                <w:t>8</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cbc15addcc4407e96ca0b7a16b2820b_28">
              <w:r>
                <w:rPr>
                  <w:rStyle w:val="InternetLink"/>
                  <w:rFonts w:ascii="Times New Roman;serif" w:hAnsi="Times New Roman;serif"/>
                  <w:b w:val="false"/>
                  <w:color w:val="0000FF"/>
                  <w:sz w:val="20"/>
                  <w:u w:val="single"/>
                </w:rPr>
                <w:t>Condensed Consolidated Statements of Stockholders’ Equity for the three and six months ended June 30,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cbc15addcc4407e96ca0b7a16b2820b_28">
              <w:r>
                <w:rPr>
                  <w:rStyle w:val="InternetLink"/>
                  <w:rFonts w:ascii="Times New Roman;serif" w:hAnsi="Times New Roman;serif"/>
                  <w:b w:val="false"/>
                  <w:strike w:val="false"/>
                  <w:dstrike w:val="false"/>
                  <w:color w:val="000000"/>
                  <w:sz w:val="20"/>
                  <w:u w:val="none"/>
                  <w:effect w:val="none"/>
                </w:rPr>
                <w:t>9</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cbc15addcc4407e96ca0b7a16b2820b_31">
              <w:r>
                <w:rPr>
                  <w:rStyle w:val="InternetLink"/>
                  <w:rFonts w:ascii="Times New Roman;serif" w:hAnsi="Times New Roman;serif"/>
                  <w:b w:val="false"/>
                  <w:color w:val="0000FF"/>
                  <w:sz w:val="20"/>
                  <w:u w:val="single"/>
                </w:rPr>
                <w:t>Condensed Consolidated Statements of Cash Flows for the three and six months ended June 30,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cbc15addcc4407e96ca0b7a16b2820b_31">
              <w:r>
                <w:rPr>
                  <w:rStyle w:val="InternetLink"/>
                  <w:rFonts w:ascii="Times New Roman;serif" w:hAnsi="Times New Roman;serif"/>
                  <w:b w:val="false"/>
                  <w:strike w:val="false"/>
                  <w:dstrike w:val="false"/>
                  <w:color w:val="000000"/>
                  <w:sz w:val="20"/>
                  <w:u w:val="none"/>
                  <w:effect w:val="none"/>
                </w:rPr>
                <w:t>11</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cbc15addcc4407e96ca0b7a16b2820b_34">
              <w:r>
                <w:rPr>
                  <w:rStyle w:val="InternetLink"/>
                  <w:rFonts w:ascii="Times New Roman;serif" w:hAnsi="Times New Roman;serif"/>
                  <w:b w:val="false"/>
                  <w:color w:val="0000FF"/>
                  <w:sz w:val="20"/>
                  <w:u w:val="single"/>
                </w:rPr>
                <w:t>Notes to Condensed Consolidated Financial Statements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cbc15addcc4407e96ca0b7a16b2820b_34">
              <w:r>
                <w:rPr>
                  <w:rStyle w:val="InternetLink"/>
                  <w:rFonts w:ascii="Times New Roman;serif" w:hAnsi="Times New Roman;serif"/>
                  <w:b w:val="false"/>
                  <w:strike w:val="false"/>
                  <w:dstrike w:val="false"/>
                  <w:color w:val="000000"/>
                  <w:sz w:val="20"/>
                  <w:u w:val="none"/>
                  <w:effect w:val="none"/>
                </w:rPr>
                <w:t>12</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5cbc15addcc4407e96ca0b7a16b2820b_85">
              <w:r>
                <w:rPr>
                  <w:rStyle w:val="InternetLink"/>
                  <w:rFonts w:ascii="Times New Roman;serif" w:hAnsi="Times New Roman;serif"/>
                  <w:b w:val="false"/>
                  <w:color w:val="0000FF"/>
                  <w:sz w:val="20"/>
                  <w:u w:val="single"/>
                </w:rPr>
                <w:t>Item 2.</w:t>
              </w:r>
            </w:hyperlink>
          </w:p>
        </w:tc>
        <w:tc>
          <w:tcPr>
            <w:tcW w:w="87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cbc15addcc4407e96ca0b7a16b2820b_8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cbc15addcc4407e96ca0b7a16b2820b_85">
              <w:r>
                <w:rPr>
                  <w:rStyle w:val="InternetLink"/>
                  <w:rFonts w:ascii="Times New Roman;serif" w:hAnsi="Times New Roman;serif"/>
                  <w:b w:val="false"/>
                  <w:strike w:val="false"/>
                  <w:dstrike w:val="false"/>
                  <w:color w:val="000000"/>
                  <w:sz w:val="20"/>
                  <w:u w:val="none"/>
                  <w:effect w:val="none"/>
                </w:rPr>
                <w:t>28</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5cbc15addcc4407e96ca0b7a16b2820b_112">
              <w:r>
                <w:rPr>
                  <w:rStyle w:val="InternetLink"/>
                  <w:rFonts w:ascii="Times New Roman;serif" w:hAnsi="Times New Roman;serif"/>
                  <w:b w:val="false"/>
                  <w:color w:val="0000FF"/>
                  <w:sz w:val="20"/>
                  <w:u w:val="single"/>
                </w:rPr>
                <w:t>Item 3.</w:t>
              </w:r>
            </w:hyperlink>
          </w:p>
        </w:tc>
        <w:tc>
          <w:tcPr>
            <w:tcW w:w="87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cbc15addcc4407e96ca0b7a16b2820b_112">
              <w:r>
                <w:rPr>
                  <w:rStyle w:val="InternetLink"/>
                  <w:rFonts w:ascii="Times New Roman;serif" w:hAnsi="Times New Roman;serif"/>
                  <w:b w:val="false"/>
                  <w:color w:val="0000FF"/>
                  <w:sz w:val="20"/>
                  <w:u w:val="single"/>
                </w:rPr>
                <w:t>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cbc15addcc4407e96ca0b7a16b2820b_112">
              <w:r>
                <w:rPr>
                  <w:rStyle w:val="InternetLink"/>
                  <w:rFonts w:ascii="Times New Roman;serif" w:hAnsi="Times New Roman;serif"/>
                  <w:b w:val="false"/>
                  <w:strike w:val="false"/>
                  <w:dstrike w:val="false"/>
                  <w:color w:val="000000"/>
                  <w:sz w:val="20"/>
                  <w:u w:val="none"/>
                  <w:effect w:val="none"/>
                </w:rPr>
                <w:t>42</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5cbc15addcc4407e96ca0b7a16b2820b_115">
              <w:r>
                <w:rPr>
                  <w:rStyle w:val="InternetLink"/>
                  <w:rFonts w:ascii="Times New Roman;serif" w:hAnsi="Times New Roman;serif"/>
                  <w:b w:val="false"/>
                  <w:color w:val="0000FF"/>
                  <w:sz w:val="20"/>
                  <w:u w:val="single"/>
                </w:rPr>
                <w:t>Item 4.</w:t>
              </w:r>
            </w:hyperlink>
          </w:p>
        </w:tc>
        <w:tc>
          <w:tcPr>
            <w:tcW w:w="87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cbc15addcc4407e96ca0b7a16b2820b_115">
              <w:r>
                <w:rPr>
                  <w:rStyle w:val="InternetLink"/>
                  <w:rFonts w:ascii="Times New Roman;serif" w:hAnsi="Times New Roman;serif"/>
                  <w:b w:val="false"/>
                  <w:color w:val="0000FF"/>
                  <w:sz w:val="20"/>
                  <w:u w:val="single"/>
                </w:rPr>
                <w:t>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cbc15addcc4407e96ca0b7a16b2820b_115">
              <w:r>
                <w:rPr>
                  <w:rStyle w:val="InternetLink"/>
                  <w:rFonts w:ascii="Times New Roman;serif" w:hAnsi="Times New Roman;serif"/>
                  <w:b w:val="false"/>
                  <w:strike w:val="false"/>
                  <w:dstrike w:val="false"/>
                  <w:color w:val="000000"/>
                  <w:sz w:val="20"/>
                  <w:u w:val="none"/>
                  <w:effect w:val="none"/>
                </w:rPr>
                <w:t>42</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5cbc15addcc4407e96ca0b7a16b2820b_118">
              <w:r>
                <w:rPr>
                  <w:rStyle w:val="InternetLink"/>
                  <w:rFonts w:ascii="Times New Roman;serif" w:hAnsi="Times New Roman;serif"/>
                  <w:b/>
                  <w:color w:val="0000FF"/>
                  <w:sz w:val="20"/>
                  <w:u w:val="single"/>
                </w:rPr>
                <w:t>Part II</w:t>
              </w:r>
            </w:hyperlink>
          </w:p>
        </w:tc>
        <w:tc>
          <w:tcPr>
            <w:tcW w:w="87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cbc15addcc4407e96ca0b7a16b2820b_118">
              <w:r>
                <w:rPr>
                  <w:rStyle w:val="InternetLink"/>
                  <w:rFonts w:ascii="Times New Roman;serif" w:hAnsi="Times New Roman;serif"/>
                  <w:b/>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cbc15addcc4407e96ca0b7a16b2820b_118">
              <w:r>
                <w:rPr>
                  <w:rStyle w:val="InternetLink"/>
                  <w:rFonts w:ascii="Times New Roman;serif" w:hAnsi="Times New Roman;serif"/>
                  <w:b w:val="false"/>
                  <w:strike w:val="false"/>
                  <w:dstrike w:val="false"/>
                  <w:color w:val="000000"/>
                  <w:sz w:val="20"/>
                  <w:u w:val="none"/>
                  <w:effect w:val="none"/>
                </w:rPr>
                <w:t>43</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5cbc15addcc4407e96ca0b7a16b2820b_121">
              <w:r>
                <w:rPr>
                  <w:rStyle w:val="InternetLink"/>
                  <w:rFonts w:ascii="Times New Roman;serif" w:hAnsi="Times New Roman;serif"/>
                  <w:b w:val="false"/>
                  <w:color w:val="0000FF"/>
                  <w:sz w:val="20"/>
                  <w:u w:val="single"/>
                </w:rPr>
                <w:t>Item 1.</w:t>
              </w:r>
            </w:hyperlink>
          </w:p>
        </w:tc>
        <w:tc>
          <w:tcPr>
            <w:tcW w:w="87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cbc15addcc4407e96ca0b7a16b2820b_121">
              <w:r>
                <w:rPr>
                  <w:rStyle w:val="InternetLink"/>
                  <w:rFonts w:ascii="Times New Roman;serif" w:hAnsi="Times New Roman;serif"/>
                  <w:b w:val="false"/>
                  <w:color w:val="0000FF"/>
                  <w:sz w:val="20"/>
                  <w:u w:val="single"/>
                </w:rPr>
                <w:t>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cbc15addcc4407e96ca0b7a16b2820b_121">
              <w:r>
                <w:rPr>
                  <w:rStyle w:val="InternetLink"/>
                  <w:rFonts w:ascii="Times New Roman;serif" w:hAnsi="Times New Roman;serif"/>
                  <w:b w:val="false"/>
                  <w:strike w:val="false"/>
                  <w:dstrike w:val="false"/>
                  <w:color w:val="000000"/>
                  <w:sz w:val="20"/>
                  <w:u w:val="none"/>
                  <w:effect w:val="none"/>
                </w:rPr>
                <w:t>43</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5cbc15addcc4407e96ca0b7a16b2820b_124">
              <w:r>
                <w:rPr>
                  <w:rStyle w:val="InternetLink"/>
                  <w:rFonts w:ascii="Times New Roman;serif" w:hAnsi="Times New Roman;serif"/>
                  <w:b w:val="false"/>
                  <w:color w:val="0000FF"/>
                  <w:sz w:val="20"/>
                  <w:u w:val="single"/>
                </w:rPr>
                <w:t>Item 1A.</w:t>
              </w:r>
            </w:hyperlink>
          </w:p>
        </w:tc>
        <w:tc>
          <w:tcPr>
            <w:tcW w:w="87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cbc15addcc4407e96ca0b7a16b2820b_124">
              <w:r>
                <w:rPr>
                  <w:rStyle w:val="InternetLink"/>
                  <w:rFonts w:ascii="Times New Roman;serif" w:hAnsi="Times New Roman;serif"/>
                  <w:b w:val="false"/>
                  <w:color w:val="0000FF"/>
                  <w:sz w:val="20"/>
                  <w:u w:val="single"/>
                </w:rPr>
                <w:t>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cbc15addcc4407e96ca0b7a16b2820b_124">
              <w:r>
                <w:rPr>
                  <w:rStyle w:val="InternetLink"/>
                  <w:rFonts w:ascii="Times New Roman;serif" w:hAnsi="Times New Roman;serif"/>
                  <w:b w:val="false"/>
                  <w:strike w:val="false"/>
                  <w:dstrike w:val="false"/>
                  <w:color w:val="000000"/>
                  <w:sz w:val="20"/>
                  <w:u w:val="none"/>
                  <w:effect w:val="none"/>
                </w:rPr>
                <w:t>43</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5cbc15addcc4407e96ca0b7a16b2820b_127">
              <w:r>
                <w:rPr>
                  <w:rStyle w:val="InternetLink"/>
                  <w:rFonts w:ascii="Times New Roman;serif" w:hAnsi="Times New Roman;serif"/>
                  <w:b w:val="false"/>
                  <w:color w:val="0000FF"/>
                  <w:sz w:val="20"/>
                  <w:u w:val="single"/>
                </w:rPr>
                <w:t>Item 2.</w:t>
              </w:r>
            </w:hyperlink>
          </w:p>
        </w:tc>
        <w:tc>
          <w:tcPr>
            <w:tcW w:w="87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cbc15addcc4407e96ca0b7a16b2820b_127">
              <w:r>
                <w:rPr>
                  <w:rStyle w:val="InternetLink"/>
                  <w:rFonts w:ascii="Times New Roman;serif" w:hAnsi="Times New Roman;serif"/>
                  <w:b w:val="false"/>
                  <w:color w:val="0000FF"/>
                  <w:sz w:val="20"/>
                  <w:u w:val="single"/>
                </w:rPr>
                <w:t>Unregistered Sales of Equity Securities and Use of Proceeds</w:t>
              </w:r>
            </w:hyperlink>
          </w:p>
        </w:tc>
        <w:tc>
          <w:tcPr>
            <w:tcW w:w="51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cbc15addcc4407e96ca0b7a16b2820b_127">
              <w:r>
                <w:rPr>
                  <w:rStyle w:val="InternetLink"/>
                  <w:rFonts w:ascii="Times New Roman;serif" w:hAnsi="Times New Roman;serif"/>
                  <w:b w:val="false"/>
                  <w:strike w:val="false"/>
                  <w:dstrike w:val="false"/>
                  <w:color w:val="000000"/>
                  <w:sz w:val="20"/>
                  <w:u w:val="none"/>
                  <w:effect w:val="none"/>
                </w:rPr>
                <w:t>105</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5cbc15addcc4407e96ca0b7a16b2820b_130">
              <w:r>
                <w:rPr>
                  <w:rStyle w:val="InternetLink"/>
                  <w:rFonts w:ascii="Times New Roman;serif" w:hAnsi="Times New Roman;serif"/>
                  <w:b w:val="false"/>
                  <w:color w:val="0000FF"/>
                  <w:sz w:val="20"/>
                  <w:u w:val="single"/>
                </w:rPr>
                <w:t>Item 3.</w:t>
              </w:r>
            </w:hyperlink>
          </w:p>
        </w:tc>
        <w:tc>
          <w:tcPr>
            <w:tcW w:w="87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cbc15addcc4407e96ca0b7a16b2820b_130">
              <w:r>
                <w:rPr>
                  <w:rStyle w:val="InternetLink"/>
                  <w:rFonts w:ascii="Times New Roman;serif" w:hAnsi="Times New Roman;serif"/>
                  <w:b w:val="false"/>
                  <w:color w:val="0000FF"/>
                  <w:sz w:val="20"/>
                  <w:u w:val="single"/>
                </w:rPr>
                <w:t>Defaults Upon Senior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cbc15addcc4407e96ca0b7a16b2820b_130">
              <w:r>
                <w:rPr>
                  <w:rStyle w:val="InternetLink"/>
                  <w:rFonts w:ascii="Times New Roman;serif" w:hAnsi="Times New Roman;serif"/>
                  <w:b w:val="false"/>
                  <w:strike w:val="false"/>
                  <w:dstrike w:val="false"/>
                  <w:color w:val="000000"/>
                  <w:sz w:val="20"/>
                  <w:u w:val="none"/>
                  <w:effect w:val="none"/>
                </w:rPr>
                <w:t>105</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5cbc15addcc4407e96ca0b7a16b2820b_133">
              <w:r>
                <w:rPr>
                  <w:rStyle w:val="InternetLink"/>
                  <w:rFonts w:ascii="Times New Roman;serif" w:hAnsi="Times New Roman;serif"/>
                  <w:b w:val="false"/>
                  <w:color w:val="0000FF"/>
                  <w:sz w:val="20"/>
                  <w:u w:val="single"/>
                </w:rPr>
                <w:t>Item 4.</w:t>
              </w:r>
            </w:hyperlink>
          </w:p>
        </w:tc>
        <w:tc>
          <w:tcPr>
            <w:tcW w:w="87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cbc15addcc4407e96ca0b7a16b2820b_133">
              <w:r>
                <w:rPr>
                  <w:rStyle w:val="InternetLink"/>
                  <w:rFonts w:ascii="Times New Roman;serif" w:hAnsi="Times New Roman;serif"/>
                  <w:b w:val="false"/>
                  <w:color w:val="0000FF"/>
                  <w:sz w:val="20"/>
                  <w:u w:val="single"/>
                </w:rPr>
                <w:t>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cbc15addcc4407e96ca0b7a16b2820b_133">
              <w:r>
                <w:rPr>
                  <w:rStyle w:val="InternetLink"/>
                  <w:rFonts w:ascii="Times New Roman;serif" w:hAnsi="Times New Roman;serif"/>
                  <w:b w:val="false"/>
                  <w:strike w:val="false"/>
                  <w:dstrike w:val="false"/>
                  <w:color w:val="000000"/>
                  <w:sz w:val="20"/>
                  <w:u w:val="none"/>
                  <w:effect w:val="none"/>
                </w:rPr>
                <w:t>105</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5cbc15addcc4407e96ca0b7a16b2820b_136">
              <w:r>
                <w:rPr>
                  <w:rStyle w:val="InternetLink"/>
                  <w:rFonts w:ascii="Times New Roman;serif" w:hAnsi="Times New Roman;serif"/>
                  <w:b w:val="false"/>
                  <w:color w:val="0000FF"/>
                  <w:sz w:val="20"/>
                  <w:u w:val="single"/>
                </w:rPr>
                <w:t>Item 5.</w:t>
              </w:r>
            </w:hyperlink>
          </w:p>
        </w:tc>
        <w:tc>
          <w:tcPr>
            <w:tcW w:w="87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cbc15addcc4407e96ca0b7a16b2820b_136">
              <w:r>
                <w:rPr>
                  <w:rStyle w:val="InternetLink"/>
                  <w:rFonts w:ascii="Times New Roman;serif" w:hAnsi="Times New Roman;serif"/>
                  <w:b w:val="false"/>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cbc15addcc4407e96ca0b7a16b2820b_136">
              <w:r>
                <w:rPr>
                  <w:rStyle w:val="InternetLink"/>
                  <w:rFonts w:ascii="Times New Roman;serif" w:hAnsi="Times New Roman;serif"/>
                  <w:b w:val="false"/>
                  <w:strike w:val="false"/>
                  <w:dstrike w:val="false"/>
                  <w:color w:val="000000"/>
                  <w:sz w:val="20"/>
                  <w:u w:val="none"/>
                  <w:effect w:val="none"/>
                </w:rPr>
                <w:t>105</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5cbc15addcc4407e96ca0b7a16b2820b_139">
              <w:r>
                <w:rPr>
                  <w:rStyle w:val="InternetLink"/>
                  <w:rFonts w:ascii="Times New Roman;serif" w:hAnsi="Times New Roman;serif"/>
                  <w:b w:val="false"/>
                  <w:color w:val="0000FF"/>
                  <w:sz w:val="20"/>
                  <w:u w:val="single"/>
                </w:rPr>
                <w:t>Item 6.</w:t>
              </w:r>
            </w:hyperlink>
          </w:p>
        </w:tc>
        <w:tc>
          <w:tcPr>
            <w:tcW w:w="87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cbc15addcc4407e96ca0b7a16b2820b_139">
              <w:r>
                <w:rPr>
                  <w:rStyle w:val="InternetLink"/>
                  <w:rFonts w:ascii="Times New Roman;serif" w:hAnsi="Times New Roman;serif"/>
                  <w:b w:val="false"/>
                  <w:color w:val="0000FF"/>
                  <w:sz w:val="20"/>
                  <w:u w:val="single"/>
                </w:rPr>
                <w:t>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cbc15addcc4407e96ca0b7a16b2820b_139">
              <w:r>
                <w:rPr>
                  <w:rStyle w:val="InternetLink"/>
                  <w:rFonts w:ascii="Times New Roman;serif" w:hAnsi="Times New Roman;serif"/>
                  <w:b w:val="false"/>
                  <w:strike w:val="false"/>
                  <w:dstrike w:val="false"/>
                  <w:color w:val="000000"/>
                  <w:sz w:val="20"/>
                  <w:u w:val="none"/>
                  <w:effect w:val="none"/>
                </w:rPr>
                <w:t>105</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5cbc15addcc4407e96ca0b7a16b2820b_145">
              <w:r>
                <w:rPr>
                  <w:rStyle w:val="InternetLink"/>
                  <w:rFonts w:ascii="Times New Roman;serif" w:hAnsi="Times New Roman;serif"/>
                  <w:b w:val="false"/>
                  <w:color w:val="0000FF"/>
                  <w:sz w:val="20"/>
                  <w:u w:val="single"/>
                </w:rPr>
                <w:t>Signatures</w:t>
              </w:r>
            </w:hyperlink>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cbc15addcc4407e96ca0b7a16b2820b_145">
              <w:r>
                <w:rPr>
                  <w:rStyle w:val="InternetLink"/>
                  <w:rFonts w:ascii="Times New Roman;serif" w:hAnsi="Times New Roman;serif"/>
                  <w:b w:val="false"/>
                  <w:strike w:val="false"/>
                  <w:dstrike w:val="false"/>
                  <w:color w:val="000000"/>
                  <w:sz w:val="20"/>
                  <w:u w:val="none"/>
                  <w:effect w:val="none"/>
                </w:rPr>
                <w:t>107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19"/>
          <w:shd w:fill="FFFFFF" w:val="clear"/>
        </w:rPr>
      </w:pPr>
      <w:r>
        <w:rPr>
          <w:rFonts w:ascii="Times New Roman;serif" w:hAnsi="Times New Roman;serif"/>
          <w:b/>
          <w:color w:val="000000"/>
          <w:sz w:val="19"/>
          <w:shd w:fill="FFFFFF" w:val="clear"/>
        </w:rPr>
        <w:t>FORWARD-LOOKING STATEMENTS</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Quarterly Report on Form 10-Q contains forward-looking statements including within the meaning of the safe harbor provisions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 contained in this Quarterly Report on Form 10-Q, including without limitation statements regarding our plans to develop, manufacture and commercialize our product candidates (including whether as potential monotherapies or in combination with other therapeutic agents), the design, timing, disclosure of data, or outcome of our ongoing or planned preclinical studies or clinical trials involving atebimetinib (also referred to as IMM-1-104), any of our other pipeline product candidates and any future product candidates, the clinical utility of our product candidates when administered alone or in combination with other therapeutic agents, the filing with, and approval by, regulatory authorities of our product candidates, the sufficiency of funds to operate the business of the Company and related expected cash runway, and our plans regarding raising additional capital, are forward-looking statements.</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other important factors that could cause actual results to differ materially from those projected in the forward-looking statements, including, but not limited to, those described in the sections of this Quarterly Report on Form 10-Q entitled “Risk Factors” and “Management’s Discussion and Analysis of Financial Condition and Results of Operations.” These risks and uncertainties include, but are not limited to:</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shd w:fill="FFFFFF" w:val="clear"/>
        </w:rPr>
        <w:t>our limited operating history;</w:t>
      </w:r>
    </w:p>
    <w:p>
      <w:pPr>
        <w:pStyle w:val="TextBody"/>
        <w:bidi w:val="0"/>
        <w:spacing w:lineRule="auto" w:line="288" w:before="200" w:after="283"/>
        <w:ind w:left="0" w:right="0" w:hanging="360"/>
        <w:jc w:val="both"/>
        <w:rPr/>
      </w:pPr>
      <w:r>
        <w:rPr>
          <w:color w:val="000000"/>
          <w:shd w:fill="FFFFFF" w:val="clear"/>
        </w:rPr>
        <w:t>•</w:t>
      </w:r>
      <w:r>
        <w:rPr>
          <w:rFonts w:ascii="Times New Roman;serif" w:hAnsi="Times New Roman;serif"/>
          <w:b w:val="false"/>
          <w:color w:val="000000"/>
          <w:sz w:val="20"/>
          <w:shd w:fill="FFFFFF" w:val="clear"/>
        </w:rPr>
        <w:t>our history of operating losses;</w:t>
      </w:r>
    </w:p>
    <w:p>
      <w:pPr>
        <w:pStyle w:val="TextBody"/>
        <w:bidi w:val="0"/>
        <w:spacing w:lineRule="auto" w:line="288" w:before="200" w:after="283"/>
        <w:ind w:left="0" w:right="0" w:hanging="360"/>
        <w:jc w:val="both"/>
        <w:rPr/>
      </w:pPr>
      <w:r>
        <w:rPr>
          <w:color w:val="000000"/>
          <w:shd w:fill="FFFFFF" w:val="clear"/>
        </w:rPr>
        <w:t>•</w:t>
      </w:r>
      <w:r>
        <w:rPr>
          <w:rFonts w:ascii="Times New Roman;serif" w:hAnsi="Times New Roman;serif"/>
          <w:b w:val="false"/>
          <w:color w:val="000000"/>
          <w:sz w:val="20"/>
          <w:shd w:fill="FFFFFF" w:val="clear"/>
        </w:rPr>
        <w:t>our ability to raise the substantial additional capital that will be required to finance our operations;</w:t>
      </w:r>
    </w:p>
    <w:p>
      <w:pPr>
        <w:pStyle w:val="TextBody"/>
        <w:bidi w:val="0"/>
        <w:spacing w:lineRule="auto" w:line="288" w:before="200" w:after="283"/>
        <w:ind w:left="0" w:right="0" w:hanging="360"/>
        <w:jc w:val="both"/>
        <w:rPr/>
      </w:pPr>
      <w:r>
        <w:rPr>
          <w:color w:val="000000"/>
          <w:shd w:fill="FFFFFF" w:val="clear"/>
        </w:rPr>
        <w:t>•</w:t>
      </w:r>
      <w:r>
        <w:rPr>
          <w:rFonts w:ascii="Times New Roman;serif" w:hAnsi="Times New Roman;serif"/>
          <w:b w:val="false"/>
          <w:color w:val="000000"/>
          <w:sz w:val="20"/>
          <w:shd w:fill="FFFFFF" w:val="clear"/>
        </w:rPr>
        <w:t>the difficulty of obtaining regulatory approval for any of our current or future product candidates;</w:t>
      </w:r>
    </w:p>
    <w:p>
      <w:pPr>
        <w:pStyle w:val="TextBody"/>
        <w:bidi w:val="0"/>
        <w:spacing w:lineRule="auto" w:line="288" w:before="200" w:after="283"/>
        <w:ind w:left="0" w:right="0" w:hanging="360"/>
        <w:jc w:val="both"/>
        <w:rPr/>
      </w:pPr>
      <w:r>
        <w:rPr>
          <w:color w:val="000000"/>
          <w:shd w:fill="FFFFFF" w:val="clear"/>
        </w:rPr>
        <w:t>•</w:t>
      </w:r>
      <w:r>
        <w:rPr>
          <w:rFonts w:ascii="Times New Roman;serif" w:hAnsi="Times New Roman;serif"/>
          <w:b w:val="false"/>
          <w:color w:val="000000"/>
          <w:sz w:val="20"/>
          <w:shd w:fill="FFFFFF" w:val="clear"/>
        </w:rPr>
        <w:t>our limited experience in designing and conducting clinical trials;</w:t>
      </w:r>
    </w:p>
    <w:p>
      <w:pPr>
        <w:pStyle w:val="TextBody"/>
        <w:bidi w:val="0"/>
        <w:spacing w:lineRule="auto" w:line="288" w:before="200" w:after="283"/>
        <w:ind w:left="0" w:right="0" w:hanging="360"/>
        <w:jc w:val="both"/>
        <w:rPr/>
      </w:pPr>
      <w:r>
        <w:rPr>
          <w:color w:val="000000"/>
          <w:shd w:fill="FFFFFF" w:val="clear"/>
        </w:rPr>
        <w:t>•</w:t>
      </w:r>
      <w:r>
        <w:rPr>
          <w:rFonts w:ascii="Times New Roman;serif" w:hAnsi="Times New Roman;serif"/>
          <w:b w:val="false"/>
          <w:color w:val="000000"/>
          <w:sz w:val="20"/>
          <w:shd w:fill="FFFFFF" w:val="clear"/>
        </w:rPr>
        <w:t>the timing of the initiation, progress and potential results of our ongoing and planned clinical trials and our research programs, including our ongoing Phase 1/2a clinical trial of atebimetinib and MAPKeeper 301 registrational trial of atebimetinib in combination with modified gemcitabine/nab-paclitaxel in first-line pancreatic cancer;</w:t>
      </w:r>
    </w:p>
    <w:p>
      <w:pPr>
        <w:pStyle w:val="TextBody"/>
        <w:bidi w:val="0"/>
        <w:spacing w:lineRule="auto" w:line="288" w:before="200" w:after="283"/>
        <w:ind w:left="0" w:right="0" w:hanging="360"/>
        <w:jc w:val="both"/>
        <w:rPr/>
      </w:pPr>
      <w:r>
        <w:rPr>
          <w:color w:val="000000"/>
          <w:shd w:fill="FFFFFF" w:val="clear"/>
        </w:rPr>
        <w:t>•</w:t>
      </w:r>
      <w:r>
        <w:rPr>
          <w:rFonts w:ascii="Times New Roman;serif" w:hAnsi="Times New Roman;serif"/>
          <w:b w:val="false"/>
          <w:color w:val="000000"/>
          <w:sz w:val="20"/>
          <w:shd w:fill="FFFFFF" w:val="clear"/>
        </w:rPr>
        <w:t>our ability to successfully complete our clinical trials, including our ongoing Phase 1/2a clinical trial of atebimetinib and MAPKeeper 301 registrational trial of atebimetinib in combination with modified gemcitabine/nab-paclitaxel in first-line pancreatic cancer;</w:t>
      </w:r>
    </w:p>
    <w:p>
      <w:pPr>
        <w:pStyle w:val="TextBody"/>
        <w:bidi w:val="0"/>
        <w:spacing w:lineRule="auto" w:line="288" w:before="200" w:after="283"/>
        <w:ind w:left="0" w:right="0" w:hanging="360"/>
        <w:jc w:val="both"/>
        <w:rPr/>
      </w:pPr>
      <w:r>
        <w:rPr>
          <w:color w:val="000000"/>
          <w:shd w:fill="FFFFFF" w:val="clear"/>
        </w:rPr>
        <w:t>•</w:t>
      </w:r>
      <w:r>
        <w:rPr>
          <w:rFonts w:ascii="Times New Roman;serif" w:hAnsi="Times New Roman;serif"/>
          <w:b w:val="false"/>
          <w:color w:val="000000"/>
          <w:sz w:val="20"/>
          <w:shd w:fill="FFFFFF" w:val="clear"/>
        </w:rPr>
        <w:t>the risk of substantial delays in completing, if at all, the development and commercialization of our current or future product candidates;</w:t>
      </w:r>
    </w:p>
    <w:p>
      <w:pPr>
        <w:pStyle w:val="TextBody"/>
        <w:bidi w:val="0"/>
        <w:spacing w:lineRule="auto" w:line="288" w:before="200" w:after="283"/>
        <w:ind w:left="0" w:right="0" w:hanging="360"/>
        <w:jc w:val="both"/>
        <w:rPr/>
      </w:pPr>
      <w:r>
        <w:rPr>
          <w:color w:val="000000"/>
          <w:shd w:fill="FFFFFF" w:val="clear"/>
        </w:rPr>
        <w:t>•</w:t>
      </w:r>
      <w:r>
        <w:rPr>
          <w:rFonts w:ascii="Times New Roman;serif" w:hAnsi="Times New Roman;serif"/>
          <w:b w:val="false"/>
          <w:color w:val="000000"/>
          <w:sz w:val="20"/>
          <w:shd w:fill="FFFFFF" w:val="clear"/>
        </w:rPr>
        <w:t>risks related to adverse events, toxicities or other undesirable side effects caused by our current or future product candidates;</w:t>
      </w:r>
    </w:p>
    <w:p>
      <w:pPr>
        <w:pStyle w:val="TextBody"/>
        <w:bidi w:val="0"/>
        <w:spacing w:lineRule="auto" w:line="288" w:before="200" w:after="283"/>
        <w:ind w:left="0" w:right="0" w:hanging="360"/>
        <w:jc w:val="both"/>
        <w:rPr/>
      </w:pPr>
      <w:r>
        <w:rPr>
          <w:color w:val="000000"/>
          <w:shd w:fill="FFFFFF" w:val="clear"/>
        </w:rPr>
        <w:t>•</w:t>
      </w:r>
      <w:r>
        <w:rPr>
          <w:rFonts w:ascii="Times New Roman;serif" w:hAnsi="Times New Roman;serif"/>
          <w:b w:val="false"/>
          <w:color w:val="000000"/>
          <w:sz w:val="20"/>
          <w:shd w:fill="FFFFFF" w:val="clear"/>
        </w:rPr>
        <w:t>the risk of delays or difficulties in the enrollment and/or maintenance of patients in clinical trials, including in our MAPKeeper 301 registrational trial of atebimetinib in combination with modified gemcitabine/nab-paclitaxel in first-line pancreatic cancer;</w:t>
      </w:r>
    </w:p>
    <w:p>
      <w:pPr>
        <w:pStyle w:val="TextBody"/>
        <w:bidi w:val="0"/>
        <w:spacing w:lineRule="auto" w:line="288" w:before="200" w:after="283"/>
        <w:ind w:left="0" w:right="0" w:hanging="360"/>
        <w:jc w:val="both"/>
        <w:rPr/>
      </w:pPr>
      <w:r>
        <w:rPr>
          <w:color w:val="000000"/>
          <w:shd w:fill="FFFFFF" w:val="clear"/>
        </w:rPr>
        <w:t>•</w:t>
      </w:r>
      <w:r>
        <w:rPr>
          <w:rFonts w:ascii="Times New Roman;serif" w:hAnsi="Times New Roman;serif"/>
          <w:b w:val="false"/>
          <w:color w:val="000000"/>
          <w:sz w:val="20"/>
          <w:shd w:fill="FFFFFF" w:val="clear"/>
        </w:rPr>
        <w:t>our ability to submit an Investigational New Drug application (“IND”), or IND amendments or comparable documents in foreign jurisdictions in order to commence clinical trials on the timelines we expect;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both"/>
        <w:rPr/>
      </w:pPr>
      <w:r>
        <w:rPr>
          <w:color w:val="000000"/>
          <w:shd w:fill="FFFFFF" w:val="clear"/>
        </w:rPr>
        <w:t>•</w:t>
      </w:r>
      <w:r>
        <w:rPr>
          <w:rFonts w:ascii="Times New Roman;serif" w:hAnsi="Times New Roman;serif"/>
          <w:b w:val="false"/>
          <w:color w:val="000000"/>
          <w:sz w:val="20"/>
          <w:shd w:fill="FFFFFF" w:val="clear"/>
        </w:rPr>
        <w:t>our substantial reliance on the successful development of our current and future product candidates, as well as our platform, including our proprietary technologies;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shd w:fill="FFFFFF" w:val="clear"/>
        </w:rPr>
        <w:t>risks related to competition in our industry;</w:t>
      </w:r>
    </w:p>
    <w:p>
      <w:pPr>
        <w:pStyle w:val="TextBody"/>
        <w:bidi w:val="0"/>
        <w:spacing w:lineRule="auto" w:line="288" w:before="200" w:after="283"/>
        <w:ind w:left="0" w:right="0" w:hanging="360"/>
        <w:jc w:val="both"/>
        <w:rPr/>
      </w:pPr>
      <w:r>
        <w:rPr>
          <w:color w:val="000000"/>
          <w:shd w:fill="FFFFFF" w:val="clear"/>
        </w:rPr>
        <w:t>•</w:t>
      </w:r>
      <w:r>
        <w:rPr>
          <w:rFonts w:ascii="Times New Roman;serif" w:hAnsi="Times New Roman;serif"/>
          <w:b w:val="false"/>
          <w:color w:val="000000"/>
          <w:sz w:val="20"/>
          <w:shd w:fill="FFFFFF" w:val="clear"/>
        </w:rPr>
        <w:t>the market opportunity for our product candidates, if approved;</w:t>
      </w:r>
    </w:p>
    <w:p>
      <w:pPr>
        <w:pStyle w:val="TextBody"/>
        <w:bidi w:val="0"/>
        <w:spacing w:lineRule="auto" w:line="288" w:before="200" w:after="283"/>
        <w:ind w:left="0" w:right="0" w:hanging="360"/>
        <w:jc w:val="both"/>
        <w:rPr/>
      </w:pPr>
      <w:r>
        <w:rPr>
          <w:color w:val="000000"/>
          <w:shd w:fill="FFFFFF" w:val="clear"/>
        </w:rPr>
        <w:t>•</w:t>
      </w:r>
      <w:r>
        <w:rPr>
          <w:rFonts w:ascii="Times New Roman;serif" w:hAnsi="Times New Roman;serif"/>
          <w:b w:val="false"/>
          <w:color w:val="000000"/>
          <w:sz w:val="20"/>
          <w:shd w:fill="FFFFFF" w:val="clear"/>
        </w:rPr>
        <w:t>risks related to manufacturing;</w:t>
      </w:r>
    </w:p>
    <w:p>
      <w:pPr>
        <w:pStyle w:val="TextBody"/>
        <w:bidi w:val="0"/>
        <w:spacing w:lineRule="auto" w:line="288" w:before="200" w:after="283"/>
        <w:ind w:left="0" w:right="0" w:hanging="360"/>
        <w:jc w:val="both"/>
        <w:rPr/>
      </w:pPr>
      <w:r>
        <w:rPr>
          <w:color w:val="000000"/>
          <w:shd w:fill="FFFFFF" w:val="clear"/>
        </w:rPr>
        <w:t>•</w:t>
      </w:r>
      <w:r>
        <w:rPr>
          <w:rFonts w:ascii="Times New Roman;serif" w:hAnsi="Times New Roman;serif"/>
          <w:b w:val="false"/>
          <w:color w:val="000000"/>
          <w:sz w:val="20"/>
          <w:shd w:fill="FFFFFF" w:val="clear"/>
        </w:rPr>
        <w:t>risks related to our reliance on third parties;</w:t>
      </w:r>
    </w:p>
    <w:p>
      <w:pPr>
        <w:pStyle w:val="TextBody"/>
        <w:bidi w:val="0"/>
        <w:spacing w:lineRule="auto" w:line="288" w:before="200" w:after="283"/>
        <w:ind w:left="0" w:right="0" w:hanging="360"/>
        <w:jc w:val="both"/>
        <w:rPr/>
      </w:pPr>
      <w:r>
        <w:rPr>
          <w:color w:val="000000"/>
          <w:shd w:fill="FFFFFF" w:val="clear"/>
        </w:rPr>
        <w:t>•</w:t>
      </w:r>
      <w:r>
        <w:rPr>
          <w:rFonts w:ascii="Times New Roman;serif" w:hAnsi="Times New Roman;serif"/>
          <w:b w:val="false"/>
          <w:color w:val="000000"/>
          <w:sz w:val="20"/>
          <w:shd w:fill="FFFFFF" w:val="clear"/>
        </w:rPr>
        <w:t>risks related to our intellectual property;</w:t>
      </w:r>
    </w:p>
    <w:p>
      <w:pPr>
        <w:pStyle w:val="TextBody"/>
        <w:bidi w:val="0"/>
        <w:spacing w:lineRule="auto" w:line="288" w:before="200" w:after="283"/>
        <w:ind w:left="0" w:right="0" w:hanging="360"/>
        <w:jc w:val="both"/>
        <w:rPr/>
      </w:pPr>
      <w:r>
        <w:rPr>
          <w:color w:val="000000"/>
          <w:shd w:fill="FFFFFF" w:val="clear"/>
        </w:rPr>
        <w:t>•</w:t>
      </w:r>
      <w:r>
        <w:rPr>
          <w:rFonts w:ascii="Times New Roman;serif" w:hAnsi="Times New Roman;serif"/>
          <w:b w:val="false"/>
          <w:color w:val="000000"/>
          <w:sz w:val="20"/>
          <w:shd w:fill="FFFFFF" w:val="clear"/>
        </w:rPr>
        <w:t>risks related to ongoing and future pandemics, or other widespread adverse health events;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shd w:fill="FFFFFF" w:val="clear"/>
        </w:rPr>
        <w:t>other important risk factors that could affect the outcome of the events set forth in these statements and that could affect our operating results and financial condition described in Part II, Item 1A. “Risk Factors” of this Quarterly Report on Form 10-Q.</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Because forward-looking statements are inherently subject to risks and uncertainties, some of which cannot be predicted or quantified and some of which are beyond our control, you should not rely on these forward-looking statements as predictions of future events.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Unless otherwise stated or the context requires otherwise, references to “Immuneering,” the “Company,” “we,” “us,” and “our,” refer to Immuneering Corporation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Risk Factors Summary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subject to numerous risks and uncertainties, including those further described below in Part II, Item 1A. “Risk Factors” in this Quarterly Report on Form 10-Q, that represent challenges that we face in connection with the successful implementation of our strategy and the growth of our business. In particular, the following are principal factors that may offset our competitive strengths or have a negative effect on our business strategy, which could materially adversely affect our business, financial conditions, results of operations, future growth prospects, or cause a decline in the price of our common stock:</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are a late-stage clinical oncology company with a limited operating history in developing pharmaceutical products, have not completed any registrational clinical trials and have no products approved for commercial sale, which may make it difficult for you to evaluate our current business and predict our future success and viability.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have incurred significant net losses for the past several years and we expect to continue to incur significant net losses for the foreseeable future and may never obtain profitability.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regulatory approval processes of the U.S. Food and Drug Administration ("FDA"), European Medicines Agency ("EMA") and other comparable foreign regulatory authorities are lengthy, time consuming and inherently unpredictable with respect to outcomes. If we are ultimately unable to obtain regulatory approval for our product candidates, or to obtain regulatory approval to treat the indications we seek to treat with our product candidates, we will be unable to generate product revenue or the level of planned product revenue and our business will be substantially harmed.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may encounter substantial delays in completing, or ultimately be unable to complete, the development and commercialization of our product candidates.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outcome of preclinical studies and earlier clinical trials may not be predictive of the success of later clinical trials, and the results of our clinical trials may not satisfy the requirements of the FDA or other comparable foreign regulatory authorities.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current or future product candidates may cause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business is substantially dependent on the successful development of our current and future product candidates. If we are unable to advance our current or future product candidates through clinical trials, obtain marketing approval to treat the indications that we seek to treat with our product candidates, and ultimately commercialize any product candidates we develop, or experience significant delays in doing so, our business will be materially harmed.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are substantially dependent on our platform, including our proprietary technologies, which are supported by our information technology systems. Any failure of these or other elements of our platform will materially harm our business.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long-term prospects depend in part upon discovering, developing and commercializing product candidates, which may fail in development or suffer delays that adversely affect their commercial viability.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approach to the discovery and development of product candidates is unproven, and we may not be successful in our efforts to use and expand our platform and capabilities to build a pipeline of product candidates with commercial value.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have never commercialized a product candidate before and may lack the necessary expertise, personnel and resources to successfully commercialize any products on our own or together with suitable collaborators.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substantially rely, and expect to continue to rely, on third parties, including independent clinical investigators and contract research organizations ("CROs"), to conduct certain aspects of our preclinical studies and our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We contract with third parties, including contract manufacturing organizations ("CMOs") and consultants, for the manufacture of our product candidates for preclinical studies and clinical trials, and expect to continue to do so for commercialization of any approved product candidate. This reliance on third parties increases the risk that we will not have sufficient quantities of our product candidates or drugs or be able to acquire such quantities at an acceptable cost, which could delay, prevent or impair our development or commercialization efforts.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If we are unable to obtain and maintain patent and/or other intellectual property protection for our product candidates and technologies, or if the scope of the intellectual property protection obtained is not sufficiently broad, our competitors could develop and commercialize products and technology similar or identical to ours, and our ability to successfully develop and commercialize our product candidates, products (if any) and technology may be impaired, and we may not be able to compete effectively in our market.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Acquisitions, joint ventures or other transactions involving third parties could disrupt our business, cause dilution to our stockholders and otherwise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IMMUNEERING CORPORATION</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95"/>
        <w:gridCol w:w="2195"/>
        <w:gridCol w:w="2173"/>
        <w:gridCol w:w="196"/>
        <w:gridCol w:w="1051"/>
        <w:gridCol w:w="109"/>
        <w:gridCol w:w="109"/>
        <w:gridCol w:w="109"/>
        <w:gridCol w:w="109"/>
        <w:gridCol w:w="203"/>
        <w:gridCol w:w="1093"/>
        <w:gridCol w:w="163"/>
      </w:tblGrid>
      <w:tr>
        <w:trPr/>
        <w:tc>
          <w:tcPr>
            <w:tcW w:w="2695"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41,324,682 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128,645,025 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108,575,637 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44,186,244 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Prepaids and other current assets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8,090,186 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3,414,685 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157,990,505 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176,245,954 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 non-current</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32,773,479 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44,183,186 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879,922 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938,481 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6,690,431 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6,690,431 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 net</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306,513 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321,147 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3,136,353 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3,322,249 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283,562 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202,055,327 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231,985,010 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3,377,359 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1,542,737 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4,094,874 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7,842,367 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291,513 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428,962 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397,104 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8,115,656 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10,073,721 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liabilities:</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 net of current portion</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3,204,645 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3,427,321 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11,320,301 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13,501,042 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 10)</w:t>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$0.001 par value; 10,000,000 shares authorized at June 30, 2026 and December 31, 2025; 0 shares issued or outstanding at June 30, 2026 and December 31, 2025</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Class A common stock, $0.001 par value, 200,000,000 shares authorized at June 30, 2026 and December 31, 2025; 64,697,402 and 64,648,230 shares issued and outstanding at June 30, 2026 and December 31, 2025, respectively</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64,648 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Class B common stock, $0.001 par value, 20,000,000 shares authorized at June 30, 2026 and December 31, 2025; 0 shares issued and outstanding at June 30, 2026 and December 31, 2025</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502,127,975 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498,658,072 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(406,240)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81,332 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(311,051,406)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(280,320,084)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12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190,735,026 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218,483,968 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202,055,327 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231,985,010 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IMMUNEERING CORPORATION</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470"/>
        <w:gridCol w:w="969"/>
        <w:gridCol w:w="976"/>
        <w:gridCol w:w="211"/>
        <w:gridCol w:w="1120"/>
        <w:gridCol w:w="109"/>
        <w:gridCol w:w="109"/>
        <w:gridCol w:w="109"/>
        <w:gridCol w:w="109"/>
        <w:gridCol w:w="211"/>
        <w:gridCol w:w="1120"/>
        <w:gridCol w:w="109"/>
        <w:gridCol w:w="109"/>
        <w:gridCol w:w="109"/>
        <w:gridCol w:w="109"/>
        <w:gridCol w:w="211"/>
        <w:gridCol w:w="1120"/>
        <w:gridCol w:w="109"/>
        <w:gridCol w:w="109"/>
        <w:gridCol w:w="109"/>
        <w:gridCol w:w="109"/>
        <w:gridCol w:w="211"/>
        <w:gridCol w:w="1120"/>
        <w:gridCol w:w="158"/>
      </w:tblGrid>
      <w:tr>
        <w:trPr/>
        <w:tc>
          <w:tcPr>
            <w:tcW w:w="147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13,996,647 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10,454,160 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24,641,869 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21,925,852 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4,996,444 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4,296,417 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9,678,939 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8,302,059 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19,000,408 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14,757,894 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34,335,441 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30,242,544 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13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(19,000,408)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(14,757,894)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(34,335,441)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(30,242,544)</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2,443,188 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762,532 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(17,270,427)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(14,433,881)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(30,731,322)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(29,480,012)</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 and diluted</w:t>
            </w:r>
          </w:p>
        </w:tc>
        <w:tc>
          <w:tcPr>
            <w:tcW w:w="144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64,697,219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35,985,878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64,678,120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35,759,026</w:t>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from marketable securities</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(17,435,662)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(14,433,881)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(31,218,894)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(29,480,012)</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IMMUNEERING CORPORATION</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5395" w:type="dxa"/>
        <w:jc w:val="center"/>
        <w:tblInd w:w="0" w:type="dxa"/>
        <w:tblLayout w:type="fixed"/>
        <w:tblCellMar>
          <w:top w:w="28" w:type="dxa"/>
          <w:left w:w="28" w:type="dxa"/>
          <w:bottom w:w="28" w:type="dxa"/>
          <w:right w:w="28" w:type="dxa"/>
        </w:tblCellMar>
      </w:tblPr>
      <w:tblGrid>
        <w:gridCol w:w="634"/>
        <w:gridCol w:w="268"/>
        <w:gridCol w:w="269"/>
        <w:gridCol w:w="109"/>
        <w:gridCol w:w="109"/>
        <w:gridCol w:w="109"/>
        <w:gridCol w:w="109"/>
        <w:gridCol w:w="109"/>
        <w:gridCol w:w="109"/>
        <w:gridCol w:w="109"/>
        <w:gridCol w:w="255"/>
        <w:gridCol w:w="255"/>
        <w:gridCol w:w="256"/>
        <w:gridCol w:w="586"/>
        <w:gridCol w:w="305"/>
        <w:gridCol w:w="305"/>
        <w:gridCol w:w="306"/>
        <w:gridCol w:w="175"/>
        <w:gridCol w:w="175"/>
        <w:gridCol w:w="176"/>
        <w:gridCol w:w="196"/>
        <w:gridCol w:w="646"/>
        <w:gridCol w:w="109"/>
        <w:gridCol w:w="195"/>
        <w:gridCol w:w="195"/>
        <w:gridCol w:w="196"/>
        <w:gridCol w:w="290"/>
        <w:gridCol w:w="290"/>
        <w:gridCol w:w="291"/>
        <w:gridCol w:w="109"/>
        <w:gridCol w:w="109"/>
        <w:gridCol w:w="109"/>
        <w:gridCol w:w="335"/>
        <w:gridCol w:w="694"/>
        <w:gridCol w:w="187"/>
        <w:gridCol w:w="175"/>
        <w:gridCol w:w="175"/>
        <w:gridCol w:w="176"/>
        <w:gridCol w:w="196"/>
        <w:gridCol w:w="1051"/>
        <w:gridCol w:w="109"/>
        <w:gridCol w:w="109"/>
        <w:gridCol w:w="109"/>
        <w:gridCol w:w="109"/>
        <w:gridCol w:w="196"/>
        <w:gridCol w:w="776"/>
        <w:gridCol w:w="109"/>
        <w:gridCol w:w="109"/>
        <w:gridCol w:w="109"/>
        <w:gridCol w:w="109"/>
        <w:gridCol w:w="196"/>
        <w:gridCol w:w="1066"/>
        <w:gridCol w:w="109"/>
        <w:gridCol w:w="109"/>
        <w:gridCol w:w="109"/>
        <w:gridCol w:w="109"/>
        <w:gridCol w:w="196"/>
        <w:gridCol w:w="105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88" w:type="dxa"/>
            <w:gridSpan w:val="5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Income (Loss)</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br/>
              <w:t>Stockholders' Equity</w:t>
            </w:r>
          </w:p>
        </w:tc>
        <w:tc>
          <w:tcPr>
            <w:tcW w:w="3426" w:type="dxa"/>
            <w:gridSpan w:val="1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13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64,648,230</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498,658,072 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81,332 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(280,320,084)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218,483,968 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4,696</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through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35,989</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170,289 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170,325 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1,636,675 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1,636,675 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(13,460,895)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(13,460,895)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(322,337)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(322,337)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64,688,915</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64,689 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500,475,466 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(241,005)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(293,780,979)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206,518,171 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8,487</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24,608 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1,627,909 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1,627,909 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(17,270,427)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(17,270,427)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(165,235)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(165,235)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64,697,402</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64,697 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502,127,975 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(406,240)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(311,051,406)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190,735,026 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tbl>
      <w:tblPr>
        <w:tblW w:w="15215" w:type="dxa"/>
        <w:jc w:val="center"/>
        <w:tblInd w:w="0" w:type="dxa"/>
        <w:tblLayout w:type="fixed"/>
        <w:tblCellMar>
          <w:top w:w="28" w:type="dxa"/>
          <w:left w:w="28" w:type="dxa"/>
          <w:bottom w:w="28" w:type="dxa"/>
          <w:right w:w="28" w:type="dxa"/>
        </w:tblCellMar>
      </w:tblPr>
      <w:tblGrid>
        <w:gridCol w:w="544"/>
        <w:gridCol w:w="268"/>
        <w:gridCol w:w="269"/>
        <w:gridCol w:w="109"/>
        <w:gridCol w:w="109"/>
        <w:gridCol w:w="109"/>
        <w:gridCol w:w="109"/>
        <w:gridCol w:w="109"/>
        <w:gridCol w:w="109"/>
        <w:gridCol w:w="109"/>
        <w:gridCol w:w="255"/>
        <w:gridCol w:w="255"/>
        <w:gridCol w:w="256"/>
        <w:gridCol w:w="586"/>
        <w:gridCol w:w="305"/>
        <w:gridCol w:w="305"/>
        <w:gridCol w:w="306"/>
        <w:gridCol w:w="175"/>
        <w:gridCol w:w="175"/>
        <w:gridCol w:w="176"/>
        <w:gridCol w:w="196"/>
        <w:gridCol w:w="646"/>
        <w:gridCol w:w="109"/>
        <w:gridCol w:w="195"/>
        <w:gridCol w:w="195"/>
        <w:gridCol w:w="196"/>
        <w:gridCol w:w="290"/>
        <w:gridCol w:w="290"/>
        <w:gridCol w:w="291"/>
        <w:gridCol w:w="109"/>
        <w:gridCol w:w="109"/>
        <w:gridCol w:w="109"/>
        <w:gridCol w:w="335"/>
        <w:gridCol w:w="694"/>
        <w:gridCol w:w="187"/>
        <w:gridCol w:w="175"/>
        <w:gridCol w:w="175"/>
        <w:gridCol w:w="176"/>
        <w:gridCol w:w="196"/>
        <w:gridCol w:w="1051"/>
        <w:gridCol w:w="109"/>
        <w:gridCol w:w="109"/>
        <w:gridCol w:w="109"/>
        <w:gridCol w:w="109"/>
        <w:gridCol w:w="297"/>
        <w:gridCol w:w="617"/>
        <w:gridCol w:w="167"/>
        <w:gridCol w:w="109"/>
        <w:gridCol w:w="109"/>
        <w:gridCol w:w="109"/>
        <w:gridCol w:w="196"/>
        <w:gridCol w:w="1066"/>
        <w:gridCol w:w="109"/>
        <w:gridCol w:w="109"/>
        <w:gridCol w:w="109"/>
        <w:gridCol w:w="109"/>
        <w:gridCol w:w="196"/>
        <w:gridCol w:w="961"/>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98" w:type="dxa"/>
            <w:gridSpan w:val="52"/>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Income</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br/>
              <w:t>Stockholders' Equity</w:t>
            </w:r>
          </w:p>
        </w:tc>
        <w:tc>
          <w:tcPr>
            <w:tcW w:w="3336" w:type="dxa"/>
            <w:gridSpan w:val="12"/>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13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31,050,448</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265,650,362 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(224,295,186)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41,386,226 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at-the-market offering, net of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4,836,804</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13,671,830 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13,676,667 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through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98,450</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133,794 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133,892 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1,692,267 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1,692,267 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(15,046,132)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(15,046,132)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35,985,702</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35,985 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281,148,253 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(239,341,318)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41,842,920 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1,604</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1,524,943 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1,524,943 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(14,433,881)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(14,433,881)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35,987,306</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35,987 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282,675,249 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(253,775,199)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28,936,037 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IMMUNEERING CORPORATION</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 2026 and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511"/>
        <w:gridCol w:w="2183"/>
        <w:gridCol w:w="2197"/>
        <w:gridCol w:w="211"/>
        <w:gridCol w:w="1150"/>
        <w:gridCol w:w="109"/>
        <w:gridCol w:w="109"/>
        <w:gridCol w:w="109"/>
        <w:gridCol w:w="109"/>
        <w:gridCol w:w="211"/>
        <w:gridCol w:w="1150"/>
        <w:gridCol w:w="156"/>
      </w:tblGrid>
      <w:tr>
        <w:trPr/>
        <w:tc>
          <w:tcPr>
            <w:tcW w:w="2511"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6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6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Cash flows from operating activities:</w:t>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(30,731,322)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(29,480,012)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 to reconcile to net loss to net cash used in operating activities:</w:t>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 expense</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165,856 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169,788 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Reduction in carrying amount of right-of-use assets</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185,896 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168,386 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asset amortization</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14,633 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14,633 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 expense</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3,264,584 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3,217,210 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accretion of discount on marketable securities</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(983,682)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assets and liabilities:</w:t>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(Increase) decrease in:</w:t>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Prepaid expenses and other current assets</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(4,675,501)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2,072,921 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454,058 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Increase (decrease) in:</w:t>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1,834,622 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500,679 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Accrued expenses</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(3,747,493)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(458,170)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Lease liabilities</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(190,818)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(162,298)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liabilities</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(77,052)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(23,957)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operating activities</w:t>
            </w:r>
          </w:p>
        </w:tc>
        <w:tc>
          <w:tcPr>
            <w:tcW w:w="13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(34,934,837)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(23,526,762)</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Cash flows from investing activities:</w:t>
            </w:r>
          </w:p>
        </w:tc>
        <w:tc>
          <w:tcPr>
            <w:tcW w:w="14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Purchases of property and equipment</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(107,297)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(11,061)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Purchases of marketable securities</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(83,983,577)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Maturities of marketable securities</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31,500,000 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investing activities</w:t>
            </w:r>
          </w:p>
        </w:tc>
        <w:tc>
          <w:tcPr>
            <w:tcW w:w="1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(52,590,874)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(11,061)</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Cash flows from financing activities:</w:t>
            </w:r>
          </w:p>
        </w:tc>
        <w:tc>
          <w:tcPr>
            <w:tcW w:w="14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exercise of stock options</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35,043 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issuance of common stock under employee stock purchase plan</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170,325 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133,892 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issuance of common stock under at-the-market offering, net of issuance costs</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13,676,667 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r>
      <w:tr>
        <w:trPr/>
        <w:tc>
          <w:tcPr>
            <w:tcW w:w="6891"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r>
      <w:tr>
        <w:trPr/>
        <w:tc>
          <w:tcPr>
            <w:tcW w:w="6891"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Payment of offering and placement costs</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(64,013)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financing activities</w:t>
            </w:r>
          </w:p>
        </w:tc>
        <w:tc>
          <w:tcPr>
            <w:tcW w:w="1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205,368 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13,748,601 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Net decrease in cash and cash equivalents</w:t>
            </w:r>
          </w:p>
        </w:tc>
        <w:tc>
          <w:tcPr>
            <w:tcW w:w="13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(87,320,343)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(9,789,222)</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Cash and cash equivalents at beginning of period</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128,645,025 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36,144,720 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Cash and cash equivalents at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41,324,682 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26,355,498 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r>
      <w:tr>
        <w:trPr/>
        <w:tc>
          <w:tcPr>
            <w:tcW w:w="6891"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r>
      <w:tr>
        <w:trPr/>
        <w:tc>
          <w:tcPr>
            <w:tcW w:w="6891"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r>
      <w:tr>
        <w:trPr/>
        <w:tc>
          <w:tcPr>
            <w:tcW w:w="6891"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IMMUNEERING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 – Organization and Nature of Business</w:t>
      </w:r>
    </w:p>
    <w:p>
      <w:pPr>
        <w:pStyle w:val="TextBody"/>
        <w:bidi w:val="0"/>
        <w:spacing w:lineRule="auto" w:line="288" w:before="240" w:after="283"/>
        <w:jc w:val="both"/>
        <w:rPr/>
      </w:pPr>
      <w:r>
        <w:rPr>
          <w:rFonts w:ascii="Times New Roman;serif" w:hAnsi="Times New Roman;serif"/>
          <w:b w:val="false"/>
          <w:color w:val="000000"/>
          <w:sz w:val="20"/>
        </w:rPr>
        <w:t>Immuneering Corporation, a Delaware corporation (“Immuneering” or the “Company”), was incorporated in 2008. Immuneering is a late-stage clinical oncology company seeking to develop medicines for broad populations of cancer patients, with an initial aim to therapeutically address patients harboring RAS and/or RAF mutations. The Company aims to achieve broad activity through Deep Cyclic Inhibition® ("DCI") of the mitogen-activated protein kinase ("MAPK") pathway, impacting cancer cells while sparing healthy cells. Immuneering’s lead product candidate, atebimetinib (also referred to as IMM-1-104), is currently in a Phase 1/2a clinical trial in patients with advanced solid tumors harboring RAS or RAF mutations and in a Phase 3 registrational trial (known as "</w:t>
      </w:r>
      <w:r>
        <w:rPr>
          <w:rFonts w:ascii="Times New Roman;serif" w:hAnsi="Times New Roman;serif"/>
          <w:b w:val="false"/>
          <w:color w:val="000000"/>
          <w:sz w:val="20"/>
          <w:shd w:fill="FFFFFF" w:val="clear"/>
        </w:rPr>
        <w:t>MAPKeeper 301") in combination with modified gemcitabine/nab-paclitaxel in first-line pancreatic cancer patients</w:t>
      </w:r>
      <w:r>
        <w:rPr>
          <w:rFonts w:ascii="Times New Roman;serif" w:hAnsi="Times New Roman;serif"/>
          <w:b w:val="false"/>
          <w:color w:val="000000"/>
          <w:sz w:val="20"/>
        </w:rPr>
        <w:t>. The Company is developing atebimetinib as a once-daily oral therapy, aiming for activity through DCI of the MAPK pathway at the level of mitogen-activated protein kinase kinase ("MEK"). The Company’s development pipeline also includes early-stage programs.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30, 2019, Immuneering formed a wholly owned subsidiary, Immuneering Securities Corporation (“ISC”), a Massachusetts securities corporation, for the sole purpose of buying, selling and holding securities on the Company’s behalf.</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22, 2021, the Company acquired all outstanding shares of capital stock of BioArkive, Inc. (“BioArkive”), a California corporation, which as a result became a wholly owned subsidiary.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Immuneering, ISC and BioArkive are collectively referred to as the “Company” throughout these interim condensed consolidated financial statements.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subject to a number of inherent risks associated with any biotechnology company that has substantial expenditures for research and development. These risks include, but are not limited to, the need to obtain adequate additional funding, possible failure of clinical trials or other events demonstrating lack of clinical safety or efficacy of its product candidates, dependence on key personnel, reliance on third-party service providers for manufacturing drug product and conducting clinical trials, the ability to successfully secure its proprietary technology, and risks related to the regulatory approval and commercialization of a product candidate. There can be no assurance that the Company’s research and development programs will be successful. In addition, the Company operates in an environment of rapid technological change and is largely dependent on the services of its employees, advisors, and consultants.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10, 2022, the Company entered into an Equity Distribution Agreement (the "2022 Sales Agreement") with Piper Sandler &amp; Co (the "Sales Agent"), to sell shares of its common stock with aggregate gross proceeds of up to $50 million, from time to time, through an “at the market” equity offering program (the "2022 ATM Program"). The Company did not sell any shares of common stock under the 2022 ATM Program during the three and six months ended June 30, 2026. The Company sold 4,836,804 shares of common stock under the 2022 ATM Program, at a weighted average price per share of $2.95, for aggregate gross proceeds of $14.2 million ($13.7 million net of offering expenses) during the three and six months ended June 30, 2025.</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April 20, 2023, the Company completed an underwritten follow-on equity offering, pursuant to which it issued and sold 2,727,273 shares of its Class A common stock $0.001 par value per share at an offering price of $11.00 per share. The aggregate net proceeds received by the Company from the offering were $28,200,003, after deducting underwriting discounts and commissions, but before deducting offering costs payable by the Company of $203,768.</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August 13, 2025, the Company entered into an Equity Distribution Agreement (the "2025 Sales Agreement") with the Sales Agent, to sell shares of its common stock with aggregate gross proceeds of up to $100 million, from time to time, through an “at the market” equity offering program (the "2025 ATM Program"). In connection with the September 2025 Offering (as defined below), the Company: (i) reduced the maximum aggregate offering price for sales of shares of common stock pursuant to at-the-market transactions under the 2025 ATM Program by $1,250,007 (the "Reduced Amount"), resulting in a new maximum aggregate offering price of up to $98,749,993 under the 2025 ATM Program, and (ii) suspended the 2025 ATM Program and terminated the continuous offering under the 2025 ATM Program, in each case, as to the Reduced Amount. The Company did not sell any shares of common stock under the 2025 ATM Program during the three and six months ended June 30, 2026 or June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August 21, 2025, the Company entered into a Securities Purchase Agreement (the "August 2025 Purchase Agreement") with the purchasers party thereto, pursuant to which the Company agreed to sell securities to such purchasers in a private placement (the “August 2025 Private Placement”). The August 2025 Purchase Agreement provided for the sale and issuance by the Company to the purchasers of: (i) an aggregate of 5,251,349 shares of its common stock at a purchase price of $3.95 per share, (ii) for certain purchasers, in lieu of common stock, an aggregate of 1,077,764 pre-funded warrants (the “Pre-Funded Warrants”) to purchase up to the same number of shares of its common stock, and (iii) an aggregate of 2,848,096 warrants (the “Purchase Warrants”) to purchase up to the same number of shares of its common stock. The Pre-Funded Warrants were issued for a purchase price equating to $3.949 per Pre-Funded Warrant (which was the per share purchase price for the common stock issued in the August 2025 Private Placement, less the $0.001 per share unfunded exercise price for each Pre-Funded Warrant). On October 6, 2025, certain purchasers from the August 2025 Private Placement exercised an aggregate of 1,077,764 Pre-Funded Warrants previously issued to them pursuant to the August 2025 Purchase Agreement. Each such exercise was made pursuant to the cashless exercise provision of the applicable Pre-Funded Warrant, such that an aggregate of 166 shares of common stock were withheld in lieu of cash payment of the $0.001 exercise price for each Pre-Funded Warrant share, and the exercising purchasers were issued an aggregate of 1,077,598 shares of common stock (the "October 2025 Cashless Exercise"). Following the October 2025 Cashless Exercise, no Pre-Funded Warrants remained issued and outstanding. The Purchase Warrants were issued with an exercise price of $5.50 per share; as of June 30, 2026, no Purchase Warrants had been exercised. As of June 30, 2026, the Company had received aggregate net proceeds of $23.4 million from the August 2025 Private Placement, after deducting placement expenses of $1.6 million. The August 2025 Private Placement closed on August 26,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September 24, 2025, the Company entered into a Securities Purchase Agreement (the "September 2025 Purchase Agreement") with Aventis Inc. ("Aventis"), a wholly owned subsidiary of Sanofi, a French société anonyme ("Sanofi"), pursuant to which the Company agreed to sell securities to Aventis in a private placement (the “September 2025 Private Placement”). The September 2025 Purchase Agreement provided for the sale and issuance by the Company to Aventis of an aggregate of 2,708,559 shares of its common stock at a purchase price of $9.23 per share. The Company received aggregate net proceeds of $23.4 million from the September 2025 Private Placement, after deducting placement agent discounts and commissions of $1.5 million and placement costs of $0.1 million. The September 2025 Private Placement closed on September 26,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September 26, 2025, the Company completed an underwritten follow-on equity offering, pursuant to which it issued and sold 18,959,914 shares of its Class A common stock at an offering price of $9.23 per share (the "September 2025 Offering"), with Leerink Partners LLC and Oppenheimer &amp; Co. Inc. acting as underwriters. The aggregate net proceeds received by the Company from the September 2025 Offering were $164.1 million, after deducting underwriting discounts and commissions, as well as offering costs of $0.4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 date, the Company has primarily funded its operations with proceeds from the sale of its capital stock, warrants to purchase stock, and convertible notes. The Company has incurred recurring losses over the past several years and as of June 30, 2026, the Company had an accumulated deficit of $311.1 million. The Company expects to continue to generate operating losses for the foreseeable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assurances that additional funding will be available on terms acceptable to the Company, or at all. If the Company is unable to raise additional funds when needed, it may be required to delay, reduce the scope of, or eliminate development programs, which may adversely affect its business and operations. Management considered whether or not there are conditions or events, in the aggregate, that raise substantial doubt about the entity’s ability to continue as a going concern, and concluded that there are none as it estimates that its cash, cash equivalents and marketable securities will be sufficient to fund its operating expenses and capital expenditure requirements for at least 12 months from the issuance date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2 - Summary of Significant Accounting Policies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interim condensed consolidated financial statements have been prepared in accordance with accounting standards set by the Financial Accounting Standards Board (“FASB”). The FASB sets generally accepted accounting principles (“GAAP”) to ensure the interim condensed consolidated financial statements are consistently reported. References to GAAP issued by the FASB in these footnotes are to the FASB Accounting Standards Codification ("ASC"). The interim condensed consolidated financial statements include the accounts of the Company and its wholly owned subsidiaries. All intercompany balances and transactions have been eliminated in consolidation.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to the accounting policies of the Company as those set forth in Note 2 to the audited consolidated financial statements contained in the Annual Report on Form 10-K for the fiscal year ended December 31, 2025.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Unaudited Interim Financial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unaudited interim condensed consolidated financial statements of the Company have been prepared in accordance with GAAP and in accordance with the rules and regulations of the Securities and Exchange Commission (“SEC”) regarding interim financial reporting. Certain information and footnote disclosures normally included in the annual financial statements prepared in accordance with GAAP have been omitted from the unaudited interim condensed consolidated financial statements, as is permitted by such rules and regulations. While we believe that the disclosures presented are adequate in order to make the information not misleading, these unaudited interim condensed consolidated financial statements should be read in conjunction with the Company’s audited consolidated financial statements and notes for the year ended December 31,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It is management’s opinion that these financial statements include all normal and recurring adjustments necessary for a fair presentation of the Company’s financial position, operating results and cash flows. Net loss for any interim period is not necessarily indicative of future or annual results.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Use of Estimates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liabilities, revenues and expenses during the reporting periods. These estimates and assumptions are based on current facts, historical experience and various other factors believed to be reasonable under the circumstances, the results of which form the basis for making judgments about the carrying values of assets, liabilities and the recording of expenses that are not readily apparent from other sources. Significant estimates reflected in these interim condensed consolidated financial statements include but are not limited to: the accrued research and development expenses, the determination of fair value of stock-based awards, and the impairment of goodwill and intangible assets. Actual results may differ materially and adversely from these estimates.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the fair value of the acquiree over the recognized basis of the net identifiable assets acquired and includes the future economic benefits from other assets that could not be individually identified and separately recognized. Goodwill is not amortized, but instead is periodically reviewed for impairment and an impairment charge is recorded in the periods in which the recorded carrying value of goodwill exceeds its fair value.</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On a quarterly basis, the Company performs a review of its business to determine if events or changes in circumstances have occurred which could have a material adverse effect on the fair value of the Company and its goodwill. If such events or changes in circumstances were deemed to have occurred, the Company would perform an impairment test of goodwill as of the end of the quarter and record any noted impairment loss. </w:t>
      </w:r>
      <w:r>
        <w:rPr>
          <w:rFonts w:ascii="Times New Roman;serif" w:hAnsi="Times New Roman;serif"/>
          <w:b w:val="false"/>
          <w:color w:val="000000"/>
          <w:sz w:val="20"/>
        </w:rPr>
        <w:t>The Company performs its annual impairment test during the fourth quarter of each fiscal year.</w:t>
      </w:r>
    </w:p>
    <w:p>
      <w:pPr>
        <w:pStyle w:val="TextBody"/>
        <w:bidi w:val="0"/>
        <w:spacing w:lineRule="auto" w:line="288" w:before="240" w:after="283"/>
        <w:jc w:val="both"/>
        <w:rPr/>
      </w:pPr>
      <w:r>
        <w:rPr>
          <w:rFonts w:ascii="Times New Roman;serif" w:hAnsi="Times New Roman;serif"/>
          <w:b w:val="false"/>
          <w:color w:val="000000"/>
          <w:sz w:val="20"/>
        </w:rPr>
        <w:t>There were no impairments identified for the year ended December 31, 2025 or for the three and six</w:t>
      </w:r>
      <w:r>
        <w:rPr>
          <w:color w:val="000000"/>
          <w:shd w:fill="FFFFFF" w:val="clear"/>
        </w:rPr>
        <w:t xml:space="preserve"> </w:t>
      </w:r>
      <w:r>
        <w:rPr>
          <w:rFonts w:ascii="Times New Roman;serif" w:hAnsi="Times New Roman;serif"/>
          <w:b w:val="false"/>
          <w:color w:val="000000"/>
          <w:sz w:val="20"/>
          <w:shd w:fill="FFFFFF" w:val="clear"/>
        </w:rPr>
        <w:t>months ended June 30, 2026</w:t>
      </w:r>
      <w:r>
        <w:rPr>
          <w:rFonts w:ascii="Times New Roman;serif" w:hAnsi="Times New Roman;serif"/>
          <w:b w:val="false"/>
          <w:color w:val="000000"/>
          <w:sz w:val="20"/>
        </w:rPr>
        <w: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Deferred Offering Costs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capitalizes certain legal, professional, and other third-party charges related to ongoing equity financings as deferred offering costs until fully consummated. These costs are to be recorded as a reduction of the offering’s proceeds which are recorded to additional paid-in capital within stockholders’ equity. Should the Company choose not to initiate such financing, the deferred offering costs would be immediately expensed as operating expenses.</w:t>
      </w:r>
    </w:p>
    <w:p>
      <w:pPr>
        <w:pStyle w:val="TextBody"/>
        <w:bidi w:val="0"/>
        <w:spacing w:lineRule="auto" w:line="288" w:before="240" w:after="283"/>
        <w:jc w:val="both"/>
        <w:rPr/>
      </w:pPr>
      <w:r>
        <w:rPr>
          <w:rFonts w:ascii="Times New Roman;serif" w:hAnsi="Times New Roman;serif"/>
          <w:b w:val="false"/>
          <w:color w:val="000000"/>
          <w:sz w:val="20"/>
        </w:rPr>
        <w:t>Deferred offering costs associated with the 2025 Sales Agreement are reclassified to additional paid-in capital on a pro-rata basis when the Company completes offerings under the 2025 Sales Agreement. Any remaining deferred costs will be expensed to the statement of operations should the planned offering be abandoned. The Company had approximately $0.2 million of deferred offering costs as of June 30, 2026 and $0.2 million as of</w:t>
      </w:r>
      <w:r>
        <w:rPr>
          <w:color w:val="000000"/>
        </w:rPr>
        <w:t xml:space="preserve"> </w:t>
      </w:r>
      <w:r>
        <w:rPr>
          <w:rFonts w:ascii="Times New Roman;serif" w:hAnsi="Times New Roman;serif"/>
          <w:b w:val="false"/>
          <w:color w:val="000000"/>
          <w:sz w:val="20"/>
        </w:rPr>
        <w:t xml:space="preserve">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Common Stock Warrants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accounts for warrants issued as a separable unit in connection with sale of common stock as either liability or equity in accordance with ASC 480-10, Accounting for Certain Financial Instruments with Characteristics of both Liabilities and Equity (“ASC 480-10”) or ASC 815-40, Accounting for Derivative Financial Instruments Indexed to, and Potentially Settled in, a Company’s Own Stock (“ASC 815-40”). Under ASC 480-10, warrants are considered liabilities if they are mandatorily redeemable and they require settlement in cash or other assets, or a variable number of shares. If warrants do not meet liability classification under ASC 480-10, the Company considers the requirements of ASC 815-40 to determine whether the warrants should be classified as liability or equity. If warrants do not require liability classification under ASC 815-40 or other applicable generally accepted accounting principles in the United States of America (“U.S. GAAP”) the warrants should be classified as equity.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proceeds received from the sale of equity classified warrants and shares of common stock in a bundled transaction are allocated based on the relative fair values of warrants and shares with no changes in fair value of warrants recognized after the issuance date.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Net Loss Per Share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Basic net loss per share is calculated by dividing the net loss by the weighted average number of shares of common stock and pre-funded warrants outstanding during the period, without consideration for potentially dilutive securities. The pre-funded warrants are included as outstanding shares in the computation as the exercise price is negligible and the pre-funded warrants are fully vested and exercisable. Diluted net loss per share is the same as basic net loss per share for the periods presented since the effects of potentially dilutive securities are antidilutive given the net loss of the Company.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Recently Issued But Not Yet Adopted Accounting Pronouncements and Legislation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new accounting pronouncements are issued by the FASB or other standard setting bodies and adopted by the Company as of the specified effective date. The Company is an “emerging growth company” as defined in the Jumpstart Our Business Startups Act of 2012, as amended (the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elected to avail itself of this extended transition period and, as a result, the Company will not be required to adopt certain new or revised accounting standards on the relevant dates on which adoption of such standards is required for other public companies.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Accounting Standards Update ("ASU") No. 2024-03, Income Statement—Reporting Comprehensive Income—Expense Disaggregation Disclosures (Subtopic 220-40) (“ASU 2024-03”). The guidance in ASU 2024-03 aims to improve disclosures around an entity's expenses. Upon adoption, companies will be required to disclose in the notes to the financial statements a disaggregation of certain expense categories included within the expense captions on the face of the income statement. The standard is effective for fiscal years beginning after December 15, 2026 and interim periods in fiscal years beginning after December 15, 2027, with early adoption permitted. The Company is currently evaluating this standard's potential impact on its consolidated financial statements and related disclosures.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the FASB issued Update ASU 2025-11, "Interim Reporting (Topic 270): Narrow-Scope Improvements". This ASU clarifies and improves existing interim reporting guidance by consolidating disclosure requirements within Topic 270 and introducing a disclosure principle requiring entities to disclose events and changes occurring after the most recent annual reporting period that are expected to have a material effect on the entity's financial condition or results of operations. The ASU does not introduce significant changes to recognition or measurement guidance. The amendments in this Update are effective for interim reporting periods within annual reporting periods beginning after December 15, 2027, with early adoption permitted. The Company is currently evaluating the effect of adopting this pronouncement on its financial statements and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Note 3 – Marketable Securities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Marketable securities consisted of the following as of June 30, 2026 and December 31, 2025, respectively.</w:t>
      </w:r>
    </w:p>
    <w:tbl>
      <w:tblPr>
        <w:tblW w:w="10019" w:type="dxa"/>
        <w:jc w:val="left"/>
        <w:tblInd w:w="0" w:type="dxa"/>
        <w:tblLayout w:type="fixed"/>
        <w:tblCellMar>
          <w:top w:w="28" w:type="dxa"/>
          <w:left w:w="28" w:type="dxa"/>
          <w:bottom w:w="28" w:type="dxa"/>
          <w:right w:w="28" w:type="dxa"/>
        </w:tblCellMar>
      </w:tblPr>
      <w:tblGrid>
        <w:gridCol w:w="882"/>
        <w:gridCol w:w="775"/>
        <w:gridCol w:w="787"/>
        <w:gridCol w:w="109"/>
        <w:gridCol w:w="109"/>
        <w:gridCol w:w="109"/>
        <w:gridCol w:w="211"/>
        <w:gridCol w:w="1186"/>
        <w:gridCol w:w="109"/>
        <w:gridCol w:w="109"/>
        <w:gridCol w:w="109"/>
        <w:gridCol w:w="109"/>
        <w:gridCol w:w="422"/>
        <w:gridCol w:w="934"/>
        <w:gridCol w:w="219"/>
        <w:gridCol w:w="109"/>
        <w:gridCol w:w="109"/>
        <w:gridCol w:w="109"/>
        <w:gridCol w:w="282"/>
        <w:gridCol w:w="1207"/>
        <w:gridCol w:w="146"/>
        <w:gridCol w:w="109"/>
        <w:gridCol w:w="109"/>
        <w:gridCol w:w="109"/>
        <w:gridCol w:w="211"/>
        <w:gridCol w:w="1186"/>
        <w:gridCol w:w="154"/>
      </w:tblGrid>
      <w:tr>
        <w:trPr/>
        <w:tc>
          <w:tcPr>
            <w:tcW w:w="88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71,374,188 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71,229,360 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1,501,367 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10,082,683 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(13,288)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10,069,395 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25,801,487 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25,775,952 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108,759,725 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(184,360)</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108,575,637 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25,483,202 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25,311,179 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7,512,423 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7,462,300 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32,995,625 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(222,146)</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32,773,479 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141,755,350 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(406,506)</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141,349,116 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831" w:type="dxa"/>
        <w:jc w:val="left"/>
        <w:tblInd w:w="0" w:type="dxa"/>
        <w:tblLayout w:type="fixed"/>
        <w:tblCellMar>
          <w:top w:w="28" w:type="dxa"/>
          <w:left w:w="28" w:type="dxa"/>
          <w:bottom w:w="28" w:type="dxa"/>
          <w:right w:w="28" w:type="dxa"/>
        </w:tblCellMar>
      </w:tblPr>
      <w:tblGrid>
        <w:gridCol w:w="882"/>
        <w:gridCol w:w="775"/>
        <w:gridCol w:w="787"/>
        <w:gridCol w:w="109"/>
        <w:gridCol w:w="109"/>
        <w:gridCol w:w="109"/>
        <w:gridCol w:w="214"/>
        <w:gridCol w:w="1100"/>
        <w:gridCol w:w="110"/>
        <w:gridCol w:w="109"/>
        <w:gridCol w:w="109"/>
        <w:gridCol w:w="109"/>
        <w:gridCol w:w="319"/>
        <w:gridCol w:w="1091"/>
        <w:gridCol w:w="165"/>
        <w:gridCol w:w="109"/>
        <w:gridCol w:w="109"/>
        <w:gridCol w:w="109"/>
        <w:gridCol w:w="360"/>
        <w:gridCol w:w="1086"/>
        <w:gridCol w:w="188"/>
        <w:gridCol w:w="109"/>
        <w:gridCol w:w="109"/>
        <w:gridCol w:w="109"/>
        <w:gridCol w:w="211"/>
        <w:gridCol w:w="1081"/>
        <w:gridCol w:w="154"/>
      </w:tblGrid>
      <w:tr>
        <w:trPr/>
        <w:tc>
          <w:tcPr>
            <w:tcW w:w="88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6,495,181 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6,500,685 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7,943,758 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7,948,500 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7,628,117 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7,628,554 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22,102,080 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22,108,505 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44,169,136 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17,167 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44,186,244 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37,717,598 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58,682 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37,776,280 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3,998,584 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(1,544)</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3,997,040 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2,406,640 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2,409,866 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44,122,822 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61,908 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(1,544)</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44,183,186 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88,291,958 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79,075 </w:t>
            </w:r>
          </w:p>
        </w:tc>
        <w:tc>
          <w:tcPr>
            <w:tcW w:w="1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(1,603)</w:t>
            </w:r>
          </w:p>
        </w:tc>
        <w:tc>
          <w:tcPr>
            <w:tcW w:w="1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88,369,430 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marketable securities are classified as available-for-sale pursuant to ASC 320, Investments – Debt and Equity Securities and are recorded at fair value. Unrealized gains (losses) are included as a component of accumulated other comprehensive loss in the condensed consolidated balance sheets and statements of stockholders’ equity and a component of total comprehensive loss in the condensed consolidated statements of comprehensive loss, until realized. The Company assesses its available-for-sale marketable securities for impairment on a quarterly basis.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marketable securities portfolio contains investments in U.S. Treasury, other U.S. government-backed securities, and commercial paper. The Company reviews its portfolio based on the underlying risk profile of the securities and does not expect there to be a loss on these investments. The Company also regularly reviews the securities in an unrealized loss position and evaluates the current expected credit loss by considering factors such as historical experience, market data, issuer-specific factors, and current economic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impairments recorded during the three and six months ended June 30, 2026 or June 30, 2025. Realized gains and losses are included in other income (expense) on the condensed consolidated statements of operations.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2025, the Company recognized no year-to-date credit loss related to its short-term investments, and had no allowance for credit loss recorded as of June 30, 2026 or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4 – Fair Value Measurements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records cash equivalents and marketable securities at fair value. ASC 820, Fair Value Measurements and Disclosures, establishes a fair value hierarchy for those instruments measured at fair value that distinguishes between assumptions based on market data (observable inputs) and the Company's own assumptions (unobservable inputs). The hierarchy consists of three levels:</w:t>
      </w:r>
    </w:p>
    <w:p>
      <w:pPr>
        <w:pStyle w:val="TextBody"/>
        <w:bidi w:val="0"/>
        <w:spacing w:lineRule="auto" w:line="288" w:before="240" w:after="283"/>
        <w:jc w:val="both"/>
        <w:rPr/>
      </w:pPr>
      <w:r>
        <w:rPr>
          <w:rFonts w:ascii="Times New Roman;serif" w:hAnsi="Times New Roman;serif"/>
          <w:b w:val="false"/>
          <w:i/>
          <w:color w:val="000000"/>
          <w:sz w:val="20"/>
        </w:rPr>
        <w:t>Level 1</w:t>
      </w:r>
      <w:r>
        <w:rPr>
          <w:color w:val="000000"/>
        </w:rPr>
        <w:t xml:space="preserve"> – </w:t>
      </w:r>
      <w:r>
        <w:rPr>
          <w:rFonts w:ascii="Times New Roman;serif" w:hAnsi="Times New Roman;serif"/>
          <w:b w:val="false"/>
          <w:color w:val="000000"/>
          <w:sz w:val="20"/>
        </w:rPr>
        <w:t>Unadjusted quoted prices in active markets for identical assets or liabilities.</w:t>
      </w:r>
    </w:p>
    <w:p>
      <w:pPr>
        <w:pStyle w:val="TextBody"/>
        <w:bidi w:val="0"/>
        <w:spacing w:lineRule="auto" w:line="288" w:before="240" w:after="283"/>
        <w:jc w:val="both"/>
        <w:rPr/>
      </w:pPr>
      <w:r>
        <w:rPr>
          <w:rFonts w:ascii="Times New Roman;serif" w:hAnsi="Times New Roman;serif"/>
          <w:b w:val="false"/>
          <w:i/>
          <w:color w:val="000000"/>
          <w:sz w:val="20"/>
        </w:rPr>
        <w:t>Level 2</w:t>
      </w:r>
      <w:r>
        <w:rPr>
          <w:color w:val="000000"/>
        </w:rPr>
        <w:t xml:space="preserve"> – </w:t>
      </w:r>
      <w:r>
        <w:rPr>
          <w:rFonts w:ascii="Times New Roman;serif" w:hAnsi="Times New Roman;serif"/>
          <w:b w:val="false"/>
          <w:color w:val="000000"/>
          <w:sz w:val="20"/>
        </w:rPr>
        <w:t>Quoted prices for similar assets and liabilities in active markets, quoted prices in markets that are not active, or inputs which are observable, directly or indirectly, for substantially the full term of the asset or liability.</w:t>
      </w:r>
    </w:p>
    <w:p>
      <w:pPr>
        <w:pStyle w:val="TextBody"/>
        <w:bidi w:val="0"/>
        <w:spacing w:lineRule="auto" w:line="288" w:before="240" w:after="283"/>
        <w:jc w:val="both"/>
        <w:rPr/>
      </w:pPr>
      <w:r>
        <w:rPr>
          <w:rFonts w:ascii="Times New Roman;serif" w:hAnsi="Times New Roman;serif"/>
          <w:b w:val="false"/>
          <w:i/>
          <w:color w:val="000000"/>
          <w:sz w:val="20"/>
        </w:rPr>
        <w:t>Level 3</w:t>
      </w:r>
      <w:r>
        <w:rPr>
          <w:color w:val="000000"/>
        </w:rPr>
        <w:t xml:space="preserve"> – </w:t>
      </w:r>
      <w:r>
        <w:rPr>
          <w:rFonts w:ascii="Times New Roman;serif" w:hAnsi="Times New Roman;serif"/>
          <w:b w:val="false"/>
          <w:color w:val="000000"/>
          <w:sz w:val="20"/>
        </w:rPr>
        <w:t>Unobservable inputs that reflect the Company's own assumptions about the assumptions market participants would use in pricing the asset or liability in which there is little, if any, market activity for the asset or liability at the measurement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Cash equivalents and marketable securities have been initially valued at the transaction price and subsequently, at the end of each reporting period, valued utilizing third-party pricing services or other observable market data. The pricing services utilize industry standard valuation models, including both income and market-based approaches, and observable market inputs to determine value. After completing its valuation procedures, the Company did not adjust or override any fair value measurements provided by the pricing services as of June 30, 2026 and December 31,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cash equivalents measured at fair value on a recurring basis as of June 30, 2026:</w:t>
      </w:r>
    </w:p>
    <w:tbl>
      <w:tblPr>
        <w:tblW w:w="10205" w:type="dxa"/>
        <w:jc w:val="left"/>
        <w:tblInd w:w="0" w:type="dxa"/>
        <w:tblLayout w:type="fixed"/>
        <w:tblCellMar>
          <w:top w:w="28" w:type="dxa"/>
          <w:left w:w="28" w:type="dxa"/>
          <w:bottom w:w="28" w:type="dxa"/>
          <w:right w:w="28" w:type="dxa"/>
        </w:tblCellMar>
      </w:tblPr>
      <w:tblGrid>
        <w:gridCol w:w="1456"/>
        <w:gridCol w:w="1282"/>
        <w:gridCol w:w="1293"/>
        <w:gridCol w:w="211"/>
        <w:gridCol w:w="1186"/>
        <w:gridCol w:w="109"/>
        <w:gridCol w:w="109"/>
        <w:gridCol w:w="109"/>
        <w:gridCol w:w="109"/>
        <w:gridCol w:w="211"/>
        <w:gridCol w:w="1081"/>
        <w:gridCol w:w="109"/>
        <w:gridCol w:w="109"/>
        <w:gridCol w:w="109"/>
        <w:gridCol w:w="109"/>
        <w:gridCol w:w="212"/>
        <w:gridCol w:w="410"/>
        <w:gridCol w:w="109"/>
        <w:gridCol w:w="109"/>
        <w:gridCol w:w="109"/>
        <w:gridCol w:w="109"/>
        <w:gridCol w:w="211"/>
        <w:gridCol w:w="1186"/>
        <w:gridCol w:w="158"/>
      </w:tblGrid>
      <w:tr>
        <w:trPr/>
        <w:tc>
          <w:tcPr>
            <w:tcW w:w="1456"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0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5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39,079,937 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39,079,937 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1,990,240 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1,990,240 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r>
      <w:tr>
        <w:trPr/>
        <w:tc>
          <w:tcPr>
            <w:tcW w:w="4031"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r>
      <w:tr>
        <w:trPr/>
        <w:tc>
          <w:tcPr>
            <w:tcW w:w="40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41,070,177 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41,070,177 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96,540,539 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96,540,539 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securities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8,963,230 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8,963,230 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10,069,395 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10,069,395 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25,775,952 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25,775,952 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1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96,540,539 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44,808,577 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141,349,116 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marketable securities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137,610,716 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44,808,577 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182,419,293 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cash equivalents measured at fair value on a recurring basis as of December 31, 2025:</w:t>
      </w:r>
    </w:p>
    <w:tbl>
      <w:tblPr>
        <w:tblW w:w="10205" w:type="dxa"/>
        <w:jc w:val="left"/>
        <w:tblInd w:w="0" w:type="dxa"/>
        <w:tblLayout w:type="fixed"/>
        <w:tblCellMar>
          <w:top w:w="28" w:type="dxa"/>
          <w:left w:w="28" w:type="dxa"/>
          <w:bottom w:w="28" w:type="dxa"/>
          <w:right w:w="28" w:type="dxa"/>
        </w:tblCellMar>
      </w:tblPr>
      <w:tblGrid>
        <w:gridCol w:w="1456"/>
        <w:gridCol w:w="1281"/>
        <w:gridCol w:w="1294"/>
        <w:gridCol w:w="211"/>
        <w:gridCol w:w="1186"/>
        <w:gridCol w:w="109"/>
        <w:gridCol w:w="109"/>
        <w:gridCol w:w="109"/>
        <w:gridCol w:w="109"/>
        <w:gridCol w:w="211"/>
        <w:gridCol w:w="1081"/>
        <w:gridCol w:w="109"/>
        <w:gridCol w:w="109"/>
        <w:gridCol w:w="109"/>
        <w:gridCol w:w="109"/>
        <w:gridCol w:w="212"/>
        <w:gridCol w:w="410"/>
        <w:gridCol w:w="109"/>
        <w:gridCol w:w="109"/>
        <w:gridCol w:w="109"/>
        <w:gridCol w:w="109"/>
        <w:gridCol w:w="211"/>
        <w:gridCol w:w="1186"/>
        <w:gridCol w:w="158"/>
      </w:tblGrid>
      <w:tr>
        <w:trPr/>
        <w:tc>
          <w:tcPr>
            <w:tcW w:w="145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0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5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105,330,208 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105,330,208 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1,992,340 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1,992,340 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securities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9,222,990 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9,222,990 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11,827,667 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11,827,667 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107,322,548 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21,050,657 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128,373,205 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44,276,965 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44,276,965 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securities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11,945,540 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11,945,540 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10,038,420 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10,038,420 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22,108,505 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22,108,505 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1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44,276,965 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44,092,465 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88,369,430 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marketable securities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151,599,513 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65,143,122 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216,742,635 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changes to the valuation methods during the six months ended June 30, 2026. There were no transfers between Level 1 and Level 2 in either of the periods and the Company had no financial assets or liabilities that were classified as Level 3 at any point during the six months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5 – Property and Equipment,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tbl>
      <w:tblPr>
        <w:tblW w:w="6379" w:type="dxa"/>
        <w:jc w:val="left"/>
        <w:tblInd w:w="0" w:type="dxa"/>
        <w:tblLayout w:type="fixed"/>
        <w:tblCellMar>
          <w:top w:w="28" w:type="dxa"/>
          <w:left w:w="28" w:type="dxa"/>
          <w:bottom w:w="28" w:type="dxa"/>
          <w:right w:w="28" w:type="dxa"/>
        </w:tblCellMar>
      </w:tblPr>
      <w:tblGrid>
        <w:gridCol w:w="1336"/>
        <w:gridCol w:w="1172"/>
        <w:gridCol w:w="1181"/>
        <w:gridCol w:w="213"/>
        <w:gridCol w:w="837"/>
        <w:gridCol w:w="109"/>
        <w:gridCol w:w="109"/>
        <w:gridCol w:w="109"/>
        <w:gridCol w:w="109"/>
        <w:gridCol w:w="213"/>
        <w:gridCol w:w="837"/>
        <w:gridCol w:w="154"/>
      </w:tblGrid>
      <w:tr>
        <w:trPr/>
        <w:tc>
          <w:tcPr>
            <w:tcW w:w="133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596,917 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Lab equipment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1,315,784 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298,941 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2,448,353 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2,341,056 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(1,568,431)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(1,402,575)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879,922 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938,481 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totaled $84,454 and $84,527 for the three months ended June 30, 2026 and 2025, respectively. Depreciation and amortization expense totaled $165,856 and $169,788 for the six months ended June 30, 2026 and 2025,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6 – Accrued Expenses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Accrued expenses consisted of the following:</w:t>
      </w:r>
    </w:p>
    <w:tbl>
      <w:tblPr>
        <w:tblW w:w="6699" w:type="dxa"/>
        <w:jc w:val="left"/>
        <w:tblInd w:w="0" w:type="dxa"/>
        <w:tblLayout w:type="fixed"/>
        <w:tblCellMar>
          <w:top w:w="28" w:type="dxa"/>
          <w:left w:w="28" w:type="dxa"/>
          <w:bottom w:w="28" w:type="dxa"/>
          <w:right w:w="28" w:type="dxa"/>
        </w:tblCellMar>
      </w:tblPr>
      <w:tblGrid>
        <w:gridCol w:w="1352"/>
        <w:gridCol w:w="1190"/>
        <w:gridCol w:w="1193"/>
        <w:gridCol w:w="211"/>
        <w:gridCol w:w="976"/>
        <w:gridCol w:w="109"/>
        <w:gridCol w:w="109"/>
        <w:gridCol w:w="109"/>
        <w:gridCol w:w="109"/>
        <w:gridCol w:w="211"/>
        <w:gridCol w:w="976"/>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2,473,763 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4,245,563 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research and development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1,303,669 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2,747,306 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other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4,094,874 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7,842,367 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7 -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had 200,000,000 authorized shares of Class A common stock, $0.001 par value per share as of June 30, 2026 and December 31, 2025 of which 64,697,402 and 64,648,230 were issued and outstanding, respectively. The holders of Class A common stock are entitled one vote for each share of common stock. Dividends may be paid when, and if, declared by the Board of Directors, subject to the limitations, powers and preferences granted to the Preferred Stockholders and on a proportionate basis with holders of Class B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had 20,000,000 authorized shares of Class B common stock, $0.001 par value per share as of June 30, 2026 and December 31, 2025, of which no shares have been issued nor are outstanding. The holders of Class B common stock have no voting rights. Dividends may be paid when, and if, declared by the Board of Directors, subject to the limitations, powers and preferences granted to the preferred stockholders and on a proportionate basis with holders of Class A common stock.</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2022 Shelf Registration Statement &amp; 2022 ATM Program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August 10, 2022, the Company filed a Registration Statement on Form S-3 (File No. 333-266738) (the “2022 Shelf Registration Statement”) with the SEC in relation to the registration of common stock, preferred stock, debt securities, warrants and/or units or any combination thereof in the aggregate amount of up to $200 million for a period of up to three years from the date of its effectiveness on August 19, 2022.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August 10, 2022, the Company also entered into the 2022 Sales Agreement with the Sales Agent to sell shares of the Company’s Class A common stock, par value $0.001 per share, with aggregate gross sales proceeds of up to $50 million, from time to time, through the 2022 ATM Program under the 2022 Shelf Registration Statement. Subject to the terms and conditions of the 2022 Sales Agreement, the Sales Agent may sell the shares by methods deemed to be an “at the market offering” as defined in Rule 415 promulgated under the Securities Act, including sales made through the Nasdaq Global Market, on any other existing trading market for the common stock, to or through a market maker, or, if expressly authorized by the Company, in privately negotiated transactions. The Company or Sales Agent could terminate the 2022 Sales Agreement upon notice to the other party and subject to other conditions. The Company paid the Sales Agent a commission equal to 3.0% of the gross proceeds of any Common Stock sold through the Sales Agent under the 2022 Sales Agreement and provided the Sales Agent with customary indemnification rights. The Company did not sell any shares of common stock under the 2022 ATM Program during the three and six months ended June 30, 2026. The Company sold 4,836,804 shares of common stock under the 2022 ATM Program, at a weighted average price per share of $2.95, for aggregate gross proceeds of $14.2 million ($13.7 million net of offering expenses) during the three and six months ended June 30,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Issuance costs incurred related to the 2022 Sales Agreement were recorded as deferred offering costs and classified as long-term assets on the balance sheet. The Company had approximately $0.5 million of deferred offering costs as of December 31, 2024 associated with the 2022 Sales Agreement. The deferred offering costs for the 2022 ATM Program were written off in August 2025, after the 2022 Shelf Registration Statement and the 2022 ATM Program expired, the 2022 Sales Agreement was terminated, and the Company entered into the 2025 Sales Agreement related to the 2025 ATM Program (in each case as defined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2025 Shelf Registration Statement &amp; 2025 ATM Program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August 13, 2025, the Company filed a Registration Statement on Form S-3 (File No. 333-289589) (the “2025 Shelf Registration Statement”) with the SEC in relation to the registration of common stock, preferred stock, debt securities, warrants and/or units or any combination thereof in the aggregate amount of up to $300 million for a period of up to three years from the date of its effectiveness on August 20,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August 13, 2025, the Company also entered into the 2025 Sales Agreement with the Sales Agent to sell shares of the Company’s Class A common stock, par value $0.001 per share, with aggregate gross sales proceeds of up to $100 million, from time to time, through the 2025 ATM Program under the 2025 Shelf Registration Statement. Subject to the terms and conditions of the 2025 Sales Agreement, the Sales Agent may sell the shares by methods deemed to be an “at the market offering” as defined in Rule 415 promulgated under the Securities Act, including sales made through the Nasdaq Global Market, on any other existing trading market for the common stock, to or through a market maker, or, if expressly authorized by the Company, in privately negotiated transactions. The Company or Sales Agent may terminate the 2025 Sales Agreement upon notice to the other party and subject to other conditions. The Company will pay the Sales Agent a commission up to 3.0% of the gross proceeds of any Common Stock sold through the Sales Agent under the 2025 Sales Agreement and has provided the Sales Agent with customary indemnification rights. The Company did not sell any shares of Class A common stock under the 2025 ATM Program during the three and six months ended June 30, 2026 or June 30, 2025, respectively. In connection with the September 2025 Offering, the Company: (i) reduced the maximum aggregate offering price for sales of shares of common stock pursuant to at-the-market transactions under the 2025 ATM Program by $1,250,007 (or the Reduced Amount, as defined above), resulting in a new maximum aggregate offering price of up to $98,749,993 under the 2025 ATM Program, and (ii) suspended the 2025 ATM Program and terminated the continuous offering under the 2025 ATM Program, in each case, as to the Reduced Amount. As of June 30, 2026, the Company had aggregate gross sales proceeds capacity of $98.7 million remaining under the 2025 ATM Program.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Issuance costs incurred related to the 2025 Sales Agreement are recorded as deferred offering costs and are classified as long-term assets on the balance sheet at June 30, 2026. The Company had approximately $0.2 million of deferred offering costs as of June 30, 2026 associated with the 2025 Sales Agreement.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August 2025 Private Placement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August 21, 2025, the Company entered into the August 2025 Purchase Agreement with the purchasers party thereto, pursuant to which the Company agreed to sell securities to such purchasers in the August 2025 Private Placement. The August 2025 Purchase Agreement provided for the sale and issuance by the Company to the purchasers of: (i) an aggregate of 5,251,349 shares of its common stock at a purchase price of $3.95 per share, (ii) for certain purchasers, in lieu of common stock, an aggregate of 1,077,764 Pre-Funded Warrants to purchase up to the same number of shares of its common stock, and (iii) an aggregate of 2,848,096 Purchase Warrants to purchase up to the same number of shares of its common stock. The Pre-Funded Warrants were issued for a purchase price equating to $3.949 per Pre-Funded Warrant (which was the per share purchase price for the common stock issued in the August 2025 Private Placement, less the $0.001 per share unfunded exercise price for each Pre-Funded Warrant). On October 6, 2025, certain purchasers from the August 2025 Private Placement exercised an aggregate of 1,077,764 Pre-Funded Warrants previously issued to them pursuant to the August 2025 Purchase Agreement. Each such exercise was made pursuant to the cashless exercise provision of the applicable Pre-Funded Warrant, such that an aggregate of 166 shares of common stock were withheld in lieu of a cash payment of the $0.001 exercise price for each Pre-Funded Warrant, and the exercising purchasers were issued an aggregate of 1,077,598 shares of common stock. Following the October 2025 Cashless Exercise, no Pre-Funded Warrants remained issued and outstanding. The Purchase Warrants were issued with an exercise price of $5.50 per share; as of June 30, 2026, no Purchase Warrants had been exercised. As of June 30, 2026, the Company had received aggregate net proceeds of $23.4 million from the August 2025 Private Placement, after deducting placement expenses of $1.6 million. The August 2025 Private Placement closed on August 26,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Also on August 21, 2025, in connection with the August 2025 Purchase Agreement, the Company entered into a Registration Rights Agreement (the “Registration Rights Agreement”) with the purchasers in the August 2025 Private Placement. Pursuant to the Registration Rights Agreement, the Company agreed to prepare and file a registration statement with the SEC for purposes of registering the resale of the common stock and the shares of common stock issuable upon exercise of the Pre-Funded Warrants and Purchase Warrants (collectively, the “Warrant Shares”) purchased by the purchasers in the August 2025 Private Placement, and any shares of common stock issued as a dividend or other distribution with respect to, in exchange for or in replacement of such common stock or Warrant Shares. On September 3, 2025, the Company filed a Registration Statement on Form S-3 (File No. 333-289997) (the “2025 Resale Registration Statement”) with the SEC in relation to the registration for re-sale of the common stock and Warrant Shares from the August 2025 Private Placement. The SEC declared the 2025 Resale Registration Statement effective on September 8,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Purchase Warrants have an exercise price of $5.50 per share of common stock, are exercisable immediately following their issuance, and will expire on September 8, 2030. The Purchase Warrants contain standard adjustments to the exercise price including for stock splits, stock dividends or distributions, certain other dividends or distributions and certain reorganizations. The Purchase Warrants also include certain rights upon the occurrence of a “fundamental transaction” (as described in the Purchase Warrants).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br/>
        <w:t xml:space="preserve">The proceeds received from the sale of equity classified warrants and shares of common stock in a bundled transaction are allocated based on the relative fair values of warrants and shares of common stock with no changes in fair value of warrants recognized after the issuance date.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Purchase Warrants and Pre-Funded Warrants were classified as a component of stockholders’ equity within additional paid-in-capital and were recorded at the issuance date using a relative fair value allocation method. The Purchase Warrants and Pre-Funded Warrants are equity classified because they are freestanding financial instruments that are legally detachable and separately exercisable from the equity instruments, are immediately exercisable, do not embody an obligation for the Company to repurchase its shares, permit the holders to receive a fixed number of common shares upon exercise, are indexed to the Company’s common stock and meet the equity classification criteria. In addition, such Purchase Warrants do not provide any guarantee of value or return. The Company valued the Purchase Warrants at issuance using the Black-Scholes valuation model and allocated proceeds from the sale proportionately to the common stock and Purchase Warrants, of which approximately $3.7 million was allocated to the Purchase Warrants and recorded as a component of additional paid-in-capital.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br/>
        <w:t>As of June 30, 2026, the Company had 2,848,096 Purchase Warrants issued and outstanding at an exercise price of $5.50 per share to purchase shares of the Company's common stock.</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September 2025 Aventis (Sanofi) Private Placement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September 24, 2025, the Company entered into the September 2025 Purchase Agreement with Aventis, a wholly-owned subsidiary of Sanofi, pursuant to which the Company agreed to sell securities to Aventis in the September 2025 Private Placement. The September 2025 Purchase Agreement provided for the sale and issuance by the Company to Aventis of an aggregate of 2,708,559 shares of its common stock at a purchase price of $9.23 per share. The Company received aggregate net proceeds of $23.4 million from the September 2025 Private Placement, after deducting placement agent discounts and commissions of $1.5 million, and placement costs of $0.1 million. The September 2025 Private Placement closed on September 26, 2025.</w: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br/>
        <w:t>September 2025 Offering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26, 2025, the Company completed the September 2025 Offering, pursuant to which it issued and sold 18,959,914 shares of its Class A common stock at an offering price of $9.23 per share, with Leerink Partners LLC and Oppenheimer &amp; Co. Inc. acting as underwriters. The aggregate net proceeds received by the Company from the September 2025 Offering were $164.1 million, after deducting underwriting discounts and commissions, as well as offering costs of $0.4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8 - Net Loss Per Share Attributable to Common Stockholders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Basic and diluted net loss per share attributable to common stockholders was calculated at June 30, 2026 and June 30, 2025 as follows:</w:t>
      </w:r>
    </w:p>
    <w:tbl>
      <w:tblPr>
        <w:tblW w:w="10205" w:type="dxa"/>
        <w:jc w:val="left"/>
        <w:tblInd w:w="0" w:type="dxa"/>
        <w:tblLayout w:type="fixed"/>
        <w:tblCellMar>
          <w:top w:w="28" w:type="dxa"/>
          <w:left w:w="28" w:type="dxa"/>
          <w:bottom w:w="28" w:type="dxa"/>
          <w:right w:w="28" w:type="dxa"/>
        </w:tblCellMar>
      </w:tblPr>
      <w:tblGrid>
        <w:gridCol w:w="1369"/>
        <w:gridCol w:w="1011"/>
        <w:gridCol w:w="1021"/>
        <w:gridCol w:w="211"/>
        <w:gridCol w:w="1124"/>
        <w:gridCol w:w="109"/>
        <w:gridCol w:w="109"/>
        <w:gridCol w:w="109"/>
        <w:gridCol w:w="109"/>
        <w:gridCol w:w="211"/>
        <w:gridCol w:w="1124"/>
        <w:gridCol w:w="109"/>
        <w:gridCol w:w="109"/>
        <w:gridCol w:w="109"/>
        <w:gridCol w:w="109"/>
        <w:gridCol w:w="211"/>
        <w:gridCol w:w="1124"/>
        <w:gridCol w:w="109"/>
        <w:gridCol w:w="109"/>
        <w:gridCol w:w="109"/>
        <w:gridCol w:w="109"/>
        <w:gridCol w:w="211"/>
        <w:gridCol w:w="1124"/>
        <w:gridCol w:w="156"/>
      </w:tblGrid>
      <w:tr>
        <w:trPr/>
        <w:tc>
          <w:tcPr>
            <w:tcW w:w="136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(17,270,427)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(14,433,881)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(30,731,322)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(29,480,012)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 basic and diluted:</w:t>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 and diluted</w:t>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64,697,219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35,985,878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64,678,120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35,759,026</w:t>
            </w:r>
          </w:p>
        </w:tc>
      </w:tr>
      <w:tr>
        <w:trPr/>
        <w:tc>
          <w:tcPr>
            <w:tcW w:w="3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(0.82)</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potentially dilutive securities that have been excluded from the calculation of diluted net loss per share because to include them would be anti-dilutive (in common stock equivalent shares) at June 30, 2026 and June 30, 2025:</w:t>
      </w:r>
    </w:p>
    <w:tbl>
      <w:tblPr>
        <w:tblW w:w="6231" w:type="dxa"/>
        <w:jc w:val="left"/>
        <w:tblInd w:w="0" w:type="dxa"/>
        <w:tblLayout w:type="fixed"/>
        <w:tblCellMar>
          <w:top w:w="28" w:type="dxa"/>
          <w:left w:w="28" w:type="dxa"/>
          <w:bottom w:w="28" w:type="dxa"/>
          <w:right w:w="28" w:type="dxa"/>
        </w:tblCellMar>
      </w:tblPr>
      <w:tblGrid>
        <w:gridCol w:w="1274"/>
        <w:gridCol w:w="1123"/>
        <w:gridCol w:w="1128"/>
        <w:gridCol w:w="497"/>
        <w:gridCol w:w="295"/>
        <w:gridCol w:w="244"/>
        <w:gridCol w:w="224"/>
        <w:gridCol w:w="224"/>
        <w:gridCol w:w="224"/>
        <w:gridCol w:w="427"/>
        <w:gridCol w:w="254"/>
        <w:gridCol w:w="317"/>
      </w:tblGrid>
      <w:tr>
        <w:trPr/>
        <w:tc>
          <w:tcPr>
            <w:tcW w:w="1274"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10,964,703</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8,405,372</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warrants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2,848,096</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of common stock equivalents</w:t>
            </w:r>
          </w:p>
        </w:tc>
        <w:tc>
          <w:tcPr>
            <w:tcW w:w="103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13,812,799</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8,405,372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9 – Stock-Based Compensation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2015, the Company established the Long Term Incentive Plan (“Incentive Plan”), under which incentive stock options, nonqualified stock options, restricted stock or other awards may be awarded to employees, directors or consultants of the Company. The options typically vest over a four-year period. Upon the effectiveness of the Company’s 2021 Incentive Award Plan (the “2021 Plan”), the Company ceased granting awards under the Incentive Plan. However, the Incentive Plan continues to govern awards outstanding thereunder.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July 23, 2021, the Company’s Board of Directors adopted, and on July 23, 2021 its stockholders approved, the 2021 Plan, which became effective on July 29, 2021. The 2021 Plan provides for the grant of incentive stock options, stock appreciation rights, restricted stock awards, restricted stock units, and other stock-based awards. The number of shares reserved for issuance under the 2021 Plan was initially equal to 2,590,000 plus an annual increase on the first day of each calendar year, beginning on January 1, 2022 and ending on and including January 1, 2031, equal to the lesser of (i) 4% of the aggregate number of shares of Class A common stock outstanding on the final day of the immediately preceding calendar year and (ii) such smaller number of shares of Class A common stock as determined by the Board of Directors. No more than 15,350,000 shares of Class A common stock may be issued under the 2021 Plan upon the exercise of incentive stock options. Shares issued under the 2021 Plan may be authorized but unissued shares, shares purchased on the open market or treasury shares. If an award under the 2021 Plan expires, lapses or is terminated, exchanged for or settled in cash, surrendered, repurchased, cancelled without having been fully exercised/settled or forfeited, any unused shares subject to the award will, as applicable, become or again be available for new grants under the 2021 Plan. In addition, shares subject to stock options issued under the Incentive Plan may become available for issuance under the 2021 Plan to the extent such stock options are canceled, forfeited, exchanged, settled in cash or otherwise terminated. As of June 30, 2026, there were 816,942 shares available for future issuance under the 2021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July 23, 2021, the Company’s Board of Directors adopted, and on July 23, 2021 its stockholders approved, the 2021 Employee Stock Purchase Plan (the “2021 ESPP”), which became effective on July 29, 2021. A total of 250,000 shares of Class A common stock were initially reserved for issuance under this plan. The number of shares of Class A common stock that may be issued under the 2021 ESPP will automatically increase on the first day of each calendar year, beginning on January 1, 2022 and ending on and including January 1, 2031, equal to the lesser of (i) 1% of the shares of Class A common stock outstanding on the final day of the immediately preceding calendar year and (ii) such smaller number of shares of Class A common stock as determined by the Board of Directors, provided that not more than 3,340,000 shares of Class A common stock may be issued under the 2021 ESPP. As of June 30, 2026, there were 1,460,190 shares of common stock reserved for future issuance under the 2021 ESPP and 566,900 shares had been granted or purchased under the 2021 ESPP.</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May 21, 2024 (the “Effective Date”), based upon the recommendation of the Compensation Committee of the Company's Board of Directors, the Board of Directors approved an option repricing, in accordance with the 2021 Plan, which repricing was effected on the Effective Date. The repricing applied to options to purchase shares of the Company’s Class A common stock with an exercise price per share greater than $3.01 that were held by current employees and certain non-employee service providers under the 2021 Plan (the “Eligible Options”), including Michael Bookman, the Company's Chief Legal Officer.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Options held by Benjamin Zeskind, Ph.D., the Company’s President and Chief Executive Officer, Brett Hall, Ph.D., the Company's Chief Scientific Officer, and the non-employee members of the Board were not eligible for the repricing.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option repricing, as of the Effective Date, the exercise price of all Eligible Options was reduced to $3.01 per share, which represents approximately two times the closing trading price of the Company’s Class A common stock on the Nasdaq Global Market on the Effective Date; however, the exercise price for repriced options would have reverted to the original exercise price for any exercise occurring prior to June 30, 2025 (the "Retention Period"), unless there was a change of control of the Company or the option holder’s employment had been terminated (i) by the Company without cause or (ii) by reason of death or disability. The repriced options otherwise remain subject to their existing terms and conditions as set forth in the 2021 Plan and applicable award agreements. As of the Effective Date, outstanding options to purchase 2,986,354 shares were deemed Eligible Options and were repriced such that the exercise price per share for such outstanding options was reduced to $3.01 per share. There were no changes to the number of shares, the vesting schedule or the expiration date of the Eligible Options.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effect of the option repricing resulted in a total incremental non-cash stock-based compensation expense of $0.6 million, which was calculated using the Black-Scholes option-pricing model, of which $0.2 million of the incremental non-cash stock-based compensation expense is associated with vested repriced options and will be recognized on a straight-line basis through the 13-month Retention Period. The remaining $0.4 million of the incremental non-cash stock-based compensation expense is associated with unvested repriced options and will be recognized as follows: (a) if the Retention Period is greater than the remaining original vesting period of the repriced option, the incremental cost will be amortized on a straight-line basis through the Retention Period end date or (b) if the Retention Period is less than the remaining original vesting term of the repriced option, the incremental cost will be amortized on a straight-line basis over the remaining original vesting period.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recognized incremental stock-based compensation expense of $21 thousand and $46 thousand, respectively, associated with the repricing which is included in general and administrative and research and development expense in the condensed consolidated statement of operations and comprehensive loss. During the three and six months ended June 30, 2025, the Company recognized incremental stock-based compensation expense of $78 thousand and $160 thousand, respectively, associated with the repricing which is included in general and administrative and research and development expense in the condensed consolidated statement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March 20, 2025, the Company’s Board of Directors adopted the Immuneering Corporation 2025 Employment Inducement Award Plan (as amended to date, the "Inducement Award Plan"), without stockholder approval pursuant to Rule 5635(c)(4) of the Nasdaq Stock Market LLC listing rules. The Inducement Award Plan provides for the grant of non-qualified stock options, stock appreciation rights, restricted stock awards, restricted stock units, and other stock-based awards. The number of shares reserved for issuance under the Inducement Award Plan was initially equal to 500,000 shares. On June 11, 2026, the Company's Board of Directors authorized an amendment to the Inducement Award Plan to increase the number of shares reserved for issuance under the Inducement Award Plan to 2,000,000 shares. Shares issued under the Inducement Award Plan may be authorized but unissued shares, shares purchased on the open market or treasury shares. If an award under the Inducement Award Plan expires, lapses or is terminated, exchanged for or settled in cash, surrendered, repurchased, cancelled without having been fully exercised/settled or forfeited, any unused shares subject to the award will, as applicable, become or again be available for new grants under the Inducement Award Plan. As of June 30, 2026, there were 1,882,000 shares available for future issuance under the Inducement Award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recognized stock-based compensation expense of $1,627,909 and $3,264,583 during the three and six months ended June 30, 2026, respectively. During the three and six months ended June 30, 2025, the Company recognized stock-based compensation expense of $1,524,943 and $3,217,210, respectively. As of June 30, 2026, compensation expense remaining to be recognized for outstanding stock options was $12,146,420 and to be recognized over a weighted-average period of 2.73 years.</w:t>
      </w:r>
    </w:p>
    <w:p>
      <w:pPr>
        <w:pStyle w:val="TextBody"/>
        <w:bidi w:val="0"/>
        <w:spacing w:lineRule="auto" w:line="288" w:before="240" w:after="283"/>
        <w:jc w:val="both"/>
        <w:rPr/>
      </w:pPr>
      <w:r>
        <w:rPr>
          <w:rFonts w:ascii="Times New Roman;serif" w:hAnsi="Times New Roman;serif"/>
          <w:b w:val="false"/>
          <w:color w:val="000000"/>
          <w:sz w:val="20"/>
        </w:rPr>
        <w:t xml:space="preserve">The fair value of options granted is calculated on the grant date using the Black-Scholes option valuation model. Prior to the Company’s IPO on August 3, 2021, the Company was </w:t>
      </w:r>
      <w:r>
        <w:rPr>
          <w:rFonts w:ascii="Times New Roman;serif" w:hAnsi="Times New Roman;serif"/>
          <w:b w:val="false"/>
          <w:color w:val="000000"/>
          <w:sz w:val="20"/>
          <w:shd w:fill="FFFFFF" w:val="clear"/>
        </w:rPr>
        <w:t>a private company and thus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publicly traded stock price.</w:t>
      </w:r>
      <w:r>
        <w:rPr>
          <w:color w:val="000000"/>
        </w:rPr>
        <w:t xml:space="preserve"> </w:t>
      </w:r>
      <w:r>
        <w:rPr>
          <w:rFonts w:ascii="Times New Roman;serif" w:hAnsi="Times New Roman;serif"/>
          <w:b w:val="false"/>
          <w:color w:val="000000"/>
          <w:sz w:val="20"/>
        </w:rPr>
        <w:t>For the six months ended June 30, 2026, the Company granted 2,993,621 shares of stock options at a weighted-average grant date fair value of $4.87.</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used the following assumptions in its application of the Black-Scholes option pricing model for grants during the six months ended June 30, 2026 and 2025:</w:t>
      </w:r>
    </w:p>
    <w:tbl>
      <w:tblPr>
        <w:tblW w:w="7047" w:type="dxa"/>
        <w:jc w:val="left"/>
        <w:tblInd w:w="0" w:type="dxa"/>
        <w:tblLayout w:type="fixed"/>
        <w:tblCellMar>
          <w:top w:w="28" w:type="dxa"/>
          <w:left w:w="28" w:type="dxa"/>
          <w:bottom w:w="28" w:type="dxa"/>
          <w:right w:w="28" w:type="dxa"/>
        </w:tblCellMar>
      </w:tblPr>
      <w:tblGrid>
        <w:gridCol w:w="1196"/>
        <w:gridCol w:w="1050"/>
        <w:gridCol w:w="1054"/>
        <w:gridCol w:w="505"/>
        <w:gridCol w:w="505"/>
        <w:gridCol w:w="505"/>
        <w:gridCol w:w="224"/>
        <w:gridCol w:w="224"/>
        <w:gridCol w:w="224"/>
        <w:gridCol w:w="457"/>
        <w:gridCol w:w="457"/>
        <w:gridCol w:w="646"/>
      </w:tblGrid>
      <w:tr>
        <w:trPr/>
        <w:tc>
          <w:tcPr>
            <w:tcW w:w="119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risk-free interest rate</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3.68% - 4.36%</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4.01% - 4.55%</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5.49 - 10.00</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5.51 - 10.00</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66.85% - 70.13%</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65.86% - 67.33%</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stock option activity during the six months ended June 30, 2026:</w:t>
      </w:r>
    </w:p>
    <w:tbl>
      <w:tblPr>
        <w:tblW w:w="9323" w:type="dxa"/>
        <w:jc w:val="left"/>
        <w:tblInd w:w="0" w:type="dxa"/>
        <w:tblLayout w:type="fixed"/>
        <w:tblCellMar>
          <w:top w:w="28" w:type="dxa"/>
          <w:left w:w="28" w:type="dxa"/>
          <w:bottom w:w="28" w:type="dxa"/>
          <w:right w:w="28" w:type="dxa"/>
        </w:tblCellMar>
      </w:tblPr>
      <w:tblGrid>
        <w:gridCol w:w="1217"/>
        <w:gridCol w:w="1068"/>
        <w:gridCol w:w="1074"/>
        <w:gridCol w:w="398"/>
        <w:gridCol w:w="398"/>
        <w:gridCol w:w="313"/>
        <w:gridCol w:w="109"/>
        <w:gridCol w:w="109"/>
        <w:gridCol w:w="109"/>
        <w:gridCol w:w="296"/>
        <w:gridCol w:w="719"/>
        <w:gridCol w:w="154"/>
        <w:gridCol w:w="109"/>
        <w:gridCol w:w="109"/>
        <w:gridCol w:w="109"/>
        <w:gridCol w:w="419"/>
        <w:gridCol w:w="419"/>
        <w:gridCol w:w="421"/>
        <w:gridCol w:w="109"/>
        <w:gridCol w:w="109"/>
        <w:gridCol w:w="109"/>
        <w:gridCol w:w="211"/>
        <w:gridCol w:w="1081"/>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 xml:space="preserve">Average </w:t>
              <w:br/>
              <w:t xml:space="preserve">Exercise Price </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 xml:space="preserve">Average </w:t>
              <w:br/>
              <w:t xml:space="preserve">Remaining </w:t>
              <w:br/>
              <w:t xml:space="preserve">Contractual </w:t>
              <w:b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Aggregate </w:t>
              <w:br/>
              <w:t>Intrinsic Value</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8,250,958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2,993,621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(13,183)</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(266,693)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11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10,964,703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15,213,701 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exercisable at June 30, 2026</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6,390,539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10,040,749 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the Company recognized share-based compensation expense on the accompanying condensed consolidated statements of operations as follows:</w:t>
      </w:r>
    </w:p>
    <w:tbl>
      <w:tblPr>
        <w:tblW w:w="8519" w:type="dxa"/>
        <w:jc w:val="left"/>
        <w:tblInd w:w="0" w:type="dxa"/>
        <w:tblLayout w:type="fixed"/>
        <w:tblCellMar>
          <w:top w:w="28" w:type="dxa"/>
          <w:left w:w="28" w:type="dxa"/>
          <w:bottom w:w="28" w:type="dxa"/>
          <w:right w:w="28" w:type="dxa"/>
        </w:tblCellMar>
      </w:tblPr>
      <w:tblGrid>
        <w:gridCol w:w="837"/>
        <w:gridCol w:w="734"/>
        <w:gridCol w:w="738"/>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1,332,985 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1,343,405 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965,329 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1,873,805 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1,627,909 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1,524,943 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3,264,583 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3,217,210 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10 – Commitments and Contingencies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Operating Leases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leases 38,613 square feet of office and laboratory space in San Diego, California, under a lease that terminates on April 30, 2032. As of June 30, 2026, the right-of-use asset balance associated with this lease was $3,136,353.</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currently also leases office space in Cambridge, Massachusetts and New York, New York, pursuant to short-term arrangements. In September 2025, the Company executed a one year lease for its existing office space in Cambridge with a term that commenced on December 1, 2025 and ends on November 30, 2026. The New York lease was most recently renewed on October 1, 2025 to extend the lease term through September 30, 2026. These lease agreements include or included payments for lease and non-lease components. The Company has elected to not separate such components and these payments were recognized as rent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total future minimum lease payments for its short-term leases in Cambridge, Massachusetts and New York, New York were $53,280 due in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for operating leases with initial or remaining terms in excess of one year at June 30, 2026 were as follows:</w:t>
      </w:r>
    </w:p>
    <w:tbl>
      <w:tblPr>
        <w:tblW w:w="4566" w:type="dxa"/>
        <w:jc w:val="left"/>
        <w:tblInd w:w="0" w:type="dxa"/>
        <w:tblLayout w:type="fixed"/>
        <w:tblCellMar>
          <w:top w:w="28" w:type="dxa"/>
          <w:left w:w="28" w:type="dxa"/>
          <w:bottom w:w="28" w:type="dxa"/>
          <w:right w:w="28" w:type="dxa"/>
        </w:tblCellMar>
      </w:tblPr>
      <w:tblGrid>
        <w:gridCol w:w="1167"/>
        <w:gridCol w:w="1025"/>
        <w:gridCol w:w="1033"/>
        <w:gridCol w:w="211"/>
        <w:gridCol w:w="976"/>
        <w:gridCol w:w="154"/>
      </w:tblGrid>
      <w:tr>
        <w:trPr/>
        <w:tc>
          <w:tcPr>
            <w:tcW w:w="116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383,775 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784,737 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lease payments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4,851,021 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(1,217,414)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3,633,607 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428,962 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net of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3,204,645 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3,633,607 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Quantitative information regarding the Company’s leases for the six months ended June 30, 2026 and 2025 is as follows:</w:t>
      </w:r>
    </w:p>
    <w:tbl>
      <w:tblPr>
        <w:tblW w:w="8852" w:type="dxa"/>
        <w:jc w:val="left"/>
        <w:tblInd w:w="0" w:type="dxa"/>
        <w:tblLayout w:type="fixed"/>
        <w:tblCellMar>
          <w:top w:w="28" w:type="dxa"/>
          <w:left w:w="28" w:type="dxa"/>
          <w:bottom w:w="28" w:type="dxa"/>
          <w:right w:w="28" w:type="dxa"/>
        </w:tblCellMar>
      </w:tblPr>
      <w:tblGrid>
        <w:gridCol w:w="2124"/>
        <w:gridCol w:w="1857"/>
        <w:gridCol w:w="1883"/>
        <w:gridCol w:w="211"/>
        <w:gridCol w:w="826"/>
        <w:gridCol w:w="271"/>
        <w:gridCol w:w="109"/>
        <w:gridCol w:w="109"/>
        <w:gridCol w:w="109"/>
        <w:gridCol w:w="211"/>
        <w:gridCol w:w="826"/>
        <w:gridCol w:w="316"/>
      </w:tblGrid>
      <w:tr>
        <w:trPr/>
        <w:tc>
          <w:tcPr>
            <w:tcW w:w="2124"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costs:</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373,180 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373,180 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67,656 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460,036 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440,836 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30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378,102 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367,092 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short-term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67,656 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464,958 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434,748 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 operating leases</w:t>
            </w:r>
          </w:p>
        </w:tc>
        <w:tc>
          <w:tcPr>
            <w:tcW w:w="130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 years</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operating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the Company’s leases typically do not provide an implicit rate, the Company uses an estimate of its incremental borrowing rate based on the information available at the lease commencement date in determining the present value of lease payments.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Litigation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have certain contingent liabilities that arise in the ordinary course of its business activities and may be exposed to litigation in connection with its product candidates and operations. The Company’s policy is to assess the likelihood of any adverse judgments or outcomes related to legal matters, as well as ranges of probable losses. When it is probable that future expenditures will be made and can be reasonably estimated, the Company will accrue a liability for such matters. Significant judgment is required to determine both probability and estimated amount. The Company is not aware of any material legal matters.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Clinical Research Contracts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may enter into contracts in the normal course of business with contract research organizations for clinical trials, with contract manufacturing organizations for clinical supplies, and with other vendors for preclinical studies, supplies and other services for the Company’s operating purposes. These contracts generally provide for termination with a 30-day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Note 11 – Segments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An operating segment is identified as a component of an enterprise about which separate discrete financial information is available for evaluation by the Chief Operating Decision Maker ("CODM") in making decisions, including regarding resource allocation and assessing performance. The Company’s Chief Executive Officer is its CODM.</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CODM uses consolidated single-segment (one) financial information for purposes of: allocating resources, evaluating performance, making operating decisions, setting incentive targets, and planning and forecasting for future periods. The Company's CODM makes such decisions based on consolidated net loss. This measure is used to monitor budget versus actual results to evaluate the performance of the segment. Managing and allocating resources on a consolidated basis enables the CODM to assess the overall level of resources available and how to deploy these resources across functions and operations (including research and development) that align with the Company’s strategic goals. All of the Company’s long-lived assets are held in the United States.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is representative of the significant expense categories regularly provided to the CODM when managing the Company’s single reporting segment.</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tbl>
      <w:tblPr>
        <w:tblW w:w="9630" w:type="dxa"/>
        <w:jc w:val="left"/>
        <w:tblInd w:w="0" w:type="dxa"/>
        <w:tblLayout w:type="fixed"/>
        <w:tblCellMar>
          <w:top w:w="28" w:type="dxa"/>
          <w:left w:w="28" w:type="dxa"/>
          <w:bottom w:w="28" w:type="dxa"/>
          <w:right w:w="28" w:type="dxa"/>
        </w:tblCellMar>
      </w:tblPr>
      <w:tblGrid>
        <w:gridCol w:w="1085"/>
        <w:gridCol w:w="956"/>
        <w:gridCol w:w="959"/>
        <w:gridCol w:w="211"/>
        <w:gridCol w:w="1081"/>
        <w:gridCol w:w="109"/>
        <w:gridCol w:w="109"/>
        <w:gridCol w:w="109"/>
        <w:gridCol w:w="109"/>
        <w:gridCol w:w="211"/>
        <w:gridCol w:w="1081"/>
        <w:gridCol w:w="109"/>
        <w:gridCol w:w="109"/>
        <w:gridCol w:w="109"/>
        <w:gridCol w:w="109"/>
        <w:gridCol w:w="211"/>
        <w:gridCol w:w="1081"/>
        <w:gridCol w:w="109"/>
        <w:gridCol w:w="109"/>
        <w:gridCol w:w="109"/>
        <w:gridCol w:w="109"/>
        <w:gridCol w:w="211"/>
        <w:gridCol w:w="1081"/>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Program expenses</w:t>
            </w:r>
            <w:r>
              <w:rPr>
                <w:rFonts w:ascii="Times New Roman;serif" w:hAnsi="Times New Roman;serif"/>
                <w:b w:val="false"/>
                <w:color w:val="000000"/>
                <w:sz w:val="13"/>
              </w:rPr>
              <w:t>(1)</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Atebimetinib (IMM-1-104)</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7,262,339 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5,169,330 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11,317,597 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9,427,266 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Envometinib (IMM-6-415)</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1,902,367 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programs</w:t>
            </w:r>
          </w:p>
        </w:tc>
        <w:tc>
          <w:tcPr>
            <w:tcW w:w="12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2,173,473 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1,172,927 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4,193,338 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2,415,035 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Non-program expenses</w:t>
            </w:r>
            <w:r>
              <w:rPr>
                <w:rFonts w:ascii="Times New Roman;serif" w:hAnsi="Times New Roman;serif"/>
                <w:b w:val="false"/>
                <w:color w:val="000000"/>
                <w:sz w:val="13"/>
              </w:rPr>
              <w:t>(2)</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1,583,015 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2,787,399 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Employee-related costs</w:t>
            </w:r>
          </w:p>
        </w:tc>
        <w:tc>
          <w:tcPr>
            <w:tcW w:w="12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6,082,231 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4,944,540 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12,150,168 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10,323,479 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1,627,909 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1,524,943 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3,264,583 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3,217,210 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169,788 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(3)</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(1,729,982)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(3,604,121)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(762,532)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17,270,427 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14,433,881 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30,731,321 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29,480,012 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 Includes direct research and development expenses.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(2) Includes general and administrative expenses, in addition to facilities and other research and development expenses.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 Includes interest income and other (income)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You should read the following discussion and analysis of our financial condition and results of operations together with our interim condensed consolidated financial statements and related notes appearing elsewhere in this Quarterly Report on Form 10-Q and with our Annual Report on Form 10-K for the fiscal year ended December 31, 2025, including the audited consolidated financial statements and notes thereto.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a late-stage clinical oncology company focused on keeping cancer patients alive and helping them thrive. We are developing and seeking to commercialize an entirely new category of anti-cancer medicines, Deep Cyclic Inhibitors, which we believe have the potential to be more effective and better tolerated targeted therapies.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Deep Cyclic Inhibition® ("DCI") is a novel mechanism that aims to deprive tumor cells of the sustained proliferative signaling required for rapid growth, while sparing healthy cells through a cadenced, normalized level of signaling. Our Deep Cyclic Inhibitors inhibit clinically-validated core signaling pathways, such as the MAPK pathway. Our novel approach is designed to improve durability and tolerability, and differentiates us from chronically targeted precision therapies, which are generally limited by toxicity, resistance and/or application to specific mutations only.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lead product candidate, atebimetinib (IMM-1-104), is an oral, once-daily Deep Cyclic Inhibitor of MEK, designed to improve durability and tolerability across many cancer indications, including MAPK pathway-driven tumors such as pancreatic cancer. We are currently conducting a Phase 3 clinical trial of atebimetinib, which we call the MAPKeeper 301 trial, to evaluate atebimetinib in combination with mGnP in first-line pancreatic cancer patients. We dosed the first patient in the MAPKeeper 301 trial in June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MAPKeeper 301 is a global Phase 3 registrational trial to evaluate atebimetinib (320 mg once-daily) in combination with mGnP, compared to standard of care GnP alone, in first-line metastatic PDAC. The primary endpoint of MAPKeeper 301 is overall survival, and secondary endpoints include progression-free survival, overall response rate, disease control rate, and quality of life measurements. We plan to enroll a total of approximately 510 patients in MAPKeeper 301, divided equally across the two arms.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2026, we announced positive interim response and safety data from our ongoing Phase 2a clinical trial arm evaluating atebimetinib in combination with mGnP in first-line pancreatic cancer patients (the "Phase 2 mGnP Arm"), which is part of our ongoing Phase 1/2a clinical trial of atebimetinib in patients with advanced solid tumors.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April 2026, we presented a poster at the American Association for Cancer Research (AACR) annual meeting, which provided further updated circulating tumor DNA data on acquired alterations from cancer patients treated with atebimetinib. Consistent with our DCI hypothesis, the observed absence or scarcity of certain RAS/MAPK resistance alterations in atebimetinib-treated patients suggested that the DCI of MEK may lessen selective pressure that drives resistance, thereby slowing adaptation while preserving MAPK dependence, and potentially preserving the opportunity for therapeutic combinations of atebimetinib within the MAPK pathway and across parallel pathways.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2026, we announced further positive interim response and safety data from the Phase 2 mGnP Arm. We announced that, as of a cutoff date of April 24, 2026 (the “Cutoff Date”), 17.3 month median overall survival (“mOS”) was observed in the intent-to-treat population of 55 patients dosed at the 320 mg once-daily dose level of atebimetinib in combination with mGnP (the “320 mg ITT Population”), with median follow-up time of 11.6 months. The standard of care (described below) reported a 8.5 month mOS. As of the Cutoff Date, the median progression free survival ("mPFS") of the 320 mg ITT Population was 8.3 months. As of the Cutoff Date, in response evaluable patients from the 320 mg ITT Population, a 36% (18/50 patients) overall response rate ("ORR") and 82% (41/50 patients) disease control rate ("DCR") was observed. Additionally, as of the Cutoff Date, among the subset of patients from the 320 mg ITT Population for which sufficient weight stability data was available, 84% of such patients either gained weight or else were within 5% of original recorded baseline weight. The reported data included patients from same patient cohort (N=34) as we previously reported in January 2026, as well as an additional 21 patients, together comprising the full 320 mg ITT Population. The estimates of (and other references to) standard of care set forth above with respect to mOS data were reported out directly from the publicly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available third-party MPACT pivotal trial data for gemcitabine/nab-paclitaxel. Our Phase 1/2a clinical trial of atebimetinib does not include a head-to-head comparison against any other agents, and caution should be exercised when comparing data across trials.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We also announced that, as of the Cutoff Date, atebimetinib in combination with mGnP continued to be generally well tolerated. As of the Cutoff Date, Grade ≥ 3 treatment-emergent adverse events (“TEAEs”) observed in 10% or greater of patients in the 320 mg ITT Population consisted of Anemia (nine patients or 16%) and Neutropenia (ten patients or 18%). Grade ≥ 3 TEAEs observed in less than 10% of patients in the 320 mg ITT Population included Rash (5%), Fatigue (2%), Vomiting (2%), and Oedema Peripheral (2%). No Grade 5 TEAEs were observed in this patient population and no new safety signals were identified.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the following anticipated milestones: </w:t>
      </w:r>
    </w:p>
    <w:p>
      <w:pPr>
        <w:pStyle w:val="TextBody"/>
        <w:bidi w:val="0"/>
        <w:spacing w:before="0" w:after="0"/>
        <w:jc w:val="both"/>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in the second half of 2026, dosing the first patient in a clinical trial of atebimetinib in combination with Libtayo® in non-small cell lung cancer patients, with a preliminary data readout expected in late-2027;</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in the fourth quarter of 2026, additional pre-clinical data of atebimetinib in combination with anti-PD-1 in non-small cell lung cancer;</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in mid-2027, beginning IND-enabling studies for our next DCI product candidate program; and</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in mid-2028, providing a topline data readout from the MAPKeeper 301 trial.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development pipeline also includes our additional clinical-stage product candidate envometinib (IMM-6-415) and other pre-clinical research programs, including research focused on validated core cancer-signaling pathways outside of the MAPK pathway.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period from inception through 2017, we devoted substantially all of our efforts to business planning, service revenue generation, developing tools to aid in drug discovery, and recruiting management and technical staff. Since 2018, we have focused significant effort on our own internal research and development programs, and since December 2022 have exclusively focused our efforts on such programs. We have financed our operations through service revenues (which have since ceased), the issuance of convertible debt and the sale of convertible preferred stock, common stock and warrants exercisable for common stock.</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22, 2021, we completed the acquisition of all outstanding shares of capital stock of BioArkive, Inc., a California corporation (“BioArkive”), for a market value of $8.75 million. BioArkive was a San Diego based contract research organization that previously provided preclinical research services and biosample storage to us and other biotechnology companies. BioArkive was fully integrated into our operations following the acquisition and now exclusively supports our internal preclinical research activities for our oncology pipeline. In connection with the acquisition, we assumed BioArkive’s lease agreement obligations.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did not sell any shares of common stock under the 2022 ATM Program during the three and six months ended June 30, 2026. We sold 4,836,804 shares of common stock under the 2022 ATM Program, at a weighted average price per share of $2.95, for aggregate gross proceeds of $14.2 million ($13.7 million net of offering expenses) during the three and six months ended June 30, 2025. We did not sell any shares of common stock under the 2025 ATM Program during the three and six months ended June 30, 2026 or June 30, 2025,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August 21, 2025, we entered into the August 2025 Purchase Agreement with the purchasers party thereto, pursuant to which we agreed to sell securities to such purchasers in the August 2025 Private Placement. The August 2025 Purchase Agreement provided for the sale and issuance by us to the purchasers of: (i) an aggregate of 5,251,349 shares of our common stock at a purchase price of $3.95 per share, (ii) for certain purchasers, in lieu of common stock, an aggregate of 1,077,764 Pre-Funded Warrants to purchase up to the same number of shares of our common stock, and (iii) an aggregate of 2,848,096 Purchase Warrants to purchase up to the same number of shares of our common stock. The Pre-Funded Warrants were issued for a purchase price equating to $3.949 per Pre-Funded Warrant (which was the per share purchase price for the common stock issued in the August 2025 Private Placement, less the $0.001 per share unfunded exercise price for each Pre-Funded Warrant); following the October 2025 Cashless Exercise, no Pre-Funded Warrants remained issued and outstanding. The Purchase Warrants were issued with an exercise price of $5.50 per share; as of June 30, 2026, no Purchase Warrants had been exercised. As of June 30, 2026, we had received aggregate net proceeds of $23.4 million from the August 2025 Private Placement, after deducting placement expenses of $1.6 million. The August 2025 Private Placement closed on August 26,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September 24, 2025, we entered into the September 2025 Purchase Agreement with Aventis (a wholly owned subsidiary of Sanofi), pursuant to which we agreed to sell securities to Aventis in the September 2025 Private Placement. The September 2025 Purchase Agreement provided for the sale and issuance by us to Aventis of an aggregate of 2,708,559 shares of our common stock at a purchase price of $9.23 per share. We received aggregate net proceeds of $23.4 million from the September 2025 Private Placement, after deducting placement agent discounts and commissions of $1.5 million and placement costs of $0.1 million. The September 2025 Private Placement closed on September 26,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September 26, 2025, we completed the September 2025 Offering, pursuant to which we issued and sold 18,959,914 shares of our common stock at an offering price of $9.23 per share, with Leerink Partners LLC and Oppenheimer &amp; Co. Inc. acting as underwriters. The aggregate net proceeds received by us from the September 2025 Offering were $164.1 million, after deducting underwriting discounts and commissions, as well as offering costs of $0.4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had significant annual operating losses. Our net loss was approximately $30.7 million for the six months ended June 30, 2026 and approximately $56.0 million for the year ended December 31, 2025. As of June 30, 2026, we had an accumulated deficit of approximately $311.1 million and approximately $182.7 million in cash, cash equivalents and marketable securities.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not had any internally developed products approved for sale. We do not expect to generate any product sales unless and until we successfully complete development of, obtain regulatory approval for, and successfully bring to market one or more of our internally developed product candidates. If we obtain regulatory approval for any of our internally developed product candidates, we expect to incur significant commercialization expenses related to product sales, marketing, manufacturing and distribution. As a result, until such time, if ever, that we can generate substantial product revenue, we expect to finance our cash needs through equity offerings, debt financings or other capital sources including, without limitation, potential collaborations, licenses or similar arrangements.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Based on our current business plans, we believe that our existing cash, cash equivalents and marketable securities as of June 30, 2026 will enable us to fund our development activities and other operations into 2029. We have based this estimate on assumptions that may prove to be wrong, and we could exhaust our available capital resources sooner than we expect. To finance our operations beyond that point we will need to raise additional capital, which cannot be assured. We may be unable to raise additional funds or enter into such other arrangements when needed or on favorable terms, if at all. Any failure to raise capital as and when needed could have a negative impact on our financial condition and on our ability to pursue our business plans and strategies, including our research and development activities. If we are unable to raise capital, we will need to delay, reduce or terminate some or all planned activities to reduce costs.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August 5, 2026, the issuance date of the interim condensed consolidated financial statements for the three and six-months ended June 30, 2026 included elsewhere in this Quarterly Report on Form 10-Q, based on our recurring losses from operations incurred since inception, expectation of continuing operating losses for the foreseeable future and the need to raise additional capital to finance future operations, we believe that our existing cash, cash equivalents and marketable securities will enable us to fund our development activities and other operations into 2029. We have based this estimate on assumptions that may prove to be wrong, and we could exhaust our available capital resources sooner than we expect. To finance our operations beyond that point we will need to raise additional capital, which cannot be assured.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operating expenses consist of: (i) research and development expenses, and (ii)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Research and Development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account for a significant portion of our total operating expenses. Our research and development expenses consist primarily of direct and indirect costs incurred in connection with the development of our research platform, product candidates, discovery efforts and preclinical and clinical activities related to our program pipeline.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direct costs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program-specific expenses incurred under agreements with third-party CROs and other vendors that conduct our preclinical and clinical activities on our behalf, including clinical trial sites that conduct research and development activities on our behalf;</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laboratory expenses related to the execution of discovery programs, preclinical studies and clinical trials;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costs related to production of clinical and preclinical materials, including fees paid to contract manufacturers.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indirect costs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personnel-related expenses, consisting of employee salaries, bonuses, benefits and stock-based compensation expense, and recruiting costs for personnel engaged in research and development activities;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contractor and consulting fees related to the preparation and ongoing support of clinical trials;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facility and equipment related expenses, consisting of indirect and allocated expenses for rent, depreciation and amortization, maintenance of facilities, insurance, and other supplies.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expense research and development costs in the periods in which they are incurred.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direct research and development expenses consist of external costs and fees paid to consultants, contractors, CMOs and CROs in connection with our preclinical and clinical development and manufacturing activities. Such program costs also include the external costs of laboratory and consumable materials and costs of raw materials that are directly attributable to and incurred for any single program. We do not allocate employee costs, contractor/consultant fees, costs associated with our platform development and discovery efforts, payments made under third-party licensing agreements, costs of laboratory supplies and consumable materials that are not directly attributable to any single program, and facilities expenses, including rent, depreciation/amortization and other indirect costs, to specific product development programs because these costs are deployed across multiple programs and our platform technology and, as such, are not separately classified.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Due to the inherently unpredictable nature and numerous risks and uncertainties associated with product development and the current stage of development of our product candidates and programs, we cannot reasonably estimate or know the nature, timing and estimated costs necessary to complete the remainder of the development of our product candidates or programs. We are also unable to predict if, when, or to what extent we will obtain approval and generate revenues from the commercialization and sale of any of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duration, costs and timing of preclinical studies and clinical trials and development of our product candidates will depend on a variety of factors, such as, without limitation: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successful completion of preclinical studies and initiation of clinical trials for future product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successful enrollment and completion of clinical trials for our current product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data from our clinical programs that support an acceptable risk-benefit profile of our product candidates in the intended patient populations;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acceptance by the FDA or other applicable regulatory agencies of IND applications and amendments, clinical trial applications and/or other regulatory filings for our product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expansion and maintenance of a workforce of experienced scientists and others to continue to develop our product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successful application for and receipt of marketing approvals from applicable regulatory authorities;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obtainment and maintenance of intellectual property protection and regulatory exclusivity for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making of arrangements with contract manufacturing organizations for, or establishment of, commercial manufacturing capabilities;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establishment of sales, marketing and distribution capabilities and successful launch of commercial sales of our product candidates, if and when approved, whether alone or in collaboration with others;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acceptance of our product candidates, if and when approved, by patients, the medical community and third-party payors;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effective competition with other therapies;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obtainment and maintenance of coverage, adequate pricing and adequate reimbursement from third-party payors, including government payors;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maintenance, enforcement, defense and protection of our rights in our intellectual property portfolio;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avoidance of infringement, misappropriation or other violations with respect to others’ intellectual property or proprietary rights;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maintenance of a continued acceptable safety profile of our product candidates following receipt of marketing approvals, if any.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change in the outcome of any of these variables with respect to the development of any of our product candidates could significantly change the costs and timing associated with the development of that product candidate.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process of conducting the necessary preclinical and clinical research to obtain regulatory approval is costly and time-consuming. The actual probability of success for our product candidates may be affected by a variety of factors.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may never succeed in achieving regulatory approval for any of our product candidates. Further, a number of factors, including those outside of our control, could adversely impact the timing and duration of our product candidates’ development, which could increase our research and development expenses. We may obtain unexpected results from our preclinical studies and clinical trials. We may elect to discontinue, delay or modify clinical trials of some product candidates or focus on others. A change in the outcome of any of these factors could mean a significant change in the costs and timing associated with the development of our current and future preclinical and clinical product candidates. For example, if the FDA, EMA or another regulatory authority were to require us to conduct clinical trials beyond those that we currently anticipate will be required for the completion of clinical development, or if we experience significant delays in execution of or enrollment in any of our preclinical studies or clinical trials, we could be required to expend significant additional financial resources and time on the advancement of preclinical and clinical development.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expect that our research and development expenses will substantially increase for the foreseeable future as we continue to implement our business strategy, which includes: advancing our product candidates through clinical development (including atebimetinib in our MAPKeeper 301 Phase 3 clinical trial),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As of the date of this Quarterly Report on Form 10-Q, we cannot reasonably determine or accurately project total program-specific expenses through commercialization, if such was to occur.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General and Administrative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general and administrative expenses consist primarily of personnel-related expenses, including employee salaries, bonuses, benefits, stock-based compensation, and recruiting costs for personnel in executive, finance, and other administrative functions. Other significant general and administrative expenses include legal fees relating to intellectual property and corporate matters, professional fees for accounting, tax and consulting services, insurance costs, travel expenses and facility related expenses not otherwise included in research and development expenses.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expect our general and administrative expenses will increase for the foreseeable future if and as we continue to increase our general and administrative headcount to support our continued research and development activities and, if any product candidates receive marketing approval, commercialization activities, as well as to support our operations generally.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also expect to continue to incur increased expenses associated with operating as a public company, including costs related to accounting, audit, legal, regulatory, and tax-related services associated with maintaining compliance with exchange listing and rules and regulations of the Securities and Exchange Commission (“SEC”), Sarbanes-Oxley Act, director and officer insurance costs, and investor and public relations costs.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Amortization of intangible asset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of intangible asset relates to the technology acquired in the BioArkive acquisition.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Other Income (Expense)</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income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Interest income consists of interest earned on our cash and cash equivalents balances and our marketable securities. The primary objective of our investment policy is capital preservation.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Other income (expense)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Other income (expense) consists of the amortization of premiums or accretion of discounts related to our marketable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Comparison of the Three Months Ended June 30, 2026 and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periods indicated:</w:t>
      </w:r>
    </w:p>
    <w:tbl>
      <w:tblPr>
        <w:tblW w:w="8036" w:type="dxa"/>
        <w:jc w:val="left"/>
        <w:tblInd w:w="0" w:type="dxa"/>
        <w:tblLayout w:type="fixed"/>
        <w:tblCellMar>
          <w:top w:w="28" w:type="dxa"/>
          <w:left w:w="28" w:type="dxa"/>
          <w:bottom w:w="28" w:type="dxa"/>
          <w:right w:w="28" w:type="dxa"/>
        </w:tblCellMar>
      </w:tblPr>
      <w:tblGrid>
        <w:gridCol w:w="1033"/>
        <w:gridCol w:w="905"/>
        <w:gridCol w:w="912"/>
        <w:gridCol w:w="211"/>
        <w:gridCol w:w="796"/>
        <w:gridCol w:w="109"/>
        <w:gridCol w:w="109"/>
        <w:gridCol w:w="109"/>
        <w:gridCol w:w="109"/>
        <w:gridCol w:w="211"/>
        <w:gridCol w:w="796"/>
        <w:gridCol w:w="109"/>
        <w:gridCol w:w="109"/>
        <w:gridCol w:w="109"/>
        <w:gridCol w:w="109"/>
        <w:gridCol w:w="211"/>
        <w:gridCol w:w="691"/>
        <w:gridCol w:w="109"/>
        <w:gridCol w:w="109"/>
        <w:gridCol w:w="109"/>
        <w:gridCol w:w="109"/>
        <w:gridCol w:w="307"/>
        <w:gridCol w:w="309"/>
        <w:gridCol w:w="346"/>
      </w:tblGrid>
      <w:tr>
        <w:trPr/>
        <w:tc>
          <w:tcPr>
            <w:tcW w:w="103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Amortization of intangible asset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234.3 </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(17,270)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(14,433)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(2,837)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19.7</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our research and development expenses for the periods indicated:</w:t>
      </w:r>
    </w:p>
    <w:tbl>
      <w:tblPr>
        <w:tblW w:w="9490" w:type="dxa"/>
        <w:jc w:val="left"/>
        <w:tblInd w:w="0" w:type="dxa"/>
        <w:tblLayout w:type="fixed"/>
        <w:tblCellMar>
          <w:top w:w="28" w:type="dxa"/>
          <w:left w:w="28" w:type="dxa"/>
          <w:bottom w:w="28" w:type="dxa"/>
          <w:right w:w="28" w:type="dxa"/>
        </w:tblCellMar>
      </w:tblPr>
      <w:tblGrid>
        <w:gridCol w:w="1664"/>
        <w:gridCol w:w="1459"/>
        <w:gridCol w:w="146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91"/>
        <w:gridCol w:w="294"/>
        <w:gridCol w:w="316"/>
      </w:tblGrid>
      <w:tr>
        <w:trPr/>
        <w:tc>
          <w:tcPr>
            <w:tcW w:w="1664"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 research and development expenses by program:</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Atebimetinib (IMM-1-104)</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Envometinib (IMM-6-415)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programs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Indirect research and development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Employee-related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other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approximately $3.5 million, or 33.9%, to approximately $14.0 million for the three months ended June 30, 2026, as compared to approximately $10.5 million for the three months ended June 30, 2025. The increase of approximately $3.5 million was primarily due to an increase in direct costs of $2.8 million, driven by $2.1 million related to the initiation of the MAPKeeper 301 trial, in addition to increased preclinical spend of approximately $1.0 million, driven by development pipeline activities. The increase in direct research and development expenses was offset by a decrease of approximately $0.3 million in expenses related to the envometinib program, due to the Company's prioritization of the atebimetinib program. The overall increase in research and development expenses was also driven by an increase in indirect expenses of approximately $0.7 million, primarily driven by increased employee-related costs of $0.7 million, increased stock-based compensation costs of $0.1 million, offset by a decrease in depreciation/amortization and facilities and other expenses of $1 thousand.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General and Administrative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our general and administrative expenses for the periods indicated:</w:t>
      </w:r>
    </w:p>
    <w:tbl>
      <w:tblPr>
        <w:tblW w:w="7783" w:type="dxa"/>
        <w:jc w:val="left"/>
        <w:tblInd w:w="0" w:type="dxa"/>
        <w:tblLayout w:type="fixed"/>
        <w:tblCellMar>
          <w:top w:w="28" w:type="dxa"/>
          <w:left w:w="28" w:type="dxa"/>
          <w:bottom w:w="28" w:type="dxa"/>
          <w:right w:w="28" w:type="dxa"/>
        </w:tblCellMar>
      </w:tblPr>
      <w:tblGrid>
        <w:gridCol w:w="1177"/>
        <w:gridCol w:w="1037"/>
        <w:gridCol w:w="1040"/>
        <w:gridCol w:w="217"/>
        <w:gridCol w:w="634"/>
        <w:gridCol w:w="112"/>
        <w:gridCol w:w="112"/>
        <w:gridCol w:w="112"/>
        <w:gridCol w:w="112"/>
        <w:gridCol w:w="217"/>
        <w:gridCol w:w="634"/>
        <w:gridCol w:w="112"/>
        <w:gridCol w:w="109"/>
        <w:gridCol w:w="109"/>
        <w:gridCol w:w="109"/>
        <w:gridCol w:w="211"/>
        <w:gridCol w:w="466"/>
        <w:gridCol w:w="109"/>
        <w:gridCol w:w="109"/>
        <w:gridCol w:w="109"/>
        <w:gridCol w:w="109"/>
        <w:gridCol w:w="255"/>
        <w:gridCol w:w="256"/>
        <w:gridCol w:w="316"/>
      </w:tblGrid>
      <w:tr>
        <w:trPr/>
        <w:tc>
          <w:tcPr>
            <w:tcW w:w="117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Employee-related costs</w:t>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other allocated expenses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4,996 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4,296 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approximately $0.7 million, or 16.3%, to approximately $5.0 million for the three months ended June 30, 2026, as compared to approximately $4.3 million for the three months ended June 30, 2025. The increase of approximately $0.7 million was primarily driven by a $0.5 million increase in employee-related costs, a $0.1 million increase in other expenses, primarily consisting of increased software costs supporting the general and administrative functions, and a $0.1 million increase in professional fees, stock-based compensation, and facilities and other allocated expenses, in the aggregate.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Amortization of Intangible Asset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Amortization of intangible asset was $7,317 for the three months ended June 30, 2026 and 2025. This amortization is related to the technology acquired from the BioArkive acquisition completed in December 2021.</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Other Income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Interest income from the interest earned on our cash, cash equivalents and marketable securities balances increased by approximately $0.8 million for the three months ended June 30, 2026 as compared to the three months ended June 30, 2025, driven primarily by an increased total cash balance resulting from various financing events in August and September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Other income for the three months ended June 30, 2026 was $0.6 million, compared to no other income for the three months ended June 30, 2025. This was primarily driven by the accretion of marketable securities during the three months ended June 30, 2026. There were no marketable securities as of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Comparison of the Six Months Ended June 30, 2026 and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periods indicated:</w:t>
      </w:r>
    </w:p>
    <w:tbl>
      <w:tblPr>
        <w:tblW w:w="7975" w:type="dxa"/>
        <w:jc w:val="left"/>
        <w:tblInd w:w="0" w:type="dxa"/>
        <w:tblLayout w:type="fixed"/>
        <w:tblCellMar>
          <w:top w:w="28" w:type="dxa"/>
          <w:left w:w="28" w:type="dxa"/>
          <w:bottom w:w="28" w:type="dxa"/>
          <w:right w:w="28" w:type="dxa"/>
        </w:tblCellMar>
      </w:tblPr>
      <w:tblGrid>
        <w:gridCol w:w="1033"/>
        <w:gridCol w:w="905"/>
        <w:gridCol w:w="912"/>
        <w:gridCol w:w="211"/>
        <w:gridCol w:w="796"/>
        <w:gridCol w:w="109"/>
        <w:gridCol w:w="109"/>
        <w:gridCol w:w="109"/>
        <w:gridCol w:w="109"/>
        <w:gridCol w:w="211"/>
        <w:gridCol w:w="796"/>
        <w:gridCol w:w="109"/>
        <w:gridCol w:w="109"/>
        <w:gridCol w:w="109"/>
        <w:gridCol w:w="109"/>
        <w:gridCol w:w="211"/>
        <w:gridCol w:w="691"/>
        <w:gridCol w:w="109"/>
        <w:gridCol w:w="109"/>
        <w:gridCol w:w="109"/>
        <w:gridCol w:w="109"/>
        <w:gridCol w:w="210"/>
        <w:gridCol w:w="211"/>
        <w:gridCol w:w="480"/>
      </w:tblGrid>
      <w:tr>
        <w:trPr/>
        <w:tc>
          <w:tcPr>
            <w:tcW w:w="103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5"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Amortization of intangible asset</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(34,336)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(4,093)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220.2%</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(30,732)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(29,480)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(1,252)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4.2</w:t>
            </w:r>
            <w:r>
              <w:rPr>
                <w:color w:val="000000"/>
              </w:rPr>
              <w:t> </w:t>
            </w:r>
          </w:p>
        </w:tc>
        <w:tc>
          <w:tcPr>
            <w:tcW w:w="4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140" w:after="283"/>
        <w:jc w:val="both"/>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research and development expenses for the periods indicated:</w:t>
      </w:r>
    </w:p>
    <w:tbl>
      <w:tblPr>
        <w:tblW w:w="9490" w:type="dxa"/>
        <w:jc w:val="left"/>
        <w:tblInd w:w="0" w:type="dxa"/>
        <w:tblLayout w:type="fixed"/>
        <w:tblCellMar>
          <w:top w:w="28" w:type="dxa"/>
          <w:left w:w="28" w:type="dxa"/>
          <w:bottom w:w="28" w:type="dxa"/>
          <w:right w:w="28" w:type="dxa"/>
        </w:tblCellMar>
      </w:tblPr>
      <w:tblGrid>
        <w:gridCol w:w="1664"/>
        <w:gridCol w:w="1459"/>
        <w:gridCol w:w="146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91"/>
        <w:gridCol w:w="294"/>
        <w:gridCol w:w="316"/>
      </w:tblGrid>
      <w:tr>
        <w:trPr/>
        <w:tc>
          <w:tcPr>
            <w:tcW w:w="1664"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 research and development expenses by program:</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atebimetinib (IMM-1-104)</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IMM-6-415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programs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Indirect research and development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Employee-related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other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40" w:after="283"/>
        <w:jc w:val="both"/>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increased by approximately $2.7 million, or 12.4%, to approximately $24.6 million for the six months ended June 30, 2026, as compared to approximately $21.9 million for the six months ended June 30, 2025. The increase of approximately $2.7 million was primarily due to an increase in direct research and development expenses of $1.8 million, driven by a $1.9 million increase in expenses related to the initiation of the MAPKeeper 301 trial, in addition to increased preclinical spend of approximately $1.8 million. This was offset by a decrease of approximately $1.9 million in expenses related to the envometinib program, due to the Company's prioritization of the atebimetinib program. The overall increase to research and development expenses was also driven by an increase of approximately $0.9 million related to indirect research and development expenses. Indirect expenses were driven by an approximate $1.0 million increase associated with employee-related costs, offset by a minor decrease in stock-based compensation expense, depreciation/amortization, and facilities and other expenses, in the aggregate.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General and Administrative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general and administrative expenses for the periods indicated:</w:t>
      </w:r>
    </w:p>
    <w:tbl>
      <w:tblPr>
        <w:tblW w:w="7870" w:type="dxa"/>
        <w:jc w:val="left"/>
        <w:tblInd w:w="0" w:type="dxa"/>
        <w:tblLayout w:type="fixed"/>
        <w:tblCellMar>
          <w:top w:w="28" w:type="dxa"/>
          <w:left w:w="28" w:type="dxa"/>
          <w:bottom w:w="28" w:type="dxa"/>
          <w:right w:w="28" w:type="dxa"/>
        </w:tblCellMar>
      </w:tblPr>
      <w:tblGrid>
        <w:gridCol w:w="1177"/>
        <w:gridCol w:w="1037"/>
        <w:gridCol w:w="1040"/>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55"/>
        <w:gridCol w:w="256"/>
        <w:gridCol w:w="316"/>
      </w:tblGrid>
      <w:tr>
        <w:trPr/>
        <w:tc>
          <w:tcPr>
            <w:tcW w:w="117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Employee-related costs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other allocated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40" w:after="283"/>
        <w:jc w:val="both"/>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approximately $1.4 million, or 16.6%, to approximately $9.7 million for the six months ended June 30, 2026, as compared to approximately $8.3 million for the six months ended June 30, 2025. The increase of approximately $1.4 million was due to a $0.9 million increase in employee-related costs, an increase in professional fees incurred for accounting, auditing, legal and tax services of approximately $0.3 million, increased other expenses of approximately $0.2 million, primarily consisting of software costs supporting the general and administrative functions, and increased stock-based compensation costs of approximately $0.1 million.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Amortization of Intangible Asset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Amortization of intangible asset was $14,633 for the six months ended June 30, 2026, and 2025. This amortization is related to the technology acquired for the BioArkive acquisition completed in December 2021.</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Other Income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Interest income increased by approximately $1.7 million for the six months ended June 30, 2026, compared to the six months ended June 30, 2025, driven primarily by an increased total cash balance resulting from various financing events in August and September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Other income for the six months ended June 30, 2026 was approximately $1.2 million, compared to no other income for the six months ended June 30, 2025. This was primarily driven by the accretion of marketable securities during the six months ended June 30, 2026. There were no marketable securities as of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Sources of Liquidity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finance our operations through the issuance of convertible notes payable, convertible preferred stock, common stock, warrants exercisable for common stock, and the exercise of stock options.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we had an accumulated deficit of $311.1 million and $182.7 million in cash, cash equivalents and marketable securities. Cash, cash equivalents and marketable securities are comprised primarily of deposits at major financial banking institutions and highly liquid investments with an original maturity of three months or less at the date of purchase. Our primary use of cash is to fund operating expenses, which consist primarily of research and development expenditures, and to a lesser extent, general and administrative expenditures. Cash used to fund operating expenses is impacted by the timing of when we pay these expenses, reflected in the change in our outstanding accounts payable and accrued expenses.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incurred significant operating losses. We have not yet commercialized any of our product candidates, and we do not expect to generate revenue from sales of any product candidates for the next several years, if at all. To date, our operations have been financed primarily by service revenues (which have since ceased) and proceeds from sales of our debt and equity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August 10, 2022, we entered into the 2022 Sales Agreement with the Sales Agent to sell shares of our common stock with aggregate gross proceeds of up to $50 million, from time to time, through the 2022 ATM Program. We did not sell any shares of common stock under the 2022 ATM Program during the three and six months ended June 30, 2026. We sold 4,836,804 shares of common stock under the 2022 ATM Program, at a weighted average price per share of $2.95, for aggregate gross proceeds of $14.2 million ($13.7 million net of offering expenses) during the three and six months ended June 30, 2025. In August 2025, the 2022 Shelf Registration Statement and the 2022 ATM Program expired, and the 2022 Sales Agreement was terminated.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August 13, 2025, we entered into the 2025 Sales Agreement with the Sales Agent, to sell shares of our common stock with aggregate gross proceeds of up to $100 million, from time to time, through the 2025 ATM Program. In connection with the September 2025 Offering, we: (i) reduced the maximum aggregate offering price for sales of shares of common stock pursuant to at-the-market transactions under the 2025 ATM Program by the Reduced Amount, resulting in a new maximum aggregate offering price of up to $98,749,993 under the 2025 ATM Program, and (ii) suspended the 2025 ATM Program and terminated the continuous offering under the 2025 ATM Program, in each case, as to the Reduced Amount. We did not sell any shares of common stock under the 2025 ATM Program during the three and six months ended June 30, 2026 or June 30, 2025,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August 21, 2025, we entered into the August 2025 Purchase Agreement with the purchasers party thereto, pursuant to which we agreed to sell securities to such purchasers in the August 2025 Private Placement. The August 2025 Purchase Agreement provided for the sale and issuance by us to the purchasers of: (i) an aggregate of 5,251,349 shares of our common stock at a purchase price of $3.95 per share, (ii) for certain purchasers, in lieu of common stock, an aggregate of 1,077,764 Pre-Funded Warrants to purchase up to the same number of shares of our common stock, and (iii) an aggregate of 2,848,096 Purchase Warrants to purchase up to the same number of shares of our common stock. The Pre-Funded Warrants were issued for a purchase price equating to $3.949 per Pre-Funded Warrant (which was the per share purchase price for the common stock issued in the August 2025 Private Placement, less the $0.001 per share unfunded exercise price for each Pre-Funded Warrant); following the October 2025 Cashless Exercise, no Pre-Funded Warrants remained issued and outstanding. The Purchase Warrants were issued with an exercise price of $5.50 per share; as of June 30, 2026, no Purchase Warrants had been exercised. As of June 30, 2026, we had received aggregate net proceeds of $23.4 million from the August 2025 Private Placement, after deducting placement expenses of $1.6 million. The August 2025 Private Placement closed on August 26,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Also on August 21, 2025, in connection with the August 2025 Purchase Agreement, we entered into the Registration Rights Agreement with the purchasers in the August 2025 Private Placement. Pursuant to the Registration Rights Agreement, we agreed to prepare and file a registration statement with the SEC for purposes of registering the resale of the common stock and the Warrant Shares purchased by the purchasers in the August 2025 Private Placement, and any shares of common stock issued as a dividend or other distribution with respect to, in exchange for or in replacement of such common stock or Warrant Shares. On September 3, 2025, we filed the 2025 Resale Registration Statement with the SEC in relation to the registration for re-sale of the common stock and Warrant Shares from the August 2025 Private Placement. The SEC declared the 2025 Resale Registration Statement effective on September 8,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September 24, 2025, we entered into the September 2025 Purchase Agreement with Aventis, a wholly-owned subsidiary of Sanofi, pursuant to which we agreed to sell securities to Aventis in the September 2025 Private Placement. The September 2025 Purchase Agreement provided for the sale and issuance by us to Aventis of an aggregate of 2,708,559 shares of our common stock at a purchase price of $9.23 per share. We received aggregate net proceeds of $23.4 million from the September 2025 Private Placement, after deducting placement agent discounts and commissions of $1.5 million and placement costs of $0.1 million. The September 2025 Private Placement closed on September 26,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September 2025 Purchase Agreement, we also agreed to (i) notify Aventis within three business days of us engaging in discussions with any third party regarding, or the board of directors authorizing us to pursue or initiate a process to pursue, any transaction that would be reasonably expected to result in a change of control of the Company or an affiliate of the Company (a “Change of Control”) or any other license, sale, assignment, transfer, grant or other disposition of the Company’s or an affiliate of the Company’s rights to research, develop, manufacture, commercialize, or otherwise exploit atebimetinib (a “Covered Transaction” and, collectively, a “Strategic Transaction Process”), (ii) provide Aventis the opportunity to participate in such Strategic Transaction Process subject to customary confidentiality and other undertakings on substantially the same procedural terms and timeframe as other participants, and (iii) for a period of 120 days following the date of the September 2025 Purchase Agreement, not enter into any Covered Transaction or commence, continue, or otherwise engage in any discussions, or negotiate with any third party, to enter into any Covered Transaction (provided that this provision shall not limit the entry by us into, or any engagement in discussion or negotiations with any third party regarding, a Change of Control transaction). These provisions contain customary confidentiality restrictions and limitations on disclosure obligations, and will terminate upon the earlier of: (a) such time as Aventis and its affiliates no longer hold at least 50% of the securities purchased from the Company pursuant to the September 2025 Purchase Agreement, (b) 90 days after the public release of the topline results of the overall survival of the Phase 3 clinical trial of atebimetinib in pancreatic cancer, (c) the liquidation, dissolution or winding-up of the affairs of the Company, or the consummation of any Change of Control or any other deemed liquidation event of the Company and (d) such time as all development activities with respect to atebimetinib have been terminated.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pursuant to the September 2025 Purchase Agreement, Aventis agreed (i) until the date that is six months after the closing date of the September 2025 Private Placement, to be subject to customary lock-up restrictions with respect to sales of shares of our common stock (or similar transactions with the same economic effect), subject to certain customary exceptions, (ii) until the first anniversary of the closing date of the September 2025 Private Placement, to be subject to stand-still restrictions with respect to acquisitions of shares of our common stock and similar activities, subject to certain customary exceptions and fall-away provisions, and (iii) until the first anniversary of the closing date of the September 2025 Private Placement or such earlier time as the stand-still restrictions shall have fallen away, vote with respect to all voting securities of the Company as to which it is entitled to vote in accordance with the recommendation of a majority of our board of directors.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26, 2025, we completed the September 2025 Offering, pursuant to which we issued and sold 18,959,914 shares of our Class A common stock at an offering price of $9.23 per share, with Leerink Partners LLC and Oppenheimer &amp; Co. Inc. acting as underwriters. The aggregate net proceeds received by us from the September 2025 Offering were $164.1 million, after deducting underwriting discounts and commissions, as well as offering costs of $0.4 million.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we had contractual obligations related to various leases of $0.4 million for 2026, $0.8 million for 2027, $0.8 million for 2028, $0.8 million for 2029, $0.9 million for 2030 and $1.2 million for the periods thereafter.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used to fund operating expenses is impacted by the timing of when we pay these expenses, as reflected in the change in our accounts payable and accrued expenses. We expect to continue to incur net losses for the foreseeable future, and we expect our research and development expenses, general and administrative expenses, and capital expenditures will continue to increase. In particular, we expect our expenses to increase as we continue our development of, and seek regulatory approvals for, our internally developed product candidates as well as add operational, financial and management informational systems and personnel to support our product development. In addition, if and when we seek and obtain regulatory approval to commercialize any product candidate, we will also incur increased expenses in connection with commercialization and marketing of any such product candidate. Our net losses may fluctuate significantly from quarter-to-quarter and year-to-year, depending on the timing of our clinical trials and our expenditures on other research and development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our current business plans, we believe that our existing cash, cash equivalents and marketable securities as of June 30, 2026 will enable us to fund our development activities and other operations into 2029. We have based this estimate on assumptions that may prove to be wrong, and we could exhaust our available capital resources sooner than we expect. To finance our operations beyond that point we will need to raise additional capital, which cannot be assured. We may be unable to raise additional funds or enter into such other arrangements when needed or on favorable terms, if at all. Any failure to raise capital as and when needed could have a negative impact on our financial condition and on our ability to pursue our business plans and strategies, including our research and development activities. If we are unable to raise capital, we will need to delay, reduce or terminate some or all planned activities to reduce costs.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no off-balance sheet arrangements that have a material current effect or that are reasonably likely to have a material future effect on our financial condition, changes in financial condition, revenues or expenses, results of operations, liquidity, capital expenditures, or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sources and uses of cash for the periods indicated:</w:t>
      </w:r>
    </w:p>
    <w:tbl>
      <w:tblPr>
        <w:tblW w:w="6099" w:type="dxa"/>
        <w:jc w:val="left"/>
        <w:tblInd w:w="0" w:type="dxa"/>
        <w:tblLayout w:type="fixed"/>
        <w:tblCellMar>
          <w:top w:w="28" w:type="dxa"/>
          <w:left w:w="28" w:type="dxa"/>
          <w:bottom w:w="28" w:type="dxa"/>
          <w:right w:w="28" w:type="dxa"/>
        </w:tblCellMar>
      </w:tblPr>
      <w:tblGrid>
        <w:gridCol w:w="1264"/>
        <w:gridCol w:w="1112"/>
        <w:gridCol w:w="1119"/>
        <w:gridCol w:w="211"/>
        <w:gridCol w:w="796"/>
        <w:gridCol w:w="109"/>
        <w:gridCol w:w="109"/>
        <w:gridCol w:w="109"/>
        <w:gridCol w:w="109"/>
        <w:gridCol w:w="211"/>
        <w:gridCol w:w="796"/>
        <w:gridCol w:w="154"/>
      </w:tblGrid>
      <w:tr>
        <w:trPr/>
        <w:tc>
          <w:tcPr>
            <w:tcW w:w="126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(87,321)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(9,789)</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Net Cash Used in Operating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operating activities used approximately $34.9 million of cash, primarily resulting from our net loss of approximately $30.7 million, changes in assets and liabilities of $6.9 million, and accretion of discount of marketable securities of $0.9 million. This was partially offset by stock-based compensation expense of approximately $3.3 million, depreciation of approximately $0.2 million and the reduction in carrying amount of right-of-use assets of approximately $0.2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operating activities used approximately $23.5 million of cash, primarily resulting from our net loss of approximately $29.5 million and changes in assets and liabilities of $2.4 million, partially offset by stock-based compensation expense of approximately $3.2 million, depreciation of approximately $0.2 million and the reduction in carrying amount of right-of-use assets of approximately $0.2 million.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Net Cash Used in Investing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investing activities used approximately $52.6 million of cash, primarily resulting from purchases of marketable securities of $84.0 million and purchases of property and equipment of approximately $0.1 million, offset by maturities of marketable securities of $31.5 million.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investing activities used approximately $11 thousand, primarily resulting from purchases of property and equipment of approximately $11 thousand.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Net Cash Provided by Financing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net cash provided by financing activities was approximately $0.2 million, primarily driven by proceeds of approximately $0.2 million from the sale of common stock pursuant to our employee stock purchase plan and $35 thousand from the exercise of stock options.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net cash provided by financing activities was approximately $13.7 million, primarily driven by proceeds of approximately $13.7 million from the sale of common stock under the 2022 ATM Program, net of issuance costs, in addition to $0.2 million from the Company's employee stock purchase plan and exercise of stock options. This was partially offset by payments of offering costs of $0.1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Future Funding Requirements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expect that our expenses will increase substantially in connection with our ongoing activities, particularly as we advance the preclinical activities and clinical trials for our product candidates in development. The timing and amount of our operating and capital expenditures will depend largely on: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costs and results of our ongoing clinical trials for atebimetinib, and potential future clinical trials for atebimetinib and our other product candidates;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scope, progress, results and costs of discovery research, preclinical development, laboratory testing and clinical trials for our other product candidates;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costs, timing and outcome of regulatory review of our product candidates;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enter into contract manufacturing arrangements for supply of active pharmaceutical ingredient ("API"), and manufacture of our product candidates and the terms of such arrangements;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payment or receipt of milestones and receipt of other collaboration-based revenues, if any;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costs and timing of future commercialization activities, if any, including product manufacturing, sales, marketing and distribution, for any of our product candidates for which we may receive marketing approval;</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amount and timing of revenue, if any, received from commercial sales of our product candidates for which we receive marketing approval;</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costs and timing of preparing, filing and prosecuting patent applications, maintaining and enforcing our intellectual property and proprietary rights and defending any intellectual property related claims;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extent to which we acquire or in-license other products, product candidates, technologies or data referencing rights;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establish and maintain strategic collaborations, licensing or other arrangements and the financial terms of such arrangements;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access the private and public capital markets or to obtain financing at commercially reasonable rate;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ability to receive additional non-dilutive funding, including grants from organizations and foundations;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costs of operating as a public company;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impacts of ongoing or future pandemics or other widespread adverse health events.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Based on our currently forecasted operating plan, we believe that our existing cash, cash equivalents and marketable securities as of June 30, 2026 will enable us to fund our operating expenses and capital expenditure requirements into 2029. Based on our recurring losses from operations incurred since inception, our expectation of continuing operating losses for the foreseeable future and the need to raise additional capital to finance future operations, as of August 5, 2026, the issuance date of the interim condensed consolidated financial statements for the three and six-months ended June 30, 2026 included elsewhere in this Quarterly Report on Form 10-Q, management considered whether or not there are conditions or events, in the aggregate, that raise substantial doubt about the entity’s ability to continue as a going concern, and concluded that there are none as it estimates that its cash, cash equivalents and marketable securities will be sufficient to fund its operating expenses and capital expenditure requirements for at least 12 months from the issuance date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Policies and Use of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financial statements are prepared in accordance with generally accepted accounting principles in the United States. The preparation of our financial statements and related disclosures requires us to make estimates, assumptions and judgments that affect the reported amount of assets, liabilities, revenue, costs and expenses, and related disclosures. Our critical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accounting policies are described under the heading “Management’s Discussion and Analysis of Financial Condition and Results of Operations—Critical Accounting Policies and Use of Estimates” in our Annual Report on Form 10-K for the fiscal year ending December 31, 2025. If actual results or events differ materially from the estimates, judgments and assumptions used by us in applying these policies, our reported financial condition and results of operations could be materially affected. There have been no significant changes to our critical accounting policies from those described in our Annual Report on 10-K for the fiscal year ending December 31,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description of recently issued accounting pronouncements that may potentially impact our financial position, results of operations or cash flows is disclosed in Note 2 to our interim condensed consolidated financial statements appearing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Emerging Growth Company Status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an emerging growth company ("EGC"), under the Jumpstart Our Business Startups Act of 2012 ("JOBS Act"), we may delay the adoption of certain accounting standards until such time as those standards apply to private companies. Other exemptions and reduced reporting requirements under the JOBS Act for EGCs include presentation of only two years of audited consolidated financial statements, an exemption from the requirement to provide an auditor’s report on internal controls over financial reporting pursuant to Section 404(b) of the Sarbanes-Oxley Act, an exemption from any requirement that may be adopted by the Public Company Accounting Oversight Board, and less extensive disclosure about our executive compensation arrangements.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the JOBS Act provides that an EGC can take advantage of an extended transition period for complying with new or revised accounting standards. This provision allows an EGC to delay the adoption of some accounting standards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may qualify as an EGC until December 31, 2026, which is the end of the fiscal year following the fifth anniversary of our IPO, although if the market value of our common stock that is held by non-affiliates exceeds $700 million as of June 30 of any year before that time, or if we have annual gross revenues of $1.235 billion or more in any fiscal year, we will cease to be an EGC as of December 31 of the applicable year. We also will cease to be an EGC if we issue more than $1.0 billion of non-convertible debt over a three-year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a smaller reporting company, as defined by Rule 12b-2 of the Securities Exchange Act of 1934, as amended, we are not required to provide this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principal executive officer and our principal financial officer, evaluated the effectiveness of our disclosure controls and procedures (as defined in Rules 13a-15(e) and 15d-15(e) under the Exchange Act) as of June 30, 2026. Based on that evaluation, our Principal Executive Officer and our Principal Financial Officer concluded that, as of June 30, 2026, our disclosure controls and procedures were effective at the reasonable assurance level.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 change in our internal control over financial reporting (as defined in Rules 13a-15(f) and 15d-15(f) under the Exchange Act) occurred during the three months ended June 30, 2026 that has materially affected, or is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PART II —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we may be involved in claims and proceedings arising in the course of our business. The outcome of any such claims or proceedings, regardless of the merits, is inherently uncertain. We are not currently party to any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In these circumstances, the market price of our Class A common stock would likely decline. In addition, we cannot assure investors that our assumptions and expectations will prove to be correct. Important factors could cause our actual results to differ materially from those indicated or implied by forward-looking statements. See “Forward-Looking Statements” for a discussion of some of the forward-looking statements that are qualified by these risk factors. Factors that could cause or contribute to such differences include those factors discussed below.</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Risks Related to Our Financial Condition and Capital Requirements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are a late-stage clinical oncology company with a limited operating history in developing pharmaceutical products, have not completed any registrational clinical trials and have no products approved for commercial sale, which may make it difficult for you to evaluate our current business and predict our future success and viability.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Pharmaceutical product development is a highly speculative undertaking and involves a substantial degree of risk. We are a late-stage clinical oncology company with a limited operating history in developing pharmaceutical products which makes it difficult to evaluate our business and prospects in future product development. We have no products approved for commercial sale and have not generated any revenue from product sales. To date, we have devoted substantially all of our resources and efforts to providing computational biology services to pharmaceutical and biotechnology companies, organizing and staffing our company, business planning, executing partnerships, raising capital, discovering, identifying and developing potential product candidates, securing related intellectual property rights and undertaking research and preclinical studies and clinical trials of our product candidates, including our ongoing clinical trials of atebimetinib (also referred to as IMM-1-104) for the treatment of advanced solid tumors. We have not yet demonstrated our ability to successfully complete any registrational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to develop new pharmaceutical products than it could be if we had a longer operating history.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we may encounter unforeseen expenses, difficulties, complications, delays and other known and unknown factors and risks frequently experienced by biopharmaceutical companies developing products in rapidly evolving fields. We also may need to transition from a company with a research and development focus to a company capable of supporting commercial activities. If we do not adequately address these risks and difficulties or successfully make such a transition, our business will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have incurred significant net losses for the past several years and we expect to continue to incur significant net losses for the foreseeable future and may never obtain profitability.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incurred net losses in each reporting period for the past several years, have not generated any revenue from product sales to date and have financed our operations principally through our historical computational biology services to pharmaceutical and biotechnology companies (which have since ceased), the issuance of convertible debt and the sale of our convertible preferred stock, Class A common stock and warrants exercisable for common stock. We have incurred net losses of approximately $30.7 million and $56.0 million for the six months ended June 30, 2026 and year ended December 31, 2025, respectively. As of June 30, 2026, we had an accumulated deficit of approximately $311.1 million. Our losses have resulted principally from expenses incurred in research and development of our product candidates, from management and administrative costs and from other expenses that we have incurred while building our business infrastructure. We are currently conducting clinical trials for our product candidate atebimetinib for the treatment of advanced solid tumors. Our other product candidates are in earlier stages of drug development.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as we discover, develop and market additional potential product candidates.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expect to continue to incur significant losses for the foreseeable future, and we expect these losses to increase substantially if and as we:</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advance the development of our current and future product candidates, including atebimetinib, through preclinical and clinical development, and, if approved by the FDA, EMA or other comparable foreign regulatory authorities, commercialization;</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incur manufacturing costs for our product candidates;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seek regulatory approvals for any of our product candidates that successfully complete clinical trials;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increase our research and development activities to identify and develop new product candidates;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hire additional personnel;</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expand our operational, financial and management systems;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invest in measures to protect and expand our intellectual property;</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establish a sales, marketing, medical affairs and distribution infrastructure to commercialize any product candidates for which we may obtain marketing approval and intend to commercialize;</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incur costs in connection with capital raising activities and potential business restructuring activities, if required;</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expand our manufacturing and develop our commercialization efforts, if any; and</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operate as a public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and our ability to achieve and maintain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To become and remain profitable, we must succeed in developing and eventually commercializing product candidates that generate significant revenue. This will require us to be successful in a range of challenging activities, including completing preclinical studies and clinical trials of our product candidates, discovering additional product candidates, obtaining regulatory approval for these product candidates, manufacturing, marketing and selling any products for which we may obtain regulatory approval, achieving market acceptance of any such approved products and receiving reimbursements in amounts above our costs. We are only in the preliminary stages of most of these activities. We may never succeed in these activities and, even if we do, we may never generate revenue that is significant enough to achieve profitability. Because of the numerous risks and uncertainties associated with pharmaceutical product candidate development, we are unable to accurately predict the timing or amount of increased expenses or when, or if, we will be able to achieve profitability. If we are required by the FDA, EMA or other regulatory authorities to perform preclinical studies or clinical trials in addition to those currently expected, or if there are any delays in completing our ongoing preclinical studies or clinical trials or the development of any of our product candidates, our expenses could increase and revenue could be further delayed. 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even continue our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initiate and conduct preclinical studies and clinical trials, including any registrational trials, and seek marketing approval for our current and any future product candidates. Even if one or more of the product candidates that we develop is approved for commercial sale, we anticipate incurring significant costs associated with commercializing any approved product candidate. Our expenses could increase beyond expectations if we are required by the FDA, EMA or other comparable foreign regulatory authorities to perform clinical trials or preclinical studies in addition to those that we currently anticipate. Other unanticipated costs may also arise. In addition, if we obtain marketing approval for any of our product candidates, we expect to incur significant commercialization expenses related to drug sales, marketing, manufacturing and distribution. Because the design and outcome of our current and anticipated clinical trials are highly uncertain, we cannot reasonably estimate the actual amounts necessary to successfully complete the development and commercialization of any product candidate we develop. We also expect to continue to incur the costs associated with operating as a public company. Accordingly, we will need to obtain substantial additional funding in order to maintain our continuing operations in the future.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we had $182.7 million in cash, cash equivalents, and marketable securities. Based on our current business plans, we believe that our existing cash, cash equivalents, and marketable securities will be sufficient to fund our development activities and other operations into 2029. Our estimate as to how long we expect our existing cash, cash equivalents, and marketable securities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future funding requirements will depend on many factors, including, but not limited to:</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initiation, progress, timeline, cost and results of our clinical trials for our product candidates, including our ongoing registrational trial of atebimetinib in combination with mGnP in first-line pancreatic cancer;</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initiation, progress, timeline, cost and results of additional research and/or preclinical studies related to pipeline development and other research programs we initiate in the future;</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cost and timing of manufacturing activities as we advance our product candidates through preclinical and clinical development, and possible commercialization;</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potential expansion of our current development programs to seek new indications;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potential negative impact of widespread adverse economic or health events (including due to military conflict or pandemics)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outcome, timing and cost of meeting regulatory requirements established by the FDA, EMA, and other comparable foreign regulatory authorities;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cost of filing, prosecuting, defending and enforcing patent claims and other intellectual property rights, in-licensed or otherwise;</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effect of competing technological and market developments;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payment of licensing fees, potential royalty payments and potential milestone payments;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cost of general operating expenses;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cost and timing of completion of commercial-scale manufacturing activities, if any;</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cost of establishing sales, marketing, and distribution capabilities for any product candidates for which we may receive regulatory approval in regions where we choose to commercialize our products on our own; and</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cost of operating as a public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Advancing the development of our product candidates will require a significant amount of capital. Our existing cash, cash equivalents, and marketable securities will not be sufficient to fund all of the activities that are necessary to complete the development and potential commercialization of our product candidates.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For example in the past, due to macroeconomic conditions including inflation and higher interest rates, the stock price of biotech companies, including ours, generally declined, making fundraising in our industry more difficult and on less favorable terms. Furthermore, additional fundraising efforts may divert our management from their day-to-day activities, which may adversely affect our ability to develop and potentially commercialize our product candidates.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 In that event, we may have to delay, scale back, or eliminate some or all of our operations, sell assets and/or seek other strategic alternatives.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maintain the majority of our cash, cash equivalents, and marketable securities in accounts with major U.S. and multi-national financial institutions, and our deposits at certain of these institutions exceed insured limits. Market conditions have in the past impacted and may in the future impact the viability of these institutions. In the event of failure of any of the financial institutions where we maintain our cash, cash equivalents, and marketable securities,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Raising additional capital may cause dilution to our existing stockholders, restrict our operations or require us to relinquish rights to our product candidates on unfavorable terms to us.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may seek additional capital through a variety of means, including through public or private equity offerings, debt financings or other sources, including up-front payments and milestone payments from strategic collaborations. To the extent that we raise additional capital through the sale of equity or convertible debt or equity securities, for example as we did in August and September 2025, your ownership interest may be diluted, and the terms may include liquidation or other preferences that adversely affect your rights as a stockholder. In addition to dilution, such financings may result in the imposition of debt covenants, increased fixed payment obligations, other restrictions (including operating restrictions) or other obligations (for example, providing registration or other information rights to certain investors, as we did in connection with private placements of equity securities in 2025)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ability to use our net operating losses and other tax attributes may be limited.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approximately $174.8 million of federal and $56.7 million of state net operating loss carryforwards ("NOLs"), available to offset future taxable income. Under Sections 382 and 383 of the U.S. Internal Revenue Code of 1986, as amended (the “Code”), a corporation that undergoes an “ownership change,” generally defined as a greater than 50% change by value in its equity ownership over a three-year period is subject to limitations on its ability to utilize its pre-change NOLs and other tax attributes such as research tax credits to offset future taxable income. We have not performed an analysis to determine whether our past issuances of stock and other changes in our stock ownership may have resulted in other ownership changes. If it is determined that we have in the past experienced other ownership changes, or if we undergo one or more ownership changes as a result of future transactions in our stock, which may be outside our control, then our ability to utilize NOLs and other pre-change tax attributes could be further limited by Sections 382 and 383 of the Code, and certain of our NOLs and other pre-change tax attributes may expire unused. As a result, if or when we earn net taxable income, our ability to use our pre-change NOLs or other tax attributes to offset such taxable income or otherwise reduce any liability for income taxes may be subject to limitations, which could adversely affect our future cash flows.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Risks Related to Development, Regulatory Approval and Commercialization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The regulatory approval processes of the FDA, EMA and other comparable foreign regulatory authorities are lengthy, time consuming and inherently unpredictable with respect to outcomes. If we are ultimately unable to obtain regulatory approval for our product candidates, or to obtain regulatory approval to treat the indications we seek to treat with our product candidates, we will be unable to generate product revenue or the level of planned product revenue and our business will be substantially harmed.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not permitted to commercialize, market, promote or sell any product candidate in the United States without obtaining marketing approval from the FDA. Foreign regulatory authorities, such as the EMA, impose similar requirements. The time required to obtain approval by the FDA, EMA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of any regulatory filing for our product candidates, the FDA, EMA and other comparable foreign regulatory authorities may approve our product candidates for a more limited indication or a narrower patient population than we originally requested. We have not submitted for, or obtained, regulatory approval for any product candidate, and it is possible that none of our existing product candidates or any product candidates we may seek to develop in the future will ever obtain regulatory approval.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Applications for our product candidates could fail to receive, or be delayed in receiving, regulatory approval for many reasons, including the following:</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FDA, EMA or other comparable foreign regulatory authorities may disagree with the design, implementation or results of our clinical trials, including without limitation with respect to the appropriate dosing in patients or the use of our product candidates as potential combination therapies;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FDA, EMA or other comparable foreign regulatory authorities may determine that our product candidates are not safe and/or not effective, only moderately effective or have undesirable or unintended side effects, toxicities or other characteristics that preclude our obtaining marketing approval or prevent or limit commercial use;</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population studied in a clinical trial may not be sufficiently broad or representative to assure efficacy and safety in the full population for which we seek approval;</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FDA, EMA or other comparable foreign regulatory authorities may disagree with our interpretation of data from preclinical studies or clinical trials;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data collected from clinical trials of our product candidates may not be sufficient to support the submission of a NDA or other submission or to obtain regulatory approval in the United States, European Union or elsewhere;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we may be unable to demonstrate to the FDA, EMA or other comparable foreign regulatory authorities that a product candidate’s risk-benefit ratio for its proposed indication is acceptable;</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FDA, EMA or other comparable foreign regulatory authorities may fail to approve the manufacturing processes, test procedures and specifications or facilities of third-party manufacturers with which we contract for clinical and commercial supplies; and</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approval policies or regulations of the FDA, EMA or other comparable foreign regulatory authorities may significantly change in a manner rendering our clinical data insufficient for approval.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the FDA, EMA or comparable foreign regulatory authorities may change their policies, adopt additional regulations or revise existing regulations or take other actions, which may prevent or delay approval of our future product candidates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even if we obtain approval of our product candidates, regulatory authorities may approve any of our product candidates for fewer or more limited indications than we request, may impose significant limitations in the form of narrow indications, warnings, or a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may not be able to submit additional INDs or IND amendments or comparable documents in foreign jurisdictions to commence additional clinical trials on the timelines we expect, and even if we are able to, the FDA may not permit us to proceed.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may not be able to submit additional INDs, IND amendments or comparable documents for atebimetinib, for which an IND was previously submitted, or for our other current or potential product candidates on the timelines we expect. We may also experience manufacturing delays or other delays with IND-enabling studies. Moreover, we cannot be sure that submission of an IND or comparable document will result in the FDA or other comparable foreign regulatory authorities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have limited experience in designing clinical trials and may experience delays or unexpected difficulties in obtaining regulatory approval for our current and future product candidates.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limited experience in designing clinical trials and may be unable to design and execute a clinical trial to support marketing approval, including, for example, our registrational trial of atebimetinib in combination with mGnP in first-line pancreatic cancer. We cannot be certain that our ongoing or planned clinical trials or any future clinical trials will be successful. For example, in April 2025 we paused further internal advancement of envometinib (IMM-6-415) and the related Phase 1/2a clinical trial. Further, it is possible that the FDA may refuse to accept, or be delayed in accepting, any or all of our planned NDAs for substantive review or may conclude after review of our data that our application is insufficient to obtain regulatory approval for any product candidates. If the FDA does not approve any of our planned NDAs, it may require that we conduct additional costly clinical trials, preclinical studies or manufacturing validation studies before it will reconsider our applications. Depending on the extent of these or any other FDA-required studies, approval of any NDA or other application that we submit may be significantly delayed, possibly for several years, or may require us to expend more resources than we have available. Any failure or delay in obtaining regulatory approvals would prevent us from commercializing our product candidates, generating revenues and achieving and sustaining profitability. It is also possible that additional studies, if performed and completed, may not be considered sufficient by the FDA to approve any NDA or other application that we submit. If any of these outcomes occur, we may be forced to abandon the development of our product candidates, which would materially adversely affect our business and could potentially cause us to cease operations. We face similar risks for applications in foreign jurisdictions with comparable regulatory agencies, including without limitation the EMA.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may encounter substantial delays in completing, or ultimately be unable to complete, the development and commercialization of our product candidates.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Before obtaining marketing approval from the FDA, EMA or other comparable foreign regulatory authorities for the sale of our product candidates, we must complete preclinical development and extensive clinical trials to demonstrate the safety and efficacy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we are substantially dependent on preclinical, clinical and quality data generated by CROs and other third parties for regulatory submissions for our product candidates. While we have or will have agreements governing these third parties’ services, we have limited influence over their actual performance. If these third parties do not make data available to us, or, if applicable, make regulatory submissions in a timely manner, in each case pursuant to our agreements with them, our development programs may be significantly delayed, and we may need to conduct additional studies or collect additional data independently. In either case, our development costs would increase, perhaps substantially.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do not know whether our future clinical trials will begin on time or enroll patients on time, or whether our future clinical trials will be completed on schedule or at all. Clinical trials can be delayed for a variety of reasons, including delays related to:</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FDA, EMA or comparable foreign regulatory authorities disagreeing as to the design, implementation or results of our clinical trials, including without limitation with respect to the appropriate or proper escalation of dosing in patients or the use of our product candidates as potential combination therapies;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obtaining regulatory authorizations to commence a trial or reaching a consensus with regulatory authorities on trial design;</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any failure or delay in reaching an agreement with CROs and clinical trial sites, the terms of which can be subject to extensive negotiation and may vary significantly among different CROs and trial sites;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obtaining approval from one or more IRBs;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IRBs refusing to approve, suspending or terminating the trial at an investigational site, precluding enrollment of additional subjects, or withdrawing their approval of the trial;</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delays in enrollment due to travel or quarantine policies, or other factors related to current or future pandemics or other events outside our control;</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changes to clinical trial protocol;</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clinical sites deviating from trial protocol or dropping out of a trial;</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manufacturing sufficient quantities of product candidates or obtaining sufficient quantities of combination therapies for use in clinical trials;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subjects failing to enroll or remain in our trial at the rate, with the tumor types, and/or at the stage(s) of disease that we expect, or failing to return for post-treatment follow-up;</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subjects choosing an alternative treatment for the indication for which we are developing our product candidates, or participating in competing clinical trials;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lack of adequate funding to continue the clinical trial;</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subjects experiencing severe or unexpected drug-related adverse effects;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occurrence of serious adverse events in trials of the same class of agents conducted by other companies;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selection of clinical end points that require prolonged periods of clinical observation or analysis of the resulting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a facility manufacturing our product candidates or any of their components being ordered by the FDA, EMA or comparable foreign regulatory authorities to temporarily or permanently shut down due to violations of cGMP regulations or other applicable requirements, or infections or cross-contaminations of product candidates in the manufacturing process;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any changes to our manufacturing process that may be necessary or desired;</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third-party clinical investigators losing the licenses or permits necessary to perform our clinical trials, not performing our clinical trials on our anticipated schedule or consistent with the clinical trial protocol, GCP, or other regulatory or contractual requirements;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third-party contractors not performing data collection or analysis in a timely or accurate manner; or</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third-party contractors becoming debarred or suspended or otherwise penalized by the FDA, EMA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the occurrence of any public health crisis or similar global events, such as a future pandemic and its variants, could disrupt the supply chain and the manufacture or shipment of drug substances and finished drug products for our product candidates for use in our research and clinical trials, delay, limit or prevent our employees and CROs from continuing research and development activities, impede the ability of patients to enroll or continue in clinical trials, or impede testing, monitoring, data collection and analysis or other related activities, any of which could delay our clinical trials and increase our development costs, and have a material adverse effect on our business, financial condition and results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could also encounter delays if a clinical trial is suspended or terminated by us, by the IRBs of the institutions in which such trials are being conducted, by a Data Safety Monitoring Board for such trial or by the FDA, EMA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EMA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Further, conducting clinical trials (such as MAPKeeper 301) in foreign countries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including with respect to healthcare, cybersecurity and data privacy matters, as well as political and economic risks or military conflicts relevant to such foreign countries.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Additionally, if the results of our clinical trials are inconclusive or if there are safety concerns or serious adverse events associated with our product candidates, we may:</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be delayed in obtaining marketing approval, if at all;</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obtain approval for indications or patient populations that are not as broad as intended or desired;</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obtain approval with labeling that includes significant use or distribution restrictions or safety warnings;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be subject to additional post-marketing testing requirements;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be required to perform additional preclinical studies or clinical trials to support approval or be subject to additional post-marketing testing requirements;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have regulatory authorities withdraw, or suspend, their approval of the drug or impose restrictions on its distribution in the form of a modified REMS;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be subject to the addition of labeling statements, such as warnings or contraindications;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be sued; or</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experience damage to our reputation.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development costs will also increase if we experience delays in testing or obtaining marketing approvals. We do not know whether any of our preclinical studies or clinical trials will begin as planned, need to be restructured or be completed on schedule, if at all. Any delay in, or termination of, our clinical trials will delay the submission of an NDA to the FDA or similar applications with comparable foreign regulatory authorities and, ultimately, our ability to commercialize our product candidates, if approved, and generate product revenue. Even if our clinical trials are completed as planned, we cannot be certain that their results will support our claims for differentiation or the effectiveness or safety of our product candidates. Regulatory agencies such as the FDA and EMA have substantial discretion in the review and approval process and may disagree that our data support the claims we propose.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EMA or comparable foreign regulatory authorities. The FDA, EMA or comparable foreign regulatory authorities may conclude that a financial relationship between us and a principal investigator has created a conflict of interest or otherwise affected interpretation of the study. The FDA, EMA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EMA or comparable foreign regulatory authorities, as the case may be, and may ultimately lead to the denial of marketing approval of one or more of our product candidates.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many of the factors that cause, or lead to, termination or suspension of, or a delay in the commencement or completion of, clinical trials may also ultimately lead to the denial of regulatory approval of a product candidate.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The outcome of preclinical studies and earlier clinical trials may not be predictive of the success of later clinical trials, and the results of our clinical trials may not satisfy the requirements of the FDA or other comparable foreign regulatory authorities.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Before obtaining regulatory approvals for the commercial sale of any of our product candidates, we will be required to demonstrate with substantial evidence through well-controlled clinical trials that our product candidates are safe and effective for their intended uses. Clinical testing is expensive and can take many years to complete, and its outcome is inherently uncertain. Failure can occur at any time during the clinical trial process. Success in preclinical studies and early-stage clinical trials does not mean that future or later-stage clinical trials, such as our registrational trial of atebimetinib in combination with mGnP in first-line pancreatic cancer, will be successful. We do not know whether any of our product candidates will perform in current or future clinical trials as they have performed in preclinical studies or prior clinical trials. Product candidates in later-stage clinical trials may fail to demonstrate sufficient safety and efficacy to the satisfaction of the FDA, EMA or other comparable foreign regulatory authorities despite having progressed through preclinical studies and early-stage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our product candidates. Additionally, any safety concerns observed in any one of our clinical trials in our targeted indications could limit the prospects for regulatory approval of our product candidates in those and other indications, which could seriously harm our business. Most product candidates that begin clinical trials are never approved by regulatory authorities for commercialization.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Moreover, preclinical and clinical data are often susceptible to varying interpretations and analyses and many companies that believed their product candidates performed satisfactorily in preclinical studies and clinical trials nonetheless failed to obtain FDA, EMA or comparable foreign regulatory authority approval. We cannot guarantee that the FDA, EMA or comparable foreign regulatory authorities will interpret trial results as we do, and more trials could be required before we are able to submit applications seeking approval of our product candidates. To the extent that the results of the trials are not satisfactory to the FDA, EMA or comparable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our product candidates.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we may publicly disclose interim,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we may also disclose interim data from our preclinical studies and clinical trials. For example, we disclosed updated interim safety and efficacy data from the Phase 2a portion of our ongoing Phase 1/2a clinical trial of atebimetinib in June 2026.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top-line, preliminary and/or interim data and final data could significantly harm our business prospects. Further, disclosure of interim data by us or by our competitors could result in volatility in the trading price of our Class A common stock.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potentially commercialize, our product candidates may be harmed, which could harm our business, results of operations, prospects or financial condition. Moreover, such disclosure could adversely affect the trading price of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current or future product candidates may cause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is the case with pharmaceuticals generally, patients have experienced and likely will in the future experience side effects and/or adverse events associated with the use of our product candidates. Results of our preclinical studies and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EMA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If our product candidates are associated with undesirable side effects or have unexpected characteristics in preclinical studies or clinical trials when used alone or in combination with approved or other investigational products,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Patients in our clinical trials may in the future suffer significant drug-related adverse events or other side effects, including those not observed in our preclinical studies or previous clinical trials. Some of our product candidates may be used as chronic therapies or be used in pediatric populations, for which safety concerns may be particularly scrutinized by regulatory agencies. In addition, our product candidates, when used in combination with other therapies, may exacerbate adverse events associated with the therapy. Patients treated with our product candidates may also be undergoing surgical, radiation, chemotherapy or other aggressive treatments, which can cause side effects or adverse events that are unrelated to our product candidate, but may still negatively impact the success of our clinical trials. Similarly, already critically ill patients that we enroll in our clinical trials have in the past and may in the future experience adverse medical events due to the general gravity or advanced stage of such patients’ illnesses, in each case which could adversely affect our clinical trials even though such outcomes are not related or attributable to our product candidates.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If significant drug-related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costlier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 Other potentially significant negative consequences include that:</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we may be forced to suspend marketing of that product, or be forced to or decide to remove the product form the marketplace;</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regulatory authorities may withdraw or change their approvals of that product in one or more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we may be required to create a medication guide outlining the risks of the product for patients, or to conduct post-marketing studies;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we may be required to change the way the product is administered;</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we could be subject to fines, injunctions, or the imposition of criminal or civil penalties, or to be sued and held liable for harm caused to subjects or patients; and</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product may become less competitive, and our reputation may suffer.</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Any of these events could diminish the usage or otherwise limit the commercial success of our product candidates and prevent us from achieving or maintaining market acceptance of the affected product candidate, if approved by applicable regulatory authorities.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If we experience delays or difficulties in the enrollment and/or maintenance of patients in clinical trials, our clinical development activities could be delayed or otherwise adversely affected.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our product candidates if we are unable to locate and enroll a sufficient number of eligible patients to participate in these trials to such trial’s conclusion as required by the FDA, EMA or other comparable foreign regulatory authorities. Additionally, our clinical trials will compete with other clinical trials for product candidates that focus on the same therapeutic targets as our current and potential future product candidates, which may further limit enrollment of eligible patients or may result in slower enrollment than we anticipate. The eligibility criteria of our clinical trials, once established, may further limit the pool of available trial participants.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Patient enrollment may also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 Patient enrollment for any of our clinical trials may be affected by other factors, including:</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size and nature of the patient population;</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severity of the disease under investigation;</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availability and efficacy of other developmental or approved drugs for the disease under investigation;</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patient eligibility criteria for the trial in question as defined in the protocol;</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perceived risks and benefits of the product candidate under study;</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clinicians’ and patients’ perceptions as to the potential advantages of the product candidate being studied in relation to other available therapies, including any new products that may be approved for the indications we are investigating;</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efforts to facilitate timely enrollment in clinical trials;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patient referral practices of physicians;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ability to monitor patients adequately during and after treatment;</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proximity and availability of clinical trial sites for prospective patients;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continued enrollment of prospective patients by clinical trial sites;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risk that patients enrolled in clinical trials will drop out of the trials before completion or will not survive the full terms of the clinical trials (including without limitation because they may be late-stage cancer patients);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delays or difficulties in enrollment and completion of studies due to ongoing and future pandemics, or other widespread adverse health events.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enrollment of such patients in our clinical trials.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Even if approved, our product candidates may not achieve adequate market acceptance among physicians, patients, healthcare payors and others in the medical community necessary for commercial success.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efficacy and safety profile as demonstrated in clinical trials compared to alternative treatments;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timing of market introduction of the product candidate as well as competitive products;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clinical indications for which the product candidate is approved;</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restrictions on the use of our product candidates, such as boxed warnings or contraindications in labeling, or a REMS, if any, which may not be required of alternative treatments and competitor products;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potential and perceived advantages of product candidates over alternative treatments;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cost of treatment in relation to alternative treatments;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availability of coverage and adequate reimbursement, as well as pricing, by third-party payors, including government authorities;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availability of the approved product candidate for use as a combination therapy;</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relative convenience and ease of administration;</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willingness of the target patient population to try new therapies and of physicians to prescribe these therapies;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effectiveness of sales and marketing efforts;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unfavorable publicity relating to our products or product candidates or similar approved products or product candidates in development by third parties; and</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approval of other new therapies for the same indications.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If any of our product candidates is approved but does not achieve an adequate level of acceptance by physicians, hospitals, healthcare payors and patients, we may not generate or derive sufficient revenue from that product candidate and our financial results could be negatively impacted.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may be unable to obtain U.S. or foreign regulatory approvals and, as a result, may be unable to commercialize our product candidates.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marketed.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not completed large-scale or pivotal clinical trials nor completed the regulatory approval process with the FDA, EMA or any other regulatory authority. The time required to obtain approvals from the FDA, EMA and other regulatory authorities is unpredictable, and requires successful completion of extensive clinical trials which typically takes many years, depending upon the type, complexity and novelty of the product candidate. The standards that the FDA and its foreign counterparts use when evaluating clinical trial data can and often changes during drug development, which makes it difficult to predict with any certainty how they will be applied. We may also encounter unexpected delays or increased costs due to new government regulations, including future legislation or administrative action, or changes in FDA, EMA or other applicable regulatory authority policy during the period of drug development, clinical trials and regulatory review.</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Any delay or failure in seeking or obtaining required approvals would have a material and adverse effect on our ability to generate revenue from the particular product candidate for which we are developing and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and EMA approval processes described above, as well as risks attributable to the satisfaction of local regulations in foreign jurisdictions. Moreover, the time required to obtain approval may differ from that required to obtain FDA or EMA approval.</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approach to the discovery and development of product candidates is unproven, and we may not be successful in our efforts to use and expand our Disease Cancelling Technology ("DCT") platform and capabilities to build a pipeline of product candidates with commercial value.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 key element of our strategy is to use and expand our DCT platform to build a pipeline of product candidates and progress these product candidates through clinical development for the treatment of various cancers. Although our research and development efforts to date have resulted in our discovery, preclinical and clinical development of atebimetinib and other product candidates, it and other product candidates may not be safe or effective for the indications for which we study them in clinical trials, and we may not be able to develop any other product candidates. Our DCT platform is evolving and may not reach a state at which building a pipeline of product candidates is possible.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scientific research that forms the basis of our efforts to develop product candidates with our platforms is still ongoing. Further, the scientific evidence to support the feasibility of developing therapeutic treatments based on our DCT platform is both preliminary and limited. As a result, we are exposed to a number of unforeseen risks and it is difficult to predict the types of challenges and risks that we may encounter during development of our product candidates. For example, we have only generated interim data from the ongoing Phase 1/2a trial of atebimetinib, and otherwise our data for this product candidate is limited to animal models and preclinical cell lines, the results of which may not translate into humans. As a result, it is possible that safety or other adverse events or concerns could negatively affect the development of atebimetinib or our other current or future product candidates, including adversely affecting patient enrollment among the patient populations that we intend to treat.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Given the novelty of our technologies, we intend to work closely with the FDA, EMA and comparable foreign regulatory authorities to perform the requisite scientific analyses and evaluation of our methods to obtain regulatory approval for our product candidates; however, due to a lack of comparable experiences, the regulatory pathway with the FDA, EMA and comparable regulatory authorities may be more complex and time-consuming relative to other more well-known therapeutics. Even if we obtain human data to support our product candidates, the FDA, EMA or comparable foreign regulatory agencies may lack experience in evaluating the safety and efficacy of our product candidates developed using our platforms, which could result in a longer than expected regulatory review process, increase our expected development costs, and delay or prevent commercialization of our product candidates. The validation process takes time and resources, may require independent third-party analyses, and may not be accepted or approved by the FDA, EMA and other comparable foreign regulatory authorities. We cannot be certain that our approach will lead to the development of approvable or marketable products, alone or in combination with other therapies.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Additionally, a key element of our strategy is to use and expand our platforms to build a pipeline of product candidates and progress those product candidates through clinical development for the treatment of a variety of different types of diseases. Although our research and development efforts to date have been focused on identifying a pipeline of product candidates directed at various disease types, we may not be able to develop product candidates that are safe and effective. 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approvable or marketable products that will receive marketing approval and achieve market acceptance.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Even if we are successful in building our pipeline of product candidates, the potential product candidates that we identify may not be suitable for clinical development or generate acceptable clinical data, including as a result of being shown to have unacceptable toxicity or other characteristics that indicate that they are unlikely to be products that will receive marketing approval from the FDA, EMA or other regulatory authorities or achieve market acceptance. If we do not successfully develop and commercialize product candidates, we will not be able to generate product revenue in the future, which likely would result in significant harm to our financial position and adversely affect our stock price.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intend to develop certain of our current product candidates in combination with other therapies, and may develop our future product candidates in combination with other therapies, which exposes us to additional risks.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intend to develop atebimetinib as a potential biologic/drug combination product, and we may also develop other current or future product candidates as biologic/drug combination products. Additional time may be required to obtain regulatory approval for any of our current or future product candidates if or when they are developed as potential combination products. Any of our product candidates that may be biologic/drug combination products will require coordination within the FDA, EMA and other comparable foreign regulatory authorities for review of their biologic and drug components. Although the FDA, EMA and other comparable foreign regulatory authorities have systems in place for the review and approval of combination products, we may experience delays in the development and commercialization of our product candidates that may be combination products due to regulatory timing constraints and uncertainties in the product development and approval process.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even if any product candidate we develop were to receive marketing approval or be commercialized for use in combination with other existing therapies, we would continue to be subject to the risks that the FDA, EMA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EMA or comparable foreign regulatory authorities may require us to conduct additional clinical trials. The occurrence of any of these risks could result in our own products, if approved, being removed from the market or being less successful commercially.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also may choose to evaluate our current product candidates or any other future product candidates in combination with one or more therapies that have not yet been approved for marketing by the FDA, EMA or comparable foreign regulatory authorities. We will not be able to market and sell our product candidates we develop in combination with an unapproved therapy for a combination indication if that unapproved therapy does not ultimately obtain marketing approval either alone or in combination with our product. In addition, unapproved therapies face the same risks described with respect to our product candidates currently in development and clinical trials, including the potential for serious adverse effects, delay in their clinical trials and lack of FDA, EMA or other regulatory approval.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If the FDA, EMA or comparable foreign regulatory authorities do not approve these other drugs or revoke their approval of, or if safety, efficacy, quality, manufacturing or supply issues arise with, the drugs we choose to evaluate in combination with our product candidate we develop, we may be unable to obtain approval of or market such combination therapy.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If we successfully develop our product candidates, we may seek approval from the FDA through the use of accelerated approval pathways. If we are unable to obtain such approval, we may be required to conduct additional preclinical studies or clinical trials beyond those that we initially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may seek an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EMA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Similar considerations exist with respect to the potential use of accelerated approval pathways in other jurisdictions outside of the United States.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than our product candidates.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Third parties with product candidates or products targeting the MAPK pathway may produce negative preclinical or clinical data which may adversely affect public perception of our product candidates, and may negatively impact regulatory approval of, or demand for, our potential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Certain of our product candidates, including atebimetinib, are based on the DCI of the MAPK pathway as a model of therapeutic intervention. Our DCI approach may not be viewed as distinct from other existing therapies targeting the MAPK pathway, and negative third party data from preclinical studies and/or clinical trials using other MAPK-targeted therapies could negatively impact the perception of the therapeutic use of such product candidates or products on the whole. This could, among other things, negatively impact our ability to enroll patients in clinical trials. The clinical and commercial success of our product candidates will depend in part on the public’s and clinical community’s acceptance of the use of DCI therapies. Moreover, our success depends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 Adverse events in our clinical trials, or those of our competitors or of academic researchers utilizing MAPK-targeted therapies, even if not ultimately similar or attributable to our DCI product candidates, and the resulting publicity, could result in increased governmental regulation, unfavorable public perception, increased volatility in our stock price, potential regulatory delays in the testing or approval of our potential product candidates, stricter labeling requirements for our product candidates that are approved, if any, and a decrease in demand for any such products, if approved.</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Risks Related to Our Business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are early in our development efforts. Our business is substantially dependent on the successful development of our current and future product candidates. If we are unable to advance our current or future product candidates through clinical trials, obtain marketing approval to treat the indications that we seek to treat with our product candidates, and ultimately commercialize any product candidates we develop, or experience significant delays in doing so, our business will be materially harmed.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early in our development efforts and we have not yet completed a Phase 3 clinical trial for our lead product candidate atebimetinib. Further, we have only disclosed interim Phase 2a data for atebimetinib, and in April 2025 we paused further internal advancement of envometinib and the related Phase 1/2a clinical trial. Our other product candidates are in earlier stages of drug development. We have invested substantially all of our efforts and financial resources in the identification of targets, preclinical and clinical development of small molecules targeting the MAPK and other pathways in cancer therapy.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success of our current and future product candidates will depend on several factors, including without limitation the following:</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successful and timely completion of additional preclinical studies;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successful initiation, patient enrollment and completion on a timely basis of our ongoing and any future clinical trials (including our ongoing registrational trial of atebimetinib in combination with mGnP in pancreatic cancer), despite any delays including those arising out of ongoing or future pandemics, or other widespread adverse health events;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maintaining and establishing relationships with CROs and clinical sites for clinical development, both in the United States and internationally;</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frequency and severity of adverse events in the clinical trials;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efficacy, safety and tolerability profiles that are satisfactory to the FDA, EMA or any comparable foreign regulatory authority for marketing approval;</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timely receipt of marketing approvals from applicable regulatory authorities;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extent of any required post-marketing approval commitments to applicable regulatory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maintenance of existing or the establishment of new supply arrangements with third-party drug product suppliers and manufacturers for clinical development;</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maintenance of existing, or the establishment of new, scaled production arrangements with third-party manufacturers to obtain finished products that are appropriate for commercial sale of our product candidates, if approved;</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obtaining and maintaining patent protection, trade secret protection and regulatory exclusivity, both in the United States and internationally;</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protection of our rights in our intellectual property portfolio;</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successful launch of commercial sales following any marketing approval;</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a continued acceptable safety profile following any marketing approval;</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commercial acceptance by patients, the medical community and third-party payors; and</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our ability to compete with other therapies.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atebimetinib or any other product candidate we develop, we may not be able to continue our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are substantially dependent on our platform, including our proprietary technologies, which are supported by our information technology systems. Any failure of these or other elements of our platform will materially harm our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substantially dependent on our platform, including our proprietary technologies, which are supported by our information technology systems, for significant elements of our drug discovery process, bioinformatics and computational biology software systems, database of information relating to our product candidates and their role in the targeted disease process, amongst others. Although we invest substantially in the backup/restore, high-availability architecture, monitoring and reporting, documentation and preventive security controls of our systems and proprietary technologies, these elements of our platform are still vulnerable to damage from a variety of sources, including telecommunications or network failures, malicious or inadvertent human acts, and natural disasters. Our information technology systems and proprietary technologies are potentially also vulnerable to physical or electronic break-ins, employee errors, computer viruses and similar disruptive problems. Despite the precautionary measures we have taken to prevent unanticipated problems that could affect our information technology systems and proprietary technologies, failures or significant downtime of these systems could prevent us from conducting research and development activities for our current and future product candidates, and ultimately delay our drug discovery process. Any failure of our information technology systems and proprietary technologies will materially harm our business.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long-term prospects depend in part upon discovering, developing and commercializing product candidates, which may fail in development or suffer delays that adversely affect their commercial viability.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future results of operations are dependent on our ability to successfully discover, develop, obtain regulatory approval for and commercialize product candidates beyond those we currently have in preclinical studies and clinical trial development.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studies or earlier clinical trials of a product candidate may not be predictive of the results that will be obtained in later stage clinical trials of the product candidate.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success of the product candidates we have or may develop will depend on many factors, including without limitation the following:</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success of our research methodology in identifying potential indications or product candidates;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generating sufficient data to support the initiation or continuation of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obtaining regulatory permission to initiate clinical trials;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contracting with the necessary parties to conduct clinical trials;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successful enrollment of patients in, and the completion of, clinical trials on a timely basis;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timely manufacture of sufficient quantities of the product candidate for use in clinical trials;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adverse events in the clinical trials; and</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any potential interruptions or delays resulting from factors related to ongoing or future pandemics, or other widespread adverse health events.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Even if we successfully advance any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product candidates.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have never commercialized a product candidate before and may lack the necessary expertise, personnel and resources to successfully commercialize any products on our own or together with suitable collaborators.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never commercialized a product candidate, and we currently have no sales force, marketing or distribution capabilities. We will have to develop our own sales, marketing and supply organization or outsource some or all of these activities to a third party to commercialize our products. If we decide to license our product candidates to others, we may need to rely on the marketing assistance and guidance of those collaborators.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will be expensive and time-consuming and could delay the launch of our product candidates. We may not be able to build an effective sales and marketing organization, if at all. If we are unable to build our own distribution and marketing capabilities or to find suitable partners for the commercialization of our product candidates, we may not generate revenues from them or be able to reach or sustain profitability.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pharmaceutical and biotechnology industries are characterized by rapidly advancing technologies, intense competition and a strong emphasis on proprietary and novel products and product candidates. Our competitors have developed, are developing or may develop products, product candidates, technologies or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addition, our products may need to compete with off-label drugs used by physicians to treat the indications for which we seek approval. This may make it difficult for us to replace existing therapies with our products.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particular, there is intense competition in the fields of oncology we are pursuing. We have competitors both in the United States and internationally, including major multinational biopharmaceutical companies, established biotechnology companies, specialty biopharmaceutical companies, emerging and start-up companies, universities and other research institutions. Our product candidates and programs for oncology will compete with products or programs being advanced by certain of these pharmaceutical and biotechnology companies, organizations and institutions. We also compete with these organizations to recruit management, scientists and clinical development and other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chosen to initially address well-validated biochemical targets, and therefore expect to face competition from existing products and products in development for each of our product candidates. There are a large number of companies developing or marketing treatments for cancer, including many major pharmaceutical and biotechnology companies.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and experience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commercial opportunities could be reduced or eliminated if our competitors develop and commercialize products that are safer, more effective, have fewer or less severe effects, are more convenient, have a broader label, are marketed more effectively, are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If the market opportunity for any product candidate that we develop is smaller than we believe, our revenue may be adversely affected and our business may suffer.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intend to initially focus our product candidate development on treatments for various oncology indications. Our projections of addressable patient populations that may benefit from treatment with our product candidates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 prove to be inaccurate, the market opportunity for any product candidate that we develop could be significantly diminished and have an adverse material impact on our business.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have never obtained marketing approval for a product candidate and we may be unable to obtain, or may be delayed in obtaining, marketing approval for any product candidate.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never obtained marketing approval for a product candidate. It is possible that the FDA may refuse to accept for substantive review any NDAs that we submit for our product candidates or may conclude after review of our data that our applications are insufficient to obtain marketing approval of our product candidates. If the FDA does not accept or approve our NDAs for our product candidates, it may require that we conduct additional clinical trials, preclinical or manufacturing validation studies and submit that data before it will reconsider our applications. Depending on the extent of these or any other FDA-required studies, approval of any NDA that we submit may be delayed or may require us to expend more resources than we have available. It is also possible that additional studies, even if performed and completed, may not be considered sufficient by the FDA to approve our NDAs. Similar considerations exist with respect to potentially obtaining marketing approvals in other jurisdictions outside of the United States.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Any delay in obtaining, or an inability to obtain, marketing approvals, whether in the United States or internationally, would prevent us from commercializing our product candidates, generating revenues, and achieving and sustaining profitability. If any of these outcomes occur, we may be forced to abandon our development efforts for our product candidates, which could significantly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Unfavorable global and regional economic, political and health conditions could adversely affect our business, financial condition or results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business could be adversely affected by global or regional economic, political and / or health conditions. For example, various macroeconomic factors could adversely affect our business, financial condition and results of operations, including changes in inflation, interest rates and overall economic conditions and uncertainties, such as those resulting from political instability (such as workforce uncertainty), trade disputes between nations, and the current and future conditions in the global financial markets. For example, the imposition of tariffs by the U.S. government and any retaliatory tariffs imposed in response have created significant uncertainty, including in the amount, applicability and duration of such tariffs. Tariffs impacting the availability or price of resources used to manufacture our current or future product candidates could adversely affect our preclinical studies and clinical trials and, if in the future any of our product candidates are approved, tariffs may also adversely impact the price and / or demand for such approved products. Moreover third-party vendors, including CROs and CMOs upon which we rely, may suffer disruptions in their businesses or experience significant increases in the cost of their goods or services sold (which they may pass through, in part or in whole, to us) due to factors beyond their control, including tariffs. Additionally, if sustained high rates of inflation or other factors were to significantly increase our business costs, we may be unable to manage such increased expenses or pass through price increases. A global financial crisis or global or regional political and economic instability, wars, terrorism, civil unrest, outbreaks of disease, and other unexpected events, such as supply chain constraints or disruptions, could cause extreme volatility in the capital and credit markets and disrupt our business. Business disruptions could include, among others, disruptions to our research or clinical activities, including due to supply chain or distribution constraints or challenges, clinical enrollment, clinical site availability, patient accessibility, and conduct of our clinical trials, as well as temporary closures of the facilities of suppliers or contract manufacturers in the biotechnology supply chain. In addition, during certain crises and events, patients may prioritize other items over certain or all of their treatments and/or medications, which could have a negative impact on our clinical trials A severe or prolonged economic downturn, political disruption and / or adverse health conditions could result in a variety of risks to our business, including our ability to raise capital when needed on acceptable terms, if at all. Any of the foregoing could harm our business and we cannot anticipate all of the ways in which political, economic, health and / or financial market conditions could adversely impact our business.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Ongoing and potential future pandemics could adversely impact our business, including our current and future clinical trials, supply chain and business development activities.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effects of government actions, our own policies or those of third parties to address ongoing pandemics and any future pandemic may negatively impact productivity and slow down or delay our future clinical trials, preclinical studies and research and development activities, and may cause disruptions to our supply chain and impair our ability to execute our business development strategy. We may also experience delays in receiving approval from regulatory authorities to initiate or conduct our ongoing or planned clinical trials and delays in regulatory review or approval of any NDA or similar foreign filing we may submit following positive results, if any, in a pivotal study for any of our drug candidates. We may also experience operational delays such as delays or difficulties in enrolling patients in our clinical trials; 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 and changes in local regulations as part of a response to ongoing or future pandemics, which may require us to change the ways in which our clinical trials are conducted and result in unexpected costs, or to discontinue such clinical trials altogether..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While the potential economic impact brought by, and the duration of, ongoing or future pandemics is difficult to assess or predict, there has in the past been (for example, because of COVID-19 and its variants) and could further be a significant disruption of global financial markets due to a pandemic, that may reduce our ability to access capital and negatively affect our liquidity and financial position. In addition, the trading prices for our Company and other biopharmaceutical companies have in the past been volatile due in part to pandemic, and the same may occur in the future.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These and other disruptions in our operations and the global economy, due to ongoing or future pandemics or any other widespread public health crisis, could negatively impact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Risks Relating to Our Dependence on Third Parties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substantially rely, and expect to continue to rely, on third parties, including independent clinical investigators and CROs, to conduct certain aspects of our preclinical studies and our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substantially rely, and expect to continue to rely, on third parties, including independent clinical investigators and third-party CROs, to conduct certain aspects of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our third-party contractors and CROs are required to comply with GCP requirements, which are regulations and guidelines enforced by the FDA and comparable foreign regulatory authorities for all of our products candidates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investigational drug substance produced under cGMP regulations.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Further, there is no guarantee that any such CROs, investigators or other third parties on which we rely will devote adequate time and resources to our development activities or perform as contractually required. These risks are heightened as a result of the efforts of government agencies and the CROs themselves may take to limit the spread of disease from ongoing or future pandemics, including quarantines and shelter-in-place orders.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our product candidates,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or precluded entirely.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CROs generally have the right to terminate their agreements with us in the event of an uncured material breach. In addition, some of our CROs may also have an ability to terminate their respective agreements with us for other reasons, including without limitation if it can be reasonably demonstrated that the safety of the subjects participating in our clinical trials warrants such termination, if we make a general assignment for the benefit of our creditors or if we are liquidated.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If any of our relationships with these third-party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rely on, and in the future may rely on, third-party datasets and collaborations with third parties to inform patient selection, drug target identification and other bioinformatic and computational biology analyses for our existing product candidates and any future product candidates and for the supply of biomarker companion diagnostics.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using bioinformatics, including data analytics, biostatistics and computational biology, throughout our drug discovery and development process, including to identify new target and biomarker opportunities. As part of this approach, we interrogate public and proprietary datasets, including, but not limited to, human tumor genetic information and specific cancer-target dependency networks. We rely on these datasets and data analytics for multiple analyses, including identifying or validating some of our biomarker-target relationships and access to these databases may not continue to be available publicly or through a proprietary subscription on acceptable terms. Our past, present and future use of such datasets could also create potential liabilities for us if the data provided to us contains inherent errors, inaccuracies or artifacts, or if we improperly analyze, handle, store or utilize the data.</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Many of our product candidates also rely on the availability and use of commercially available tumor diagnostics panels or data on the prevalence of our target patient population to inform the patient selection and drug target identification for our product candidates. In cases where such biomarker diagnostic is not already commercially available, we expect to establish strategic collaborations for the clinical supply and development of companion diagnostics. If these diagnostics are not able to be developed at a commercially reasonable cost or at all, or if commercial tumor profiling panels are not able to be updated to include additional tumor-associated genes, or if clinical oncologists do not incorporate molecular or genetic sequencing into their clinical practice, we may not be successful in developing our existing product candidates or any future product candidates.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If we decide to establish new collaborations in the future, but are not able to establish those collaborations on a timely basis, on commercially reasonable terms, or at all, we may have to alter our development and commercialization plans.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drug development programs and the potential commercialization of our product candidates will require substantial additional cash to fund expenses. We may seek to selectively form collaborations to, among other things,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may face significant competition in seeking appropriate collaborators and the related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there have been a significant number of recent business combinations among large biopharmaceutical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may enter into collaborations in the future with third parties for the development and commercialization of product candidates. If those collaborations are not successful, we may not be able to capitalize on the market potential of these product candidates.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may seek third-party collaborators in the future for the development and commercialization of one or more of our product candidates. Our likely collaborators for any future collaboration arrangements include large and mid-size pharmaceutical companies, regional and national pharmaceutical companies and biotechnology companies.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could pose numerous risks to us, including the following:</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collaborators have significant discretion in determining the efforts and resources that they will apply to these collaborations and may not perform their obligations as expected;</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collaborators could independently develop, or develop with third parties, products that compete directly or indirectly with our product candidates if, for example, the collaborators believe that such competitive products are more likely to be successfully developed or can be commercialized under terms that are more economically attractive than ours;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a collaborator with marketing and distribution rights to multiple products may not commit sufficient resources to the marketing and distribution of our product relative to other products;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collaborations may be terminated and, if terminated, may result in a need for additional capital to pursue further development or commercialization of the applicable product candidates;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collaboration agreements may not lead to development or commercialization of product candidates in the most efficient manner or at all; and</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if a collaborator of ours were to be involved in a business combination, the continued pursuit and emphasis on our drug development or commercialization program could be delayed, diminished or terminated.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employees, independent contractors, consultants, commercial collaborators, principal investigators, CROs, suppliers and vendors may engage in misconduct or other improper activities, including noncompliance with regulatory standards and requirements.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EMA or other comparable regulatory authority regulations, provide accurate information to such regulators, comply with international, federal and state health care fraud and abuse and compliance laws and regulations, accurately report financial information or data or disclose unauthorized activities to us. In particular, sales, marketing and business arrangements in the health care industry are subject to extensive laws and regulations intended to prevent fraud, submission of false claims, misconduct, kickbacks, self-dealing and other abusive practices. These laws and regulations may restrict or prohibit a wide range of pricing, discounting/rebating, marketing and promotion, consulting,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Risks Related to Manufacturing</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Manufacturing drugs, especially in large quantities, is complex and may require the use of innovative technologies. Each lot of an approved drug product must undergo thorough testing for identity, strength, quality, purity and potency.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Manufacturing drugs requires facilities specifically designed for and validated for this purpose, as well as sophisticated quality assurance and quality control procedures.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adversely harm our business.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(if applicable) as a result of these challenges, or otherwise, our development and commercialization efforts would be impaired, which would have an adverse effect on our business, financial condition, results of operations and growth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contract with third parties, including contract manufacturing organizations and consultants, for the manufacture of our product candidates for preclinical studies and clinical trials, and expect to continue to do so for commercialization of any approved product candidate. This reliance on third parties increases the risk that we will not have sufficient quantities of our product candidates or drugs or be able to acquire such quantities at an acceptable cost, which could delay, prevent or impair our development or commercialization efforts.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We do not have long-term supply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expect to continue to rely on third-party manufacturers for the commercial supply of any of our product candidates for which we may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reduction or termination of production or deliveries by suppliers, or the raising of prices or renegotiation of terms;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termination or non-renewal of arrangements or agreements by our third-party contractors at a time that is costly or inconvenient for us;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breach by the third-party contractors of our agreements with them;</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failure of third-party contractors to comply with applicable regulatory requirements;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failure of the third party to manufacture our product candidates according to our specifications;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mislabeling of clinical supplies, potentially resulting in the wrong dose amounts being supplied or active drug or placebo not being properly identified;</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misappropriation of our proprietary information, including our trade secrets and know-how.</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EMA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the event that any of our manufacturers fails to comply with such requirements or to perform its obligations to us in relation to quality, timing or otherwise, or if our supply of components or other materials becomes limited or interrupted for other reasons, including due to the impact of ongoing or future pandemics, we may be forced to manufacture the materials ourselves, for which we currently do not have the capabilities or resources, or enter into an agreement with another third-party,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In addition, certain of our product candidates and our own proprietary methods have never been produced or implemented outside of our company, and we may therefore experience delays to our development programs if and when we attempt to establish new third-party manufacturing arrangements for these product candidates or methods. These factors would increase our reliance on such manufacturer or require us to obtain a license from such manufacturer in order to have another third-party manufacture our product candidates. If we are required to or voluntarily change manufacturers for any reason, we will be required to verify that the new manufacturer maintains facilities and procedures that comply with quality standards and with all applicable regulations and guidelines and that the product produced is equivalent to that produced in a prior facility. The delays associated with the verification of a new manufacturer and equivalent product could negatively affect our ability to develop product candidates in a timely manner or within budget.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or a third-party’s, failure to execute on our manufacturing requirements, to do so on commercially reasonable terms and timelines, or to comply with cGMP requirements could adversely affect our business in a number of ways, including without limitation:</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inability to meet our product specifications and quality requirements consistently;</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inability to initiate or continue clinical trials of our product candidates under development;</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delays in submitting regulatory applications, or receiving marketing approvals, for our product candidates, if at all;</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inability to commercialize any product candidates that receive marketing approval on a timely basis;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loss of the cooperation of future collaborators;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subjecting third-party manufacturing facilities or our manufacturing facilities, if any, to additional inspections by regulatory authorities;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requirements to cease development or to recall batches of our product candidates;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in the event of approval to market and commercialize our product candidates, an inability to meet commercial demands for our product or any other future product candidates; and</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our future profit margins.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Changes in methods of product candidate manufacturing or formulation may result in additional costs or delay.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product candidates progress through preclinical studies and clinical trials to potential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Risks Related to Legal and Regulatory Compliance Matters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relationships with healthcare professionals, clinical investigators, CROs and third party payors in connection with our current and future business activities may be subject to international, federal and state healthcare fraud and abuse laws, false claims laws, transparency laws, and government price reporting, which could expose us to, among other things, criminal sanctions, civil penalties, contractual damages, exclusion from governmental healthcare programs, reputational harm, administrative burdens and diminished profits and future earnings.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international, federal and state healthcare laws and regulations include, among others, the following:</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 person or entity does not need to have actual knowledge of the federal Anti-Kickback Statute or specific intent to violate it in order to have committed a violation;</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with potential liability including mandatory treble damages and significant per claim penalties per false claim or statement. In addition, the government may assert that a claim including items or services resulting from a violation of the U.S. federal Anti-Kickback Statute constitutes a false or fraudulent claim for purposes of the civil False Claims Act;</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federal Criminal Statute on False Statements Relating to Healthcare Matters, which makes 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federal Civil Monetary Penalties Law, which authorizes the imposition of substantial civil monetary penalties against an entity, such as a pharmaceutical manufacturer,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healthcare programs to provide items or services reimbursable by a federal healthcare program; (3) violations of the federal Anti-Kickback Statute; or (4) failing to report and return a known overpayment;</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federal Health Insurance Portability and Accountability Act of 1996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the Centers for Medicare and Medicaid Services ("CMS") information regarding payments and other transfers of value to physicians (as defined by statute), certain non-physician providers including physician assistants and nurse practitioners, and teaching hospitals, as well as information regarding ownership and investment interests held by physicians and their immediate family members. The information reported is publicly available on a searchable website, with disclosure required annually;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analogous state and foreign laws and regulations, such as state anti-kickback and false claims laws, may apply to sales or marketing arrangements and claims involving healthcare items or services reimbursed by non-governmental third-party payors, including private insurers; 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and</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some state laws require biotechnology companies to report information to state agencies and/or commercial purchasers on the pricing of certain drug products that exceed a certain level as identified in the relevant statute. Some of these laws and regulations contain ambiguous requirements that government officials have not yet clarified. Given the lack of clarity in the laws and their implementation, our reporting actions could be subject to the penalty provisions of the pertinent federal and state laws and regulations.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including our arrangements with physicians, some of whom have had, have or may have ownership interests in us,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individual imprisonment, exclusion from participation in government funded healthcare programs, such as Medicare and Medicaid (or analagous programs in jurisdictions outside the United States),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Actual or perceived failures to comply with applicable data protection, privacy and security laws, regulations, standards and other requirements could adversely affect our business, results of operations, and financial condition.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our operations and business grow, we may become subject to or affected by new or additional data protection laws and regulations and face increased scrutiny or attention from regulatory authorities. For instance, in the U.S., most healthcare providers, including research institutions from which we may obtain patient health information, are subject to privacy and security regulations promulgated under HIPAA, as amended by the Health Information Technology for Economic and Clinical Health Act, and the regulations promulgated thereunder, or collectively, HIPAA. While we do not believe that we are currently acting as a covered entity or business associate under HIPAA and thus are not directly regulated under HIPAA,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also or may become subject to rapidly evolving data protection laws, rules and regulations in foreign jurisdictions. For example, the European Union ("EU") General Data Protection Regulation ("GDPR") governs certain collection and other processing activities involving personal data about individuals in the European Economic Area ("EEA"). The GDPR imposes substantial fines for breaches and violations. The GDPR also confers a private right of action on data subjects and consumer associations to lodge complaints with supervisory authorities, seek judicial remedies and obtain compensation for damages resulting from violations of the GDPR. Further, since January 1, 2021, companies have to comply with the GDPR and also the United Kingdom ("UK") GDPR, which, together with the amended UK Data Protection Act 2018, retains the GDPR in UK national law. The UK GDPR mirrors the fines under the GDPR.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GDPR and UK GDPR regulate cross-border transfers of personal data out of the EEA and the UK respectively. Recent legal developments in Europe have created complexity and uncertainty regarding such transfers, including in relation to transfers to the United States. On July 16, 2020, the Court of Justice of the European Union or the CJEU invalidated the EU-US Privacy Shield Framework ("Privacy Shield") under which personal information could be transferred from the EEA (and the UK) to relevant self-certified U.S. entities. The CJEU further noted that reliance on the standard contractual clauses (a standard form of contract approved by the European Commission as an adequate personal data transfer mechanism and potential alternative to the Privacy Shield) alone may not necessarily be sufficient in all circumstances and that transfers must be assessed on a case-by-case basis. Successor legislation and regulation to the Privacy Shield have not been, and may never be, widely adopted in practice for data transfers in the biotechnology field. As the enforcement landscape further develops, and supervisory authorities issue further guidance on international data transfers, we could suffer additional costs, complaints and/or regulatory investigations or fines; we may have to stop using certain tools and vendors and make other operational changes; and/or it could otherwise affect the manner in which we provide our services, and could also adversely affect our business, operations and financial condition.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If we or third-party CMOs, CROs or other contractors, consultants or agents fail to comply with applicable federal, state, local or foreign regulatory requirements, we could be subject to a range of regulatory actions that could affect our or any such third party’s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also give rise to liability, breaches of data security or reputational damage.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business entails a significant risk of product liability and if we are unable to obtain sufficient insurance coverage such inability could have an adverse effect on our business and financial condition.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or other regulatory authority investigation of the safety and effectiveness of our products, our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if at all, to protect us against losses caused by product liability claims that could have an adverse effect on our business and financial condition.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Any product candidates we develop may become subject to unfavorable third-party coverage and reimbursement practices, as well as pricing regulations.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There is significant uncertainty related to third-party payor coverage and reimbursement of newly approved products. In the United States, no uniform policy of coverage and reimbursement for products exists among third-party payors and coverage and reimbursement levels for products can differ significantly from payor to payor. The Medicare and Medicaid programs increasingly are used as models for how private payors and other governmental payors develop their coverage and reimbursement policies for drugs and biologics.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candidate that we may be able to commercialize and, if reimbursement is available, what the level of reimbursement will be.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including without limitation the EEA, the reimbursement for our products may be reduced compared with the United States and may be insufficient to generate commercially reasonable revenue and profits.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If we fail to comply with environmental, health and safety laws and regulations, we could become subject to fines or penalties or incur costs that could have a material adverse effect on our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materials. Our operations may also produce hazardous waste products. We may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Although we will maintain workers’ compensation insurance to cover us for costs and expenses we may incur due to injuries to our employees resulting from the potential use of hazardous materials in the future,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The FDA or other comparable foreign regulatory authorities may not accept data from trials conducted in locations outside of their jurisdiction.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conduct clinical trial operations at U.S. and international sites.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are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other comparable foreign regulatory authority does not accept such data, it could result in the need for additional trials, which would be costly and time-consuming and delay aspects of our business plan, and which may result in our current or future product candidates not receiving approval for commercialization in the applicable jurisdiction.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product candidates will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Even if our product candidates receive regulatory approval, they will be subject to significant post-marketing regulatory requirements and oversight.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EMA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EMA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authority requirements may subject our company to administrative or judicially imposed sanctions, including without limitation:</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delays in or the rejection of product approvals;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restrictions on our ability to conduct clinical trials, including full or partial clinical holds on ongoing or planned trials;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restrictions on the products, manufacturers or manufacturing process;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warning or untitled letters;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civil and criminal penalties;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injunctions;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suspension or withdrawal of regulatory approvals;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product seizures, detentions or import bans;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voluntary or mandatory product recalls and publicity requirements;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total or partial suspension of production; and</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imposition of restrictions on operations, including costly new manufacturing requirements.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occurrence of any event or penalty described above may inhibit our ability to commercialize our product candidates and generate revenue and could require us to expend significant time and resources in response and could generate negative publicity.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FDA’s, EMA's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also cannot predict the likelihood, nature or extent of government regulation that may arise from future legislation or administrative or executive action, either in the United States or abroad. We currently have a limited set of compliance policies and personnel, and intend to further develop our compliance infrastructure in the future, as our clinical development programs progress. Developing a compliance infrastructure is costly and time-consuming, and even a well-designed and implemented compliance program cannot necessarily prevent all violations of relevant laws. 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 candidates, if approved. If regulatory sanctions are applied or if regulatory approval is withdrawn, the value of our company and our operating results will be adversely affected.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The FDA and other regulatory agencies actively enforce the laws and regulations prohibiting the promotion of off-label uses.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If any of our product candidates are approved and we are found to have improperly promoted off-label uses of those products, we may become subject to significant liability. The FDA, EMA and other regulatory agencies strictly regulate the promotional claims that may be made about prescription products, such as our product candidates, if approved. In particular, a product may not be promoted for uses that are not approved by the FDA, EMA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For example, the U.S. federal government has levied large civil and criminal fines against companies for alleged improper promotion of off-label use and has enjoined several companies from engaging in off-label promotion. The U.S. government has also required companies to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Disruptions at the FDA, the SEC and other government agencies including those caused by funding shortages, mandated personnel reductions, policy changes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ability of the FDA (as well as other U.S. agencies and analogous bodies outside the United States) to review and approve new products can be affected by a variety of factors, including government budget and funding levels, ability to hire and retain key personnel and accept the payment of user fees, and statutory, regulatory, and policy changes. Average review times at the FDA have fluctuated in recent years as a result. In addition, government funding of the FDA, SEC and other government agencies on which our operations may rely, including those that fund research and development activities, is subject to the political process, which is inherently fluid and unpredictable.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Disruptions at the FDA and other agencies, whether domestic or in jurisdictions outside of the United States, may also slow the time necessary for new drugs to be reviewed and/or approved by necessary government agencies, which would adversely affect our business. For example, in recent years, the U.S. government shut down several times (including for an extended period beginning in October 2025) and certain regulatory agencies, such as the FDA and the SEC, had to furlough critical employees and stop critical activities. Similarly, incoming administrations have taken and may in the future take measures to reduce personnel at, and funding for, regulatory agencies including the FDA and the SEC. For example, the current administration has issued executive orders that may significantly reduce the federal workforce and could adversely affect the FDA’s ability to attract and retain qualified scientific reviewers, which could result in longer review times for our applications. If a prolonged government shut down, funding or personnel reduction, policy change, or other disruption at the FDA occurs, continues to occur and/or worsens, it could significantly impact the ability of the FDA to timely review and process our regulatory submissions, which could have a material adverse effect on our business. Further, as a public company, future government shutdowns could impact our ability to further access the public markets and obtain necessary capital in order to properly capitalize and continue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Separately, initially in response to the global COVID-19 pandemic, the FDA implemented changes to its inspection activities to ensure the safety of its employees and those of the firms it regulates, and any resurgence or emergence of any pandemic or other widespread adverse health event may lead to further inspection delays. Regulatory authorities outside the United States have in the past and may in the future adopt similar restrictions or other policy measures in response to such events. If a prolonged government shutdown occurs or continues, or if global health concerns prevent the FDA, EMA or other regulatory authorities from conducting their regular inspections, reviews, or other regulatory activities, it could significantly impact the ability of the FDA, EMA or other regulatory authorities to timely review and process our regulatory submissions, which could have a material adverse effect on our business.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 fast track designation from the FDA (or similar designation from a comparable foreign regulatory authority), even when granted for any of our product candidates, may not lead to a faster development or regulatory review or approval process, and does not increase the likelihood that our product candidates will receive regulatory approval.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February 2024, July 2024 and December 2024, respectively, we announced that the FDA granted fast track designation for atebimetinib for the treatment of patients: with PDAC who have failed one line of treatment; with PDAC in the first-line setting; and with unresectable or metastatic NRAS-mutant melanoma who have progressed on or are intolerant to PD-1/PD-L1 based immune checkpoint inhibitors. Depending on the data from our preclinical studies and clinical trials, we may decide to seek additional fast track designations for atebimetinib or for other product candidates. The fast track program is intended to expedite or facilitate the process for reviewing product candidates that meet certain criteria. Specifically, potential drugs are eligible for fast track designation if they are intended, alone or in combination with one or more other drugs or biologics,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may have opportunities for more frequent interactions with the applicable FDA review team during product development and, once an NDA is submitted, the application may be eligible for priority review. An NDA submitted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application.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FDA has broad discretion whether or not to grant this designation. Even if we believe a particular product candidate is eligible for this designation, we cannot assure you that the FDA would decide to grant it. Even where we have received fast track designation for our product candidates, such product candidates may not experience a faster development process, review or approval compared to conventional FDA procedures. The FDA may also withdraw fast track designation if it believes that the designation is no longer supported by data from our related clinical development program. Furthermore, such a designation does not increase the likelihood that atebimetinib or any other product candidate that may be granted fast track designation will receive regulatory approval in the U.S. Many product candidates that have received fast track designation have ultimately failed to obtain approval.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Similar considerations as the foregoing exist with respect to any foreign regulatory authority that may grant a comparable designation to any product candidate.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may face difficulties from changes to current regulations and future legislation.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example, the Patient Protection and Affordable Care Act, as amended by the Health Care and Education Reconciliation Act, collectively referred to as the ACA, was passed, which substantially changed the way healthcare is financed by both the government and private insurers, and significantly impacts the U.S. pharmaceutical industry. The ACA, among other things, subjected biologic products to potential competition by lower-cost biosimilars; increased the minimum level of Medicaid rebates payable by manufacturers of brand name drugs from 15.1% to 23.1% of the average manufacturer price;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expanded the types of entities eligible for the 340B Drug Pricing Program; created a new Patient-Centered Outcomes Research Institute to oversee, identify priorities in, and conduct comparative clinical effectiveness research, along with funding for such research; and established a Center for Medicare &amp; Medicaid Innovation at CMS to test innovative payment and service delivery models to lower Medicare and Medicaid spending, potentially including prescription drug spending.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Since its enactment, there have been judicial, executive and Congressional challenges to certain aspects of the ACA. On June 17, 2021, the U.S. Supreme Court dismissed a judicial challenge to the ACA brought by several states without specifically ruling on the constitutionality of the ACA.</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other legislative changes have been proposed and adopted in the United States since the ACA was enacted. These changes included the American Rescue Plan Act of 2021, which eliminated the statutory Medicaid drug rebate cap, which was set at 100% of a drug’s average manufacturer price as of January 1, 2024. 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On August 16, 2022, the IRA was signed into law.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CMS published the negotiated prices for the initial ten drugs, which went into effect in 2026, and the subsequent 15 drugs effective in 2027, as well as the next set of 15 drugs that will be subject to negotiation, although the drug price negotiation program is currently subject to legal challenges. For that and other reasons, it is currently unclear how the IRA will be effectuated.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July 2025, the One Big Beautiful Bill Act ("OBBBA") was enacted, which imposes significant reductions in the funding of the Medicaid program and restrictions for certain groups to access the ACA Marketplace. These changes are expected to decrease the number of persons enrolled in Medicaid and reduce the services covered by Medicaid, and may result in an increase in the number of individuals who are unable to access health insurance benefits and medical care, either of which could adversely affect our sales of any product candidate that we potentially commercialize.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Additionally, the Trump administration has pursued a two-fold strategy to reduce drug costs in the U.S. The administration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The administration is also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 In addition, pharmaceutical pricing and marketing has long been the subject of considerable discussion among policymakers, and it is possible that Congress could enact additional laws that negatively affect the pharmaceutical industry generally and our business specifically.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expect that these and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Further, it is possible that additional governmental action is taken in response to ongoing or new pandemics or to other widespread adverse health events.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may be subject to the UK Bribery Act 2010 (the "Bribery Act"), the U.S. Foreign Corrupt Practices Act of 1977, as amended (the "FCPA"), and other anti-corruption laws, as well as export control laws, import and customs laws, trade and economic sanctions laws and other laws governing our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operations, including our research and development, clinical trial, and (if any of our product candidates receives approval) commercial activities, whether conducted in the United States or internationally, may be subject to anti-corruption laws, including the Bribery Act, the FCPA, the U.S. domestic bribery statute contained in 18 U.S.C. §201, the U.S. Travel Act and other anti-corruption laws that apply in countries where we currently or may in the future do business. The Bribery Act, the FCPA and these other (or similar) laws generally prohibit us, our employees and our intermediaries from authorizing, promising, offering or providing, directly or indirectly, improper or prohibited payments or anything else of value to government officials or other persons to obtain or retain business or gain some other business advantage. Under the Bribery Act, we may also be liable for failing to prevent a person associated with us from committing a bribery offense. We and our partners may operate in jurisdictions that pose a high risk of potential Bribery Act or FCPA violations, and we may participate in collaborations and relationships with third parties whose corrupt or illegal activities could potentially subject us to liability under the Bribery Act, FCPA or local anti-corruption laws, even if we do not explicitly authorize or have actual knowledge of such activities. In addition, we cannot predict the nature, scope or effect of future regulatory requirements to which our international operations might be subject or the manner in which existing laws might be administered or interpreted. We may also be subject to other laws and regulations from time to time governing our international operations, including regulations administered by the governments of the United States, the United Kingdom or elsewhere and authorities in the European Union or elsewhere, including applicable export control regulations, economic sanctions and embargoes on certain countries and persons, anti-money laundering laws, import and customs requirements and currency exchange regulations, collectively referred to as the Trade Control laws. 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Bribery Act, the FCPA, other anti-corruption laws or Trade Control laws by the United Kingdom, United States or other authorities could also have an adverse impact on our reputation, our business, results of operations and financial condition.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may be subject to various laws relating to foreign investment and the export of certain technologies, and our failure to comply with these laws or adequately monitor the compliance of our suppliers and others with which we do business with could subject us to substantial fines, penalties and injunctions, the imposition of which on us could have a material adverse effect on the success of our business.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may be subject to U.S. laws that regulate foreign investments in U.S. businesses and access by foreign persons to technology developed and produced in the United States. These laws include section 721 of the Defense Production Act of 1950, as amended by the Foreign Investment Risk Review Modernization Act of 2018, and the regulations at 31 C.F.R. Parts 800 and 801, as amended, administered by the Committee on Foreign Investment in the United States, and the Export Control Reform Act of 2018, which is being implemented in part through Commerce Department rule-making to impose new export control restrictions on “emerging and foundational technologies” yet to be fully identified. Application of these laws, including as they are implemented through regulations being developed, may negatively impact our business in various ways, including without limitation by: restricting our access to capital and markets; limiting the collaborations we may pursue; regulating the export of our products, services, and technology from the United States and abroad; increasing our costs and the time necessary to obtain required authorizations and to ensure compliance; and threat of monetary fines and other penalties for non-compliance.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If we are unable to obtain and maintain patent and/or other intellectual property protection for our product candidates and technologies or if the scope of the intellectual property protection obtained is not sufficiently broad, our competitors could develop and commercialize products and technology similar or identical to ours, and our ability to successfully develop and commercialize our product candidates, products (if any) and technology may be impaired, and we may not be able to compete effectively in our market.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rely upon a combination of patents, trademarks, trade secret protection and confidentiality agreements to protect the intellectual property related to our products and technologies and to prevent third parties from copying and surpassing our achievements, thus eroding our competitive position in our market. Our commercial success depends in part on our ability to obtain and maintain patent, trade secret or other intellectual property protection for our product candidates, proprietary technologies and their uses as well as our ability to operate without infringing the proprietary rights of others. If we are unable to protect our intellectual property rights or if our intellectual property rights are inadequate for our technology or our product candidates, our competitive position could be harmed. We generally seek to protect our proprietary position by filing patent applications in the United States and, in some cases, abroad related to our product candidates, technology platforms and their uses that are important to our business.</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As of February 2, 2026, we had granted and pending patent filings directed to our product candidates and platforms. With respect to atebimetinib, we had global patent filings providing patent protection for the compound expected into at least 2041 and in the United States until 2042, as well as other pending Patent Cooperation Treaty ("PCT") applications that have not yet entered the national phase providing the basis for additional national phase potential patent claims directed to methods of treatment and pharmaceutical compositions expected into at least 2045, if granted (excluding any possible patent term adjustments, extensions, or terminal disclaimers, and assuming payment of all appropriate maintenance, renewal, annuity or other governmental fees, as applicable). Further, patent prosecution with respect to our pending patent applications related to our product candidates is in many cases in the early stages. With respect to our platform technology, we have granted U.S. patents expiring in 2039 directed to our Disease Cancelling Technology platform (excluding any possible patent term adjustments or extensions and assuming payment of all appropriate maintenance, renewal, annuity or other governmental fees, as applicable). We filed patent applications related to our platform technology only in the U.S., so it is possible that a competitor may practice outside the U.S. the aspects of our platform technology disclosed in those patent applications. We maintain other aspects of our platform technology as trade secrets, which were not disclosed in those patent applications. There can be no assurance that any of our current and future issued patents and patent applications, if any, owned by us or our future in-licensed patent applications will result in patents being issued or that issued patents will afford sufficient protection against competitors with similar technology, nor can there be any assurance that the patents if issued will not be infringed, designed around, invalidated or rendered unenforceable by third parties, or would effectively prevent others from commercializing competitive products or technologies. In addition, our patent applications cannot be enforced against third parties practicing the technology claimed in such applications unless, and until, patents issue from such applications, and then only to the extent the issued claims cover the technology and such third parties practice the technology in countries where such patents have issued. Composition of matter patents for pharmaceutical product candidates often provide a strong form of intellectual property protection for those types of products, as such patents may provide protection for any method of use. We cannot be certain that the claims in our pending patent applications related to composition of matter of our product candidates will be considered patentable by the USPTO or by patent offices in foreign countries, or that the claims in any of our issued patents will be considered valid and enforceable by courts in the United States or foreign countries. Method of use patents can protect the claimed uses of a product for the specified method. This type of patent does not prevent a competitor from making and marketing a product that is identical to our product for an indication that is outside the scope of the patented method. The patent position of biopharmaceutical companies generally is highly uncertain, involves complex legal and factual questions, and has been the subject of much litigation in recent years. As a result, the existence, issuance, scope, validity, enforceability, and commercial value of our patent rights are highly uncertain.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Although we may obtain licenses to issued patents in the United States and foreign countries in the future, we cannot be certain that the claims in future in-licensed U.S. pending patent applications, if any, corresponding international patent applications and patent applications in certain foreign countries will be considered patentable by the USPTO, courts in the United States or by the patent offices and courts in foreign countries, nor can we be certain that the claims in future in-licensed issued patents will not be found invalid or unenforceable if challenged.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patent application process is subject to numerous risks and uncertainties, and there can be no assurance that we or our licensors or any of our potential future collaborators will be successful in protecting our product candidates by obtaining and defending patents. These risks and uncertainties include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patent applications may not result in any patents being issued;</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patents may be challenged, invalidated, modified, revoked, circumvented, found to be unenforceable or otherwise may not provide any competitive advantage;</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our competitors, many of whom have substantially greater resources than we or our potential licensors do and many of whom have made significant investments in competing technologies, may seek or may have already obtained patents that will limit, interfere with or block our ability to make, use and sell our product candidates;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countries other than the United States may have patent laws less favorable to patentees than the patent law typically applied by U.S. courts, allowing foreign competitors a better opportunity to create, develop and market competing products.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patent prosecution process is also expensive and time-consuming, and we may not be able to file and prosecute all necessary or desirable patent applications at a reasonable cost or in a timely manner or in all jurisdictions where protection may be commercially advantageous. 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be refused in other jurisdictions. It is also quite common that depending on the country, the scope of patent protection may vary for the same product or technology. For example, certain jurisdictions do not allow for patent protection with respect to method of treatment. Moreover, the scope of claims in a patent application can be significantly reduced before any claims in a patent are issued, and claim scope can be reinterpreted after issuance. Even if our current or future patent applications issue as patents, they may not issue in a form that will provide us with any meaningful protection, prevent competitors or other third parties from competing with us, or otherwise provide us with any competitive advantage. Consequently, we do not know whether our product candidates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It is also possible that we may not identify, or that we may not timely file on identified, patentable aspects of our research and development output before it is too late to obtain patent protection.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USPTO might require that the term of a patent issuing from a pending patent application to be disclaimed and limited to the term of another patent that is commonly owned or names a common inventor. Moreover, in some circumstances, we may not have the right to control the preparation, filing and prosecution of patent applications, or to maintain the patents, directed to technology that we license, including those from our licensors, if any, and from third parties. We also may require the cooperation of our potential future licensors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potential future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may in-license, and as a result our ability to develop and commercialize products or product candidates may be adversely affected and we may be unable to prevent competitors from making, using and selling competing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Even if our current or future patent applications issue as patents, they may not issue in a form that will provide us with any meaningful protection, prevent competitors from competing with us or otherwise provide us with any competitive advantage. Our competitors may be able to circumvent our owned or potential future in-licensed patents by developing similar or alternative technologies or products in a non-infringing manner. The issuance of a patent is not conclusive as to its scope, validity or enforceability, and our owned and any future in-licensed patents may be challenged in the courts or patent offices in the United States and abroad. We may be subject to a third party pre-issuance submission of prior art to the USPTO, or become involved in opposition, derivation, revocation, reexamination, post-grant review ("PGR"), and/or inter partes review ("IPR"), or other similar proceedings in the USPTO or foreign patent offices challenging our patent rights. The outcome following legal assertions of invalidity and unenforceability is unpredictable. With respect to validity of our patents, for example, we cannot be certain that there is no invalidating prior art, of which we and the patent examiner were unaware during prosecution. There is no assurance that all potentially relevant prior art relating to our patents and patent applications has been found. There is also no assurance that there is no prior art of which we are aware, but which we do not believe affects the validity or enforceability of a claim in our patents and patent applications,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our product candidates and compete directly with us, without payment to us. Such loss of patent rights, loss of exclusivity or our patent claims being narrowed, invalidated or held unenforceable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although we seek to enter into non-disclosure and confidentiality agreements with parties who have access to patentable or trade secret aspects of our technology platforms and research and development output, such as our employees, outside scientific collaborators, CROs, third-party manufacturers, consultants, advisors, licensors, and other third parties, any of these parties may breach such agreements and disclose such aspects or output before a patent application is filed, thereby jeopardizing our ability to seek patent protection or maintain the trade secret status of our technology platforms or research and development output. Moreover, it is possible that we may not enter into non-disclosure and confidentiality agreements with such parties, thereby potentially compromising our confidential information or otherwise subjecting it to potential loss or misuse.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referenced above, we have filed patent applications directed to our platform technologies that involve certain of our proprietary software modules. Moreover, while software and other of our proprietary works may be protected under copyright law, we have chosen not to register any copyrights in these works, and instead, rely on the above-referenced patent applications for protection of certain modules and trade secret protection for other of our software modules. In order to bring a copyright infringement lawsuit in the United States, the copyright must be registered. Accordingly, the remedies and damages available to us for unauthorized use of our software may be limited.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If we fail to comply with our obligations in future agreements under which we may license intellectual property rights from licensors and third parties or otherwise experience disruptions to our business relationships with future licensors, we could lose license rights that may in the future be important to our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the future, we may enter into license agreements under which we are granted rights to intellectual property that may be important to our business. We expect that any future license agreements where we in-license intellectual property would impose on us various development, regulatory and/or commercial diligence obligations, payment of milestones and/or royalties and other obligations. If we fail to comply with our obligations under these agreements, or we use the licensed intellectual property in an unauthorized manner or are subject to bankruptcy-related proceedings, the licensors may have the right to materially modify the terms of the licenses, such as by rendering currently exclusive licenses non-exclusive, or terminate the licenses, in which event we would not be able to market products covered by the licenses. 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may need to obtain licenses from third parties to advance our research or allow commercialization of our product candidates or platform, and we cannot provide any assurances that third-party patents do not exist that might be enforced against our product candidates or platform in the absence of such a license. For example, our programs may involve additional product candidates that may require the use of additional proprietary rights held by third parties. Our product candidates may also require specific formulations to work effectively and efficiently. These formulations may be covered by intellectual property rights held by others. We may be unable to acquire or in-license any relevant third-party intellectual property rights that we identify as necessary or important to our business operations. We may fail to obtain any of these licenses on commercially reasonable terms, if at all. We may need to cease use of the compositions or methods covered by such third-party intellectual property rights, and may need to seek to develop alternative approaches that do not infringe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disputes may arise between us and any future licensors regarding intellectual property subject to a license agreement, including:</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scope of rights granted and obligations imposed under the license agreement and other interpretation-related issues;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whether and the extent to which our technology and processes infringe intellectual property of the licensor that is not subject to the licensing agreement;</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our right to sublicense patents and other rights to third parties;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our diligence obligations with respect to the use of the licensed technology in relation to our development and commercialization of our product candidates, and what activities satisfy those diligence obligations;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amounts, if any, we owe to a potential licensor in respect of sublicense fees or income or in respect of backup product;</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our right to transfer or assign the license; and</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ownership of inventions and know-how resulting from the joint creation or use of intellectual property by our licensors and its affiliates and sublicensees and by us and our partners and sublicensees.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If disputes over intellectual property that we have licensed prevent or impair our ability to maintain our future licensing arrangements on acceptable terms, we may not be able to successfully develop and commercialize the affected product candidates, which would have a material adverse effect on our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certain of our agreements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The patent protection and patent prosecution for some of our product candidates may be dependent on our future licensors and third parties.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or our future potential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as to form in the preparation or filing of our potential future in-licensed patents or patent applications may exist, or may arise in the future, for example with respect to proper priority claims, inventorship, claim scope, or requests for patent term adjustments. If we or our future potential licensors fail to establish, maintain or protect such patents and other intellectual property rights, such rights may be reduced or eliminated. If our future potential licensors are not fully cooperative or disagree with us as to the prosecution, maintenance or enforcement of any patent rights, such patent rights could be compromised. If there are material defects in the form, preparation, prosecution, or enforcement of our future potential in-licensed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a future potential licensee of third parties, we would rely on third parties to file and prosecute patent applications and maintain patents and otherwise protect the licensed intellectual property under some of our future license agreements. We would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Future potential licensors may have the right to control enforcement of our future potential licensed patents or defense of any claims asserting the invalidity of these patents and even if we are permitted to pursue such enforcement or defense, we will require the cooperation of our future licensors. We cannot be certain that our future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If any of our future potential licensors or future collaborators fail to appropriately prosecute and maintain patent protection for patents directed to any of our product candidates, our ability to develop and commercialize those product candidates may be adversely affected and we may not be able to prevent competitors from making, using and selling competing products.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even where we have the right to control patent prosecution of patents and patent applications we have acquired or licensed from third parties in the future, we may still be adversely affected or prejudiced by actions or inactions of our potential licensors and their counsel that took place prior to us assuming control over patent prosecution.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Technology we may acquire or license from various third parties in the future may be subject to retained rights. Our future licensors may retain certain rights under their agreements with us, including the right to use the underlying technology for use in fields other than the fields licensed to us or for use in noncommercial academic and research use, to publish general scientific findings from research related to the technology, and to make customary scientific and scholarly disclosures of information relating to the technology. It may be difficult to monitor whether our future licensors may limit their use of the technology to these uses, and we could incur substantial expenses to enforce our rights to our licensed technology in the event of misuse.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commercial success depends significantly on our ability to operate without infringing the patents and other proprietary rights of third parties. Claims by third parties that we infringe or misappropriate their proprietary rights may result in liability for damages or prevent or delay our developmental and commercialization efforts.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avoiding infringement or misappropriation of the patents and other proprietary rights of third parties. However, our research, development and commercialization activities may be subject to claims that we infringe or otherwise violate patents or other intellectual property rights owned or controlled by third parties. Because the intellectual property landscape in the industry in which we participate is rapidly evolving and interdisciplinary, it is difficult to conclusively assess our ability to freely make, use, and sell our products without infringing third party rights.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as well as related to our platform.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the biopharmaceutical industry expands and more patents are issued, the risk increases that our product candidates or platform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others have not filed patent applications for a product candidate or technology covered by our pending patent applications, or that we were the first to file a patent application related to a product candidate or technology. Our competitors may have filed, and may in the future file, patent applications covering our product candidates, products (if approved) or technology similar to ours. Any such patent application may have priority over our patent applications or patents, which could require us to obtain rights to issued patents relating to such technologies. Moreover, because patent applications can take many years to issue, there may be currently pending patent applications that may later result in issued patents that our product candidates may infringe.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identification of third-party patent rights that may be relevant to our product candidates or platform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Further, third parties may obtain patents in the future and claim that use of our technologies infringes upon these patents. Any claims of patent infringement asserted by third parties would be time-consuming and could:</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result in costly litigation that may cause negative publicity;</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divert the time and attention of our technical personnel and management;</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cause development delays;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prevent us from commercializing any of our product candidates until the asserted patent expires or is held finally invalid or unenforceable or not infringed in a court of law;</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require us to develop non-infringing technology, which may not be possible on a cost-effective basis;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subject us to significant liability to third parties; 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require us to enter into royalty or licensing agreements, that may not be available on commercially reasonable terms, or at all, or that might be non-exclusive, which could result in our competitors gaining access to the same technology.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Although no third party has asserted a claim of patent infringement against us to date, others may hold proprietary rights that could prevent our product candidates from being marketed. Any patent-related legal action against us claiming damages and seeking to enjoin activities relating to our product candidates or processes could subject us to potential liability for damages, including treble damages if we were determined to willfully infringe, and require us to obtain a license to manufacture or develop our product candidates. Defense of these claims, regardless of their merit, would involve substantial litigation expense and would be a substantial diversion of management and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or processes to avoid infringement, if necessary.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Accordingly, an adverse determination in a judicial or administrative proceeding, or the failure to obtain necessary licenses, could prevent us from developing and commercializing our product candidates, which could harm our business, financial condition and results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Parties making claims against us may be able to sustain the costs of complex patent or trade secret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Moreover, if our product candidates or platform are found to infringe the intellectual property rights of third parties, these third parties may assert infringement claims against our future licensees and other parties with whom we have business relationships, and we may be required to indemnify those parties for any damages they suffer as a result of these claims. The claims may require us to initiate or defend protracted and costly litigation on behalf of such licensees and other parties regardless of the merits of these claims. If any of these claims succeed, we may be forced to pay damages on behalf of those parties or may be required to obtain licenses for the products they use.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may be involved in lawsuits to protect or enforce our patents or the patents of our future licensors, which could be expensive, time-consuming and unsuccessful. Further, our future in-licensed issued patents could be found invalid or unenforceable if challenged in court.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Competitors may infringe or otherwise violate our, or our future licensors’, patents, trademarks or other intellectual property. To prevent infringement or other violations, we and/or our future licensors may be required to file claims, which can be expensive and time-consuming. Further, our future licensors may need to file such claims, but elect not to file them. In addition, in a patent infringement proceeding, a court may decide that a patent we own or license is not valid, is unenforceable and/or is not infringed. If we or any of our future licensors or potential future collaborators were to initiate legal proceedings against a third party to enforce a patent directed at one of our product candidates, the defendant could counterclaim that our patent is invalid and/or unenforceable in whole or in part. In patent litigation, defendant counterclaims alleging invalidity and/or unenforceability are commonplace. Grounds for a validity challenge include an alleged failure to meet any of several statutory requirements, including lack of novelty or written description, non-patentable subject matter (laws of nature, natural phenomena, or abstract idea), obviousness or non-enablement. Grounds for an unenforceability assertion could include an allegation that someone connected with prosecution of the patent intentionally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to the USPTO and in good faith. The outcome following such a challenge is unpredictable. With respect to challenges to the validity of our patents, there might be invalidating prior art, of which we and the patent examiner were unaware during prosecution.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companies from collaborating with us to license, develop or commercialize current or future product candidates. Such a loss of patent protection would have a material adverse impact on our business. Even if a defendant does not prevail on a legal assertion of invalidity and/or unenforceability, our patent claims may be construed in a manner that would limit our ability to enforce such claims against the defendant and others.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Even if resolved in our favor, litigation or other legal proceedings relating to our intellectual property rights, particularly those in a foreign jurisdiction,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Intellectual property litigation may lead to unfavorable publicity that harms our reputation and causes the market price of our common shares to decline.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Class A common stock may decline. Such announcements could also harm our reputation or the market for our future products, which could have a material adverse effect on our business.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Derivation or interference proceedings may be necessary to determine priority of inventions, and an unfavorable outcome may require us to cease using the related technology or to attempt to license rights from the prevailing party.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Derivation or interference proceedings provoked by third parties or brought by us or our future licensors, or declared by the USPTO or similar proceedings in foreign patent offices, may be necessary to determine the priority of inventions with respect to our or our potential future licensors’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Our, or our licensors’, defense of such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Patent reform legislation could increase the uncertainties and costs surrounding the prosecution of our patent applications and the enforcement or defense of our issued patents.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2011, the Leahy-Smith America Invents Act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requires us to be cognizant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cannot be certain that we were the first to either (1) file any patent application related to our product candidates or (2) invent any of the inventions claimed in our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Leahy-Smith Act also includes a number of significant changes that (i) affect the way patent applications are prosecuted, (ii) redefine prior art, and (iii)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have been insufficient to invalidate the claim if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increase the uncertainties and costs surrounding the prosecution of our or our future licensors’ patent applications and the enforcement or defense of our issued patents, all of which could have a material adverse effect on our business, financial condition, results of operations and prospects.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Changes in U.S. patent law, or laws in other countries, could diminish the value of patents in general, thereby impairing our ability to protect our product candidates.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is the case with many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Further, the laws of foreign countries may not protect our rights to the same extent as the laws of the United States. We cannot predict the breadth of claims that may be allowed or enforced in our patents or in third-party patents.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Congress or other foreign legislative bodies may pass patent reform legislation that is unfavorable to us.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or our future licensors’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or our licensors’ ability to obtain new patents or to enforce our existing patents and patents we might obtain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or our future licensors may be subject to claims challenging the inventorship or ownership of our or our future in-licensed patents and other intellectual property.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may also be subject to claims that former employees or other third parties have an ownership interest in our patents or other intellectual property.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defend against these and other claims challenging inventorship or ownership. If we or our future licensors fail in defending any such claims, in addition to paying monetary damages, we may lose valuable intellectual property rights. Such an outcome could have a material adverse effect on our business. Even if we or our future licensors are successful in defending against such claims, litigation could result in substantial costs and distraction to management and other employees.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future licensors may have relied on third-party consultants or collaborators or on funds from third parties, such as the U.S. government, such that our future licensors are not the sole and exclusive owners of any patents we may in-license.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while it is our policy to require our employees, advisors, consultants, contractors and other third parties, including certain service providers,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Patent terms may be inadequate to protect our competitive position on our product candidates for an adequate amount of time.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Patents have a limited lifespan. In the United States, if all maintenance fees are timely paid, the natural expiration of a patent is generally 20 years from its earliest U.S. non-provisional filing date. Various extensions may be available, but the term of a patent, and the protection it affords, is limited. Even if patents directed to our product candidates are obtained, once the patent term has expired, we may be open to competition from competitive products. Given the amount of time required for the development, testing and regulatory review of product candidates, patents directed to our product candidates might expire before or shortly after such candidates are commercialized. As a result, our patent portfolio may not provide us with sufficient rights to exclude others from commercializing products similar or identical to ours.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Depending upon the timing, duration and specifics of FDA marketing approval, if any,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or our licensors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or our licensors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may not be able to protect our intellectual property rights throughout the world.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or our licensors have patent protection but enforcement is not as strong as that in the United States. These products may compete with our product candidates, and our patents or other intellectual property rights may not be effective or sufficient to prevent them from competing.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or our licensors’ patents or marketing of competing products in violation of our proprietary rights. Proceedings to enforce our, or our potential future licensors’, patent rights in foreign jurisdictions could result in substantial costs and divert our efforts and attention from other aspects of our business, could put our or our potential future licensors’ patents at risk of being invalidated or interpreted narrowly and our or our potential future licensors’ patent applications at risk of not issuing and could provoke third parties to assert claims against us. We, or our licensors, may not prevail in any lawsuits that we or our potential future licensors initiate, and the damages or other remedies awarded, if any, may not be commercially meaningful. Accordingly, our, or our potential future licensors’, efforts to enforce our intellectual property rights around the world may be inadequate to obtain a significant commercial advantage from the intellectual property that we develop or in-license.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our licensors,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Periodic maintenance fees, renewal fees, annuity fees and various other governmental fees on patents and/or applications will be due to the USPTO and various foreign patent offices at various points over the lifetime of our patents and/or applications. We have systems in place to remind us to pay these fees, and we rely on third parties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While an inadvertent lapse, including due to the effect of a widespread adverse health event, our patent maintenance vendors or law firms,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relating to our product candidates, our competitive position would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If we are unable to protect the confidentiality of our trade secrets, our business and competitive position would be harmed.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to seeking patent protection for some of our technology and product candidates, we rely on the protection of our trade secrets, including unpatented know-how, technology and other proprietary information to maintain our competitive position, especially with respect to our technology platform. Any disclosure, either intentional or unintentional, by our employees or third-party consultants and vendors that we engage to perform research, clinical trials or manufacturing activities, or misappropriation by third parties (such as through a 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may require us to share our trade secrets, which increases the possibility that a competitor will discover them or that our trade secrets will be misappropriated or disclosed.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taken steps to protect our trade secrets and unpatented know-how, including entering into non-disclosure and confidentiality agreements with third parties who are given access to them, such as our corporate collaborators, outside scientific collaborators, contract research organizations, contract manufacturers, consultants, advisors and other third parties. With our consultants, contractors and outside scientific collaborators, these agreements typically include invention assignment obligations. We cannot guarantee that we have entered into such agreements with each party that may have or has had access to our trade secrets or proprietary technology and processes. Further, we cannot provide any assurances that all such agreements have been duly executed or that competitors will not otherwise gain access to our trade secrets or independently develop substantially equivalent information and techniques. In addition,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or our licensors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each case which could materially harm our business.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is common in the pharmaceutical and biotechnology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we have wrongfully hired an employee from a competitor or that we or our employees have wrongfully used or disclosed alleged confidential information,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use and will continue to use registered and/or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prescribers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Moreover, any name we have proposed to use with a product candidate in the United States must be approved by the FDA, regardless of whether we have registered it, or applied to register it, as a trademark. Similar requirements exist in Europe and other jurisdictions outside of the United States.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use third-party open source software, which could negatively affect our ability to offer our solutions and subject us to litigation or other actions.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use open source software licensed to us by third-party authors under “open source” licenses in our platform and solutions and expect to continue to use such open source software in the future.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To the extent that our platform depends upon the successful operation of open source software, any undetected errors or defects in this open source software could prevent the deployment or impair the functionality of our platform, delay introductions of new solutions, result in a failure of our platform, and injure our reputation. For example, undetected errors or defects in open source software could render it vulnerable to breaches or security attacks, and, as a result, possibly make our systems more vulnerable to data breaches. In addition, the public availability of such software may make it easier for others to compromise our platform.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Further,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platform and solutions. Some open source licenses contain express requirements that we make available source code for modifications or derivative works we create based upon the type of open source software we use, or grant other licenses to our intellectual property. If we combine our proprietary software with open source software in a certain manner, we could, under certain open source licenses, be required to release the source code of our proprietary software to the public. This would allow our competitors to create similar offerings with lower development cost, effort and time and ultimately could result in a loss of our competitive advantages. Alternatively, to avoid the public release of the affected portions of our source code, we could be required to expend substantial time and resources to re-engineer some or all of our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Despite our efforts to monitor our use of open source software to avoid subjecting our platform to conditions we do not intend, there is a risk that open source licenses could be construed in a way that could impose unanticipated conditions or restrictions on our ability to provide or distribute our platform. 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devote additional research and development resources to re-engineer our platform, seek costly licenses from third parties, pay monetary damages to the owner of the copyright in the relevant open source software or otherwise incur additional costs and expenses, any of which could result in reputational harm and would have a negative effect on our business and results of operations. In addition, if the license terms for the open source software we utilize change, we may be forced to re-engineer our platform, incur additional costs to comply with the changed license terms or replace the affected open source software. Although we have implemented policies to regulate the use and incorporation of open source software into our platform and solutions, we cannot be certain that such policies will be effective and that we have not incorporated open source software in our platform and solutions in a manner that is inconsistent with such policies.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Intellectual property rights do not necessarily address all potential threats to our competitive advantage.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degree of future protection afforded by intellectual property rights is uncertain because intellectual property rights have limitations, and may not adequately protect our business or permit us to maintain our competitive advantage. For example and without limitation:</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others may be able to develop products that are similar to our product candidates but that are not covered by the claims of the patents that we may own or license;</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we or our potential future licensors might not have been the first to make the inventions covered by the issued patents or patent application that we may own or license;</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we or our potential future licensors might not have been the first to file patent applications covering certain of our inventions;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others may independently develop similar or alternative technologies or duplicate any of our technologies without infringing our intellectual property rights;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it is possible that our, or our future licensors’, pending patent applications will not lead to issued patents;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future issued patents that we own or license may be held invalid or unenforceable, as a result of legal challenges by our competitors;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we may not develop additional proprietary technologies that are patentable; and</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patents of others may have an adverse effect on our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Should any of these events occur, it could significantly harm our business, results of operations and prospects.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Risks Related to Employee Matters and Managing our Growth</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If we are unable to establish sales or marketing capabilities or enter into agreements with third parties to sell or market our product candidates, we may not be able to successfully sell or market our product candidates that obtain regulatory approval.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may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may receive regulatory approval or any such commercialization may experience delays or limitations. Moreover, even if we do successfully enter such arrangements with third parties, any of those third parties may fail to perform in a satisfactory or timely manner, if at all. If we are unable to successfully commercialize our approved product candidates, either on our own or through collaborations with one or more third parties, our future product revenue will suffer and we may incur significant additional losses.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success is highly dependent on our ability to attract and retain highly skilled executive officers and employees.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 succeed, we must recruit, retain, manage and motivate qualified clinical, scientific, technical, administrative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results of operations.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including bioinformatics and computational biologist specialists, for the future success of our business. We could in the future have difficulty attracting experienced personnel to our company and may be required to expend significant financial resources in our employee recruitment and retention efforts. We currently do not maintain "key person" insurance for any of our executive officers (other than our chief executive officer) or other employees, and such insurance, even if in place, may not be adequate.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Many of the other biotechnology companies that we compete against for qualified personnel have greater financial and other resources, different risk profiles and a longer history in the industry than we do. They also may provide a wide range of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(if approved) our product candidates will be limited and the potential for successfully growing our business will be harmed.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 order to successfully implement our plans and strategies, we will need to grow the size of our organization, and we may experience difficulties in managing this growth.</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we had 57 full-time employees, including 42 employees engaged in research and development. In order to successfully implement our development and commercialization plans and strategies, including operating as a public company, we expect to need additional managerial, operational, sales, marketing, financial and other personnel. Future growth would impose significant added responsibilities on members of management, including without limitation:</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identifying, recruiting, integrating, maintaining and motivating additional employees;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managing our internal development efforts effectively, including the clinical, FDA, EMA and other comparable foreign regulatory agencies’ review process of atebimetinib and any other product candidates that we develop, while complying with any contractual obligations to contractors and other third parties we may have; and</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improving our operational, financial and management controls, reporting systems and procedures.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future financial performance and our ability to successfully develop and, if approved, commercialize atebimetinib and any other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 party service providers is compromised for any reason, our clinical trials may be extended, delayed or terminated, and we may not be able to obtain marketing approval of any current or future product candidates or otherwise advance our business. We cannot assure you that we will be able to manage our existing third-party service providers or find other competent outside contractors and consultants on economically reasonable terms, or at all.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If we are not able to effectively expand our organization by hiring new employees and/or engaging additional third-party service providers, we may not be able to successfully implement the tasks necessary to further develop and commercialize atebimetinib and any other current or future product candidates and, accordingly, may not achieve our research, development and commercialization goals.</w:t>
      </w:r>
    </w:p>
    <w:p>
      <w:pPr>
        <w:pStyle w:val="TextBody"/>
        <w:bidi w:val="0"/>
        <w:spacing w:lineRule="auto" w:line="268" w:before="200" w:after="283"/>
        <w:jc w:val="both"/>
        <w:rPr>
          <w:rFonts w:ascii="Times New Roman;serif" w:hAnsi="Times New Roman;serif"/>
          <w:b/>
          <w:i/>
          <w:color w:val="000000"/>
          <w:sz w:val="20"/>
        </w:rPr>
      </w:pPr>
      <w:r>
        <w:rPr>
          <w:rFonts w:ascii="Times New Roman;serif" w:hAnsi="Times New Roman;serif"/>
          <w:b/>
          <w:i/>
          <w:color w:val="000000"/>
          <w:sz w:val="20"/>
        </w:rPr>
        <w:t>A variety of risks associated with operating internationally could materially adversely affect our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current international operations relate primarily to clinical trial activities, but our business plans incorporate potential international expansion, for example including the potential engagement with a collaborator based internationally, or upon any of our product candidates receiving regulatory approval (which may never occur). Doing business internationally involves a number of risks, including but not limited to:</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multiple, conflicting and changing laws and regulations, such as privacy regulations, tax laws, export and import restrictions, employment laws, regulatory requirements and other governmental approvals, permits and licenses;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failure by us to obtain and maintain regulatory approvals for the use of our product candidates in various countries;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additional potentially relevant third-party patent rights;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complexities and difficulties in obtaining intellectual property protection and enforcing our intellectual property rights;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difficulties in staffing and managing foreign operations;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complexities associated with managing multiple payor reimbursement regimes, government payors or patient self-pay systems;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limits in our ability to penetrate international markets;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financial risks, such as longer payment cycles, difficulty collecting accounts receivable, the impact of local and regional financial crises on demand and payment for our product candidates and exposure to foreign currency exchange rate fluctuations;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natural disasters, political and economic instability including wars, terrorism and political unrest (for example, the ongoing conflict between Russia and Ukraine, as well as in the Middle East), outbreak of disease (for example, COVID-19 and other pandemics), boycotts, curtailment of trade and other business restrictions;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increased susceptibility to trade disputes between nations, including from the imposition of tariffs, which may adversely impact operations (such as conducting ex-U.S. clinical trials or sourcing materials internationally);</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certain expenses including, among others, expenses for travel, translation and insurance; and</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regulatory and compliance risks that relate to maintaining accurate information and control over sales (if any) and activities that may fall within the purview of the FCPA, its books and records provisions, its anti-bribery provisions or other anti-bribery and anti-corruption laws.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Any of these factors, among others, could significantly limit or harm our future international expansion and operations and, consequently, our results of operations.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Acquisitions, joint ventures or other transactions involving third parties could disrupt our business, cause dilution to our stockholders and otherwise harm our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in the past and may in the future acquire other businesses, products or technologies as well as pursue strategic alliances, joint ventures, licensing arrangements, supply agreements or investments in complementary businesses. We have limited or in some cases no experience in completing such transactions. Any of these transactions could be material to our financial condition and operating results and expose us to many risks, including without limitation:</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disruption in our relationships with future customers or with current or future distributors or suppliers as a result of such a transaction;</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unanticipated liabilities related to acquired companies;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difficulties integrating acquired personnel, technologies and operations into our existing business;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diversion of management time and focus from operating our business to acquisition integration or other collaboration challenges;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increases in our expenses and reductions in our cash available for operations and other uses;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possible write-offs or impairment charges relating to acquired businesses;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disputes regarding intellectual property and/or the scope and interpretation of licensing terms; and</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inability to develop a sales force for any additional product candidates.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Potential foreign transactions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Additionally, the anticipated benefit of any such transaction may not materialize. For example, future acquisitions or dispositions could result in potentially dilutive issuances of our equity securities, the incurrence of additional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We have broad discretion in the use of our cash reserves and may not use them effectively.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management has broad discretion to use our cash reserves and could use them in ways that do not improve our results of operations or enhance value, for example by prioritizing the development of certain product candidates and / or medical indications over others that could have been more successful. The failure by our management to apply these funds effectively could result in financial losses that could have a material adverse effect on our business and/or delay the development of our product candidates. Additionally, pending their use, we may invest our cash reserves in a manner that does not produce income or that loses value.</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Risks Related to Ownership of Our Class A Common Stock</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may be unable to maintain an active, liquid and orderly trading market for our Class A common stock and, as a result, it may be difficult for you to sell your shares of our Class A common stock.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market value of our Class A common stock has in the past decreased from time to time, and may in the future decrease from time to time, and you may not be able to resell your shares of our Class A common stock at or above the price you purchased them.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Class A common stock and may impair our ability to enter into strategic collaborations or acquire companies, technologies or other assets by using our shares of Class A common stock as consideration.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The price of our stock has been and may in the future be volatile, and you could lose all or part of your investment.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trading price of our Class A common stock has in the past been, and in the future is likely to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Broad market and industry factors may negatively affect the market price of our Class A common stock, regardless of our actual operating performance. In addition to the factors discussed in this “Risk Factors” section, elsewhere in this filing, and in our other SEC filings, these factors include:</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timing and results of preclinical studies and clinical trials of our product candidates or those of our competitors;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success of competitive products or announcements by potential competitors of their product development efforts;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regulatory actions with respect to our products or our competitors’ products;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actual or anticipated changes in our growth rate relative to our competitors;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regulatory or legal developments in the United States and other countries;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developments or disputes concerning patent applications, issued patents or other proprietary rights;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the recruitment or departure of key personnel;</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announcements by us or our competitors of significant acquisitions, strategic collaborations, joint ventures, collaborations or capital commitments;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actual or anticipated changes in estimates as to financial results, development timelines or recommendations by securities analysts;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fluctuations in the valuation of companies perceived by investors to be comparable to us;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market conditions in the pharmaceutical and biotechnology sector;</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changes in the structure of healthcare payment systems;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share price and volume fluctuations attributable to inconsistent trading volume levels of our shares;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announcement or expectation of additional financing efforts;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sales of our Class A common stock by us, our insiders or our other stockholders;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expiration of market stand-off or lock-up agreements; and</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general economic, industry and market conditions, including the effects of recession or slow economic growth in the U.S. and abroad, interest rates, tariffs, inflation, fuel prices, international currency fluctuations, corruption, political instability, acts of war, acts of terrorism, ongoing or future military conflicts, and ongoing or future pandemics or other public health crises.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realization of any of the above risks or any of a broad range of other risks, including those described in this “Risk Factors” section, could have a dramatic and adverse impact on the market price of our Class A common stock.</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reports, or if they publish adverse or misleading research or reports, regarding us, our business or our market, our stock price and trading volume could decline.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trading market for our Class A common stock will be influenced by the research and reports that securities or industry analysts publish about us, our business or our market. If any of the analysts who cover us issue adverse or misleading research or reports regarding us, our business model, our intellectual property, our stock performance or our market, or if our results of operations fail to meet the expectations of analysts, our stock price would likely decline. If one or more of these analysts cease coverage of us or fail to publish reports on us regularly (as has happened in the past), we could lose visibility in the financial markets, which in turn could cause our stock price or trading volume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principal stockholders and management own a significant percentage of our stock and will be able to exert significant control over matters subject to stockholder approval.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executive officers, directors, holders of 5% or more of our capital stock and their respective affiliates beneficially own a significant percentage of our voting stock and these stockholders will be able to influence us through this ownership position. These stockholders, if they were to vote their shares in the same or a similar manner as one another,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Class A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Class A common stock, and might affect the prevailing market price for our Class A common stock.</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Sales of a substantial number of shares of our Class A and/or Class B common stock in the public market could cause our stock price to fall.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Class A and/or Class B common stock, or the perception that these sales might occur, could depress the market price of our Class A common stock and could impair our ability to raise capital through the sale of additional equity securities. The shares of Class A common stock that were sold in the initial public offering and shares of Class A common stock that have been or will be sold under any registration statement declared effective by the SEC are, or will be, as applicable, freely transferable without restrictions or further registration under the Securities Act, except for any shares acquired by our affiliates, as defined in Rule 144 under the Securities Act. The remaining shares of our Class A common stock that are outstanding are either unrestricted or restricted as a result of securities laws. In addition, there are shares of Class A common stock that are either subject to outstanding options or reserved for future issuance under our existing equity incentive plans and may become eligible for future sale subject to vesting, and Rule 144 and Rule 701 under the Securities Act. If these additional shares of Class A common stock are sold, or if it is perceived that they will be sold, in the public market, the trading price of our Class A common stock could decline.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in the future, we may issue additional shares of Class A common stock, or other equity or debt securities convertible into Class A common stock, in connection with a financing, acquisition, employee arrangement or otherwise. Any such issuance could result in substantial dilution to our existing stockholders and could cause the price of our Class A common stock to decline.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do not currently intend to pay dividends on our Class A common stock and, consequently, your ability to achieve a return on your investment will depend on appreciation of the value of our Class A common stock.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equity securities. We currently anticipate that we will retain future earnings, if any, for the development, operation and expansion of our business and do not anticipate declaring or paying any cash dividends for the foreseeable future, if ever. Any return to stockholders will therefore be limited to any appreciation in the value of our Class A common stock, which is not certain.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Provisions in our certificate of incorporation and bylaws and Delaware law might discourage, delay or prevent a change in control of our company or changes in our management and, therefore, depress the market price of our Class A common stock.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and bylaws contain provisions that could depress the market price of our Class A common stock by acting to discourage, delay or prevent a change in control of our company or changes in our management that the stockholders of our company may deem advantageous. These provisions, among other things: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establish a classified Board so that not all members of our Board are elected at one time;</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permit only the Board to establish the number of directors and fill vacancies on the Board;</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provide that directors may only be removed “for cause” and only with the approval of two-thirds of our stockholders;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authorize the issuance of “blank check” preferred stock that our Board could use to implement a stockholder rights plan (also known as a “poison pill”);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eliminate the ability of our stockholders to call special meetings of stockholders;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prohibit stockholder action by written consent, which requires all stockholder actions to be taken at a meeting of our stockholders;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prohibit cumulative voting;</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authorize our Board to unilaterally amend the bylaws (as, for example, the Board did in February 2024);</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establish advance notice requirements for nominations for election to our Board or for proposing matters that can be acted upon by stockholders at annual stockholder meetings; and</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require a super-majority vote of stockholders to amend some provisions described above.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Section 203 of the General Corporation Law of the State of Delaware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Any provision of our certificate of incorporation, our bylaws or Delaware or other applicable law that has the effect of delaying or preventing a change in control could limit the opportunity for our stockholders to receive a premium for their shares of our capital stock and could also affect the price that some investors are willing to pay for our Class A common stock.</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amended and restated certificate of incorporation and amended and restated bylaws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a federal district court of the United States of America is the exclusive forum for the resolution of any complaint asserting a cause or causes of action against any defendant arising under the Securities Act. Such provision is intended to benefit and may be enforced by us, our officers, directors, employees and agents, including the underwriters and any other professional or entity who has prepared or certified any part of this filing or our other SEC filings. Nothing in our amended and restated certificate of incorporation or amended and restated bylaws preclude stockholders that assert claims under the Exchange Act from bringing such claims in state or federal court, subject to applicable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agents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choice of forum provision contained in our amended and restated certificate of incorporation and amended and restated bylaws to be inapplicable or unenforceable in an action, we may incur additional costs associated with resolving such action in other jurisdictions, which could adversely affect our business and financial condition.</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General Risks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information technology systems or use of artificial intelligence, or those of any of our CROs, manufacturers, other contractors, consultants, collaborators or potential future collaborators, may fail or suffer security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information technology systems and those of our current and any future CROs, CMOs and other contractors, consultants, collaborators, agents and third-party service providers, are vulnerable to attack, interruption and damage from computer viruses (e.g. ransomware), cybersecurity threats, malicious code, unauthorized access, natural disasters, terrorism, war and telecommunication and electrical failure, phishing attacks and other social engineering schemes, employee theft or misuse, human error, fraud, denial or degradation of service attacks, sophisticated nation-state and nation-state-supported actors or unauthorized access or use by persons inside our organization, or persons with access to systems inside our organization. We have also outsourced elements of our information technology infrastructure, and as a result a number of third-party vendors may or could have access to our confidential information.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and evolved.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If we or our third-party vendors were to experience a significant security breach of our or their information systems or data, the costs associated with the investigation, remediation and potential notification of the breach to counter-parties and data subjects could be material.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and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or result in the unauthorized acquisition of or access to our trade secrets, health-related or other personal information or other proprietary or sensitive information, it could result in a material disruption of our drug discovery and development programs and our business operations, whether due to a loss of our trade secrets or other similar disruptions, and it may be necessary to notify individuals, governmental authorities, supervisory bodies, the media and other parties pursuant to data privacy and security laws. Notifications and follow-up actions related to a security breach could impact our reputation and cause us to incur significant costs, including legal expenses and remediation costs. For example, the loss of clinical trial data from past, present or future clinical trials could result in delays in our regulatory approval efforts and significantly increase our costs to recover or reproduce the lost data. 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inappropriate disclosure of confidential or proprietary information, we could be exposed to litigation and governmental investigations, the further development and potential commercialization of our product candidates could be delayed or halted, and we could be subject to significant fines or penalties for any noncompliance with certain state, federal, local and/or international privacy and security laws.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we (and likely many of our third-party vendors, agents and other collaborators) are adopting and exploring the use of Artificial Intelligence ("AI") in our business. As an emerging and rapidly evolving technology, our (and, to the extent applicable, our third-party vendors', agents' and other collaborators') use of AI presents risks that could adversely affect our operations, information security and reputation. For example, AI systems may produce inaccurate or flawed outputs due to improper algorithms, or insufficient and/or erroneous training data. Reliance on flawed outputs could result in lower quality decision-making or prevent us from effectively utilizing AI in our business. We may also become vulnerable to operational disruptions if any AI technologies that we use experience downtimes or are compromised by cyberattacks. Moreover, if any of our confidential or proprietary information is integrated into public AI systems, whether purposefully or accidentally, it could result in the loss of confidentiality (including with respect to intellectual property) or other premature disclosure issues that negatively impact our business operations. If we (or our third-party agents and other collaborators) do not effectively implement guardrails and train staff on the safe and proper use of AI, or if staff fail to effectively adhere to established guardrails and training on the use of AI, we may experience adverse effects on our business, including without limitation data breaches, the loss of confidential information (including our intellectual property), unintentional disclosure of personal data, reputational harm, or other misuse of our proprietary information.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or ultimate disposition, could be costly and divert management attention.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Additionally, there can be no assurance that our cybersecurity risk management program and processes, including our policies, controls or procedures, will be fully implemented, complied with or effective in protecting our systems and information. See Part I. Item 1C. "Cybersecurity" contained in our Annual Report on Form 10-K for the fiscal year ended December 31, 2025 for additional information.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operations are vulnerable to interruption by fire, severe weather conditions, power loss, telecommunications failure, terrorist activity, military conflict, future pandemics and other events beyond our control, which could harm our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facilities are located in regions which experience severe weather from time to time. We have not undertaken a systematic analysis of the potential consequences to our business and financial results from a major tornado, flood, fire, earthquake, power loss, terrorist activity, geopolitical conflicts, military conflict, future pandemics, public health crises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are an “emerging growth company,” and we cannot be certain if the reduced reporting requirements applicable to emerging growth companies will make our Class A common stock less attractive to investors.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the Jumpstart Our Business Startups Act of 2012 (the "JOBS Act"). For as long as we continue to be an emerging growth company, we intend to take advantage of exemptions from various reporting requirements that are applicable to other public companies that are not emerging growth companies, including:</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being permitted to provide only two years of audited financial statements, in addition to any required unaudited financial statements, with correspondingly reduced “Management’s Discussion and Analysis of Financial Condition and Results of Operations” disclosure in this and other periodic reports;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not being required to comply with the auditor attestation requirements of Section 404 of the Sarbanes-Oxley Act of 2002 (the "Sarbanes-Oxley Act");</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not being required to comply with any requirement that may be adopted by the Public Company Accounting Oversight Board regarding the communication of critical audit matters in the auditor’s report on financial statements;</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reduced disclosure obligations regarding executive compensation in our periodic reports and proxy statements; and</w:t>
      </w:r>
    </w:p>
    <w:p>
      <w:pPr>
        <w:pStyle w:val="TextBody"/>
        <w:bidi w:val="0"/>
        <w:spacing w:lineRule="auto" w:line="288" w:before="200" w:after="283"/>
        <w:ind w:left="0" w:right="0" w:hanging="144"/>
        <w:jc w:val="both"/>
        <w:rPr/>
      </w:pPr>
      <w:r>
        <w:rPr>
          <w:color w:val="000000"/>
        </w:rPr>
        <w:t>•</w:t>
      </w:r>
      <w:r>
        <w:rPr>
          <w:rFonts w:ascii="Times New Roman;serif" w:hAnsi="Times New Roman;serif"/>
          <w:b w:val="false"/>
          <w:color w:val="000000"/>
          <w:sz w:val="20"/>
        </w:rPr>
        <w:t>exemptions from the requirements of holding nonbinding advisory stockholder votes on executive compensation and stockholder approval of any golden parachute payments not previously approved.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cannot predict if investors will find our Class A common stock less attractive because we may rely on these exemptions. If some investors find our Class A common stock less attractive as a result, there may be a less active trading market for our Class A common stock and our stock price may be more volatile.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will remain an emerging growth company until the earliest to occur of: (1) the last day of the fiscal year in which we have more than $1.235 billion in annual revenue; (2) the date we qualify as a “large accelerated filer,” with at least $700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Under the JOBS Act, emerging growth companies can also delay adopting new or revised accounting standards until such time as those standards apply to private companies. We intend to take advantage of the extended transition period for adopting new or revised accounting standards under the JOBS Act as an emerging growth company. As a result of this election, our financial statements may not be comparable to companies that comply with public company effective dates.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The requirements of being a public company may strain our resources, result in more litigation and divert management’s attention.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the Sarbanes-Oxley Act, the Dodd-Frank Wall Street Reform and Consumer Protection Act (the "Dodd-Frank Act"), the listing requirements of Nasdaq and other applicable securities laws, rules and regulations. Complying with these laws, rules and regulations has increased and will continue to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results of operations.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will be required. As a result, management’s attention may be diverted from other business concerns, which could adversely affect our business and results of operations. We may also need to hire additional employees or engage outside consultants to comply with these requirements, which will increase our costs and expenses.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changing laws, rules, regulations and standards relating to corporate governance and public disclosure are creating uncertainty for public companies, increasing legal and financial compliance costs and making some activities more time consuming. These laws, rules,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evolving laws, rules, regulations and standards, and this investment may result in increased general and administrative expenses and a diversion of management’s time and attention from revenue-generating activities to compliance activities. If our efforts to comply with new laws, rules, regulations and standards differ from the activities intended by regulatory or governing bodies due to ambiguities related to their application and practice, regulatory or other governmental authorities may initiate legal proceedings against us and our business may be adversely affected.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These new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particularly to serve on our audit committee and compensation committee, and qualified executive officers.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By disclosing information in this filing and in future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Class A common stock.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required to disclose changes made in our internal controls and procedures on a quarterly basis and our management is required to assess the effectiveness of these controls annually. However, for as long as we are an emerging growth company or a non-accelerated filer (as defined under applicable SEC rules), our independent registered public accounting firm will not be required to attest to the effectiveness of our internal controls over financial reporting pursuant to Section 404.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may be subject to securities litigation, which is expensive and could divert management attention.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market price of our Class A common stock has been and may in the future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New tax legislation may impact our results of operations and financial condition.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U.S. government has enacted, and may in the future enact further, significant changes to the taxation of business entities including, among others, an increase in the corporate income tax rate, an increase in the tax rate applicable to the global intangible low-taxed income and elimination of certain exemptions, and the imposition of minimum taxes or surtaxes on certain types of income. For example, the recently enacted Inflation Reduction Act, among other changes, introduced a 15% corporate minimum tax on certain United States corporations and a 1% excise tax on certain stock redemptions by United States corporations. Additionally, in July 2025, the Act to Provide for Reconciliation Pursuant to Title II of H. Con. Res. 14 was enacted, which for example (and among other things) extends certain tax cuts while eliminating certain others. The likelihood and / or potential impact of these or other further changes being enacted or implemented is unclear. We are currently unable to predict whether such changes will occur, and if they do occur, what their scope will be. If such changes were to be enacted or implemented, we are currently unable to predict the ultimate impact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Unregistered Sales of Equity Securities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Use of Proceeds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Issuer Purchases of Equity Securities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Disclosure in lieu of reporting on a Current Report on Form 8-K.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 Material changes to the procedures by which security holders may recommend nominees to the board of directors.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 Insider Trading Arrangements and Policies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(as defined in Rule 16a-1(f) under the Exchange Act) of the Company adopted or terminated a “Rule 10b5-1 trading arrangement” or “non-Rule 10b5-1 trading arrangement”, as each term is defined in Item 408(a)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69"/>
        <w:gridCol w:w="325"/>
        <w:gridCol w:w="327"/>
        <w:gridCol w:w="1893"/>
        <w:gridCol w:w="1851"/>
        <w:gridCol w:w="1816"/>
        <w:gridCol w:w="171"/>
        <w:gridCol w:w="171"/>
        <w:gridCol w:w="170"/>
        <w:gridCol w:w="286"/>
        <w:gridCol w:w="286"/>
        <w:gridCol w:w="266"/>
        <w:gridCol w:w="210"/>
        <w:gridCol w:w="210"/>
        <w:gridCol w:w="211"/>
        <w:gridCol w:w="255"/>
        <w:gridCol w:w="255"/>
        <w:gridCol w:w="256"/>
        <w:gridCol w:w="255"/>
        <w:gridCol w:w="255"/>
        <w:gridCol w:w="367"/>
      </w:tblGrid>
      <w:tr>
        <w:trPr/>
        <w:tc>
          <w:tcPr>
            <w:tcW w:w="36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87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Filed/</w:t>
              <w:br/>
              <w:t>Furnished</w:t>
              <w:br/>
              <w:t>Herewith</w:t>
            </w:r>
          </w:p>
        </w:tc>
      </w:tr>
      <w:tr>
        <w:trPr/>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5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5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8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w:t>
              <w:br/>
              <w:t>Date</w:t>
            </w:r>
          </w:p>
        </w:tc>
        <w:tc>
          <w:tcPr>
            <w:tcW w:w="87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55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Amended and Restated Certificate of Incorporation of Immuneering Corporation</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8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001-40675</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9/9/2021</w:t>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55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Amended and Restated Bylaws of Immuneering Corporation</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001-40675</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2/2/2024</w:t>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55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Form of Pre-Funded Warrant</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001-40675</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8/25/2025</w:t>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55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Form of Purchase Warrant</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001-40675</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8/25/2025</w:t>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55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mrx-20260630xexx101.htm">
              <w:r>
                <w:rPr>
                  <w:rStyle w:val="InternetLink"/>
                  <w:rFonts w:ascii="Times New Roman;serif" w:hAnsi="Times New Roman;serif"/>
                  <w:b w:val="false"/>
                  <w:color w:val="000080"/>
                  <w:sz w:val="20"/>
                  <w:u w:val="single"/>
                </w:rPr>
                <w:t>Employment Agreement, dated Ju</w:t>
              </w:r>
            </w:hyperlink>
            <w:hyperlink w:anchor="imrx-20260630xexx101.htm">
              <w:r>
                <w:rPr>
                  <w:rStyle w:val="InternetLink"/>
                  <w:rFonts w:ascii="Times New Roman;serif" w:hAnsi="Times New Roman;serif"/>
                  <w:b w:val="false"/>
                  <w:color w:val="000080"/>
                  <w:sz w:val="20"/>
                  <w:u w:val="single"/>
                </w:rPr>
                <w:t>ne</w:t>
              </w:r>
            </w:hyperlink>
            <w:hyperlink w:anchor="imrx-20260630xexx101.htm">
              <w:r>
                <w:rPr>
                  <w:rStyle w:val="InternetLink"/>
                  <w:rFonts w:ascii="Times New Roman;serif" w:hAnsi="Times New Roman;serif"/>
                  <w:b w:val="false"/>
                  <w:color w:val="000080"/>
                  <w:sz w:val="20"/>
                  <w:u w:val="single"/>
                </w:rPr>
                <w:t xml:space="preserve"> </w:t>
              </w:r>
            </w:hyperlink>
            <w:hyperlink w:anchor="imrx-20260630xexx101.htm">
              <w:r>
                <w:rPr>
                  <w:rStyle w:val="InternetLink"/>
                  <w:rFonts w:ascii="Times New Roman;serif" w:hAnsi="Times New Roman;serif"/>
                  <w:b w:val="false"/>
                  <w:color w:val="000080"/>
                  <w:sz w:val="20"/>
                  <w:u w:val="single"/>
                </w:rPr>
                <w:t>10</w:t>
              </w:r>
            </w:hyperlink>
            <w:hyperlink w:anchor="imrx-20260630xexx101.htm">
              <w:r>
                <w:rPr>
                  <w:rStyle w:val="InternetLink"/>
                  <w:rFonts w:ascii="Times New Roman;serif" w:hAnsi="Times New Roman;serif"/>
                  <w:b w:val="false"/>
                  <w:color w:val="000080"/>
                  <w:sz w:val="20"/>
                  <w:u w:val="single"/>
                </w:rPr>
                <w:t>, 202</w:t>
              </w:r>
            </w:hyperlink>
            <w:hyperlink w:anchor="imrx-20260630xexx101.htm">
              <w:r>
                <w:rPr>
                  <w:rStyle w:val="InternetLink"/>
                  <w:rFonts w:ascii="Times New Roman;serif" w:hAnsi="Times New Roman;serif"/>
                  <w:b w:val="false"/>
                  <w:color w:val="000080"/>
                  <w:sz w:val="20"/>
                  <w:u w:val="single"/>
                </w:rPr>
                <w:t>6</w:t>
              </w:r>
            </w:hyperlink>
            <w:hyperlink w:anchor="imrx-20260630xexx101.htm">
              <w:r>
                <w:rPr>
                  <w:rStyle w:val="InternetLink"/>
                  <w:rFonts w:ascii="Times New Roman;serif" w:hAnsi="Times New Roman;serif"/>
                  <w:b w:val="false"/>
                  <w:color w:val="000080"/>
                  <w:sz w:val="20"/>
                  <w:u w:val="single"/>
                </w:rPr>
                <w:t xml:space="preserve">, by and between </w:t>
              </w:r>
            </w:hyperlink>
            <w:hyperlink w:anchor="imrx-20260630xexx101.htm">
              <w:r>
                <w:rPr>
                  <w:rStyle w:val="InternetLink"/>
                  <w:rFonts w:ascii="Times New Roman;serif" w:hAnsi="Times New Roman;serif"/>
                  <w:b w:val="false"/>
                  <w:color w:val="000080"/>
                  <w:sz w:val="20"/>
                  <w:u w:val="single"/>
                </w:rPr>
                <w:t xml:space="preserve">Andrew Gengos </w:t>
              </w:r>
            </w:hyperlink>
            <w:hyperlink w:anchor="imrx-20260630xexx101.htm">
              <w:r>
                <w:rPr>
                  <w:rStyle w:val="InternetLink"/>
                  <w:rFonts w:ascii="Times New Roman;serif" w:hAnsi="Times New Roman;serif"/>
                  <w:b w:val="false"/>
                  <w:color w:val="000080"/>
                  <w:sz w:val="20"/>
                  <w:u w:val="single"/>
                </w:rPr>
                <w:t>and Immuneering Corporation</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34"/>
        <w:gridCol w:w="295"/>
        <w:gridCol w:w="296"/>
        <w:gridCol w:w="2143"/>
        <w:gridCol w:w="2067"/>
        <w:gridCol w:w="2035"/>
        <w:gridCol w:w="171"/>
        <w:gridCol w:w="171"/>
        <w:gridCol w:w="169"/>
        <w:gridCol w:w="184"/>
        <w:gridCol w:w="154"/>
        <w:gridCol w:w="154"/>
        <w:gridCol w:w="210"/>
        <w:gridCol w:w="210"/>
        <w:gridCol w:w="211"/>
        <w:gridCol w:w="175"/>
        <w:gridCol w:w="175"/>
        <w:gridCol w:w="176"/>
        <w:gridCol w:w="255"/>
        <w:gridCol w:w="255"/>
        <w:gridCol w:w="365"/>
      </w:tblGrid>
      <w:tr>
        <w:trPr/>
        <w:tc>
          <w:tcPr>
            <w:tcW w:w="33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87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Filed/</w:t>
              <w:br/>
              <w:t>Furnished</w:t>
              <w:br/>
              <w:t>Herewith</w:t>
            </w:r>
          </w:p>
        </w:tc>
      </w:tr>
      <w:tr>
        <w:trPr/>
        <w:tc>
          <w:tcPr>
            <w:tcW w:w="9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62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4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w:t>
              <w:br/>
              <w:t>Date</w:t>
            </w:r>
          </w:p>
        </w:tc>
        <w:tc>
          <w:tcPr>
            <w:tcW w:w="8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62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mrx-20260630xexx102.htm">
              <w:r>
                <w:rPr>
                  <w:rStyle w:val="InternetLink"/>
                  <w:rFonts w:ascii="Times New Roman;serif" w:hAnsi="Times New Roman;serif"/>
                  <w:b w:val="false"/>
                  <w:color w:val="000080"/>
                  <w:sz w:val="20"/>
                  <w:u w:val="single"/>
                </w:rPr>
                <w:t>Immuneering Corporation 2025 Employment Inducement Award Plan and forms of award agreements thereunder</w:t>
              </w:r>
            </w:hyperlink>
            <w:hyperlink w:anchor="imrx-20260630xexx102.htm">
              <w:r>
                <w:rPr>
                  <w:rStyle w:val="InternetLink"/>
                  <w:rFonts w:ascii="Times New Roman;serif" w:hAnsi="Times New Roman;serif"/>
                  <w:b w:val="false"/>
                  <w:color w:val="000080"/>
                  <w:sz w:val="20"/>
                  <w:u w:val="single"/>
                </w:rPr>
                <w:t>, as amended, effective June 11, 2026</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62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mrx-20260630xex311.htm">
              <w:r>
                <w:rPr>
                  <w:rStyle w:val="InternetLink"/>
                  <w:rFonts w:ascii="Times New Roman;serif" w:hAnsi="Times New Roman;serif"/>
                  <w:b w:val="false"/>
                  <w:color w:val="0000FF"/>
                  <w:sz w:val="20"/>
                  <w:u w:val="single"/>
                </w:rPr>
                <w:t>Certification of Principal Executive Officer pursuant to Rule 13a-14(a)/15d-14(a).</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62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mrx-20260630xex312.htm">
              <w:r>
                <w:rPr>
                  <w:rStyle w:val="InternetLink"/>
                  <w:rFonts w:ascii="Times New Roman;serif" w:hAnsi="Times New Roman;serif"/>
                  <w:b w:val="false"/>
                  <w:color w:val="0000FF"/>
                  <w:sz w:val="20"/>
                  <w:u w:val="single"/>
                </w:rPr>
                <w:t>Certification of Principal Financial Officer pursuant to Rule 13a-14(a)/15d-14(a).</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62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mrx-20260630xex321.htm">
              <w:r>
                <w:rPr>
                  <w:rStyle w:val="InternetLink"/>
                  <w:rFonts w:ascii="Times New Roman;serif" w:hAnsi="Times New Roman;serif"/>
                  <w:b w:val="false"/>
                  <w:color w:val="0000FF"/>
                  <w:sz w:val="20"/>
                  <w:u w:val="single"/>
                </w:rPr>
                <w:t>Certification of Principal Executive Officer pursuant to 18 U.S.C. Section 1350.</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62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mrx-20260630xex322.htm">
              <w:r>
                <w:rPr>
                  <w:rStyle w:val="InternetLink"/>
                  <w:rFonts w:ascii="Times New Roman;serif" w:hAnsi="Times New Roman;serif"/>
                  <w:b w:val="false"/>
                  <w:color w:val="0000FF"/>
                  <w:sz w:val="20"/>
                  <w:u w:val="single"/>
                </w:rPr>
                <w:t>Certification of Principal Financial Officer pursuant to 18 U.S.C. Section 1350.</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6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6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6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6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6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6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Indicates management contract or compensatory plan.</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5cbc15addcc4407e96ca0b7a16b282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duly authorized. </w:t>
      </w:r>
    </w:p>
    <w:tbl>
      <w:tblPr>
        <w:tblW w:w="10205" w:type="dxa"/>
        <w:jc w:val="left"/>
        <w:tblInd w:w="0" w:type="dxa"/>
        <w:tblLayout w:type="fixed"/>
        <w:tblCellMar>
          <w:top w:w="28" w:type="dxa"/>
          <w:left w:w="28" w:type="dxa"/>
          <w:bottom w:w="28" w:type="dxa"/>
          <w:right w:w="28" w:type="dxa"/>
        </w:tblCellMar>
      </w:tblPr>
      <w:tblGrid>
        <w:gridCol w:w="639"/>
        <w:gridCol w:w="562"/>
        <w:gridCol w:w="565"/>
        <w:gridCol w:w="471"/>
        <w:gridCol w:w="471"/>
        <w:gridCol w:w="471"/>
        <w:gridCol w:w="2058"/>
        <w:gridCol w:w="2039"/>
        <w:gridCol w:w="2929"/>
      </w:tblGrid>
      <w:tr>
        <w:trPr/>
        <w:tc>
          <w:tcPr>
            <w:tcW w:w="63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IMMUNEERING CORPORATION</w:t>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14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Benjamin J. Zeskind</w:t>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7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J. Zeskind, Ph.D.</w:t>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70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Co-Founder, President, Chief Executive Officer and Director (Principal Executive Officer)</w:t>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14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Gengos</w:t>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7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Andrew Gengos</w:t>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70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br/>
              <w:t>(Principal Financial Officer)</w:t>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14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Mallory Morales</w:t>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7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Mallory Morales</w:t>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70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SVP Finance, Chief Accounting Officer and Assistant Treasurer</w:t>
              <w:b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81" w:after="283"/>
        <w:jc w:val="center"/>
        <w:rPr>
          <w:rFonts w:ascii="Times New Roman;serif" w:hAnsi="Times New Roman;serif"/>
          <w:b/>
          <w:color w:val="000000"/>
          <w:sz w:val="22"/>
          <w:u w:val="single"/>
        </w:rPr>
      </w:pPr>
      <w:r>
        <w:rPr>
          <w:rFonts w:ascii="Times New Roman;serif" w:hAnsi="Times New Roman;serif"/>
          <w:b/>
          <w:color w:val="000000"/>
          <w:sz w:val="22"/>
          <w:u w:val="single"/>
        </w:rPr>
        <w:t>Employment Agreement</w:t>
      </w:r>
    </w:p>
    <w:p>
      <w:pPr>
        <w:pStyle w:val="TextBody"/>
        <w:bidi w:val="0"/>
        <w:spacing w:lineRule="auto" w:line="288" w:before="237" w:after="283"/>
        <w:ind w:left="0" w:right="0" w:firstLine="720"/>
        <w:jc w:val="both"/>
        <w:rPr/>
      </w:pPr>
      <w:r>
        <w:rPr>
          <w:rFonts w:ascii="Times New Roman;serif" w:hAnsi="Times New Roman;serif"/>
          <w:b w:val="false"/>
          <w:color w:val="000000"/>
          <w:sz w:val="22"/>
        </w:rPr>
        <w:t>This Employment Agreement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dated as of June 10, 2026, is made by and between Immuneering Corporation, a Delaware corporation (together with any successor thereto,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and Andrew Gengos (“</w:t>
      </w:r>
      <w:r>
        <w:rPr>
          <w:rFonts w:ascii="Times New Roman;serif" w:hAnsi="Times New Roman;serif"/>
          <w:b w:val="false"/>
          <w:color w:val="000000"/>
          <w:sz w:val="22"/>
          <w:u w:val="single"/>
        </w:rPr>
        <w:t>Executive</w:t>
      </w:r>
      <w:r>
        <w:rPr>
          <w:color w:val="000000"/>
        </w:rPr>
        <w:t>”</w:t>
      </w:r>
      <w:r>
        <w:rPr>
          <w:rFonts w:ascii="Times New Roman;serif" w:hAnsi="Times New Roman;serif"/>
          <w:b w:val="false"/>
          <w:color w:val="000000"/>
          <w:sz w:val="22"/>
        </w:rPr>
        <w:t>) (collectively referred to herein as the “</w:t>
      </w:r>
      <w:r>
        <w:rPr>
          <w:rFonts w:ascii="Times New Roman;serif" w:hAnsi="Times New Roman;serif"/>
          <w:b w:val="false"/>
          <w:color w:val="000000"/>
          <w:sz w:val="22"/>
          <w:u w:val="single"/>
        </w:rPr>
        <w:t>Parties</w:t>
      </w:r>
      <w:r>
        <w:rPr>
          <w:color w:val="000000"/>
        </w:rPr>
        <w:t xml:space="preserve">” </w:t>
      </w:r>
      <w:r>
        <w:rPr>
          <w:rFonts w:ascii="Times New Roman;serif" w:hAnsi="Times New Roman;serif"/>
          <w:b w:val="false"/>
          <w:color w:val="000000"/>
          <w:sz w:val="22"/>
        </w:rPr>
        <w:t>or individually referred to as a “</w:t>
      </w:r>
      <w:r>
        <w:rPr>
          <w:rFonts w:ascii="Times New Roman;serif" w:hAnsi="Times New Roman;serif"/>
          <w:b w:val="false"/>
          <w:color w:val="000000"/>
          <w:sz w:val="22"/>
          <w:u w:val="single"/>
        </w:rPr>
        <w:t>Party</w:t>
      </w:r>
      <w:r>
        <w:rPr>
          <w:color w:val="000000"/>
        </w:rPr>
        <w:t>”</w:t>
      </w:r>
      <w:r>
        <w:rPr>
          <w:rFonts w:ascii="Times New Roman;serif" w:hAnsi="Times New Roman;serif"/>
          <w:b w:val="false"/>
          <w:color w:val="000000"/>
          <w:sz w:val="22"/>
        </w:rPr>
        <w:t>), and will become effective upon the date of last signature below and Executive’s commencement of employment with the Company on or before July 16, 2026 (the “</w:t>
      </w:r>
      <w:r>
        <w:rPr>
          <w:rFonts w:ascii="Times New Roman;serif" w:hAnsi="Times New Roman;serif"/>
          <w:b w:val="false"/>
          <w:color w:val="000000"/>
          <w:sz w:val="22"/>
          <w:u w:val="single"/>
        </w:rPr>
        <w:t>Effective</w:t>
      </w:r>
      <w:r>
        <w:rPr>
          <w:color w:val="000000"/>
        </w:rPr>
        <w:t xml:space="preserve"> </w:t>
      </w:r>
      <w:r>
        <w:rPr>
          <w:rFonts w:ascii="Times New Roman;serif" w:hAnsi="Times New Roman;serif"/>
          <w:b w:val="false"/>
          <w:color w:val="000000"/>
          <w:sz w:val="22"/>
          <w:u w:val="single"/>
        </w:rPr>
        <w:t>Date</w:t>
      </w:r>
      <w:r>
        <w:rPr>
          <w:color w:val="000000"/>
        </w:rPr>
        <w:t>”</w:t>
      </w:r>
      <w:r>
        <w:rPr>
          <w:rFonts w:ascii="Times New Roman;serif" w:hAnsi="Times New Roman;serif"/>
          <w:b w:val="false"/>
          <w:color w:val="000000"/>
          <w:sz w:val="22"/>
        </w:rPr>
        <w:t>).</w:t>
      </w:r>
    </w:p>
    <w:p>
      <w:pPr>
        <w:pStyle w:val="TextBody"/>
        <w:bidi w:val="0"/>
        <w:spacing w:lineRule="auto" w:line="288" w:before="244" w:after="283"/>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lineRule="auto" w:line="288" w:before="237" w:after="283"/>
        <w:ind w:left="0" w:right="0" w:hanging="721"/>
        <w:jc w:val="left"/>
        <w:rPr>
          <w:rFonts w:ascii="Times New Roman;serif" w:hAnsi="Times New Roman;serif"/>
          <w:b w:val="false"/>
          <w:color w:val="000000"/>
          <w:sz w:val="22"/>
        </w:rPr>
      </w:pPr>
      <w:r>
        <w:rPr>
          <w:rFonts w:ascii="Times New Roman;serif" w:hAnsi="Times New Roman;serif"/>
          <w:b w:val="false"/>
          <w:color w:val="000000"/>
          <w:sz w:val="22"/>
        </w:rPr>
        <w:t>A.It is the desire of the Company to assure itself of the services of Executive as of the Effective Date and thereafter by entering into this Agreement.</w:t>
      </w:r>
    </w:p>
    <w:p>
      <w:pPr>
        <w:pStyle w:val="TextBody"/>
        <w:bidi w:val="0"/>
        <w:spacing w:lineRule="auto" w:line="288" w:before="243" w:after="283"/>
        <w:ind w:left="0" w:right="0" w:hanging="721"/>
        <w:jc w:val="left"/>
        <w:rPr>
          <w:rFonts w:ascii="Times New Roman;serif" w:hAnsi="Times New Roman;serif"/>
          <w:b w:val="false"/>
          <w:color w:val="000000"/>
          <w:sz w:val="22"/>
        </w:rPr>
      </w:pPr>
      <w:r>
        <w:rPr>
          <w:rFonts w:ascii="Times New Roman;serif" w:hAnsi="Times New Roman;serif"/>
          <w:b w:val="false"/>
          <w:color w:val="000000"/>
          <w:sz w:val="22"/>
        </w:rPr>
        <w:t>B.Executive and the Company mutually desire that Executive provide services to the Company on the terms herein provided.</w:t>
      </w:r>
    </w:p>
    <w:p>
      <w:pPr>
        <w:pStyle w:val="TextBody"/>
        <w:bidi w:val="0"/>
        <w:spacing w:lineRule="auto" w:line="288" w:before="239" w:after="283"/>
        <w:jc w:val="center"/>
        <w:rPr>
          <w:rFonts w:ascii="Times New Roman;serif" w:hAnsi="Times New Roman;serif"/>
          <w:b/>
          <w:color w:val="000000"/>
          <w:sz w:val="22"/>
        </w:rPr>
      </w:pPr>
      <w:r>
        <w:rPr>
          <w:rFonts w:ascii="Times New Roman;serif" w:hAnsi="Times New Roman;serif"/>
          <w:b/>
          <w:color w:val="000000"/>
          <w:sz w:val="22"/>
        </w:rPr>
        <w:t>AGREEMENT</w:t>
      </w:r>
    </w:p>
    <w:p>
      <w:pPr>
        <w:pStyle w:val="TextBody"/>
        <w:bidi w:val="0"/>
        <w:spacing w:lineRule="auto" w:line="288" w:before="241"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NOW, THEREFORE, in consideration of the foregoing and of the respective covenants and agreements set forth below, the Parties hereto agree as follows:</w:t>
      </w:r>
    </w:p>
    <w:p>
      <w:pPr>
        <w:pStyle w:val="TextBody"/>
        <w:bidi w:val="0"/>
        <w:spacing w:lineRule="auto" w:line="288" w:before="243" w:after="283"/>
        <w:ind w:left="0" w:right="0" w:hanging="720"/>
        <w:jc w:val="left"/>
        <w:rPr/>
      </w:pPr>
      <w:r>
        <w:rPr>
          <w:rFonts w:ascii="Times New Roman;serif" w:hAnsi="Times New Roman;serif"/>
          <w:b/>
          <w:color w:val="000000"/>
          <w:sz w:val="24"/>
        </w:rPr>
        <w:t>1.</w:t>
      </w:r>
      <w:r>
        <w:rPr>
          <w:rFonts w:ascii="Times New Roman;serif" w:hAnsi="Times New Roman;serif"/>
          <w:b/>
          <w:color w:val="000000"/>
          <w:sz w:val="22"/>
          <w:u w:val="single"/>
        </w:rPr>
        <w:t>Employment</w:t>
      </w:r>
      <w:r>
        <w:rPr>
          <w:rFonts w:ascii="Times New Roman;serif" w:hAnsi="Times New Roman;serif"/>
          <w:b/>
          <w:color w:val="000000"/>
          <w:sz w:val="22"/>
        </w:rPr>
        <w:t>.</w:t>
      </w:r>
    </w:p>
    <w:p>
      <w:pPr>
        <w:pStyle w:val="TextBody"/>
        <w:bidi w:val="0"/>
        <w:spacing w:lineRule="auto" w:line="288" w:before="233" w:after="283"/>
        <w:ind w:left="0" w:right="0" w:firstLine="72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General</w:t>
      </w:r>
      <w:r>
        <w:rPr>
          <w:rFonts w:ascii="Times New Roman;serif" w:hAnsi="Times New Roman;serif"/>
          <w:b w:val="false"/>
          <w:color w:val="000000"/>
          <w:sz w:val="22"/>
        </w:rPr>
        <w:t xml:space="preserve">. Effective on the Effective Date, the Company shall employ Executive, and Executive shall be employed by the Company, for the period and in the positions set forth in this </w:t>
      </w:r>
      <w:r>
        <w:rPr>
          <w:rFonts w:ascii="Times New Roman;serif" w:hAnsi="Times New Roman;serif"/>
          <w:b w:val="false"/>
          <w:color w:val="000000"/>
          <w:sz w:val="22"/>
          <w:u w:val="single"/>
        </w:rPr>
        <w:t>Section</w:t>
      </w:r>
      <w:r>
        <w:rPr>
          <w:color w:val="000000"/>
        </w:rPr>
        <w:t xml:space="preserve"> </w:t>
      </w:r>
      <w:hyperlink w:anchor="ic5aff4b332244480a6ffe44817848242_1">
        <w:r>
          <w:rPr>
            <w:rStyle w:val="InternetLink"/>
            <w:rFonts w:ascii="Times New Roman;serif" w:hAnsi="Times New Roman;serif"/>
            <w:b w:val="false"/>
            <w:color w:val="000000"/>
            <w:sz w:val="22"/>
            <w:u w:val="single"/>
          </w:rPr>
          <w:t>1</w:t>
        </w:r>
      </w:hyperlink>
      <w:hyperlink w:anchor="ic5aff4b332244480a6ffe44817848242_1">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and subject to the other terms and conditions herein provided; provided, however, that this Agreement is expressly conditioned upon Executive commencing employment on or before July 16, 2026 and will be null and void if this condition is not satisfied.</w:t>
      </w:r>
    </w:p>
    <w:p>
      <w:pPr>
        <w:pStyle w:val="TextBody"/>
        <w:bidi w:val="0"/>
        <w:spacing w:lineRule="auto" w:line="288" w:before="238" w:after="283"/>
        <w:ind w:left="0" w:right="0" w:firstLine="72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At-Will Employment</w:t>
      </w:r>
      <w:r>
        <w:rPr>
          <w:rFonts w:ascii="Times New Roman;serif" w:hAnsi="Times New Roman;serif"/>
          <w:b w:val="false"/>
          <w:color w:val="000000"/>
          <w:sz w:val="22"/>
        </w:rPr>
        <w:t xml:space="preserve">.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w:t>
      </w:r>
      <w:r>
        <w:rPr>
          <w:rFonts w:ascii="Times New Roman;serif" w:hAnsi="Times New Roman;serif"/>
          <w:b w:val="false"/>
          <w:color w:val="000000"/>
          <w:sz w:val="22"/>
          <w:u w:val="single"/>
        </w:rPr>
        <w:t xml:space="preserve">Section </w:t>
      </w:r>
      <w:hyperlink w:anchor="ic5aff4b332244480a6ffe44817848242_4">
        <w:r>
          <w:rPr>
            <w:rStyle w:val="InternetLink"/>
          </w:rPr>
          <w:t>3(b)</w:t>
        </w:r>
      </w:hyperlink>
      <w:r>
        <w:rPr>
          <w:rFonts w:ascii="Times New Roman;serif" w:hAnsi="Times New Roman;serif"/>
          <w:b w:val="false"/>
          <w:color w:val="000000"/>
          <w:sz w:val="22"/>
        </w:rPr>
        <w:t>). This “at-will” nature of Executive’s employment</w:t>
      </w:r>
    </w:p>
    <w:p>
      <w:pPr>
        <w:pStyle w:val="TextBody"/>
        <w:bidi w:val="0"/>
        <w:spacing w:lineRule="auto" w:line="288" w:before="1" w:after="283"/>
        <w:jc w:val="left"/>
        <w:rPr/>
      </w:pPr>
      <w:r>
        <w:rPr>
          <w:rFonts w:ascii="Times New Roman;serif" w:hAnsi="Times New Roman;serif"/>
          <w:b w:val="false"/>
          <w:color w:val="000000"/>
          <w:sz w:val="22"/>
        </w:rPr>
        <w:t>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or compensation other than as provided in this Agreement or otherwise agreed to in writing by the Company or as provided by applicable law. The term of this Agreement (the “</w:t>
      </w:r>
      <w:r>
        <w:rPr>
          <w:rFonts w:ascii="Times New Roman;serif" w:hAnsi="Times New Roman;serif"/>
          <w:b w:val="false"/>
          <w:color w:val="000000"/>
          <w:sz w:val="22"/>
          <w:u w:val="single"/>
        </w:rPr>
        <w:t>Term</w:t>
      </w:r>
      <w:r>
        <w:rPr>
          <w:color w:val="000000"/>
        </w:rPr>
        <w:t>”</w:t>
      </w:r>
      <w:r>
        <w:rPr>
          <w:rFonts w:ascii="Times New Roman;serif" w:hAnsi="Times New Roman;serif"/>
          <w:b w:val="false"/>
          <w:color w:val="000000"/>
          <w:sz w:val="22"/>
        </w:rPr>
        <w:t xml:space="preserve">) shall commence on the Effective Date and end on the date this Agreement is terminated under </w:t>
      </w:r>
      <w:r>
        <w:rPr>
          <w:rFonts w:ascii="Times New Roman;serif" w:hAnsi="Times New Roman;serif"/>
          <w:b w:val="false"/>
          <w:color w:val="000000"/>
          <w:sz w:val="22"/>
          <w:u w:val="single"/>
        </w:rPr>
        <w:t xml:space="preserve">Section </w:t>
      </w:r>
      <w:hyperlink w:anchor="ic5aff4b332244480a6ffe44817848242_4">
        <w:r>
          <w:rPr>
            <w:rStyle w:val="InternetLink"/>
          </w:rPr>
          <w:t>3</w:t>
        </w:r>
      </w:hyperlink>
      <w:hyperlink w:anchor="ic5aff4b332244480a6ffe44817848242_4">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288" w:before="239" w:after="283"/>
        <w:ind w:left="0" w:right="0" w:firstLine="720"/>
        <w:jc w:val="left"/>
        <w:rPr/>
      </w:pPr>
      <w:r>
        <w:rPr>
          <w:rFonts w:ascii="Times New Roman;serif" w:hAnsi="Times New Roman;serif"/>
          <w:b w:val="false"/>
          <w:color w:val="000000"/>
          <w:sz w:val="22"/>
        </w:rPr>
        <w:t>(c)</w:t>
      </w:r>
      <w:r>
        <w:rPr>
          <w:rFonts w:ascii="Times New Roman;serif" w:hAnsi="Times New Roman;serif"/>
          <w:b w:val="false"/>
          <w:color w:val="000000"/>
          <w:sz w:val="22"/>
          <w:u w:val="single"/>
        </w:rPr>
        <w:t>Positions and Duties</w:t>
      </w:r>
      <w:r>
        <w:rPr>
          <w:rFonts w:ascii="Times New Roman;serif" w:hAnsi="Times New Roman;serif"/>
          <w:b w:val="false"/>
          <w:color w:val="000000"/>
          <w:sz w:val="22"/>
        </w:rPr>
        <w:t>. During the Term, Executive shall serve as Chief Financial Officer of the Company, with such responsibilities, duties and authority normally associated with such position and as may from time to time be assigned to Executive by the Chief Executive Officer of the Company (“</w:t>
      </w:r>
      <w:r>
        <w:rPr>
          <w:rFonts w:ascii="Times New Roman;serif" w:hAnsi="Times New Roman;serif"/>
          <w:b w:val="false"/>
          <w:color w:val="000000"/>
          <w:sz w:val="22"/>
          <w:u w:val="single"/>
        </w:rPr>
        <w:t>CEO</w:t>
      </w:r>
      <w:r>
        <w:rPr>
          <w:color w:val="000000"/>
        </w:rPr>
        <w:t>”</w:t>
      </w:r>
      <w:r>
        <w:rPr>
          <w:rFonts w:ascii="Times New Roman;serif" w:hAnsi="Times New Roman;serif"/>
          <w:b w:val="false"/>
          <w:color w:val="000000"/>
          <w:sz w:val="22"/>
        </w:rPr>
        <w:t>), including, without limitation, business development. Executive’s primary work location will be Executive’s home office located in the State of New Hampshire and Executive will be expected to travel regularly as part of Executive’s duties. Executive shall devote substantially all of Executive’s working time and efforts to the business and affairs of the Company (which shall include service to its affiliates, if applicable) and shall not engage in outside business activities (including serving on outside boards or committees) without the consent of the CEO, provided that Executive shall be permitted to (i) manage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1" w:after="283"/>
        <w:jc w:val="left"/>
        <w:rPr/>
      </w:pPr>
      <w:r>
        <w:rPr>
          <w:rFonts w:ascii="Times New Roman;serif" w:hAnsi="Times New Roman;serif"/>
          <w:b w:val="false"/>
          <w:color w:val="000000"/>
          <w:sz w:val="22"/>
        </w:rPr>
        <w:t>Executive’s personal, financial and legal affairs, (ii) participate in trade associations, (iii) serve on the board of directors of not-for-profit or tax-exempt charitable organizations and (iv) continue to serve on the board of directors of Turn Therapeutics, in each case, subject to compliance with this Agreement and provided that such activities do not materially interfere with Executive’s performance of Executive’s duties and responsibilities hereunder. Executive agrees to observe and comply with the rules and policies of the Company as adopted by the Company from time to time, in each case, as amended from time to time, and as delivered or made available to Executive (each, a “</w:t>
      </w:r>
      <w:r>
        <w:rPr>
          <w:rFonts w:ascii="Times New Roman;serif" w:hAnsi="Times New Roman;serif"/>
          <w:b w:val="false"/>
          <w:color w:val="000000"/>
          <w:sz w:val="22"/>
          <w:u w:val="single"/>
        </w:rPr>
        <w:t>Policy</w:t>
      </w:r>
      <w:r>
        <w:rPr>
          <w:color w:val="000000"/>
        </w:rPr>
        <w:t>”</w:t>
      </w:r>
      <w:r>
        <w:rPr>
          <w:rFonts w:ascii="Times New Roman;serif" w:hAnsi="Times New Roman;serif"/>
          <w:b w:val="false"/>
          <w:color w:val="000000"/>
          <w:sz w:val="22"/>
        </w:rPr>
        <w:t>).</w:t>
      </w:r>
    </w:p>
    <w:p>
      <w:pPr>
        <w:pStyle w:val="TextBody"/>
        <w:bidi w:val="0"/>
        <w:spacing w:lineRule="auto" w:line="288" w:before="242" w:after="283"/>
        <w:ind w:left="0" w:right="0" w:hanging="720"/>
        <w:jc w:val="left"/>
        <w:rPr/>
      </w:pPr>
      <w:r>
        <w:rPr>
          <w:rFonts w:ascii="Times New Roman;serif" w:hAnsi="Times New Roman;serif"/>
          <w:b/>
          <w:color w:val="000000"/>
          <w:sz w:val="24"/>
        </w:rPr>
        <w:t>2.</w:t>
      </w:r>
      <w:r>
        <w:rPr>
          <w:rFonts w:ascii="Times New Roman;serif" w:hAnsi="Times New Roman;serif"/>
          <w:b/>
          <w:color w:val="000000"/>
          <w:sz w:val="22"/>
          <w:u w:val="single"/>
        </w:rPr>
        <w:t>Compensation and Related Matters</w:t>
      </w:r>
      <w:r>
        <w:rPr>
          <w:rFonts w:ascii="Times New Roman;serif" w:hAnsi="Times New Roman;serif"/>
          <w:b/>
          <w:color w:val="000000"/>
          <w:sz w:val="22"/>
        </w:rPr>
        <w:t>.</w:t>
      </w:r>
    </w:p>
    <w:p>
      <w:pPr>
        <w:pStyle w:val="TextBody"/>
        <w:bidi w:val="0"/>
        <w:spacing w:lineRule="auto" w:line="288" w:before="232" w:after="283"/>
        <w:ind w:left="0" w:right="0" w:hanging="719"/>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Annual Base Salary</w:t>
      </w:r>
      <w:r>
        <w:rPr>
          <w:rFonts w:ascii="Times New Roman;serif" w:hAnsi="Times New Roman;serif"/>
          <w:b w:val="false"/>
          <w:color w:val="000000"/>
          <w:sz w:val="22"/>
        </w:rPr>
        <w:t>. During the Term, Executive shall receive a base salary at a rate of</w:t>
      </w:r>
    </w:p>
    <w:p>
      <w:pPr>
        <w:pStyle w:val="TextBody"/>
        <w:bidi w:val="0"/>
        <w:spacing w:lineRule="auto" w:line="288" w:before="2" w:after="283"/>
        <w:jc w:val="both"/>
        <w:rPr>
          <w:rFonts w:ascii="Times New Roman;serif" w:hAnsi="Times New Roman;serif"/>
          <w:b w:val="false"/>
          <w:color w:val="000000"/>
          <w:sz w:val="22"/>
        </w:rPr>
      </w:pPr>
      <w:r>
        <w:rPr>
          <w:rFonts w:ascii="Times New Roman;serif" w:hAnsi="Times New Roman;serif"/>
          <w:b w:val="false"/>
          <w:color w:val="000000"/>
          <w:sz w:val="22"/>
        </w:rPr>
        <w:t>$530,000 per annum, which shall be paid in accordance with the customary payroll practices of the Company and shall be pro-rated for partial years of employment. Such annual base salary shall be reviewed (and may be adjusted) from time to time by the Board of Directors of the Company or an</w:t>
      </w:r>
    </w:p>
    <w:p>
      <w:pPr>
        <w:pStyle w:val="TextBody"/>
        <w:bidi w:val="0"/>
        <w:spacing w:lineRule="auto" w:line="288" w:before="0" w:after="0"/>
        <w:jc w:val="both"/>
        <w:rPr/>
      </w:pPr>
      <w:r>
        <w:rPr>
          <w:rFonts w:ascii="Times New Roman;serif" w:hAnsi="Times New Roman;serif"/>
          <w:b w:val="false"/>
          <w:color w:val="000000"/>
          <w:sz w:val="22"/>
        </w:rPr>
        <w:t>authorized committee thereof (in either case, the “</w:t>
      </w:r>
      <w:r>
        <w:rPr>
          <w:rFonts w:ascii="Times New Roman;serif" w:hAnsi="Times New Roman;serif"/>
          <w:b w:val="false"/>
          <w:color w:val="000000"/>
          <w:sz w:val="22"/>
          <w:u w:val="single"/>
        </w:rPr>
        <w:t>Board</w:t>
      </w:r>
      <w:r>
        <w:rPr>
          <w:color w:val="000000"/>
        </w:rPr>
        <w:t>”</w:t>
      </w:r>
      <w:r>
        <w:rPr>
          <w:rFonts w:ascii="Times New Roman;serif" w:hAnsi="Times New Roman;serif"/>
          <w:b w:val="false"/>
          <w:color w:val="000000"/>
          <w:sz w:val="22"/>
        </w:rPr>
        <w:t>) (such annual base salary, as it may be adjusted from time to time, the “</w:t>
      </w:r>
      <w:r>
        <w:rPr>
          <w:rFonts w:ascii="Times New Roman;serif" w:hAnsi="Times New Roman;serif"/>
          <w:b w:val="false"/>
          <w:color w:val="000000"/>
          <w:sz w:val="22"/>
          <w:u w:val="single"/>
        </w:rPr>
        <w:t>Annual Base Salary</w:t>
      </w:r>
      <w:r>
        <w:rPr>
          <w:color w:val="000000"/>
        </w:rPr>
        <w:t>”</w:t>
      </w:r>
      <w:r>
        <w:rPr>
          <w:rFonts w:ascii="Times New Roman;serif" w:hAnsi="Times New Roman;serif"/>
          <w:b w:val="false"/>
          <w:color w:val="000000"/>
          <w:sz w:val="22"/>
        </w:rPr>
        <w:t>).</w:t>
      </w:r>
    </w:p>
    <w:p>
      <w:pPr>
        <w:pStyle w:val="TextBody"/>
        <w:bidi w:val="0"/>
        <w:spacing w:lineRule="auto" w:line="288" w:before="238" w:after="283"/>
        <w:ind w:left="0" w:right="0" w:firstLine="72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Annual Cash Bonus Opportunity</w:t>
      </w:r>
      <w:r>
        <w:rPr>
          <w:rFonts w:ascii="Times New Roman;serif" w:hAnsi="Times New Roman;serif"/>
          <w:b w:val="false"/>
          <w:color w:val="000000"/>
          <w:sz w:val="22"/>
        </w:rPr>
        <w:t>. During the Term, Executive will be eligible to participate in an annual incentive program established by the Board. Executive’s annual incentive compensation under such incentive program (the “</w:t>
      </w:r>
      <w:r>
        <w:rPr>
          <w:rFonts w:ascii="Times New Roman;serif" w:hAnsi="Times New Roman;serif"/>
          <w:b w:val="false"/>
          <w:color w:val="000000"/>
          <w:sz w:val="22"/>
          <w:u w:val="single"/>
        </w:rPr>
        <w:t>Annual Bonus</w:t>
      </w:r>
      <w:r>
        <w:rPr>
          <w:color w:val="000000"/>
        </w:rPr>
        <w:t>”</w:t>
      </w:r>
      <w:r>
        <w:rPr>
          <w:rFonts w:ascii="Times New Roman;serif" w:hAnsi="Times New Roman;serif"/>
          <w:b w:val="false"/>
          <w:color w:val="000000"/>
          <w:sz w:val="22"/>
        </w:rPr>
        <w:t>) shall be targeted at 40% of</w:t>
      </w:r>
    </w:p>
    <w:p>
      <w:pPr>
        <w:pStyle w:val="TextBody"/>
        <w:bidi w:val="0"/>
        <w:spacing w:lineRule="auto" w:line="288" w:before="4" w:after="283"/>
        <w:jc w:val="left"/>
        <w:rPr/>
      </w:pPr>
      <w:r>
        <w:rPr>
          <w:rFonts w:ascii="Times New Roman;serif" w:hAnsi="Times New Roman;serif"/>
          <w:b w:val="false"/>
          <w:color w:val="000000"/>
          <w:sz w:val="22"/>
        </w:rPr>
        <w:t>Executive’s Annual Base Salary (such target, as may be adjusted by the Board from time to time, the “</w:t>
      </w:r>
      <w:r>
        <w:rPr>
          <w:rFonts w:ascii="Times New Roman;serif" w:hAnsi="Times New Roman;serif"/>
          <w:b w:val="false"/>
          <w:color w:val="000000"/>
          <w:sz w:val="22"/>
          <w:u w:val="single"/>
        </w:rPr>
        <w:t>Target Annual Bonus</w:t>
      </w:r>
      <w:r>
        <w:rPr>
          <w:color w:val="000000"/>
        </w:rPr>
        <w:t>”</w:t>
      </w:r>
      <w:r>
        <w:rPr>
          <w:rFonts w:ascii="Times New Roman;serif" w:hAnsi="Times New Roman;serif"/>
          <w:b w:val="false"/>
          <w:color w:val="000000"/>
          <w:sz w:val="22"/>
        </w:rPr>
        <w:t>). The Annual Bonus payable under the incentive program shall be based on the achievement of performance goals to be determined by the Board and may in the Board’s discretion be calculated in a manner intended to reflect any mid-year changes in Annual Base Salary or Target Annual Bonus. The payment of any Annual Bonus pursuant to the incentive program shall be subject to</w:t>
      </w:r>
    </w:p>
    <w:p>
      <w:pPr>
        <w:pStyle w:val="TextBody"/>
        <w:bidi w:val="0"/>
        <w:spacing w:lineRule="auto" w:line="280" w:before="0" w:after="0"/>
        <w:jc w:val="left"/>
        <w:rPr/>
      </w:pPr>
      <w:r>
        <w:rPr>
          <w:rFonts w:ascii="Times New Roman;serif" w:hAnsi="Times New Roman;serif"/>
          <w:b w:val="false"/>
          <w:color w:val="000000"/>
          <w:sz w:val="22"/>
        </w:rPr>
        <w:t xml:space="preserve">Executive’s continued employment with the Company through the date of payment, except as otherwise provided in </w:t>
      </w:r>
      <w:r>
        <w:rPr>
          <w:rFonts w:ascii="Times New Roman;serif" w:hAnsi="Times New Roman;serif"/>
          <w:b w:val="false"/>
          <w:color w:val="000000"/>
          <w:sz w:val="22"/>
          <w:u w:val="single"/>
        </w:rPr>
        <w:t xml:space="preserve">Section </w:t>
      </w:r>
      <w:hyperlink w:anchor="ic5aff4b332244480a6ffe44817848242_4">
        <w:r>
          <w:rPr>
            <w:rStyle w:val="InternetLink"/>
          </w:rPr>
          <w:t>4(b)</w:t>
        </w:r>
      </w:hyperlink>
      <w:hyperlink w:anchor="ic5aff4b332244480a6ffe44817848242_4">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288" w:before="231" w:after="283"/>
        <w:ind w:left="0" w:right="0" w:firstLine="720"/>
        <w:jc w:val="left"/>
        <w:rPr/>
      </w:pPr>
      <w:r>
        <w:rPr>
          <w:rFonts w:ascii="Times New Roman;serif" w:hAnsi="Times New Roman;serif"/>
          <w:b w:val="false"/>
          <w:color w:val="000000"/>
          <w:sz w:val="22"/>
        </w:rPr>
        <w:t>(c)</w:t>
      </w:r>
      <w:r>
        <w:rPr>
          <w:rFonts w:ascii="Times New Roman;serif" w:hAnsi="Times New Roman;serif"/>
          <w:b w:val="false"/>
          <w:color w:val="000000"/>
          <w:sz w:val="22"/>
          <w:u w:val="single"/>
        </w:rPr>
        <w:t>Benefits</w:t>
      </w:r>
      <w:r>
        <w:rPr>
          <w:rFonts w:ascii="Times New Roman;serif" w:hAnsi="Times New Roman;serif"/>
          <w:b w:val="false"/>
          <w:color w:val="000000"/>
          <w:sz w:val="22"/>
        </w:rPr>
        <w:t xml:space="preserve">. During the Term, Executive shall be eligible to participate in employee benefit plans, programs and arrangements of the Company, subject to the terms and eligibility requirements thereof and as such plans, programs and arrangements may be amended or in effect from time to time. In no event shall Executive be eligible to participate in any severance plan or program of the Company, except as set forth in </w:t>
      </w:r>
      <w:r>
        <w:rPr>
          <w:rFonts w:ascii="Times New Roman;serif" w:hAnsi="Times New Roman;serif"/>
          <w:b w:val="false"/>
          <w:color w:val="000000"/>
          <w:sz w:val="22"/>
          <w:u w:val="single"/>
        </w:rPr>
        <w:t xml:space="preserve">Section </w:t>
      </w:r>
      <w:hyperlink w:anchor="ic5aff4b332244480a6ffe44817848242_4">
        <w:r>
          <w:rPr>
            <w:rStyle w:val="InternetLink"/>
          </w:rPr>
          <w:t>4</w:t>
        </w:r>
      </w:hyperlink>
      <w:r>
        <w:rPr>
          <w:color w:val="000000"/>
        </w:rPr>
        <w:t xml:space="preserve"> </w:t>
      </w:r>
      <w:r>
        <w:rPr>
          <w:rFonts w:ascii="Times New Roman;serif" w:hAnsi="Times New Roman;serif"/>
          <w:b w:val="false"/>
          <w:color w:val="000000"/>
          <w:sz w:val="22"/>
        </w:rPr>
        <w:t>of this Agreement.</w:t>
      </w:r>
    </w:p>
    <w:p>
      <w:pPr>
        <w:pStyle w:val="TextBody"/>
        <w:bidi w:val="0"/>
        <w:spacing w:lineRule="auto" w:line="288" w:before="243" w:after="283"/>
        <w:ind w:left="0" w:right="0" w:firstLine="720"/>
        <w:jc w:val="left"/>
        <w:rPr/>
      </w:pPr>
      <w:r>
        <w:rPr>
          <w:rFonts w:ascii="Times New Roman;serif" w:hAnsi="Times New Roman;serif"/>
          <w:b w:val="false"/>
          <w:color w:val="000000"/>
          <w:sz w:val="22"/>
        </w:rPr>
        <w:t>(d)</w:t>
      </w:r>
      <w:r>
        <w:rPr>
          <w:rFonts w:ascii="Times New Roman;serif" w:hAnsi="Times New Roman;serif"/>
          <w:b w:val="false"/>
          <w:color w:val="000000"/>
          <w:sz w:val="22"/>
          <w:u w:val="single"/>
        </w:rPr>
        <w:t>Vacation</w:t>
      </w:r>
      <w:r>
        <w:rPr>
          <w:rFonts w:ascii="Times New Roman;serif" w:hAnsi="Times New Roman;serif"/>
          <w:b w:val="false"/>
          <w:color w:val="000000"/>
          <w:sz w:val="22"/>
        </w:rPr>
        <w:t>. During the Term, Executive shall be entitled to paid personal leave in accordance with the Company’s Policies. Any vacation shall be taken at the reasonable and mutual convenience of the Company and Executive.</w:t>
      </w:r>
    </w:p>
    <w:p>
      <w:pPr>
        <w:pStyle w:val="TextBody"/>
        <w:bidi w:val="0"/>
        <w:spacing w:lineRule="auto" w:line="288" w:before="240" w:after="283"/>
        <w:ind w:left="0" w:right="0" w:firstLine="720"/>
        <w:jc w:val="left"/>
        <w:rPr/>
      </w:pPr>
      <w:r>
        <w:rPr>
          <w:rFonts w:ascii="Times New Roman;serif" w:hAnsi="Times New Roman;serif"/>
          <w:b w:val="false"/>
          <w:color w:val="000000"/>
          <w:sz w:val="22"/>
        </w:rPr>
        <w:t>(e)</w:t>
      </w:r>
      <w:r>
        <w:rPr>
          <w:rFonts w:ascii="Times New Roman;serif" w:hAnsi="Times New Roman;serif"/>
          <w:b w:val="false"/>
          <w:color w:val="000000"/>
          <w:sz w:val="22"/>
          <w:u w:val="single"/>
        </w:rPr>
        <w:t>Business Expenses</w:t>
      </w:r>
      <w:r>
        <w:rPr>
          <w:rFonts w:ascii="Times New Roman;serif" w:hAnsi="Times New Roman;serif"/>
          <w:b w:val="false"/>
          <w:color w:val="000000"/>
          <w:sz w:val="22"/>
        </w:rPr>
        <w:t>. During the Term, the Company shall reimburse Executive for all reasonable travel and other business expenses incurred by Executive in the performance of Executive’s duties to the Company in accordance with the Company’s travel and expense reimbursement policy.</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38" w:after="283"/>
        <w:ind w:left="0" w:right="0" w:firstLine="720"/>
        <w:jc w:val="left"/>
        <w:rPr/>
      </w:pPr>
      <w:r>
        <w:rPr>
          <w:rFonts w:ascii="Times New Roman;serif" w:hAnsi="Times New Roman;serif"/>
          <w:b w:val="false"/>
          <w:color w:val="000000"/>
          <w:sz w:val="22"/>
          <w:u w:val="single"/>
        </w:rPr>
        <w:t>Equity</w:t>
      </w:r>
      <w:r>
        <w:rPr>
          <w:rFonts w:ascii="Times New Roman;serif" w:hAnsi="Times New Roman;serif"/>
          <w:b w:val="false"/>
          <w:color w:val="000000"/>
          <w:sz w:val="22"/>
        </w:rPr>
        <w:t xml:space="preserve">. As a material inducement to Executive entering into this Agreement and commencing employment with the Company, the Company will recommend to the Board or its designee that it grant Executive an option to purchase 650,000 shares of the Company’s common stock (the “Stock Option”) at a per-share exercise price equal to the fair market value of a share of the Company’s common stock on the date of grant (as determined in accordance with the Company’s 2025 Employment Inducement Award Plan (the “Plan”) </w:t>
      </w:r>
      <w:r>
        <w:rPr>
          <w:rFonts w:ascii="Times New Roman;serif" w:hAnsi="Times New Roman;serif"/>
          <w:b w:val="false"/>
          <w:color w:val="000000"/>
          <w:sz w:val="24"/>
        </w:rPr>
        <w:t>a</w:t>
      </w:r>
      <w:r>
        <w:rPr>
          <w:rFonts w:ascii="Times New Roman;serif" w:hAnsi="Times New Roman;serif"/>
          <w:b w:val="false"/>
          <w:color w:val="000000"/>
          <w:sz w:val="22"/>
        </w:rPr>
        <w:t>nd Nasdaq Rule 5635(c)(4)), provided that Executive is employed by the Company on the date of grant. Subject to Executive’s continued employment with the Company through the applicable vesting date, the Stock Option shall vest as set forth on Schedule 1 to this Agreement, such that the Stock Option will vest in full upon the fourth anniversary of the Effective Date. The Stock Option will otherwise be subject to the terms and conditions of the Plan and a stock option agreement to be entered into between Executive and the Company.</w:t>
      </w:r>
    </w:p>
    <w:p>
      <w:pPr>
        <w:pStyle w:val="TextBody"/>
        <w:bidi w:val="0"/>
        <w:spacing w:lineRule="auto" w:line="288" w:before="241" w:after="283"/>
        <w:ind w:left="0" w:right="0" w:hanging="720"/>
        <w:jc w:val="left"/>
        <w:rPr/>
      </w:pPr>
      <w:r>
        <w:rPr>
          <w:rFonts w:ascii="Times New Roman;serif" w:hAnsi="Times New Roman;serif"/>
          <w:b/>
          <w:color w:val="000000"/>
          <w:sz w:val="24"/>
        </w:rPr>
        <w:t>3.</w:t>
      </w:r>
      <w:r>
        <w:rPr>
          <w:rFonts w:ascii="Times New Roman;serif" w:hAnsi="Times New Roman;serif"/>
          <w:b/>
          <w:color w:val="000000"/>
          <w:sz w:val="22"/>
          <w:u w:val="single"/>
        </w:rPr>
        <w:t>Termination</w:t>
      </w:r>
      <w:r>
        <w:rPr>
          <w:rFonts w:ascii="Times New Roman;serif" w:hAnsi="Times New Roman;serif"/>
          <w:b/>
          <w:color w:val="000000"/>
          <w:sz w:val="22"/>
        </w:rPr>
        <w:t>.</w:t>
      </w:r>
    </w:p>
    <w:p>
      <w:pPr>
        <w:pStyle w:val="TextBody"/>
        <w:bidi w:val="0"/>
        <w:spacing w:lineRule="auto" w:line="288" w:before="232"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Executive’s employment hereunder and the Term may be terminated by the Company or Executive, as applicable, without any breach of this Agreement under the following circumstances and the Term will end on the Date of Termination:</w:t>
      </w:r>
    </w:p>
    <w:p>
      <w:pPr>
        <w:pStyle w:val="TextBody"/>
        <w:bidi w:val="0"/>
        <w:spacing w:lineRule="auto" w:line="288" w:before="245" w:after="283"/>
        <w:ind w:left="0" w:right="0" w:hanging="719"/>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Circumstances</w:t>
      </w:r>
      <w:r>
        <w:rPr>
          <w:rFonts w:ascii="Times New Roman;serif" w:hAnsi="Times New Roman;serif"/>
          <w:b w:val="false"/>
          <w:color w:val="000000"/>
          <w:sz w:val="22"/>
        </w:rPr>
        <w:t>.</w:t>
      </w:r>
    </w:p>
    <w:p>
      <w:pPr>
        <w:pStyle w:val="TextBody"/>
        <w:bidi w:val="0"/>
        <w:spacing w:lineRule="auto" w:line="288" w:before="236" w:after="283"/>
        <w:ind w:left="0" w:right="0" w:hanging="720"/>
        <w:jc w:val="left"/>
        <w:rPr/>
      </w:pPr>
      <w:r>
        <w:rPr>
          <w:rFonts w:ascii="Times New Roman;serif" w:hAnsi="Times New Roman;serif"/>
          <w:b w:val="false"/>
          <w:color w:val="000000"/>
          <w:sz w:val="22"/>
        </w:rPr>
        <w:t>(i)</w:t>
      </w:r>
      <w:r>
        <w:rPr>
          <w:rFonts w:ascii="Times New Roman;serif" w:hAnsi="Times New Roman;serif"/>
          <w:b w:val="false"/>
          <w:i/>
          <w:color w:val="000000"/>
          <w:sz w:val="22"/>
        </w:rPr>
        <w:t>Death</w:t>
      </w:r>
      <w:r>
        <w:rPr>
          <w:rFonts w:ascii="Times New Roman;serif" w:hAnsi="Times New Roman;serif"/>
          <w:b w:val="false"/>
          <w:color w:val="000000"/>
          <w:sz w:val="22"/>
        </w:rPr>
        <w:t>. Executive’s employment hereunder shall terminate upon Executive’s</w:t>
      </w:r>
    </w:p>
    <w:p>
      <w:pPr>
        <w:pStyle w:val="TextBody"/>
        <w:bidi w:val="0"/>
        <w:spacing w:lineRule="auto" w:line="288" w:before="2" w:after="283"/>
        <w:jc w:val="left"/>
        <w:rPr>
          <w:rFonts w:ascii="Times New Roman;serif" w:hAnsi="Times New Roman;serif"/>
          <w:b w:val="false"/>
          <w:color w:val="000000"/>
          <w:sz w:val="22"/>
        </w:rPr>
      </w:pPr>
      <w:r>
        <w:rPr>
          <w:rFonts w:ascii="Times New Roman;serif" w:hAnsi="Times New Roman;serif"/>
          <w:b w:val="false"/>
          <w:color w:val="000000"/>
          <w:sz w:val="22"/>
        </w:rPr>
        <w:t>death.</w:t>
      </w:r>
    </w:p>
    <w:p>
      <w:pPr>
        <w:pStyle w:val="TextBody"/>
        <w:bidi w:val="0"/>
        <w:spacing w:lineRule="auto" w:line="288" w:before="241" w:after="283"/>
        <w:ind w:left="0" w:right="0" w:firstLine="720"/>
        <w:jc w:val="left"/>
        <w:rPr/>
      </w:pPr>
      <w:r>
        <w:rPr>
          <w:rFonts w:ascii="Times New Roman;serif" w:hAnsi="Times New Roman;serif"/>
          <w:b w:val="false"/>
          <w:color w:val="000000"/>
          <w:sz w:val="22"/>
        </w:rPr>
        <w:t>(ii)</w:t>
      </w:r>
      <w:r>
        <w:rPr>
          <w:rFonts w:ascii="Times New Roman;serif" w:hAnsi="Times New Roman;serif"/>
          <w:b w:val="false"/>
          <w:i/>
          <w:color w:val="000000"/>
          <w:sz w:val="22"/>
        </w:rPr>
        <w:t>Disability</w:t>
      </w:r>
      <w:r>
        <w:rPr>
          <w:rFonts w:ascii="Times New Roman;serif" w:hAnsi="Times New Roman;serif"/>
          <w:b w:val="false"/>
          <w:color w:val="000000"/>
          <w:sz w:val="22"/>
        </w:rPr>
        <w:t>. If Executive has incurred a Disability, as defined below, the Company may terminate Executive’s employment.</w:t>
      </w:r>
    </w:p>
    <w:p>
      <w:pPr>
        <w:pStyle w:val="TextBody"/>
        <w:bidi w:val="0"/>
        <w:spacing w:lineRule="auto" w:line="288" w:before="239" w:after="283"/>
        <w:ind w:left="0" w:right="0" w:firstLine="720"/>
        <w:jc w:val="left"/>
        <w:rPr/>
      </w:pPr>
      <w:r>
        <w:rPr>
          <w:rFonts w:ascii="Times New Roman;serif" w:hAnsi="Times New Roman;serif"/>
          <w:b w:val="false"/>
          <w:color w:val="000000"/>
          <w:sz w:val="22"/>
        </w:rPr>
        <w:t>(iii)</w:t>
      </w:r>
      <w:r>
        <w:rPr>
          <w:rFonts w:ascii="Times New Roman;serif" w:hAnsi="Times New Roman;serif"/>
          <w:b w:val="false"/>
          <w:i/>
          <w:color w:val="000000"/>
          <w:sz w:val="22"/>
        </w:rPr>
        <w:t>Termination for Cause</w:t>
      </w:r>
      <w:r>
        <w:rPr>
          <w:rFonts w:ascii="Times New Roman;serif" w:hAnsi="Times New Roman;serif"/>
          <w:b w:val="false"/>
          <w:color w:val="000000"/>
          <w:sz w:val="22"/>
        </w:rPr>
        <w:t>. The Company may terminate Executive’s employment for Cause, as defined below.</w:t>
      </w:r>
    </w:p>
    <w:p>
      <w:pPr>
        <w:pStyle w:val="TextBody"/>
        <w:bidi w:val="0"/>
        <w:spacing w:lineRule="auto" w:line="288" w:before="238" w:after="283"/>
        <w:ind w:left="0" w:right="0" w:firstLine="720"/>
        <w:jc w:val="left"/>
        <w:rPr/>
      </w:pPr>
      <w:r>
        <w:rPr>
          <w:rFonts w:ascii="Times New Roman;serif" w:hAnsi="Times New Roman;serif"/>
          <w:b w:val="false"/>
          <w:color w:val="000000"/>
          <w:sz w:val="22"/>
        </w:rPr>
        <w:t>(iv)</w:t>
      </w:r>
      <w:r>
        <w:rPr>
          <w:rFonts w:ascii="Times New Roman;serif" w:hAnsi="Times New Roman;serif"/>
          <w:b w:val="false"/>
          <w:i/>
          <w:color w:val="000000"/>
          <w:sz w:val="22"/>
        </w:rPr>
        <w:t>Termination without Cause</w:t>
      </w:r>
      <w:r>
        <w:rPr>
          <w:rFonts w:ascii="Times New Roman;serif" w:hAnsi="Times New Roman;serif"/>
          <w:b w:val="false"/>
          <w:color w:val="000000"/>
          <w:sz w:val="22"/>
        </w:rPr>
        <w:t>. The Company may terminate Executive’s employment without Cause.</w:t>
      </w:r>
    </w:p>
    <w:p>
      <w:pPr>
        <w:pStyle w:val="TextBody"/>
        <w:bidi w:val="0"/>
        <w:spacing w:lineRule="auto" w:line="288" w:before="243" w:after="283"/>
        <w:ind w:left="0" w:right="0" w:firstLine="720"/>
        <w:jc w:val="left"/>
        <w:rPr/>
      </w:pPr>
      <w:r>
        <w:rPr>
          <w:rFonts w:ascii="Times New Roman;serif" w:hAnsi="Times New Roman;serif"/>
          <w:b w:val="false"/>
          <w:color w:val="000000"/>
          <w:sz w:val="22"/>
        </w:rPr>
        <w:t>(v)</w:t>
      </w:r>
      <w:r>
        <w:rPr>
          <w:rFonts w:ascii="Times New Roman;serif" w:hAnsi="Times New Roman;serif"/>
          <w:b w:val="false"/>
          <w:i/>
          <w:color w:val="000000"/>
          <w:sz w:val="22"/>
        </w:rPr>
        <w:t xml:space="preserve">Resignation from the Company with Good Reason. </w:t>
      </w:r>
      <w:r>
        <w:rPr>
          <w:rFonts w:ascii="Times New Roman;serif" w:hAnsi="Times New Roman;serif"/>
          <w:b w:val="false"/>
          <w:color w:val="000000"/>
          <w:sz w:val="22"/>
        </w:rPr>
        <w:t>Executive may resign Executive’s employment with the Company with Good Reason, as defined below.</w:t>
      </w:r>
    </w:p>
    <w:p>
      <w:pPr>
        <w:pStyle w:val="TextBody"/>
        <w:bidi w:val="0"/>
        <w:spacing w:lineRule="auto" w:line="288" w:before="238" w:after="283"/>
        <w:ind w:left="0" w:right="0" w:firstLine="720"/>
        <w:jc w:val="both"/>
        <w:rPr/>
      </w:pPr>
      <w:r>
        <w:rPr>
          <w:rFonts w:ascii="Times New Roman;serif" w:hAnsi="Times New Roman;serif"/>
          <w:b w:val="false"/>
          <w:color w:val="000000"/>
          <w:sz w:val="22"/>
        </w:rPr>
        <w:t>(vi)</w:t>
      </w:r>
      <w:r>
        <w:rPr>
          <w:rFonts w:ascii="Times New Roman;serif" w:hAnsi="Times New Roman;serif"/>
          <w:b w:val="false"/>
          <w:i/>
          <w:color w:val="000000"/>
          <w:sz w:val="22"/>
        </w:rPr>
        <w:t>Resignation from the Company without Good Reason</w:t>
      </w:r>
      <w:r>
        <w:rPr>
          <w:rFonts w:ascii="Times New Roman;serif" w:hAnsi="Times New Roman;serif"/>
          <w:b w:val="false"/>
          <w:color w:val="000000"/>
          <w:sz w:val="22"/>
        </w:rPr>
        <w:t>. Executive may resign Executive’s employment with the Company for any reason other than Good Reason or for no reason.</w:t>
      </w:r>
    </w:p>
    <w:p>
      <w:pPr>
        <w:pStyle w:val="TextBody"/>
        <w:bidi w:val="0"/>
        <w:spacing w:lineRule="auto" w:line="288" w:before="240" w:after="283"/>
        <w:ind w:left="0" w:right="0" w:firstLine="72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Notice of Termination</w:t>
      </w:r>
      <w:r>
        <w:rPr>
          <w:rFonts w:ascii="Times New Roman;serif" w:hAnsi="Times New Roman;serif"/>
          <w:b w:val="false"/>
          <w:color w:val="000000"/>
          <w:sz w:val="22"/>
        </w:rPr>
        <w:t xml:space="preserve">. Any termination of Executive’s employment by the Company or by Executive under this </w:t>
      </w:r>
      <w:r>
        <w:rPr>
          <w:rFonts w:ascii="Times New Roman;serif" w:hAnsi="Times New Roman;serif"/>
          <w:b w:val="false"/>
          <w:color w:val="000000"/>
          <w:sz w:val="22"/>
          <w:u w:val="single"/>
        </w:rPr>
        <w:t xml:space="preserve">Section </w:t>
      </w:r>
      <w:hyperlink w:anchor="ic5aff4b332244480a6ffe44817848242_4">
        <w:r>
          <w:rPr>
            <w:rStyle w:val="InternetLink"/>
          </w:rPr>
          <w:t>3</w:t>
        </w:r>
      </w:hyperlink>
      <w:r>
        <w:rPr>
          <w:color w:val="000000"/>
        </w:rPr>
        <w:t xml:space="preserve"> </w:t>
      </w:r>
      <w:r>
        <w:rPr>
          <w:rFonts w:ascii="Times New Roman;serif" w:hAnsi="Times New Roman;serif"/>
          <w:b w:val="false"/>
          <w:color w:val="000000"/>
          <w:sz w:val="22"/>
        </w:rPr>
        <w:t xml:space="preserve">(other than termination pursuant to </w:t>
      </w:r>
      <w:r>
        <w:rPr>
          <w:rFonts w:ascii="Times New Roman;serif" w:hAnsi="Times New Roman;serif"/>
          <w:b w:val="false"/>
          <w:color w:val="000000"/>
          <w:sz w:val="22"/>
          <w:u w:val="single"/>
        </w:rPr>
        <w:t xml:space="preserve">Section </w:t>
      </w:r>
      <w:hyperlink w:anchor="ic5aff4b332244480a6ffe44817848242_4">
        <w:r>
          <w:rPr>
            <w:rStyle w:val="InternetLink"/>
          </w:rPr>
          <w:t>3(a)(i)</w:t>
        </w:r>
      </w:hyperlink>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color w:val="000000"/>
          <w:sz w:val="22"/>
        </w:rPr>
        <w:t>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if submitted by Executive, shall be at least thirty (30) days following the date of such notice (a “</w:t>
      </w:r>
      <w:r>
        <w:rPr>
          <w:rFonts w:ascii="Times New Roman;serif" w:hAnsi="Times New Roman;serif"/>
          <w:b w:val="false"/>
          <w:color w:val="000000"/>
          <w:sz w:val="22"/>
          <w:u w:val="single"/>
        </w:rPr>
        <w:t>Notice of Termination</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in the event that Executive delivers a Notice of Termination to the Company, the Company may, in its sole discretion, change the Date of Termination to any date that occurs following the date of the Company’s receipt of such Notice of Termination and is prior to the date specified in such Notice of Termination, but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termination will still be considered a resignation by Executive. A Notice of Termination submitted by the Company may provide for a Date of Termination on the date Executive receives the Notice of Termination, or any date thereafter elected by the Company. The failure by either Party to set forth in the Notice of Termination any fact or circumstance which contributes to a showing of Cause or Good Reason shall not waive any right of the Party hereunder or preclude the Party from asserting such fact or circumstance in enforcing the Party’s rights hereunder.</w:t>
      </w:r>
    </w:p>
    <w:p>
      <w:pPr>
        <w:pStyle w:val="TextBody"/>
        <w:bidi w:val="0"/>
        <w:spacing w:lineRule="auto" w:line="240" w:before="238" w:after="283"/>
        <w:ind w:left="0" w:right="0" w:firstLine="720"/>
        <w:jc w:val="left"/>
        <w:rPr/>
      </w:pPr>
      <w:r>
        <w:rPr>
          <w:rFonts w:ascii="Times New Roman;serif" w:hAnsi="Times New Roman;serif"/>
          <w:b w:val="false"/>
          <w:color w:val="000000"/>
          <w:sz w:val="22"/>
        </w:rPr>
        <w:t>(c)</w:t>
      </w:r>
      <w:r>
        <w:rPr>
          <w:rFonts w:ascii="Times New Roman;serif" w:hAnsi="Times New Roman;serif"/>
          <w:b w:val="false"/>
          <w:color w:val="000000"/>
          <w:sz w:val="22"/>
          <w:u w:val="single"/>
        </w:rPr>
        <w:t>Company Obligations upon Termination</w:t>
      </w:r>
      <w:r>
        <w:rPr>
          <w:rFonts w:ascii="Times New Roman;serif" w:hAnsi="Times New Roman;serif"/>
          <w:b w:val="false"/>
          <w:color w:val="000000"/>
          <w:sz w:val="22"/>
        </w:rPr>
        <w:t xml:space="preserve">. Upon termination of Executive’s employment pursuant to any of the circumstances listed in this </w:t>
      </w:r>
      <w:r>
        <w:rPr>
          <w:rFonts w:ascii="Times New Roman;serif" w:hAnsi="Times New Roman;serif"/>
          <w:b w:val="false"/>
          <w:color w:val="000000"/>
          <w:sz w:val="22"/>
          <w:u w:val="single"/>
        </w:rPr>
        <w:t xml:space="preserve">Section </w:t>
      </w:r>
      <w:hyperlink w:anchor="ic5aff4b332244480a6ffe44817848242_4">
        <w:r>
          <w:rPr>
            <w:rStyle w:val="InternetLink"/>
          </w:rPr>
          <w:t>3</w:t>
        </w:r>
      </w:hyperlink>
      <w:r>
        <w:rPr>
          <w:rFonts w:ascii="Times New Roman;serif" w:hAnsi="Times New Roman;serif"/>
          <w:b w:val="false"/>
          <w:color w:val="000000"/>
          <w:sz w:val="22"/>
        </w:rPr>
        <w:t xml:space="preserve">, Executive (or Executive’s estate) shall be entitled to receive the sum of: (i) the portion of Executive’s Annual Base Salary earned through the Date of Termination, but not yet paid to Executive; (ii) any expense reimbursements owed to Executive pursuant to </w:t>
      </w:r>
      <w:r>
        <w:rPr>
          <w:rFonts w:ascii="Times New Roman;serif" w:hAnsi="Times New Roman;serif"/>
          <w:b w:val="false"/>
          <w:color w:val="000000"/>
          <w:sz w:val="22"/>
          <w:u w:val="single"/>
        </w:rPr>
        <w:t xml:space="preserve">Section </w:t>
      </w:r>
      <w:hyperlink w:anchor="ic5aff4b332244480a6ffe44817848242_4">
        <w:r>
          <w:rPr>
            <w:rStyle w:val="InternetLink"/>
          </w:rPr>
          <w:t>2(e)</w:t>
        </w:r>
      </w:hyperlink>
      <w:r>
        <w:rPr>
          <w:rFonts w:ascii="Times New Roman;serif" w:hAnsi="Times New Roman;serif"/>
          <w:b w:val="false"/>
          <w:color w:val="000000"/>
          <w:sz w:val="22"/>
        </w:rPr>
        <w:t>; and (iii) any amount accrued and arising from Executive’s participation in, or benefits accrued under any employee benefit plans, programs or arrangements, which amounts shall be payable in accordance with the terms and conditions of such employee benefit plans, programs or</w:t>
      </w:r>
    </w:p>
    <w:p>
      <w:pPr>
        <w:pStyle w:val="TextBody"/>
        <w:bidi w:val="0"/>
        <w:spacing w:lineRule="auto" w:line="288" w:before="0" w:after="0"/>
        <w:jc w:val="left"/>
        <w:rPr/>
      </w:pPr>
      <w:r>
        <w:rPr>
          <w:rFonts w:ascii="Times New Roman;serif" w:hAnsi="Times New Roman;serif"/>
          <w:b w:val="false"/>
          <w:color w:val="000000"/>
          <w:sz w:val="22"/>
        </w:rPr>
        <w:t>arrangements (collectively, the “</w:t>
      </w:r>
      <w:r>
        <w:rPr>
          <w:rFonts w:ascii="Times New Roman;serif" w:hAnsi="Times New Roman;serif"/>
          <w:b w:val="false"/>
          <w:color w:val="000000"/>
          <w:sz w:val="22"/>
          <w:u w:val="single"/>
        </w:rPr>
        <w:t>Company Arrangements</w:t>
      </w:r>
      <w:r>
        <w:rPr>
          <w:color w:val="000000"/>
        </w:rPr>
        <w:t>”</w:t>
      </w:r>
      <w:r>
        <w:rPr>
          <w:rFonts w:ascii="Times New Roman;serif" w:hAnsi="Times New Roman;serif"/>
          <w:b w:val="false"/>
          <w:color w:val="000000"/>
          <w:sz w:val="22"/>
        </w:rPr>
        <w:t>). Except as otherwise expressly required by law (</w:t>
      </w:r>
      <w:r>
        <w:rPr>
          <w:rFonts w:ascii="Times New Roman;serif" w:hAnsi="Times New Roman;serif"/>
          <w:b w:val="false"/>
          <w:color w:val="000000"/>
          <w:sz w:val="22"/>
          <w:u w:val="single"/>
        </w:rPr>
        <w:t>e.g.</w:t>
      </w:r>
      <w:r>
        <w:rPr>
          <w:rFonts w:ascii="Times New Roman;serif" w:hAnsi="Times New Roman;serif"/>
          <w:b w:val="false"/>
          <w:color w:val="000000"/>
          <w:sz w:val="22"/>
        </w:rPr>
        <w:t>, COBRA) or as specifically provided herein, all of Executive’s rights to salary, severance, benefits, bonuses and other compensatory amounts hereunder (if any) shall cease upon the termination of Executive’s employment hereunder.</w:t>
      </w:r>
    </w:p>
    <w:p>
      <w:pPr>
        <w:pStyle w:val="TextBody"/>
        <w:bidi w:val="0"/>
        <w:spacing w:lineRule="auto" w:line="288" w:before="239" w:after="283"/>
        <w:ind w:left="0" w:right="0" w:firstLine="720"/>
        <w:jc w:val="left"/>
        <w:rPr/>
      </w:pPr>
      <w:r>
        <w:rPr>
          <w:rFonts w:ascii="Times New Roman;serif" w:hAnsi="Times New Roman;serif"/>
          <w:b w:val="false"/>
          <w:color w:val="000000"/>
          <w:sz w:val="22"/>
        </w:rPr>
        <w:t>(d)</w:t>
      </w:r>
      <w:r>
        <w:rPr>
          <w:rFonts w:ascii="Times New Roman;serif" w:hAnsi="Times New Roman;serif"/>
          <w:b w:val="false"/>
          <w:color w:val="000000"/>
          <w:sz w:val="22"/>
          <w:u w:val="single"/>
        </w:rPr>
        <w:t>Deemed Resignation</w:t>
      </w:r>
      <w:r>
        <w:rPr>
          <w:rFonts w:ascii="Times New Roman;serif" w:hAnsi="Times New Roman;serif"/>
          <w:b w:val="false"/>
          <w:color w:val="000000"/>
          <w:sz w:val="22"/>
        </w:rPr>
        <w:t>. Upon termination of Executive’s employment for any reason, Executive shall be deemed to have resigned from all offices and directorships, if any, then held with the Company or any of its subsidiaries.</w:t>
      </w:r>
    </w:p>
    <w:p>
      <w:pPr>
        <w:pStyle w:val="TextBody"/>
        <w:bidi w:val="0"/>
        <w:spacing w:lineRule="auto" w:line="288" w:before="240" w:after="283"/>
        <w:ind w:left="0" w:right="0" w:hanging="720"/>
        <w:jc w:val="left"/>
        <w:rPr/>
      </w:pPr>
      <w:r>
        <w:rPr>
          <w:rFonts w:ascii="Times New Roman;serif" w:hAnsi="Times New Roman;serif"/>
          <w:b/>
          <w:color w:val="000000"/>
          <w:sz w:val="24"/>
        </w:rPr>
        <w:t>4.</w:t>
      </w:r>
      <w:r>
        <w:rPr>
          <w:rFonts w:ascii="Times New Roman;serif" w:hAnsi="Times New Roman;serif"/>
          <w:b/>
          <w:color w:val="000000"/>
          <w:sz w:val="22"/>
          <w:u w:val="single"/>
        </w:rPr>
        <w:t>Severance Payments</w:t>
      </w:r>
      <w:r>
        <w:rPr>
          <w:rFonts w:ascii="Times New Roman;serif" w:hAnsi="Times New Roman;serif"/>
          <w:b/>
          <w:color w:val="000000"/>
          <w:sz w:val="22"/>
        </w:rPr>
        <w:t>.</w:t>
      </w:r>
    </w:p>
    <w:p>
      <w:pPr>
        <w:pStyle w:val="TextBody"/>
        <w:bidi w:val="0"/>
        <w:spacing w:lineRule="auto" w:line="288" w:before="238" w:after="283"/>
        <w:ind w:left="0" w:right="0" w:firstLine="72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Termination for Cause, or Termination Upon Death, Disability or Resignation from the</w:t>
      </w:r>
      <w:r>
        <w:rPr>
          <w:color w:val="000000"/>
        </w:rPr>
        <w:t xml:space="preserve"> </w:t>
      </w:r>
      <w:r>
        <w:rPr>
          <w:rFonts w:ascii="Times New Roman;serif" w:hAnsi="Times New Roman;serif"/>
          <w:b w:val="false"/>
          <w:color w:val="000000"/>
          <w:sz w:val="22"/>
          <w:u w:val="single"/>
        </w:rPr>
        <w:t>Company Without Good Reason</w:t>
      </w:r>
      <w:r>
        <w:rPr>
          <w:rFonts w:ascii="Times New Roman;serif" w:hAnsi="Times New Roman;serif"/>
          <w:b w:val="false"/>
          <w:color w:val="000000"/>
          <w:sz w:val="22"/>
        </w:rPr>
        <w:t xml:space="preserve">. If Executive’s employment shall terminate as a result of Executive’s death pursuant to </w:t>
      </w:r>
      <w:r>
        <w:rPr>
          <w:rFonts w:ascii="Times New Roman;serif" w:hAnsi="Times New Roman;serif"/>
          <w:b w:val="false"/>
          <w:color w:val="000000"/>
          <w:sz w:val="22"/>
          <w:u w:val="single"/>
        </w:rPr>
        <w:t xml:space="preserve">Section </w:t>
      </w:r>
      <w:hyperlink w:anchor="ic5aff4b332244480a6ffe44817848242_4">
        <w:r>
          <w:rPr>
            <w:rStyle w:val="InternetLink"/>
          </w:rPr>
          <w:t>3(a)(i)</w:t>
        </w:r>
      </w:hyperlink>
      <w:r>
        <w:rPr>
          <w:color w:val="000000"/>
        </w:rPr>
        <w:t xml:space="preserve"> </w:t>
      </w:r>
      <w:r>
        <w:rPr>
          <w:rFonts w:ascii="Times New Roman;serif" w:hAnsi="Times New Roman;serif"/>
          <w:b w:val="false"/>
          <w:color w:val="000000"/>
          <w:sz w:val="22"/>
        </w:rPr>
        <w:t xml:space="preserve">or Disability pursuant to </w:t>
      </w:r>
      <w:r>
        <w:rPr>
          <w:rFonts w:ascii="Times New Roman;serif" w:hAnsi="Times New Roman;serif"/>
          <w:b w:val="false"/>
          <w:color w:val="000000"/>
          <w:sz w:val="22"/>
          <w:u w:val="single"/>
        </w:rPr>
        <w:t xml:space="preserve">Section </w:t>
      </w:r>
      <w:hyperlink w:anchor="ic5aff4b332244480a6ffe44817848242_4">
        <w:r>
          <w:rPr>
            <w:rStyle w:val="InternetLink"/>
          </w:rPr>
          <w:t>3(a)(ii)</w:t>
        </w:r>
      </w:hyperlink>
      <w:r>
        <w:rPr>
          <w:rFonts w:ascii="Times New Roman;serif" w:hAnsi="Times New Roman;serif"/>
          <w:b w:val="false"/>
          <w:color w:val="000000"/>
          <w:sz w:val="22"/>
        </w:rPr>
        <w:t xml:space="preserve">, pursuant to </w:t>
      </w:r>
      <w:r>
        <w:rPr>
          <w:rFonts w:ascii="Times New Roman;serif" w:hAnsi="Times New Roman;serif"/>
          <w:b w:val="false"/>
          <w:color w:val="000000"/>
          <w:sz w:val="22"/>
          <w:u w:val="single"/>
        </w:rPr>
        <w:t xml:space="preserve">Section </w:t>
      </w:r>
      <w:hyperlink w:anchor="ic5aff4b332244480a6ffe44817848242_4">
        <w:r>
          <w:rPr>
            <w:rStyle w:val="InternetLink"/>
          </w:rPr>
          <w:t>3(a)(iii)</w:t>
        </w:r>
      </w:hyperlink>
      <w:r>
        <w:rPr>
          <w:color w:val="000000"/>
        </w:rPr>
        <w:t xml:space="preserve"> </w:t>
      </w:r>
      <w:r>
        <w:rPr>
          <w:rFonts w:ascii="Times New Roman;serif" w:hAnsi="Times New Roman;serif"/>
          <w:b w:val="false"/>
          <w:color w:val="000000"/>
          <w:sz w:val="22"/>
        </w:rPr>
        <w:t xml:space="preserve">for Cause, or pursuant to </w:t>
      </w:r>
      <w:r>
        <w:rPr>
          <w:rFonts w:ascii="Times New Roman;serif" w:hAnsi="Times New Roman;serif"/>
          <w:b w:val="false"/>
          <w:color w:val="000000"/>
          <w:sz w:val="22"/>
          <w:u w:val="single"/>
        </w:rPr>
        <w:t xml:space="preserve">Section </w:t>
      </w:r>
      <w:hyperlink w:anchor="ic5aff4b332244480a6ffe44817848242_4">
        <w:r>
          <w:rPr>
            <w:rStyle w:val="InternetLink"/>
          </w:rPr>
          <w:t>3(a)(vi)</w:t>
        </w:r>
      </w:hyperlink>
      <w:r>
        <w:rPr>
          <w:color w:val="000000"/>
        </w:rPr>
        <w:t xml:space="preserve"> </w:t>
      </w:r>
      <w:r>
        <w:rPr>
          <w:rFonts w:ascii="Times New Roman;serif" w:hAnsi="Times New Roman;serif"/>
          <w:b w:val="false"/>
          <w:color w:val="000000"/>
          <w:sz w:val="22"/>
        </w:rPr>
        <w:t xml:space="preserve">for Executive’s resignation from the Company without Good Reason, then Executive shall not be entitled to any severance payments or benefits, except as provided in </w:t>
      </w:r>
      <w:r>
        <w:rPr>
          <w:rFonts w:ascii="Times New Roman;serif" w:hAnsi="Times New Roman;serif"/>
          <w:b w:val="false"/>
          <w:color w:val="000000"/>
          <w:sz w:val="22"/>
          <w:u w:val="single"/>
        </w:rPr>
        <w:t xml:space="preserve">Section </w:t>
      </w:r>
      <w:hyperlink w:anchor="ic5aff4b332244480a6ffe44817848242_4">
        <w:r>
          <w:rPr>
            <w:rStyle w:val="InternetLink"/>
          </w:rPr>
          <w:t>3(c)</w:t>
        </w:r>
      </w:hyperlink>
      <w:hyperlink w:anchor="ic5aff4b332244480a6ffe44817848242_4">
        <w:r>
          <w:rPr>
            <w:rStyle w:val="InternetLink"/>
            <w:rFonts w:ascii="Times New Roman;serif" w:hAnsi="Times New Roman;serif"/>
            <w:b w:val="false"/>
            <w:strike w:val="false"/>
            <w:dstrike w:val="false"/>
            <w:color w:val="000000"/>
            <w:sz w:val="22"/>
            <w:u w:val="none"/>
            <w:effect w:val="none"/>
          </w:rPr>
          <w:t>.</w:t>
        </w:r>
      </w:hyperlink>
    </w:p>
    <w:p>
      <w:pPr>
        <w:pStyle w:val="TextBody"/>
        <w:bidi w:val="0"/>
        <w:spacing w:lineRule="auto" w:line="288" w:before="239" w:after="283"/>
        <w:ind w:left="0" w:right="0" w:firstLine="72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Termination without Cause, or Resignation from the Company with Good Reason</w:t>
      </w:r>
      <w:r>
        <w:rPr>
          <w:rFonts w:ascii="Times New Roman;serif" w:hAnsi="Times New Roman;serif"/>
          <w:b w:val="false"/>
          <w:color w:val="000000"/>
          <w:sz w:val="22"/>
        </w:rPr>
        <w:t xml:space="preserve">. If Executive’s employment terminates without Cause pursuant to </w:t>
      </w:r>
      <w:r>
        <w:rPr>
          <w:rFonts w:ascii="Times New Roman;serif" w:hAnsi="Times New Roman;serif"/>
          <w:b w:val="false"/>
          <w:color w:val="000000"/>
          <w:sz w:val="22"/>
          <w:u w:val="single"/>
        </w:rPr>
        <w:t xml:space="preserve">Section </w:t>
      </w:r>
      <w:hyperlink w:anchor="ic5aff4b332244480a6ffe44817848242_4">
        <w:r>
          <w:rPr>
            <w:rStyle w:val="InternetLink"/>
          </w:rPr>
          <w:t>3(a)(iv)</w:t>
        </w:r>
      </w:hyperlink>
      <w:hyperlink w:anchor="ic5aff4b332244480a6ffe44817848242_4">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or pursuant to </w:t>
      </w:r>
      <w:r>
        <w:rPr>
          <w:rFonts w:ascii="Times New Roman;serif" w:hAnsi="Times New Roman;serif"/>
          <w:b w:val="false"/>
          <w:color w:val="000000"/>
          <w:sz w:val="22"/>
          <w:u w:val="single"/>
        </w:rPr>
        <w:t xml:space="preserve">Section </w:t>
      </w:r>
      <w:hyperlink w:anchor="ic5aff4b332244480a6ffe44817848242_4">
        <w:r>
          <w:rPr>
            <w:rStyle w:val="InternetLink"/>
          </w:rPr>
          <w:t>3(a)(v)</w:t>
        </w:r>
      </w:hyperlink>
      <w:r>
        <w:rPr>
          <w:color w:val="000000"/>
        </w:rPr>
        <w:t xml:space="preserve"> </w:t>
      </w:r>
      <w:r>
        <w:rPr>
          <w:rFonts w:ascii="Times New Roman;serif" w:hAnsi="Times New Roman;serif"/>
          <w:b w:val="false"/>
          <w:color w:val="000000"/>
          <w:sz w:val="22"/>
        </w:rPr>
        <w:t xml:space="preserve">due to Executive’s resignation with Good Reason, then except as otherwise provided under </w:t>
      </w:r>
      <w:r>
        <w:rPr>
          <w:rFonts w:ascii="Times New Roman;serif" w:hAnsi="Times New Roman;serif"/>
          <w:b w:val="false"/>
          <w:color w:val="000000"/>
          <w:sz w:val="22"/>
          <w:u w:val="single"/>
        </w:rPr>
        <w:t xml:space="preserve">Section </w:t>
      </w:r>
      <w:hyperlink w:anchor="ic5aff4b332244480a6ffe44817848242_4">
        <w:r>
          <w:rPr>
            <w:rStyle w:val="InternetLink"/>
          </w:rPr>
          <w:t>4(c)</w:t>
        </w:r>
      </w:hyperlink>
      <w:r>
        <w:rPr>
          <w:color w:val="000000"/>
        </w:rPr>
        <w:t xml:space="preserve"> </w:t>
      </w:r>
      <w:r>
        <w:rPr>
          <w:rFonts w:ascii="Times New Roman;serif" w:hAnsi="Times New Roman;serif"/>
          <w:b w:val="false"/>
          <w:color w:val="000000"/>
          <w:sz w:val="22"/>
        </w:rPr>
        <w:t>and subject to Executive signing on or before the 21st day following Executive’s Separation from Service (as defined below), and not revoking, a release of claims substantially in the</w:t>
      </w:r>
    </w:p>
    <w:p>
      <w:pPr>
        <w:pStyle w:val="TextBody"/>
        <w:bidi w:val="0"/>
        <w:spacing w:lineRule="auto" w:line="280" w:before="0" w:after="0"/>
        <w:jc w:val="left"/>
        <w:rPr/>
      </w:pPr>
      <w:r>
        <w:rPr>
          <w:rFonts w:ascii="Times New Roman;serif" w:hAnsi="Times New Roman;serif"/>
          <w:b w:val="false"/>
          <w:color w:val="000000"/>
          <w:sz w:val="22"/>
        </w:rPr>
        <w:t xml:space="preserve">form attached as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to this Agreement (the “</w:t>
      </w:r>
      <w:r>
        <w:rPr>
          <w:rFonts w:ascii="Times New Roman;serif" w:hAnsi="Times New Roman;serif"/>
          <w:b w:val="false"/>
          <w:color w:val="000000"/>
          <w:sz w:val="22"/>
          <w:u w:val="single"/>
        </w:rPr>
        <w:t>Release</w:t>
      </w:r>
      <w:r>
        <w:rPr>
          <w:color w:val="000000"/>
        </w:rPr>
        <w:t>”</w:t>
      </w:r>
      <w:r>
        <w:rPr>
          <w:rFonts w:ascii="Times New Roman;serif" w:hAnsi="Times New Roman;serif"/>
          <w:b w:val="false"/>
          <w:color w:val="000000"/>
          <w:sz w:val="22"/>
        </w:rPr>
        <w:t xml:space="preserve">) and Executive’s continued compliance with </w:t>
      </w:r>
      <w:r>
        <w:rPr>
          <w:rFonts w:ascii="Times New Roman;serif" w:hAnsi="Times New Roman;serif"/>
          <w:b w:val="false"/>
          <w:color w:val="000000"/>
          <w:sz w:val="22"/>
          <w:u w:val="single"/>
        </w:rPr>
        <w:t xml:space="preserve">Section </w:t>
      </w:r>
      <w:hyperlink w:anchor="ic5aff4b332244480a6ffe44817848242_4">
        <w:r>
          <w:rPr>
            <w:rStyle w:val="InternetLink"/>
          </w:rPr>
          <w:t>5</w:t>
        </w:r>
      </w:hyperlink>
      <w:hyperlink w:anchor="ic5aff4b332244480a6ffe44817848242_4">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Executive shall receive, in addition to payments and benefits set forth in </w:t>
      </w:r>
      <w:r>
        <w:rPr>
          <w:rFonts w:ascii="Times New Roman;serif" w:hAnsi="Times New Roman;serif"/>
          <w:b w:val="false"/>
          <w:color w:val="000000"/>
          <w:sz w:val="22"/>
          <w:u w:val="single"/>
        </w:rPr>
        <w:t xml:space="preserve">Section </w:t>
      </w:r>
      <w:hyperlink w:anchor="ic5aff4b332244480a6ffe44817848242_4">
        <w:r>
          <w:rPr>
            <w:rStyle w:val="InternetLink"/>
          </w:rPr>
          <w:t>3(c)</w:t>
        </w:r>
      </w:hyperlink>
      <w:r>
        <w:rPr>
          <w:rFonts w:ascii="Times New Roman;serif" w:hAnsi="Times New Roman;serif"/>
          <w:b w:val="false"/>
          <w:color w:val="000000"/>
          <w:sz w:val="22"/>
        </w:rPr>
        <w:t>, the following:</w:t>
      </w:r>
    </w:p>
    <w:p>
      <w:pPr>
        <w:pStyle w:val="TextBody"/>
        <w:bidi w:val="0"/>
        <w:spacing w:lineRule="auto" w:line="276" w:before="237"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(i)an amount in cash equal to 1.0 times the Annual Base Salary, payable in the form of salary continuation in regular installments over the 12-month period following the date of</w:t>
      </w:r>
    </w:p>
    <w:p>
      <w:pPr>
        <w:pStyle w:val="TextBody"/>
        <w:bidi w:val="0"/>
        <w:spacing w:lineRule="auto" w:line="288" w:before="1" w:after="283"/>
        <w:jc w:val="left"/>
        <w:rPr/>
      </w:pPr>
      <w:r>
        <w:rPr>
          <w:rFonts w:ascii="Times New Roman;serif" w:hAnsi="Times New Roman;serif"/>
          <w:b w:val="false"/>
          <w:color w:val="000000"/>
          <w:sz w:val="22"/>
        </w:rPr>
        <w:t>Executive’s Separation from Service (the “</w:t>
      </w:r>
      <w:r>
        <w:rPr>
          <w:rFonts w:ascii="Times New Roman;serif" w:hAnsi="Times New Roman;serif"/>
          <w:b w:val="false"/>
          <w:color w:val="000000"/>
          <w:sz w:val="22"/>
          <w:u w:val="single"/>
        </w:rPr>
        <w:t>Severance Period</w:t>
      </w:r>
      <w:r>
        <w:rPr>
          <w:color w:val="000000"/>
        </w:rPr>
        <w:t>”</w:t>
      </w:r>
      <w:r>
        <w:rPr>
          <w:rFonts w:ascii="Times New Roman;serif" w:hAnsi="Times New Roman;serif"/>
          <w:b w:val="false"/>
          <w:color w:val="000000"/>
          <w:sz w:val="22"/>
        </w:rPr>
        <w:t>) in accordance with the Company’s normal payroll practices;</w:t>
      </w:r>
    </w:p>
    <w:p>
      <w:pPr>
        <w:pStyle w:val="TextBody"/>
        <w:bidi w:val="0"/>
        <w:spacing w:lineRule="auto" w:line="288" w:before="239"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(ii)to the extent unpaid as of the Date of Termination, an amount of cash equal to any Annual Bonus earned by Executive for the Company’s fiscal year prior to the fiscal year in which the Date of Termination occurs, as determined by the Board in its discretion based upon actual performance achieved, which Annual Bonus, if any, shall be paid to Executive in the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39" w:after="283"/>
        <w:jc w:val="left"/>
        <w:rPr>
          <w:rFonts w:ascii="Times New Roman;serif" w:hAnsi="Times New Roman;serif"/>
          <w:b w:val="false"/>
          <w:color w:val="000000"/>
          <w:sz w:val="22"/>
        </w:rPr>
      </w:pPr>
      <w:r>
        <w:rPr>
          <w:rFonts w:ascii="Times New Roman;serif" w:hAnsi="Times New Roman;serif"/>
          <w:b w:val="false"/>
          <w:color w:val="000000"/>
          <w:sz w:val="22"/>
        </w:rPr>
        <w:t>fiscal year in which the Date of Termination occurs when bonuses for such prior fiscal year are paid in the ordinary course to actively employed senior executives of the Company; and</w:t>
      </w:r>
    </w:p>
    <w:p>
      <w:pPr>
        <w:pStyle w:val="TextBody"/>
        <w:bidi w:val="0"/>
        <w:spacing w:lineRule="auto" w:line="276" w:before="246"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(iii)if Executive timely elects to receive continued medical, dental or vision coverage under one or more of the Company’s group medical, dental or vision plans pursuant to the</w:t>
      </w:r>
    </w:p>
    <w:p>
      <w:pPr>
        <w:pStyle w:val="TextBody"/>
        <w:bidi w:val="0"/>
        <w:spacing w:lineRule="auto" w:line="288" w:before="0" w:after="0"/>
        <w:jc w:val="left"/>
        <w:rPr/>
      </w:pPr>
      <w:r>
        <w:rPr>
          <w:rFonts w:ascii="Times New Roman;serif" w:hAnsi="Times New Roman;serif"/>
          <w:b w:val="false"/>
          <w:color w:val="000000"/>
          <w:sz w:val="22"/>
        </w:rPr>
        <w:t>Consolidated Omnibus Budget Reconciliation Act of 1985, as amended (“</w:t>
      </w:r>
      <w:r>
        <w:rPr>
          <w:rFonts w:ascii="Times New Roman;serif" w:hAnsi="Times New Roman;serif"/>
          <w:b w:val="false"/>
          <w:color w:val="000000"/>
          <w:sz w:val="22"/>
          <w:u w:val="single"/>
        </w:rPr>
        <w:t>COBRA</w:t>
      </w:r>
      <w:r>
        <w:rPr>
          <w:color w:val="000000"/>
        </w:rPr>
        <w:t>”</w:t>
      </w:r>
      <w:r>
        <w:rPr>
          <w:rFonts w:ascii="Times New Roman;serif" w:hAnsi="Times New Roman;serif"/>
          <w:b w:val="false"/>
          <w:color w:val="000000"/>
          <w:sz w:val="22"/>
        </w:rPr>
        <w:t>), then the Company shall directly pay, or reimburse Executive for, the COBRA premiums for Executive and Executive’s covered dependents under such plans, less the amount Executive would have had to pay to receive such coverage as an active employee based on the cost sharing levels in effect on the Date of Termination, during the period commencing on Executive’s Separation from Service and ending upon the earliest of (A) the last day of the Severance Period, (B) the date that Executive and/or Executive’s covered dependents become no longer eligible for COBRA and (C) the date Executive becomes eligible to receive medical, dental or vision coverage, as applicable, from a subsequent employer (and Executive agrees to promptly notify the Company of such eligibility) (the “</w:t>
      </w:r>
      <w:r>
        <w:rPr>
          <w:rFonts w:ascii="Times New Roman;serif" w:hAnsi="Times New Roman;serif"/>
          <w:b w:val="false"/>
          <w:color w:val="000000"/>
          <w:sz w:val="22"/>
          <w:u w:val="single"/>
        </w:rPr>
        <w:t>COBRA Continuation Period</w:t>
      </w:r>
      <w:r>
        <w:rPr>
          <w:color w:val="000000"/>
        </w:rPr>
        <w:t>”</w:t>
      </w:r>
      <w:r>
        <w:rPr>
          <w:rFonts w:ascii="Times New Roman;serif" w:hAnsi="Times New Roman;serif"/>
          <w:b w:val="false"/>
          <w:color w:val="000000"/>
          <w:sz w:val="22"/>
        </w:rPr>
        <w:t>). Notwithstanding the foregoing, if the Company determines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 covered dependents’ group health coverage in effect on the Date of Termination (which amount shall be based on the premium for the first month of COBRA coverage), less the amount Executive would have had to pay to receive such group health coverage as an active employee for Executive and his or her covered dependents based on the cost sharing levels in effect on the Date of Termination, which payments shall be made for the remainder of the COBRA Continuation Period.</w:t>
      </w:r>
    </w:p>
    <w:p>
      <w:pPr>
        <w:pStyle w:val="TextBody"/>
        <w:bidi w:val="0"/>
        <w:spacing w:lineRule="auto" w:line="288" w:before="239" w:after="283"/>
        <w:ind w:left="0" w:right="0" w:firstLine="720"/>
        <w:jc w:val="left"/>
        <w:rPr/>
      </w:pPr>
      <w:r>
        <w:rPr>
          <w:rFonts w:ascii="Times New Roman;serif" w:hAnsi="Times New Roman;serif"/>
          <w:b w:val="false"/>
          <w:color w:val="000000"/>
          <w:sz w:val="22"/>
        </w:rPr>
        <w:t>(c)</w:t>
      </w:r>
      <w:r>
        <w:rPr>
          <w:rFonts w:ascii="Times New Roman;serif" w:hAnsi="Times New Roman;serif"/>
          <w:b w:val="false"/>
          <w:color w:val="000000"/>
          <w:sz w:val="22"/>
          <w:u w:val="single"/>
        </w:rPr>
        <w:t>Change in Control</w:t>
      </w:r>
      <w:r>
        <w:rPr>
          <w:rFonts w:ascii="Times New Roman;serif" w:hAnsi="Times New Roman;serif"/>
          <w:b w:val="false"/>
          <w:color w:val="000000"/>
          <w:sz w:val="22"/>
        </w:rPr>
        <w:t xml:space="preserve">. In lieu of the payments and benefits set forth in </w:t>
      </w:r>
      <w:r>
        <w:rPr>
          <w:rFonts w:ascii="Times New Roman;serif" w:hAnsi="Times New Roman;serif"/>
          <w:b w:val="false"/>
          <w:color w:val="000000"/>
          <w:sz w:val="22"/>
          <w:u w:val="single"/>
        </w:rPr>
        <w:t xml:space="preserve">Section </w:t>
      </w:r>
      <w:hyperlink w:anchor="ic5aff4b332244480a6ffe44817848242_4">
        <w:r>
          <w:rPr>
            <w:rStyle w:val="InternetLink"/>
          </w:rPr>
          <w:t>4(b)</w:t>
        </w:r>
      </w:hyperlink>
      <w:r>
        <w:rPr>
          <w:rFonts w:ascii="Times New Roman;serif" w:hAnsi="Times New Roman;serif"/>
          <w:b w:val="false"/>
          <w:color w:val="000000"/>
          <w:sz w:val="22"/>
        </w:rPr>
        <w:t xml:space="preserve">, in the event Executive’s employment terminates without Cause pursuant to </w:t>
      </w:r>
      <w:r>
        <w:rPr>
          <w:rFonts w:ascii="Times New Roman;serif" w:hAnsi="Times New Roman;serif"/>
          <w:b w:val="false"/>
          <w:color w:val="000000"/>
          <w:sz w:val="22"/>
          <w:u w:val="single"/>
        </w:rPr>
        <w:t xml:space="preserve">Section </w:t>
      </w:r>
      <w:hyperlink w:anchor="ic5aff4b332244480a6ffe44817848242_4">
        <w:r>
          <w:rPr>
            <w:rStyle w:val="InternetLink"/>
          </w:rPr>
          <w:t>3(a)(iv)</w:t>
        </w:r>
      </w:hyperlink>
      <w:r>
        <w:rPr>
          <w:rFonts w:ascii="Times New Roman;serif" w:hAnsi="Times New Roman;serif"/>
          <w:b w:val="false"/>
          <w:color w:val="000000"/>
          <w:sz w:val="22"/>
        </w:rPr>
        <w:t xml:space="preserve">, or pursuant to </w:t>
      </w:r>
      <w:r>
        <w:rPr>
          <w:rFonts w:ascii="Times New Roman;serif" w:hAnsi="Times New Roman;serif"/>
          <w:b w:val="false"/>
          <w:color w:val="000000"/>
          <w:sz w:val="22"/>
          <w:u w:val="single"/>
        </w:rPr>
        <w:t xml:space="preserve">Section </w:t>
      </w:r>
      <w:hyperlink w:anchor="ic5aff4b332244480a6ffe44817848242_4">
        <w:r>
          <w:rPr>
            <w:rStyle w:val="InternetLink"/>
          </w:rPr>
          <w:t>3(a)(v)</w:t>
        </w:r>
      </w:hyperlink>
      <w:r>
        <w:rPr>
          <w:color w:val="000000"/>
        </w:rPr>
        <w:t xml:space="preserve"> </w:t>
      </w:r>
      <w:r>
        <w:rPr>
          <w:rFonts w:ascii="Times New Roman;serif" w:hAnsi="Times New Roman;serif"/>
          <w:b w:val="false"/>
          <w:color w:val="000000"/>
          <w:sz w:val="22"/>
        </w:rPr>
        <w:t>due to Executive’s resignation with Good Reason, in either case, within three (3) months prior to or on or within twelve (12) months following the date of a Change in Control, subject to</w:t>
      </w:r>
    </w:p>
    <w:p>
      <w:pPr>
        <w:pStyle w:val="TextBody"/>
        <w:bidi w:val="0"/>
        <w:spacing w:lineRule="auto" w:line="288" w:before="1" w:after="283"/>
        <w:jc w:val="left"/>
        <w:rPr/>
      </w:pPr>
      <w:r>
        <w:rPr>
          <w:rFonts w:ascii="Times New Roman;serif" w:hAnsi="Times New Roman;serif"/>
          <w:b w:val="false"/>
          <w:color w:val="000000"/>
          <w:sz w:val="22"/>
        </w:rPr>
        <w:t xml:space="preserve">Executive signing on or before the 21st day following Executive’s Separation from Service, and not revoking, the Release and Executive’s continued compliance with </w:t>
      </w:r>
      <w:r>
        <w:rPr>
          <w:rFonts w:ascii="Times New Roman;serif" w:hAnsi="Times New Roman;serif"/>
          <w:b w:val="false"/>
          <w:color w:val="000000"/>
          <w:sz w:val="22"/>
          <w:u w:val="single"/>
        </w:rPr>
        <w:t xml:space="preserve">Section </w:t>
      </w:r>
      <w:hyperlink w:anchor="ic5aff4b332244480a6ffe44817848242_4">
        <w:r>
          <w:rPr>
            <w:rStyle w:val="InternetLink"/>
          </w:rPr>
          <w:t>5</w:t>
        </w:r>
      </w:hyperlink>
      <w:hyperlink w:anchor="ic5aff4b332244480a6ffe44817848242_4">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Executive shall receive, in addition to the payments and benefits set forth in </w:t>
      </w:r>
      <w:r>
        <w:rPr>
          <w:rFonts w:ascii="Times New Roman;serif" w:hAnsi="Times New Roman;serif"/>
          <w:b w:val="false"/>
          <w:color w:val="000000"/>
          <w:sz w:val="22"/>
          <w:u w:val="single"/>
        </w:rPr>
        <w:t xml:space="preserve">Section </w:t>
      </w:r>
      <w:hyperlink w:anchor="ic5aff4b332244480a6ffe44817848242_4">
        <w:r>
          <w:rPr>
            <w:rStyle w:val="InternetLink"/>
          </w:rPr>
          <w:t>3(c)</w:t>
        </w:r>
      </w:hyperlink>
      <w:hyperlink w:anchor="ic5aff4b332244480a6ffe44817848242_4">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the following:</w:t>
      </w:r>
    </w:p>
    <w:p>
      <w:pPr>
        <w:pStyle w:val="TextBody"/>
        <w:bidi w:val="0"/>
        <w:spacing w:lineRule="auto" w:line="288" w:before="240" w:after="283"/>
        <w:ind w:left="0" w:right="0" w:firstLine="720"/>
        <w:jc w:val="left"/>
        <w:rPr/>
      </w:pPr>
      <w:r>
        <w:rPr>
          <w:rFonts w:ascii="Times New Roman;serif" w:hAnsi="Times New Roman;serif"/>
          <w:b w:val="false"/>
          <w:color w:val="000000"/>
          <w:sz w:val="22"/>
        </w:rPr>
        <w:t>(i)an amount in cash equal to 1.0 times the Annual Base Salary, payable in equal installments over the 12-month period following the date of Executive’s Separation from Service (the “</w:t>
      </w:r>
      <w:r>
        <w:rPr>
          <w:rFonts w:ascii="Times New Roman;serif" w:hAnsi="Times New Roman;serif"/>
          <w:b w:val="false"/>
          <w:color w:val="000000"/>
          <w:sz w:val="22"/>
          <w:u w:val="single"/>
        </w:rPr>
        <w:t>CIC Severance Period</w:t>
      </w:r>
      <w:r>
        <w:rPr>
          <w:color w:val="000000"/>
        </w:rPr>
        <w:t>”</w:t>
      </w:r>
      <w:r>
        <w:rPr>
          <w:rFonts w:ascii="Times New Roman;serif" w:hAnsi="Times New Roman;serif"/>
          <w:b w:val="false"/>
          <w:color w:val="000000"/>
          <w:sz w:val="22"/>
        </w:rPr>
        <w:t>) in accordance with the Company’s normal payroll practices;</w:t>
      </w:r>
    </w:p>
    <w:p>
      <w:pPr>
        <w:pStyle w:val="TextBody"/>
        <w:bidi w:val="0"/>
        <w:spacing w:lineRule="auto" w:line="288" w:before="240" w:after="283"/>
        <w:ind w:left="0" w:right="0" w:hanging="720"/>
        <w:jc w:val="left"/>
        <w:rPr/>
      </w:pPr>
      <w:r>
        <w:rPr>
          <w:rFonts w:ascii="Times New Roman;serif" w:hAnsi="Times New Roman;serif"/>
          <w:b w:val="false"/>
          <w:color w:val="000000"/>
          <w:sz w:val="22"/>
        </w:rPr>
        <w:t xml:space="preserve">(ii)the payment set forth in </w:t>
      </w:r>
      <w:r>
        <w:rPr>
          <w:rFonts w:ascii="Times New Roman;serif" w:hAnsi="Times New Roman;serif"/>
          <w:b w:val="false"/>
          <w:color w:val="000000"/>
          <w:sz w:val="22"/>
          <w:u w:val="single"/>
        </w:rPr>
        <w:t xml:space="preserve">Section </w:t>
      </w:r>
      <w:hyperlink w:anchor="ic5aff4b332244480a6ffe44817848242_4">
        <w:r>
          <w:rPr>
            <w:rStyle w:val="InternetLink"/>
          </w:rPr>
          <w:t>4(b)(ii)</w:t>
        </w:r>
      </w:hyperlink>
      <w:r>
        <w:rPr>
          <w:rFonts w:ascii="Times New Roman;serif" w:hAnsi="Times New Roman;serif"/>
          <w:b w:val="false"/>
          <w:color w:val="000000"/>
          <w:sz w:val="22"/>
        </w:rPr>
        <w:t>;</w:t>
      </w:r>
    </w:p>
    <w:p>
      <w:pPr>
        <w:pStyle w:val="TextBody"/>
        <w:bidi w:val="0"/>
        <w:spacing w:lineRule="auto" w:line="288" w:before="241" w:after="283"/>
        <w:ind w:left="0" w:right="0" w:firstLine="720"/>
        <w:jc w:val="left"/>
        <w:rPr/>
      </w:pPr>
      <w:r>
        <w:rPr>
          <w:rFonts w:ascii="Times New Roman;serif" w:hAnsi="Times New Roman;serif"/>
          <w:b w:val="false"/>
          <w:color w:val="000000"/>
          <w:sz w:val="22"/>
        </w:rPr>
        <w:t xml:space="preserve">(iii)the benefits set forth in </w:t>
      </w:r>
      <w:r>
        <w:rPr>
          <w:rFonts w:ascii="Times New Roman;serif" w:hAnsi="Times New Roman;serif"/>
          <w:b w:val="false"/>
          <w:color w:val="000000"/>
          <w:sz w:val="22"/>
          <w:u w:val="single"/>
        </w:rPr>
        <w:t xml:space="preserve">Section </w:t>
      </w:r>
      <w:hyperlink w:anchor="ic5aff4b332244480a6ffe44817848242_4">
        <w:r>
          <w:rPr>
            <w:rStyle w:val="InternetLink"/>
          </w:rPr>
          <w:t>4(b)(iii)</w:t>
        </w:r>
      </w:hyperlink>
      <w:hyperlink w:anchor="ic5aff4b332244480a6ffe44817848242_4">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provided that for this purpose, the “Severance Period” will mean the CIC Severance Period;</w:t>
      </w:r>
    </w:p>
    <w:p>
      <w:pPr>
        <w:pStyle w:val="TextBody"/>
        <w:bidi w:val="0"/>
        <w:spacing w:lineRule="auto" w:line="288" w:before="238"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(iv)an amount in cash equal to 1.0 times the Target Annual Bonus, payable in a lump sum on the Company’s first ordinary payroll date that occurs after the Date of Termination; and</w:t>
      </w:r>
    </w:p>
    <w:p>
      <w:pPr>
        <w:pStyle w:val="TextBody"/>
        <w:bidi w:val="0"/>
        <w:spacing w:lineRule="auto" w:line="288" w:before="244"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(v)all unvested equity or equity-based awards held by Executive under any Company equity compensation plans that vest based on continued employment or service shall immediately become 100% vested. Equity or equity-based awards that vest upon satisfaction of performance criteria for which those criteria have not yet been satisfied and would have been reasonably likely of satisfaction but for the Change in Control, as determined by the Company’s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4" w:after="283"/>
        <w:jc w:val="left"/>
        <w:rPr>
          <w:rFonts w:ascii="Times New Roman;serif" w:hAnsi="Times New Roman;serif"/>
          <w:b w:val="false"/>
          <w:color w:val="000000"/>
          <w:sz w:val="22"/>
        </w:rPr>
      </w:pPr>
      <w:r>
        <w:rPr>
          <w:rFonts w:ascii="Times New Roman;serif" w:hAnsi="Times New Roman;serif"/>
          <w:b w:val="false"/>
          <w:color w:val="000000"/>
          <w:sz w:val="22"/>
        </w:rPr>
        <w:t>Board of Directors in good faith, shall be measured as if all applicable performance criteria were achieved at target levels. Any other equity or equity-based awards shall be governed by the terms of the applicable award agreement.</w:t>
      </w:r>
    </w:p>
    <w:p>
      <w:pPr>
        <w:pStyle w:val="TextBody"/>
        <w:bidi w:val="0"/>
        <w:spacing w:lineRule="auto" w:line="288" w:before="238"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herein or in any equity plan or any applicable award agreement pursuant to equity awards granted thereunder, to the extent that the successor or acquiring corporation (if any) of the Company, or the definitive agreement governing a Change in Control, provides that the Executive’s equity awards that vest based on continued employment or service should be cancelled without consideration upon a Change in Control, each of Executive’s unvested equity awards that vest based on continued employment or service that would otherwise be so cancelled shall instead accelerate and become fully vested and if applicable, exercisable, effective immediately prior to the Change in Control. With respect to performance-based awards (if any are provided to Executive), the grant agreement may provide for alternative treatment in lieu of the foregoing and, absent any such treatment in the grant agreement, the vesting acceleration provided for herein shall be deemed to have been met based on the achievement of the performance-based award based on “at target” performance for any such award reasonably likely of satisfaction but for the Change in Control, as determined in good faith by the Company’s Board of Directors.</w:t>
      </w:r>
    </w:p>
    <w:p>
      <w:pPr>
        <w:pStyle w:val="TextBody"/>
        <w:bidi w:val="0"/>
        <w:spacing w:lineRule="auto" w:line="288" w:before="239" w:after="283"/>
        <w:ind w:left="0" w:right="0" w:firstLine="720"/>
        <w:jc w:val="left"/>
        <w:rPr/>
      </w:pPr>
      <w:r>
        <w:rPr>
          <w:rFonts w:ascii="Times New Roman;serif" w:hAnsi="Times New Roman;serif"/>
          <w:b w:val="false"/>
          <w:color w:val="000000"/>
          <w:sz w:val="22"/>
        </w:rPr>
        <w:t>(d)Notwithstanding the foregoing, Executive shall be entitled to the greater benefits, if any, as may be provided in the future under any Company Change In Control Policy, as it may in the future be implemented or thereafter amended from time to time (the “</w:t>
      </w:r>
      <w:r>
        <w:rPr>
          <w:rFonts w:ascii="Times New Roman;serif" w:hAnsi="Times New Roman;serif"/>
          <w:b w:val="false"/>
          <w:color w:val="000000"/>
          <w:sz w:val="22"/>
          <w:u w:val="single"/>
        </w:rPr>
        <w:t>CIC Policy</w:t>
      </w:r>
      <w:r>
        <w:rPr>
          <w:color w:val="000000"/>
        </w:rPr>
        <w:t>”</w:t>
      </w:r>
      <w:r>
        <w:rPr>
          <w:rFonts w:ascii="Times New Roman;serif" w:hAnsi="Times New Roman;serif"/>
          <w:b w:val="false"/>
          <w:color w:val="000000"/>
          <w:sz w:val="22"/>
        </w:rPr>
        <w:t>), subject to its terms and conditions; provided, however, that nothing in this Agreement or the CIC Policy shall require the Company to provide any duplicate payments or benefits.</w:t>
      </w:r>
    </w:p>
    <w:p>
      <w:pPr>
        <w:pStyle w:val="TextBody"/>
        <w:bidi w:val="0"/>
        <w:spacing w:lineRule="auto" w:line="288" w:before="243" w:after="283"/>
        <w:ind w:left="0" w:right="0" w:firstLine="720"/>
        <w:jc w:val="left"/>
        <w:rPr/>
      </w:pPr>
      <w:r>
        <w:rPr>
          <w:rFonts w:ascii="Times New Roman;serif" w:hAnsi="Times New Roman;serif"/>
          <w:b w:val="false"/>
          <w:color w:val="000000"/>
          <w:sz w:val="22"/>
        </w:rPr>
        <w:t>(e)</w:t>
      </w:r>
      <w:r>
        <w:rPr>
          <w:rFonts w:ascii="Times New Roman;serif" w:hAnsi="Times New Roman;serif"/>
          <w:b w:val="false"/>
          <w:color w:val="000000"/>
          <w:sz w:val="22"/>
          <w:u w:val="single"/>
        </w:rPr>
        <w:t>Survival</w:t>
      </w:r>
      <w:r>
        <w:rPr>
          <w:rFonts w:ascii="Times New Roman;serif" w:hAnsi="Times New Roman;serif"/>
          <w:b w:val="false"/>
          <w:color w:val="000000"/>
          <w:sz w:val="22"/>
        </w:rPr>
        <w:t xml:space="preserve">. Notwithstanding anything to the contrary in this Agreement, the provisions of </w:t>
      </w:r>
      <w:r>
        <w:rPr>
          <w:rFonts w:ascii="Times New Roman;serif" w:hAnsi="Times New Roman;serif"/>
          <w:b w:val="false"/>
          <w:color w:val="000000"/>
          <w:sz w:val="22"/>
          <w:u w:val="single"/>
        </w:rPr>
        <w:t xml:space="preserve">Sections </w:t>
      </w:r>
      <w:hyperlink w:anchor="ic5aff4b332244480a6ffe44817848242_4">
        <w:r>
          <w:rPr>
            <w:rStyle w:val="InternetLink"/>
          </w:rPr>
          <w:t>5</w:t>
        </w:r>
      </w:hyperlink>
      <w:r>
        <w:rPr>
          <w:color w:val="000000"/>
        </w:rPr>
        <w:t xml:space="preserve"> </w:t>
      </w:r>
      <w:r>
        <w:rPr>
          <w:rFonts w:ascii="Times New Roman;serif" w:hAnsi="Times New Roman;serif"/>
          <w:b w:val="false"/>
          <w:color w:val="000000"/>
          <w:sz w:val="22"/>
        </w:rPr>
        <w:t xml:space="preserve">through </w:t>
      </w:r>
      <w:hyperlink w:anchor="ic5aff4b332244480a6ffe44817848242_4">
        <w:r>
          <w:rPr>
            <w:rStyle w:val="InternetLink"/>
            <w:rFonts w:ascii="Times New Roman;serif" w:hAnsi="Times New Roman;serif"/>
            <w:b w:val="false"/>
            <w:color w:val="000000"/>
            <w:sz w:val="22"/>
            <w:u w:val="single"/>
          </w:rPr>
          <w:t>9</w:t>
        </w:r>
      </w:hyperlink>
      <w:r>
        <w:rPr>
          <w:color w:val="000000"/>
        </w:rPr>
        <w:t xml:space="preserve"> </w:t>
      </w:r>
      <w:r>
        <w:rPr>
          <w:rFonts w:ascii="Times New Roman;serif" w:hAnsi="Times New Roman;serif"/>
          <w:b w:val="false"/>
          <w:color w:val="000000"/>
          <w:sz w:val="22"/>
        </w:rPr>
        <w:t>will survive the termination of Executive’s employment and the termination of the Term.</w:t>
      </w:r>
    </w:p>
    <w:p>
      <w:pPr>
        <w:pStyle w:val="TextBody"/>
        <w:bidi w:val="0"/>
        <w:spacing w:lineRule="auto" w:line="276" w:before="243" w:after="283"/>
        <w:jc w:val="left"/>
        <w:rPr/>
      </w:pPr>
      <w:r>
        <w:rPr>
          <w:rFonts w:ascii="Times New Roman;serif" w:hAnsi="Times New Roman;serif"/>
          <w:b/>
          <w:color w:val="000000"/>
          <w:sz w:val="24"/>
        </w:rPr>
        <w:t>5.</w:t>
      </w:r>
      <w:r>
        <w:rPr>
          <w:rFonts w:ascii="Times New Roman;serif" w:hAnsi="Times New Roman;serif"/>
          <w:b/>
          <w:color w:val="000000"/>
          <w:sz w:val="22"/>
          <w:u w:val="single"/>
        </w:rPr>
        <w:t>Restrictive Covenants</w:t>
      </w:r>
      <w:r>
        <w:rPr>
          <w:rFonts w:ascii="Times New Roman;serif" w:hAnsi="Times New Roman;serif"/>
          <w:b/>
          <w:color w:val="000000"/>
          <w:sz w:val="22"/>
        </w:rPr>
        <w:t xml:space="preserve">. </w:t>
      </w:r>
      <w:r>
        <w:rPr>
          <w:rFonts w:ascii="Times New Roman;serif" w:hAnsi="Times New Roman;serif"/>
          <w:b w:val="false"/>
          <w:color w:val="000000"/>
          <w:sz w:val="22"/>
        </w:rPr>
        <w:t xml:space="preserve">As a condition to the effectiveness of this Agreement, Executive will have executed and delivered to the Company no later than contemporaneously herewith the Employee Proprietary Information and Inventions Assignment Agreement attached as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(the “</w:t>
      </w:r>
      <w:r>
        <w:rPr>
          <w:rFonts w:ascii="Times New Roman;serif" w:hAnsi="Times New Roman;serif"/>
          <w:b w:val="false"/>
          <w:color w:val="000000"/>
          <w:sz w:val="22"/>
          <w:u w:val="single"/>
        </w:rPr>
        <w:t>Restrictive</w:t>
      </w:r>
      <w:r>
        <w:rPr>
          <w:color w:val="000000"/>
        </w:rPr>
        <w:t xml:space="preserve"> </w:t>
      </w:r>
      <w:r>
        <w:rPr>
          <w:rFonts w:ascii="Times New Roman;serif" w:hAnsi="Times New Roman;serif"/>
          <w:b w:val="false"/>
          <w:color w:val="000000"/>
          <w:sz w:val="22"/>
          <w:u w:val="single"/>
        </w:rPr>
        <w:t>Covenant Agreement</w:t>
      </w:r>
      <w:r>
        <w:rPr>
          <w:color w:val="000000"/>
        </w:rPr>
        <w:t>”</w:t>
      </w:r>
      <w:r>
        <w:rPr>
          <w:rFonts w:ascii="Times New Roman;serif" w:hAnsi="Times New Roman;serif"/>
          <w:b w:val="false"/>
          <w:color w:val="000000"/>
          <w:sz w:val="22"/>
        </w:rPr>
        <w:t>). Executive agrees to abide by the terms of the Restrictive Covenant Agreement, which are hereby incorporated by reference into this Agreement. Executive acknowledges that the</w:t>
      </w:r>
    </w:p>
    <w:p>
      <w:pPr>
        <w:pStyle w:val="TextBody"/>
        <w:bidi w:val="0"/>
        <w:spacing w:lineRule="auto" w:line="288" w:before="4" w:after="283"/>
        <w:jc w:val="left"/>
        <w:rPr>
          <w:rFonts w:ascii="Times New Roman;serif" w:hAnsi="Times New Roman;serif"/>
          <w:b w:val="false"/>
          <w:color w:val="000000"/>
          <w:sz w:val="22"/>
        </w:rPr>
      </w:pPr>
      <w:r>
        <w:rPr>
          <w:rFonts w:ascii="Times New Roman;serif" w:hAnsi="Times New Roman;serif"/>
          <w:b w:val="false"/>
          <w:color w:val="000000"/>
          <w:sz w:val="22"/>
        </w:rPr>
        <w:t>provisions of the Restrictive Covenant Agreement will survive the termination of Executive’s employment and the termination of the Term for the periods set forth in the Restrictive Covenant Agreement.</w:t>
      </w:r>
    </w:p>
    <w:p>
      <w:pPr>
        <w:pStyle w:val="TextBody"/>
        <w:bidi w:val="0"/>
        <w:spacing w:lineRule="auto" w:line="288" w:before="240" w:after="283"/>
        <w:ind w:left="0" w:right="0" w:hanging="720"/>
        <w:jc w:val="left"/>
        <w:rPr/>
      </w:pPr>
      <w:r>
        <w:rPr>
          <w:rFonts w:ascii="Times New Roman;serif" w:hAnsi="Times New Roman;serif"/>
          <w:b/>
          <w:color w:val="000000"/>
          <w:sz w:val="24"/>
        </w:rPr>
        <w:t>6.</w:t>
      </w:r>
      <w:r>
        <w:rPr>
          <w:rFonts w:ascii="Times New Roman;serif" w:hAnsi="Times New Roman;serif"/>
          <w:b/>
          <w:color w:val="000000"/>
          <w:sz w:val="22"/>
          <w:u w:val="single"/>
        </w:rPr>
        <w:t>Assignment and Successors</w:t>
      </w:r>
      <w:r>
        <w:rPr>
          <w:rFonts w:ascii="Times New Roman;serif" w:hAnsi="Times New Roman;serif"/>
          <w:b/>
          <w:color w:val="000000"/>
          <w:sz w:val="22"/>
        </w:rPr>
        <w:t>.</w:t>
      </w:r>
    </w:p>
    <w:p>
      <w:pPr>
        <w:pStyle w:val="TextBody"/>
        <w:bidi w:val="0"/>
        <w:spacing w:lineRule="auto" w:line="288" w:before="237"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may assign its rights and obligations under this Agreement to any of its affiliates or to any successor to all or substantially all of the business or the assets of the Company (by merger or otherwise), and may assign or encumber this Agreement and its rights hereunder as security for indebtedness of the Company and its affiliates. This Agreement shall be binding upon and inure to the benefit of the Company, Executive and their respective successors, assigns, personal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w:t>
      </w:r>
    </w:p>
    <w:p>
      <w:pPr>
        <w:pStyle w:val="TextBody"/>
        <w:bidi w:val="0"/>
        <w:spacing w:lineRule="auto" w:line="280"/>
        <w:jc w:val="left"/>
        <w:rPr>
          <w:rFonts w:ascii="Times New Roman;serif" w:hAnsi="Times New Roman;serif"/>
          <w:b w:val="false"/>
          <w:color w:val="000000"/>
          <w:sz w:val="22"/>
        </w:rPr>
      </w:pPr>
      <w:r>
        <w:rPr>
          <w:rFonts w:ascii="Times New Roman;serif" w:hAnsi="Times New Roman;serif"/>
          <w:b w:val="false"/>
          <w:color w:val="000000"/>
          <w:sz w:val="22"/>
        </w:rPr>
        <w:t>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35" w:after="283"/>
        <w:ind w:left="0" w:right="0" w:hanging="720"/>
        <w:jc w:val="left"/>
        <w:rPr/>
      </w:pPr>
      <w:r>
        <w:rPr>
          <w:rFonts w:ascii="Times New Roman;serif" w:hAnsi="Times New Roman;serif"/>
          <w:b/>
          <w:color w:val="000000"/>
          <w:sz w:val="24"/>
        </w:rPr>
        <w:t>7.</w:t>
      </w:r>
      <w:r>
        <w:rPr>
          <w:rFonts w:ascii="Times New Roman;serif" w:hAnsi="Times New Roman;serif"/>
          <w:b/>
          <w:color w:val="000000"/>
          <w:sz w:val="22"/>
          <w:u w:val="single"/>
        </w:rPr>
        <w:t>Certain Definitions</w:t>
      </w:r>
      <w:r>
        <w:rPr>
          <w:rFonts w:ascii="Times New Roman;serif" w:hAnsi="Times New Roman;serif"/>
          <w:b/>
          <w:color w:val="000000"/>
          <w:sz w:val="22"/>
        </w:rPr>
        <w:t>.</w:t>
      </w:r>
    </w:p>
    <w:p>
      <w:pPr>
        <w:pStyle w:val="TextBody"/>
        <w:bidi w:val="0"/>
        <w:spacing w:lineRule="auto" w:line="288" w:before="233" w:after="283"/>
        <w:ind w:left="0" w:right="0" w:firstLine="72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Cause</w:t>
      </w:r>
      <w:r>
        <w:rPr>
          <w:rFonts w:ascii="Times New Roman;serif" w:hAnsi="Times New Roman;serif"/>
          <w:b w:val="false"/>
          <w:color w:val="000000"/>
          <w:sz w:val="22"/>
        </w:rPr>
        <w:t>. The Company shall have “Cause” to terminate Executive’s employment hereunder upon:</w:t>
      </w:r>
    </w:p>
    <w:p>
      <w:pPr>
        <w:pStyle w:val="TextBody"/>
        <w:bidi w:val="0"/>
        <w:spacing w:lineRule="auto" w:line="276" w:before="238"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Company’s reasonable, good faith determination that Executive has refused to (A) substantially perform the duties associated with Executive’s position with the Company or (B) carry out the reasonable and lawful instructions of the Executive’s direct supervisor concerning duties or actions consistent with the Executive’s position with the Company, in each case, that, to the extent capable of cure, has remained uncured for a period of thirty (30) days following written notice from the Company;</w:t>
      </w:r>
    </w:p>
    <w:p>
      <w:pPr>
        <w:pStyle w:val="TextBody"/>
        <w:bidi w:val="0"/>
        <w:spacing w:lineRule="auto" w:line="288" w:before="243"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(i)Executive’s breach of a material provision of this Agreement that, to the extent capable of cure, has remained uncured for a period of thirty (30) days following written notice from the Company;</w:t>
      </w:r>
    </w:p>
    <w:p>
      <w:pPr>
        <w:pStyle w:val="TextBody"/>
        <w:bidi w:val="0"/>
        <w:spacing w:lineRule="auto" w:line="288" w:before="240" w:after="283"/>
        <w:ind w:left="0" w:right="0" w:firstLine="720"/>
        <w:jc w:val="left"/>
        <w:rPr/>
      </w:pPr>
      <w:r>
        <w:rPr>
          <w:rFonts w:ascii="Times New Roman;serif" w:hAnsi="Times New Roman;serif"/>
          <w:b w:val="false"/>
          <w:color w:val="000000"/>
          <w:sz w:val="22"/>
        </w:rPr>
        <w:t xml:space="preserve">(ii)Executive’s conviction, plea of no contest, plea of </w:t>
      </w:r>
      <w:r>
        <w:rPr>
          <w:rFonts w:ascii="Times New Roman;serif" w:hAnsi="Times New Roman;serif"/>
          <w:b w:val="false"/>
          <w:i/>
          <w:color w:val="000000"/>
          <w:sz w:val="22"/>
        </w:rPr>
        <w:t>nolo contendere</w:t>
      </w:r>
      <w:r>
        <w:rPr>
          <w:rFonts w:ascii="Times New Roman;serif" w:hAnsi="Times New Roman;serif"/>
          <w:b w:val="false"/>
          <w:color w:val="000000"/>
          <w:sz w:val="22"/>
        </w:rPr>
        <w:t>, or imposition of unadjudicated probation for any felony or crime involving moral turpitude;</w:t>
      </w:r>
    </w:p>
    <w:p>
      <w:pPr>
        <w:pStyle w:val="TextBody"/>
        <w:bidi w:val="0"/>
        <w:spacing w:lineRule="auto" w:line="288" w:before="238"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(iii)Executive’s unlawful use (including being under the influence) or possession of illegal drugs on the Company’s (or any of its affiliate’s) premises or while performing</w:t>
      </w:r>
    </w:p>
    <w:p>
      <w:pPr>
        <w:pStyle w:val="TextBody"/>
        <w:bidi w:val="0"/>
        <w:spacing w:lineRule="auto" w:line="288" w:before="3" w:after="283"/>
        <w:jc w:val="left"/>
        <w:rPr>
          <w:rFonts w:ascii="Times New Roman;serif" w:hAnsi="Times New Roman;serif"/>
          <w:b w:val="false"/>
          <w:color w:val="000000"/>
          <w:sz w:val="22"/>
        </w:rPr>
      </w:pPr>
      <w:r>
        <w:rPr>
          <w:rFonts w:ascii="Times New Roman;serif" w:hAnsi="Times New Roman;serif"/>
          <w:b w:val="false"/>
          <w:color w:val="000000"/>
          <w:sz w:val="22"/>
        </w:rPr>
        <w:t>Executive’s duties and responsibilities under this Agreement; or</w:t>
      </w:r>
    </w:p>
    <w:p>
      <w:pPr>
        <w:pStyle w:val="TextBody"/>
        <w:bidi w:val="0"/>
        <w:spacing w:lineRule="auto" w:line="280" w:before="237"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(iv)Executive’s commission of any act of fraud, embezzlement, misappropriation, willful misconduct, or breach of fiduciary duty against the Company or any of its affiliates.</w:t>
      </w:r>
    </w:p>
    <w:p>
      <w:pPr>
        <w:pStyle w:val="TextBody"/>
        <w:bidi w:val="0"/>
        <w:spacing w:lineRule="auto" w:line="288" w:before="238" w:after="283"/>
        <w:ind w:left="0" w:right="0" w:firstLine="72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Change in Control</w:t>
      </w:r>
      <w:r>
        <w:rPr>
          <w:rFonts w:ascii="Times New Roman;serif" w:hAnsi="Times New Roman;serif"/>
          <w:b w:val="false"/>
          <w:color w:val="000000"/>
          <w:sz w:val="22"/>
        </w:rPr>
        <w:t>. “Change in Control” shall have the meaning set forth in the Immuneering Corporation 2025 Employment Inducement Award Plan, as in effect on the Effective Date.</w:t>
      </w:r>
    </w:p>
    <w:p>
      <w:pPr>
        <w:pStyle w:val="TextBody"/>
        <w:bidi w:val="0"/>
        <w:spacing w:lineRule="auto" w:line="288" w:before="238" w:after="283"/>
        <w:ind w:left="0" w:right="0" w:firstLine="720"/>
        <w:jc w:val="left"/>
        <w:rPr/>
      </w:pPr>
      <w:r>
        <w:rPr>
          <w:rFonts w:ascii="Times New Roman;serif" w:hAnsi="Times New Roman;serif"/>
          <w:b w:val="false"/>
          <w:color w:val="000000"/>
          <w:sz w:val="22"/>
        </w:rPr>
        <w:t>(c)</w:t>
      </w:r>
      <w:r>
        <w:rPr>
          <w:rFonts w:ascii="Times New Roman;serif" w:hAnsi="Times New Roman;serif"/>
          <w:b w:val="false"/>
          <w:color w:val="000000"/>
          <w:sz w:val="22"/>
          <w:u w:val="single"/>
        </w:rPr>
        <w:t>Code</w:t>
      </w:r>
      <w:r>
        <w:rPr>
          <w:rFonts w:ascii="Times New Roman;serif" w:hAnsi="Times New Roman;serif"/>
          <w:b w:val="false"/>
          <w:color w:val="000000"/>
          <w:sz w:val="22"/>
        </w:rPr>
        <w:t>. “Code” shall mean the Internal Revenue Code of 1986, as amended, and the regulations and guidance promulgated thereunder.</w:t>
      </w:r>
    </w:p>
    <w:p>
      <w:pPr>
        <w:pStyle w:val="TextBody"/>
        <w:bidi w:val="0"/>
        <w:spacing w:lineRule="auto" w:line="288" w:before="238" w:after="283"/>
        <w:ind w:left="0" w:right="0" w:firstLine="720"/>
        <w:jc w:val="left"/>
        <w:rPr/>
      </w:pPr>
      <w:r>
        <w:rPr>
          <w:rFonts w:ascii="Times New Roman;serif" w:hAnsi="Times New Roman;serif"/>
          <w:b w:val="false"/>
          <w:color w:val="000000"/>
          <w:sz w:val="22"/>
        </w:rPr>
        <w:t>(d)</w:t>
      </w:r>
      <w:r>
        <w:rPr>
          <w:rFonts w:ascii="Times New Roman;serif" w:hAnsi="Times New Roman;serif"/>
          <w:b w:val="false"/>
          <w:color w:val="000000"/>
          <w:sz w:val="22"/>
          <w:u w:val="single"/>
        </w:rPr>
        <w:t>Date of Termination</w:t>
      </w:r>
      <w:r>
        <w:rPr>
          <w:rFonts w:ascii="Times New Roman;serif" w:hAnsi="Times New Roman;serif"/>
          <w:b w:val="false"/>
          <w:color w:val="000000"/>
          <w:sz w:val="22"/>
        </w:rPr>
        <w:t xml:space="preserve">. “Date of Termination” shall mean (i) if Executive’s employment is terminated by Executive’s death, the date of Executive’s death; or (ii) if Executive’s employment is terminated pursuant to </w:t>
      </w:r>
      <w:r>
        <w:rPr>
          <w:rFonts w:ascii="Times New Roman;serif" w:hAnsi="Times New Roman;serif"/>
          <w:b w:val="false"/>
          <w:color w:val="000000"/>
          <w:sz w:val="22"/>
          <w:u w:val="single"/>
        </w:rPr>
        <w:t xml:space="preserve">Section </w:t>
      </w:r>
      <w:hyperlink w:anchor="ic5aff4b332244480a6ffe44817848242_4">
        <w:r>
          <w:rPr>
            <w:rStyle w:val="InternetLink"/>
          </w:rPr>
          <w:t>3(a)(ii)</w:t>
        </w:r>
      </w:hyperlink>
      <w:r>
        <w:rPr>
          <w:color w:val="000000"/>
        </w:rPr>
        <w:t xml:space="preserve"> – </w:t>
      </w:r>
      <w:hyperlink w:anchor="ic5aff4b332244480a6ffe44817848242_4">
        <w:r>
          <w:rPr>
            <w:rStyle w:val="InternetLink"/>
            <w:rFonts w:ascii="Times New Roman;serif" w:hAnsi="Times New Roman;serif"/>
            <w:b w:val="false"/>
            <w:color w:val="000000"/>
            <w:sz w:val="22"/>
            <w:u w:val="single"/>
          </w:rPr>
          <w:t>(vi)</w:t>
        </w:r>
      </w:hyperlink>
      <w:r>
        <w:rPr>
          <w:color w:val="000000"/>
        </w:rPr>
        <w:t xml:space="preserve"> </w:t>
      </w:r>
      <w:r>
        <w:rPr>
          <w:rFonts w:ascii="Times New Roman;serif" w:hAnsi="Times New Roman;serif"/>
          <w:b w:val="false"/>
          <w:color w:val="000000"/>
          <w:sz w:val="22"/>
        </w:rPr>
        <w:t xml:space="preserve">either the date indicated in the Notice of Termination or the date specified by the Company pursuant to </w:t>
      </w:r>
      <w:r>
        <w:rPr>
          <w:rFonts w:ascii="Times New Roman;serif" w:hAnsi="Times New Roman;serif"/>
          <w:b w:val="false"/>
          <w:color w:val="000000"/>
          <w:sz w:val="22"/>
          <w:u w:val="single"/>
        </w:rPr>
        <w:t xml:space="preserve">Section </w:t>
      </w:r>
      <w:hyperlink w:anchor="ic5aff4b332244480a6ffe44817848242_4">
        <w:r>
          <w:rPr>
            <w:rStyle w:val="InternetLink"/>
          </w:rPr>
          <w:t>3(b)</w:t>
        </w:r>
      </w:hyperlink>
      <w:hyperlink w:anchor="ic5aff4b332244480a6ffe44817848242_4">
        <w:r>
          <w:rPr>
            <w:rStyle w:val="InternetLink"/>
            <w:rFonts w:ascii="Times New Roman;serif" w:hAnsi="Times New Roman;serif"/>
            <w:b w:val="false"/>
            <w:strike w:val="false"/>
            <w:dstrike w:val="false"/>
            <w:color w:val="000000"/>
            <w:sz w:val="22"/>
            <w:u w:val="none"/>
            <w:effect w:val="none"/>
          </w:rPr>
          <w:t>,</w:t>
        </w:r>
      </w:hyperlink>
      <w:r>
        <w:rPr>
          <w:rFonts w:ascii="Times New Roman;serif" w:hAnsi="Times New Roman;serif"/>
          <w:b w:val="false"/>
          <w:color w:val="000000"/>
          <w:sz w:val="22"/>
        </w:rPr>
        <w:t xml:space="preserve"> whichever is earlier.</w:t>
      </w:r>
    </w:p>
    <w:p>
      <w:pPr>
        <w:pStyle w:val="TextBody"/>
        <w:bidi w:val="0"/>
        <w:spacing w:lineRule="auto" w:line="288" w:before="241" w:after="283"/>
        <w:ind w:left="0" w:right="0" w:firstLine="720"/>
        <w:jc w:val="left"/>
        <w:rPr/>
      </w:pPr>
      <w:r>
        <w:rPr>
          <w:rFonts w:ascii="Times New Roman;serif" w:hAnsi="Times New Roman;serif"/>
          <w:b w:val="false"/>
          <w:color w:val="000000"/>
          <w:sz w:val="22"/>
        </w:rPr>
        <w:t>(e)</w:t>
      </w:r>
      <w:r>
        <w:rPr>
          <w:rFonts w:ascii="Times New Roman;serif" w:hAnsi="Times New Roman;serif"/>
          <w:b w:val="false"/>
          <w:color w:val="000000"/>
          <w:sz w:val="22"/>
          <w:u w:val="single"/>
        </w:rPr>
        <w:t>Disability</w:t>
      </w:r>
      <w:r>
        <w:rPr>
          <w:rFonts w:ascii="Times New Roman;serif" w:hAnsi="Times New Roman;serif"/>
          <w:b w:val="false"/>
          <w:color w:val="000000"/>
          <w:sz w:val="22"/>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Times New Roman;serif" w:hAnsi="Times New Roman;serif"/>
          <w:b w:val="false"/>
          <w:i/>
          <w:color w:val="000000"/>
          <w:sz w:val="22"/>
        </w:rPr>
        <w:t>provided, however</w:t>
      </w:r>
      <w:r>
        <w:rPr>
          <w:rFonts w:ascii="Times New Roman;serif" w:hAnsi="Times New Roman;serif"/>
          <w:b w:val="false"/>
          <w:color w:val="000000"/>
          <w:sz w:val="22"/>
        </w:rPr>
        <w:t>,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w:t>
      </w:r>
    </w:p>
    <w:p>
      <w:pPr>
        <w:pStyle w:val="TextBody"/>
        <w:bidi w:val="0"/>
        <w:spacing w:lineRule="auto" w:line="288" w:before="3" w:after="283"/>
        <w:jc w:val="left"/>
        <w:rPr>
          <w:color w:val="000000"/>
        </w:rPr>
      </w:pPr>
      <w:r>
        <w:rPr>
          <w:color w:val="000000"/>
        </w:rPr>
        <w:t>“</w:t>
      </w:r>
      <w:r>
        <w:rPr>
          <w:rFonts w:ascii="Times New Roman;serif" w:hAnsi="Times New Roman;serif"/>
          <w:b w:val="false"/>
          <w:color w:val="000000"/>
          <w:sz w:val="22"/>
        </w:rPr>
        <w:t xml:space="preserve">Disability” shall mean Executive’s inability to perform, with or without reasonable accommodation, the essential functions of Executive’s positions hereunder for a total of three months during any six-month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refusal by Executive to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 w:after="283"/>
        <w:jc w:val="left"/>
        <w:rPr>
          <w:rFonts w:ascii="Times New Roman;serif" w:hAnsi="Times New Roman;serif"/>
          <w:b w:val="false"/>
          <w:color w:val="000000"/>
          <w:sz w:val="22"/>
        </w:rPr>
      </w:pPr>
      <w:r>
        <w:rPr>
          <w:rFonts w:ascii="Times New Roman;serif" w:hAnsi="Times New Roman;serif"/>
          <w:b w:val="false"/>
          <w:color w:val="000000"/>
          <w:sz w:val="22"/>
        </w:rPr>
        <w:t>submit to a medical examination for the purpose of determining Disability shall be deemed to constitute conclusive evidence of Executive’s Disability.</w:t>
      </w:r>
    </w:p>
    <w:p>
      <w:pPr>
        <w:pStyle w:val="TextBody"/>
        <w:bidi w:val="0"/>
        <w:spacing w:lineRule="auto" w:line="276" w:before="243" w:after="283"/>
        <w:ind w:left="0" w:right="0" w:firstLine="720"/>
        <w:jc w:val="left"/>
        <w:rPr/>
      </w:pPr>
      <w:r>
        <w:rPr>
          <w:rFonts w:ascii="Times New Roman;serif" w:hAnsi="Times New Roman;serif"/>
          <w:b w:val="false"/>
          <w:color w:val="000000"/>
          <w:sz w:val="22"/>
        </w:rPr>
        <w:t>(f)</w:t>
      </w:r>
      <w:r>
        <w:rPr>
          <w:rFonts w:ascii="Times New Roman;serif" w:hAnsi="Times New Roman;serif"/>
          <w:b w:val="false"/>
          <w:color w:val="000000"/>
          <w:sz w:val="22"/>
          <w:u w:val="single"/>
        </w:rPr>
        <w:t>Good Reason</w:t>
      </w:r>
      <w:r>
        <w:rPr>
          <w:rFonts w:ascii="Times New Roman;serif" w:hAnsi="Times New Roman;serif"/>
          <w:b w:val="false"/>
          <w:color w:val="000000"/>
          <w:sz w:val="22"/>
        </w:rPr>
        <w:t>. For the sole purpose of determining Executive’s right to severance payments and benefits as described above, Executive’s resignation will be with “Good Reason” if</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Executive resigns within ninety (90) days after any of the following events, unless Executive consents in writing to the applicable event: (i) a reduction in Executive’s Annual Base Salary or Target Annual Bonus, (ii) the relocation of Executive’s primary work location to a location more than twenty-five (25) miles from the Executive’s primary work location as of the date of this Agreement or (iii) the Company’s breach of a material provision of this Agreement. Notwithstanding the foregoing, no Good Reason will have occurred unless and until: (a) Executive has provided the Company, within sixty (60) days of</w:t>
      </w:r>
    </w:p>
    <w:p>
      <w:pPr>
        <w:pStyle w:val="TextBody"/>
        <w:bidi w:val="0"/>
        <w:spacing w:lineRule="auto" w:line="288" w:before="2" w:after="283"/>
        <w:jc w:val="left"/>
        <w:rPr>
          <w:rFonts w:ascii="Times New Roman;serif" w:hAnsi="Times New Roman;serif"/>
          <w:b w:val="false"/>
          <w:color w:val="000000"/>
          <w:sz w:val="22"/>
        </w:rPr>
      </w:pPr>
      <w:r>
        <w:rPr>
          <w:rFonts w:ascii="Times New Roman;serif" w:hAnsi="Times New Roman;serif"/>
          <w:b w:val="false"/>
          <w:color w:val="000000"/>
          <w:sz w:val="22"/>
        </w:rPr>
        <w:t>Executive’s knowledge of the occurrence of the facts and circumstances underlying the Good Reason event, written notice stating with reasonable specificity the applicable facts and circumstances underlying such finding of Good Reason; (b) the Company has had an opportunity to cure the same within thirty (30) days after the receipt of such notice; and (c) the Company shall have failed to so cure within such period.</w:t>
      </w:r>
    </w:p>
    <w:p>
      <w:pPr>
        <w:pStyle w:val="TextBody"/>
        <w:bidi w:val="0"/>
        <w:spacing w:lineRule="auto" w:line="288" w:before="241" w:after="283"/>
        <w:ind w:left="0" w:right="0" w:hanging="720"/>
        <w:jc w:val="left"/>
        <w:rPr/>
      </w:pPr>
      <w:r>
        <w:rPr>
          <w:rFonts w:ascii="Times New Roman;serif" w:hAnsi="Times New Roman;serif"/>
          <w:b/>
          <w:color w:val="000000"/>
          <w:sz w:val="24"/>
        </w:rPr>
        <w:t>8.</w:t>
      </w:r>
      <w:r>
        <w:rPr>
          <w:rFonts w:ascii="Times New Roman;serif" w:hAnsi="Times New Roman;serif"/>
          <w:b/>
          <w:color w:val="000000"/>
          <w:sz w:val="22"/>
          <w:u w:val="single"/>
        </w:rPr>
        <w:t>Parachute Payments</w:t>
      </w:r>
      <w:r>
        <w:rPr>
          <w:rFonts w:ascii="Times New Roman;serif" w:hAnsi="Times New Roman;serif"/>
          <w:b/>
          <w:color w:val="000000"/>
          <w:sz w:val="22"/>
        </w:rPr>
        <w:t>.</w:t>
      </w:r>
    </w:p>
    <w:p>
      <w:pPr>
        <w:pStyle w:val="TextBody"/>
        <w:bidi w:val="0"/>
        <w:spacing w:lineRule="auto" w:line="288" w:before="233" w:after="283"/>
        <w:ind w:left="0" w:right="0" w:firstLine="720"/>
        <w:jc w:val="left"/>
        <w:rPr/>
      </w:pPr>
      <w:r>
        <w:rPr>
          <w:rFonts w:ascii="Times New Roman;serif" w:hAnsi="Times New Roman;serif"/>
          <w:b w:val="false"/>
          <w:color w:val="000000"/>
          <w:sz w:val="22"/>
        </w:rPr>
        <w:t xml:space="preserve">(a)Notwithstanding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Times New Roman;serif" w:hAnsi="Times New Roman;serif"/>
          <w:b w:val="false"/>
          <w:color w:val="000000"/>
          <w:sz w:val="22"/>
          <w:u w:val="single"/>
        </w:rPr>
        <w:t xml:space="preserve">Section </w:t>
      </w:r>
      <w:hyperlink w:anchor="ic5aff4b332244480a6ffe44817848242_4">
        <w:r>
          <w:rPr>
            <w:rStyle w:val="InternetLink"/>
          </w:rPr>
          <w:t>4</w:t>
        </w:r>
      </w:hyperlink>
      <w:r>
        <w:rPr>
          <w:color w:val="000000"/>
        </w:rPr>
        <w:t xml:space="preserve"> </w:t>
      </w:r>
      <w:r>
        <w:rPr>
          <w:rFonts w:ascii="Times New Roman;serif" w:hAnsi="Times New Roman;serif"/>
          <w:b w:val="false"/>
          <w:color w:val="000000"/>
          <w:sz w:val="22"/>
        </w:rPr>
        <w:t>hereof, being hereinafter referred to as the “</w:t>
      </w:r>
      <w:r>
        <w:rPr>
          <w:rFonts w:ascii="Times New Roman;serif" w:hAnsi="Times New Roman;serif"/>
          <w:b w:val="false"/>
          <w:color w:val="000000"/>
          <w:sz w:val="22"/>
          <w:u w:val="single"/>
        </w:rPr>
        <w:t>Total Payments</w:t>
      </w:r>
      <w:r>
        <w:rPr>
          <w:color w:val="000000"/>
        </w:rPr>
        <w:t>”</w:t>
      </w:r>
      <w:r>
        <w:rPr>
          <w:rFonts w:ascii="Times New Roman;serif" w:hAnsi="Times New Roman;serif"/>
          <w:b w:val="false"/>
          <w:color w:val="000000"/>
          <w:sz w:val="22"/>
        </w:rPr>
        <w:t>), would be subject (in whole or in part) to the excise tax imposed by Section 4999 of the Code (the “</w:t>
      </w:r>
      <w:r>
        <w:rPr>
          <w:rFonts w:ascii="Times New Roman;serif" w:hAnsi="Times New Roman;serif"/>
          <w:b w:val="false"/>
          <w:color w:val="000000"/>
          <w:sz w:val="22"/>
          <w:u w:val="single"/>
        </w:rPr>
        <w:t>Excise Tax</w:t>
      </w:r>
      <w:r>
        <w:rPr>
          <w:color w:val="000000"/>
        </w:rPr>
        <w:t>”</w:t>
      </w:r>
      <w:r>
        <w:rPr>
          <w:rFonts w:ascii="Times New Roman;serif" w:hAnsi="Times New Roman;serif"/>
          <w:b w:val="false"/>
          <w:color w:val="000000"/>
          <w:sz w:val="22"/>
        </w:rPr>
        <w:t xml:space="preserve">), then the Total Payments shall be reduced (in the order provided in </w:t>
      </w:r>
      <w:r>
        <w:rPr>
          <w:rFonts w:ascii="Times New Roman;serif" w:hAnsi="Times New Roman;serif"/>
          <w:b w:val="false"/>
          <w:color w:val="000000"/>
          <w:sz w:val="22"/>
          <w:u w:val="single"/>
        </w:rPr>
        <w:t xml:space="preserve">Section </w:t>
      </w:r>
      <w:hyperlink w:anchor="ic5aff4b332244480a6ffe44817848242_4">
        <w:r>
          <w:rPr>
            <w:rStyle w:val="InternetLink"/>
          </w:rPr>
          <w:t>8(b)</w:t>
        </w:r>
      </w:hyperlink>
      <w:r>
        <w:rPr>
          <w:rFonts w:ascii="Times New Roman;serif" w:hAnsi="Times New Roman;serif"/>
          <w:b w:val="false"/>
          <w:color w:val="000000"/>
          <w:sz w:val="22"/>
        </w:rPr>
        <w:t>)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pStyle w:val="TextBody"/>
        <w:bidi w:val="0"/>
        <w:spacing w:lineRule="auto" w:line="288" w:before="239" w:after="283"/>
        <w:ind w:left="0" w:right="0" w:firstLine="720"/>
        <w:jc w:val="left"/>
        <w:rPr/>
      </w:pPr>
      <w:r>
        <w:rPr>
          <w:rFonts w:ascii="Times New Roman;serif" w:hAnsi="Times New Roman;serif"/>
          <w:b w:val="false"/>
          <w:color w:val="000000"/>
          <w:sz w:val="22"/>
        </w:rPr>
        <w:t>(b)The Total Payments shall be reduced in the following order: (i) reduction on a pro rata basis of any cash severance payments that are exempt from Section 409A of the Code (“</w:t>
      </w:r>
      <w:r>
        <w:rPr>
          <w:rFonts w:ascii="Times New Roman;serif" w:hAnsi="Times New Roman;serif"/>
          <w:b w:val="false"/>
          <w:color w:val="000000"/>
          <w:sz w:val="22"/>
          <w:u w:val="single"/>
        </w:rPr>
        <w:t>Section 409A</w:t>
      </w:r>
      <w:r>
        <w:rPr>
          <w:color w:val="000000"/>
        </w:rPr>
        <w:t>”</w:t>
      </w:r>
      <w:r>
        <w:rPr>
          <w:rFonts w:ascii="Times New Roman;serif" w:hAnsi="Times New Roman;serif"/>
          <w:b w:val="false"/>
          <w:color w:val="000000"/>
          <w:sz w:val="22"/>
        </w:rPr>
        <w:t>),</w:t>
      </w:r>
    </w:p>
    <w:p>
      <w:pPr>
        <w:pStyle w:val="TextBody"/>
        <w:bidi w:val="0"/>
        <w:spacing w:lineRule="auto" w:line="288" w:before="4" w:after="283"/>
        <w:jc w:val="left"/>
        <w:rPr>
          <w:rFonts w:ascii="Times New Roman;serif" w:hAnsi="Times New Roman;serif"/>
          <w:b w:val="false"/>
          <w:color w:val="000000"/>
          <w:sz w:val="22"/>
        </w:rPr>
      </w:pPr>
      <w:r>
        <w:rPr>
          <w:rFonts w:ascii="Times New Roman;serif" w:hAnsi="Times New Roman;serif"/>
          <w:b w:val="false"/>
          <w:color w:val="000000"/>
          <w:sz w:val="22"/>
        </w:rPr>
        <w:t>(ii) reduction on a pro rata basis of any non-cash severance payments or benefits that are exempt from Section 409A, (iii) reduction on a pro rata basis of any other payments or benefits that are exempt from Section 409A, and (iv) reduction of any payments or benefits otherwise payable to Executive on a pro 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39" w:after="283"/>
        <w:ind w:left="0" w:right="0" w:firstLine="720"/>
        <w:jc w:val="left"/>
        <w:rPr/>
      </w:pPr>
      <w:r>
        <w:rPr>
          <w:rFonts w:ascii="Times New Roman;serif" w:hAnsi="Times New Roman;serif"/>
          <w:b w:val="false"/>
          <w:color w:val="000000"/>
          <w:sz w:val="22"/>
        </w:rPr>
        <w:t xml:space="preserve">(c)All determinations regarding the application of this </w:t>
      </w:r>
      <w:r>
        <w:rPr>
          <w:rFonts w:ascii="Times New Roman;serif" w:hAnsi="Times New Roman;serif"/>
          <w:b w:val="false"/>
          <w:color w:val="000000"/>
          <w:sz w:val="22"/>
          <w:u w:val="single"/>
        </w:rPr>
        <w:t xml:space="preserve">Section </w:t>
      </w:r>
      <w:hyperlink w:anchor="ic5aff4b332244480a6ffe44817848242_4">
        <w:r>
          <w:rPr>
            <w:rStyle w:val="InternetLink"/>
          </w:rPr>
          <w:t>8</w:t>
        </w:r>
      </w:hyperlink>
      <w:r>
        <w:rPr>
          <w:color w:val="000000"/>
        </w:rPr>
        <w:t xml:space="preserve"> </w:t>
      </w:r>
      <w:r>
        <w:rPr>
          <w:rFonts w:ascii="Times New Roman;serif" w:hAnsi="Times New Roman;serif"/>
          <w:b w:val="false"/>
          <w:color w:val="000000"/>
          <w:sz w:val="22"/>
        </w:rPr>
        <w:t>shall be made by an accounting firm or consulting group with experience in performing calculations regarding the</w:t>
      </w:r>
    </w:p>
    <w:p>
      <w:pPr>
        <w:pStyle w:val="TextBody"/>
        <w:bidi w:val="0"/>
        <w:spacing w:lineRule="auto" w:line="288" w:before="0" w:after="0"/>
        <w:jc w:val="left"/>
        <w:rPr/>
      </w:pPr>
      <w:r>
        <w:rPr>
          <w:rFonts w:ascii="Times New Roman;serif" w:hAnsi="Times New Roman;serif"/>
          <w:b w:val="false"/>
          <w:color w:val="000000"/>
          <w:sz w:val="22"/>
        </w:rPr>
        <w:t>applicability of Section 280G of the Code and the Excise Tax selected by the Company (the “</w:t>
      </w:r>
      <w:r>
        <w:rPr>
          <w:rFonts w:ascii="Times New Roman;serif" w:hAnsi="Times New Roman;serif"/>
          <w:b w:val="false"/>
          <w:color w:val="000000"/>
          <w:sz w:val="22"/>
          <w:u w:val="single"/>
        </w:rPr>
        <w:t>Independent</w:t>
      </w:r>
      <w:r>
        <w:rPr>
          <w:color w:val="000000"/>
        </w:rPr>
        <w:t xml:space="preserve"> </w:t>
      </w:r>
      <w:r>
        <w:rPr>
          <w:rFonts w:ascii="Times New Roman;serif" w:hAnsi="Times New Roman;serif"/>
          <w:b w:val="false"/>
          <w:color w:val="000000"/>
          <w:sz w:val="22"/>
          <w:u w:val="single"/>
        </w:rPr>
        <w:t>Advisors</w:t>
      </w:r>
      <w:r>
        <w:rPr>
          <w:color w:val="000000"/>
        </w:rPr>
        <w:t>”</w:t>
      </w:r>
      <w:r>
        <w:rPr>
          <w:rFonts w:ascii="Times New Roman;serif" w:hAnsi="Times New Roman;serif"/>
          <w:b w:val="false"/>
          <w:color w:val="000000"/>
          <w:sz w:val="22"/>
        </w:rPr>
        <w:t>). For purposes of determinations, no portion of the Total Payments shall be taken into account which, in the opinion of the Independent Advisors, (i) does not constitute a “parachute payment” within the meaning of Section 280G(b)(2) of the Code (including by reason of Section 280G(b)(4)(A) of the Code) or (ii) 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pStyle w:val="TextBody"/>
        <w:bidi w:val="0"/>
        <w:spacing w:lineRule="auto" w:line="288" w:before="81" w:after="283"/>
        <w:ind w:left="0" w:right="0" w:firstLine="720"/>
        <w:jc w:val="left"/>
        <w:rPr/>
      </w:pPr>
      <w:r>
        <w:rPr>
          <w:rFonts w:ascii="Times New Roman;serif" w:hAnsi="Times New Roman;serif"/>
          <w:b w:val="false"/>
          <w:color w:val="000000"/>
          <w:sz w:val="22"/>
        </w:rPr>
        <w:t xml:space="preserve">(d)In the event it is later determined that a greater reduction in the Total Payments should have been made to implement the objective and intent of this </w:t>
      </w:r>
      <w:r>
        <w:rPr>
          <w:rFonts w:ascii="Times New Roman;serif" w:hAnsi="Times New Roman;serif"/>
          <w:b w:val="false"/>
          <w:color w:val="000000"/>
          <w:sz w:val="22"/>
          <w:u w:val="single"/>
        </w:rPr>
        <w:t xml:space="preserve">Section </w:t>
      </w:r>
      <w:hyperlink w:anchor="ic5aff4b332244480a6ffe44817848242_4">
        <w:r>
          <w:rPr>
            <w:rStyle w:val="InternetLink"/>
          </w:rPr>
          <w:t>8</w:t>
        </w:r>
      </w:hyperlink>
      <w:r>
        <w:rPr>
          <w:rFonts w:ascii="Times New Roman;serif" w:hAnsi="Times New Roman;serif"/>
          <w:b w:val="false"/>
          <w:color w:val="000000"/>
          <w:sz w:val="22"/>
        </w:rPr>
        <w:t>, the excess amount shall be returned promptly by Executive to the Company.</w:t>
      </w:r>
    </w:p>
    <w:p>
      <w:pPr>
        <w:pStyle w:val="TextBody"/>
        <w:bidi w:val="0"/>
        <w:spacing w:lineRule="auto" w:line="288" w:before="241" w:after="283"/>
        <w:ind w:left="0" w:right="0" w:hanging="720"/>
        <w:jc w:val="left"/>
        <w:rPr/>
      </w:pPr>
      <w:r>
        <w:rPr>
          <w:rFonts w:ascii="Times New Roman;serif" w:hAnsi="Times New Roman;serif"/>
          <w:b/>
          <w:color w:val="000000"/>
          <w:sz w:val="24"/>
        </w:rPr>
        <w:t>9.</w:t>
      </w:r>
      <w:r>
        <w:rPr>
          <w:rFonts w:ascii="Times New Roman;serif" w:hAnsi="Times New Roman;serif"/>
          <w:b/>
          <w:color w:val="000000"/>
          <w:sz w:val="22"/>
          <w:u w:val="single"/>
        </w:rPr>
        <w:t>Miscellaneous Provisions</w:t>
      </w:r>
      <w:r>
        <w:rPr>
          <w:rFonts w:ascii="Times New Roman;serif" w:hAnsi="Times New Roman;serif"/>
          <w:b/>
          <w:color w:val="000000"/>
          <w:sz w:val="22"/>
        </w:rPr>
        <w:t>.</w:t>
      </w:r>
    </w:p>
    <w:p>
      <w:pPr>
        <w:pStyle w:val="TextBody"/>
        <w:bidi w:val="0"/>
        <w:spacing w:lineRule="auto" w:line="288" w:before="232" w:after="283"/>
        <w:ind w:left="0" w:right="0" w:firstLine="72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Agreement shall be governed, construed, interpreted and enforced in accordance with its express terms, and otherwise in accordance with the substantive laws of the Commonwealth of Massachusetts without reference to the principles of conflicts of law of the Commonwealth of Massachusetts or any other jurisdiction that would result in the application of the laws of a jurisdiction other than the Commonwealth of Massachusetts, and where applicable, the laws of the United States.</w:t>
      </w:r>
    </w:p>
    <w:p>
      <w:pPr>
        <w:pStyle w:val="TextBody"/>
        <w:bidi w:val="0"/>
        <w:spacing w:lineRule="auto" w:line="288" w:before="244" w:after="283"/>
        <w:ind w:left="0" w:right="0" w:firstLine="72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Validity</w:t>
      </w:r>
      <w:r>
        <w:rPr>
          <w:rFonts w:ascii="Times New Roman;serif" w:hAnsi="Times New Roman;serif"/>
          <w:b w:val="false"/>
          <w:color w:val="000000"/>
          <w:sz w:val="22"/>
        </w:rPr>
        <w:t>. The invalidity or unenforceability of any provision or provisions of this Agreement shall not affect the validity or enforceability of any other provision of this Agreement, which shall remain in full force and effect.</w:t>
      </w:r>
    </w:p>
    <w:p>
      <w:pPr>
        <w:pStyle w:val="TextBody"/>
        <w:bidi w:val="0"/>
        <w:spacing w:lineRule="auto" w:line="288" w:before="240" w:after="283"/>
        <w:ind w:left="0" w:right="0" w:firstLine="720"/>
        <w:jc w:val="left"/>
        <w:rPr/>
      </w:pPr>
      <w:r>
        <w:rPr>
          <w:rFonts w:ascii="Times New Roman;serif" w:hAnsi="Times New Roman;serif"/>
          <w:b w:val="false"/>
          <w:color w:val="000000"/>
          <w:sz w:val="22"/>
        </w:rPr>
        <w:t>(c)</w:t>
      </w:r>
      <w:r>
        <w:rPr>
          <w:rFonts w:ascii="Times New Roman;serif" w:hAnsi="Times New Roman;serif"/>
          <w:b w:val="false"/>
          <w:color w:val="000000"/>
          <w:sz w:val="22"/>
          <w:u w:val="single"/>
        </w:rPr>
        <w:t>Notices</w:t>
      </w:r>
      <w:r>
        <w:rPr>
          <w:rFonts w:ascii="Times New Roman;serif" w:hAnsi="Times New Roman;serif"/>
          <w:b w:val="false"/>
          <w:color w:val="000000"/>
          <w:sz w:val="22"/>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(i)If to the Company, to the General Counsel of the Company at the Company’s headquarters,</w:t>
      </w:r>
    </w:p>
    <w:p>
      <w:pPr>
        <w:pStyle w:val="TextBody"/>
        <w:bidi w:val="0"/>
        <w:spacing w:lineRule="auto" w:line="288" w:before="238"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(ii)If to Executive, to the last address that the Company has in its personnel records for Executive, or</w:t>
      </w:r>
    </w:p>
    <w:p>
      <w:pPr>
        <w:pStyle w:val="TextBody"/>
        <w:bidi w:val="0"/>
        <w:spacing w:lineRule="auto" w:line="288" w:before="243"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(iii)At any other address as any Party shall have specified by notice in writing to the other Party.</w:t>
      </w:r>
    </w:p>
    <w:p>
      <w:pPr>
        <w:pStyle w:val="TextBody"/>
        <w:bidi w:val="0"/>
        <w:spacing w:lineRule="auto" w:line="288" w:before="238" w:after="283"/>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pPr>
      <w:r>
        <w:rPr>
          <w:rFonts w:ascii="Times New Roman;serif" w:hAnsi="Times New Roman;serif"/>
          <w:b w:val="false"/>
          <w:color w:val="000000"/>
          <w:sz w:val="22"/>
        </w:rPr>
        <w:t>(e)</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xml:space="preserve">. The terms of this Agreement, and the Restrictive Covenant Agreement incorporated herein by reference as set forth in </w:t>
      </w:r>
      <w:r>
        <w:rPr>
          <w:rFonts w:ascii="Times New Roman;serif" w:hAnsi="Times New Roman;serif"/>
          <w:b w:val="false"/>
          <w:color w:val="000000"/>
          <w:sz w:val="22"/>
          <w:u w:val="single"/>
        </w:rPr>
        <w:t xml:space="preserve">Section </w:t>
      </w:r>
      <w:hyperlink w:anchor="ic5aff4b332244480a6ffe44817848242_4">
        <w:r>
          <w:rPr>
            <w:rStyle w:val="InternetLink"/>
          </w:rPr>
          <w:t>5</w:t>
        </w:r>
      </w:hyperlink>
      <w:r>
        <w:rPr>
          <w:rFonts w:ascii="Times New Roman;serif" w:hAnsi="Times New Roman;serif"/>
          <w:b w:val="false"/>
          <w:color w:val="000000"/>
          <w:sz w:val="22"/>
        </w:rPr>
        <w:t>, are intended by the Parties to be the final expression of their agreement with respect to the subject matter hereof and supersede all prior understandings and agreements, whether written or oral, including any prior employment offer letter or employment agreement between Executive and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pStyle w:val="TextBody"/>
        <w:bidi w:val="0"/>
        <w:spacing w:lineRule="auto" w:line="288" w:before="238" w:after="283"/>
        <w:ind w:left="0" w:right="0" w:firstLine="720"/>
        <w:jc w:val="left"/>
        <w:rPr/>
      </w:pPr>
      <w:r>
        <w:rPr>
          <w:rFonts w:ascii="Times New Roman;serif" w:hAnsi="Times New Roman;serif"/>
          <w:b w:val="false"/>
          <w:color w:val="000000"/>
          <w:sz w:val="22"/>
          <w:u w:val="single"/>
        </w:rPr>
        <w:t>Amendments; Waivers</w:t>
      </w:r>
      <w:r>
        <w:rPr>
          <w:rFonts w:ascii="Times New Roman;serif" w:hAnsi="Times New Roman;serif"/>
          <w:b w:val="false"/>
          <w:color w:val="000000"/>
          <w:sz w:val="22"/>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such waiver shall not operate as a waiver of, or estoppel with respect to, any other or subsequent failure. No failure to exercise and no delay in exercising any right, remedy, or power hereunder will preclude any other or further exercise of any other right, remedy, or power provided herein or by law or in equity.</w:t>
      </w:r>
    </w:p>
    <w:p>
      <w:pPr>
        <w:pStyle w:val="TextBody"/>
        <w:bidi w:val="0"/>
        <w:spacing w:lineRule="auto" w:line="288" w:before="238" w:after="283"/>
        <w:ind w:left="0" w:right="0" w:firstLine="720"/>
        <w:jc w:val="left"/>
        <w:rPr/>
      </w:pPr>
      <w:r>
        <w:rPr>
          <w:rFonts w:ascii="Times New Roman;serif" w:hAnsi="Times New Roman;serif"/>
          <w:b w:val="false"/>
          <w:color w:val="000000"/>
          <w:sz w:val="22"/>
        </w:rPr>
        <w:t>(f)</w:t>
      </w:r>
      <w:r>
        <w:rPr>
          <w:rFonts w:ascii="Times New Roman;serif" w:hAnsi="Times New Roman;serif"/>
          <w:b w:val="false"/>
          <w:color w:val="000000"/>
          <w:sz w:val="22"/>
          <w:u w:val="single"/>
        </w:rPr>
        <w:t>Construction</w:t>
      </w:r>
      <w:r>
        <w:rPr>
          <w:rFonts w:ascii="Times New Roman;serif" w:hAnsi="Times New Roman;serif"/>
          <w:b w:val="false"/>
          <w:color w:val="000000"/>
          <w:sz w:val="22"/>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w:t>
      </w:r>
    </w:p>
    <w:p>
      <w:pPr>
        <w:pStyle w:val="TextBody"/>
        <w:bidi w:val="0"/>
        <w:spacing w:lineRule="atLeast" w:line="253" w:before="0" w:after="0"/>
        <w:jc w:val="left"/>
        <w:rPr>
          <w:rFonts w:ascii="Times New Roman;serif" w:hAnsi="Times New Roman;serif"/>
          <w:b w:val="false"/>
          <w:color w:val="000000"/>
          <w:sz w:val="22"/>
        </w:rPr>
      </w:pPr>
      <w:r>
        <w:rPr>
          <w:rFonts w:ascii="Times New Roman;serif" w:hAnsi="Times New Roman;serif"/>
          <w:b w:val="false"/>
          <w:color w:val="000000"/>
          <w:sz w:val="22"/>
        </w:rPr>
        <w:t>includes the singular and the singular includes the plural; (ii) “and” and “or” are each used both</w:t>
      </w:r>
    </w:p>
    <w:p>
      <w:pPr>
        <w:pStyle w:val="TextBody"/>
        <w:bidi w:val="0"/>
        <w:spacing w:lineRule="auto" w:line="288" w:before="2" w:after="283"/>
        <w:jc w:val="left"/>
        <w:rPr>
          <w:rFonts w:ascii="Times New Roman;serif" w:hAnsi="Times New Roman;serif"/>
          <w:b w:val="false"/>
          <w:color w:val="000000"/>
          <w:sz w:val="22"/>
        </w:rPr>
      </w:pPr>
      <w:r>
        <w:rPr>
          <w:rFonts w:ascii="Times New Roman;serif" w:hAnsi="Times New Roman;serif"/>
          <w:b w:val="false"/>
          <w:color w:val="000000"/>
          <w:sz w:val="22"/>
        </w:rPr>
        <w:t>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39" w:after="283"/>
        <w:ind w:left="0" w:right="0" w:firstLine="720"/>
        <w:jc w:val="left"/>
        <w:rPr/>
      </w:pPr>
      <w:r>
        <w:rPr>
          <w:rFonts w:ascii="Times New Roman;serif" w:hAnsi="Times New Roman;serif"/>
          <w:b w:val="false"/>
          <w:color w:val="000000"/>
          <w:sz w:val="22"/>
        </w:rPr>
        <w:t>(g)</w:t>
      </w:r>
      <w:r>
        <w:rPr>
          <w:rFonts w:ascii="Times New Roman;serif" w:hAnsi="Times New Roman;serif"/>
          <w:b w:val="false"/>
          <w:color w:val="000000"/>
          <w:sz w:val="22"/>
          <w:u w:val="single"/>
        </w:rPr>
        <w:t>Arbitration</w:t>
      </w:r>
      <w:r>
        <w:rPr>
          <w:rFonts w:ascii="Times New Roman;serif" w:hAnsi="Times New Roman;serif"/>
          <w:b w:val="false"/>
          <w:color w:val="000000"/>
          <w:sz w:val="22"/>
        </w:rPr>
        <w:t>. Any controversy, claim or dispute arising out of or relating to this Agreement, shall be settled solely and exclusively by a binding arbitration process administered by JAMS/Endispute in Boston, Massachusetts. Such arbitration shall be conducted in accordance with the then-existing JAMS/Endispute Rules of Practice and Procedure, with the following exceptions if in conflict: (i) one arbitrator who is a retired judge shall be chosen by JAMS/Endispute; (ii) each Party to the arbitration will pay one-half of the expenses and fees of the arbitrator, together with other expenses of the arbitration incurred or approved by the arbitrator; and (iii) arbitration may proceed in the absence of any Party if written notice (pursuant to the JAMS/Endispute rules and regulations) of the proceedings has been given to such Party. Each Party shall bear its own attorney’s fees and expenses; provided that the arbitrator may assess the prevailing Party’s fees and costs against the non-prevailing Party as part of the arbitrator’s award. The Parties agree to abide by all decisions and awards rendered in such proceedings. Such decisions and awards rendered by the arbitrator shall be final and conclusive. All such controversies, claims or disputes shall be settled in this manner in lieu of any action at law or equity; provided, however, that nothing in this subsection shall be construed as precluding the bringing of an action for injunctive relief or specific performance as provided in this Agreement or the Restrictive Covenant Agreement. This dispute resolution process and any arbitration hereunder shall be confidential and neither any Party nor the neutral arbitrator shall disclose the existence, contents or results of such process without the prior written consent of all Parties, except where necessary or compelled in a court to enforce this arbitration provision or an award from such arbitration or otherwise in a legal proceeding. If JAMS/Endispute no longer exists or is otherwise unavailable, the Parties agree that the American</w:t>
      </w:r>
    </w:p>
    <w:p>
      <w:pPr>
        <w:pStyle w:val="TextBody"/>
        <w:bidi w:val="0"/>
        <w:spacing w:lineRule="auto" w:line="288" w:before="1" w:after="283"/>
        <w:jc w:val="left"/>
        <w:rPr/>
      </w:pPr>
      <w:r>
        <w:rPr>
          <w:rFonts w:ascii="Times New Roman;serif" w:hAnsi="Times New Roman;serif"/>
          <w:b w:val="false"/>
          <w:color w:val="000000"/>
          <w:sz w:val="22"/>
        </w:rPr>
        <w:t>Arbitration Association (“</w:t>
      </w:r>
      <w:r>
        <w:rPr>
          <w:rFonts w:ascii="Times New Roman;serif" w:hAnsi="Times New Roman;serif"/>
          <w:b w:val="false"/>
          <w:color w:val="000000"/>
          <w:sz w:val="22"/>
          <w:u w:val="single"/>
        </w:rPr>
        <w:t>AAA</w:t>
      </w:r>
      <w:r>
        <w:rPr>
          <w:color w:val="000000"/>
        </w:rPr>
        <w:t>”</w:t>
      </w:r>
      <w:r>
        <w:rPr>
          <w:rFonts w:ascii="Times New Roman;serif" w:hAnsi="Times New Roman;serif"/>
          <w:b w:val="false"/>
          <w:color w:val="000000"/>
          <w:sz w:val="22"/>
        </w:rPr>
        <w:t>) shall administer the arbitration in accordance with its then-existing rules as modified by this subsection. In such event, all references herein to JAMS/Endispute shall mean AAA. Notwithstanding the foregoing, Executive and the Company each have the right to resolve any issue or dispute over intellectual property rights by court action instead of arbitration.</w:t>
      </w:r>
    </w:p>
    <w:p>
      <w:pPr>
        <w:pStyle w:val="TextBody"/>
        <w:bidi w:val="0"/>
        <w:spacing w:lineRule="auto" w:line="288" w:before="238" w:after="283"/>
        <w:ind w:left="0" w:right="0" w:firstLine="720"/>
        <w:jc w:val="left"/>
        <w:rPr/>
      </w:pPr>
      <w:r>
        <w:rPr>
          <w:rFonts w:ascii="Times New Roman;serif" w:hAnsi="Times New Roman;serif"/>
          <w:b w:val="false"/>
          <w:color w:val="000000"/>
          <w:sz w:val="22"/>
          <w:u w:val="single"/>
        </w:rPr>
        <w:t>Enforcement</w:t>
      </w:r>
      <w:r>
        <w:rPr>
          <w:rFonts w:ascii="Times New Roman;serif" w:hAnsi="Times New Roman;serif"/>
          <w:b w:val="false"/>
          <w:color w:val="000000"/>
          <w:sz w:val="22"/>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pStyle w:val="TextBody"/>
        <w:bidi w:val="0"/>
        <w:spacing w:lineRule="auto" w:line="280" w:before="238" w:after="283"/>
        <w:ind w:left="0" w:right="0" w:firstLine="720"/>
        <w:jc w:val="left"/>
        <w:rPr/>
      </w:pPr>
      <w:r>
        <w:rPr>
          <w:rFonts w:ascii="Times New Roman;serif" w:hAnsi="Times New Roman;serif"/>
          <w:b w:val="false"/>
          <w:color w:val="000000"/>
          <w:sz w:val="22"/>
        </w:rPr>
        <w:t>(h)</w:t>
      </w:r>
      <w:r>
        <w:rPr>
          <w:rFonts w:ascii="Times New Roman;serif" w:hAnsi="Times New Roman;serif"/>
          <w:b w:val="false"/>
          <w:color w:val="000000"/>
          <w:sz w:val="22"/>
          <w:u w:val="single"/>
        </w:rPr>
        <w:t>Withholding</w:t>
      </w:r>
      <w:r>
        <w:rPr>
          <w:rFonts w:ascii="Times New Roman;serif" w:hAnsi="Times New Roman;serif"/>
          <w:b w:val="false"/>
          <w:color w:val="000000"/>
          <w:sz w:val="22"/>
        </w:rPr>
        <w:t>. The Company shall be entitled to withhold from any amounts payable under this Agreement any federal, state, local or foreign withholding or other taxes or charges which the Company is required to withhold. The Company shall be entitled to rely on the advice of counsel if any questions as to the amount or requirement of withholding shall arise.</w:t>
      </w:r>
    </w:p>
    <w:p>
      <w:pPr>
        <w:pStyle w:val="TextBody"/>
        <w:bidi w:val="0"/>
        <w:spacing w:lineRule="auto" w:line="288" w:before="231" w:after="283"/>
        <w:ind w:left="0" w:right="0" w:hanging="719"/>
        <w:jc w:val="left"/>
        <w:rPr/>
      </w:pPr>
      <w:r>
        <w:rPr>
          <w:rFonts w:ascii="Times New Roman;serif" w:hAnsi="Times New Roman;serif"/>
          <w:b w:val="false"/>
          <w:color w:val="000000"/>
          <w:sz w:val="22"/>
        </w:rPr>
        <w:t>(i)</w:t>
      </w:r>
      <w:r>
        <w:rPr>
          <w:rFonts w:ascii="Times New Roman;serif" w:hAnsi="Times New Roman;serif"/>
          <w:b w:val="false"/>
          <w:color w:val="000000"/>
          <w:sz w:val="22"/>
          <w:u w:val="single"/>
        </w:rPr>
        <w:t>Section 409A</w:t>
      </w:r>
      <w:r>
        <w:rPr>
          <w:rFonts w:ascii="Times New Roman;serif" w:hAnsi="Times New Roman;serif"/>
          <w:b w:val="false"/>
          <w:color w:val="000000"/>
          <w:sz w:val="22"/>
        </w:rPr>
        <w:t>.</w:t>
      </w:r>
    </w:p>
    <w:p>
      <w:pPr>
        <w:pStyle w:val="TextBody"/>
        <w:bidi w:val="0"/>
        <w:spacing w:lineRule="auto" w:line="288" w:before="242" w:after="283"/>
        <w:ind w:left="0" w:right="0" w:firstLine="720"/>
        <w:jc w:val="left"/>
        <w:rPr/>
      </w:pPr>
      <w:r>
        <w:rPr>
          <w:rFonts w:ascii="Times New Roman;serif" w:hAnsi="Times New Roman;serif"/>
          <w:b w:val="false"/>
          <w:color w:val="000000"/>
          <w:sz w:val="22"/>
        </w:rPr>
        <w:t>(i)</w:t>
      </w:r>
      <w:r>
        <w:rPr>
          <w:rFonts w:ascii="Times New Roman;serif" w:hAnsi="Times New Roman;serif"/>
          <w:b w:val="false"/>
          <w:i/>
          <w:color w:val="000000"/>
          <w:sz w:val="22"/>
        </w:rPr>
        <w:t xml:space="preserve">General. </w:t>
      </w:r>
      <w:r>
        <w:rPr>
          <w:rFonts w:ascii="Times New Roman;serif" w:hAnsi="Times New Roman;serif"/>
          <w:b w:val="false"/>
          <w:color w:val="000000"/>
          <w:sz w:val="22"/>
        </w:rPr>
        <w:t>The intent of the Parties is that the payments and benefits under this Agreement comply with or be exempt from Section 409A and, accordingly, to the maximum extent permitted, this Agreement shall be interpreted to be in compliance therewith.</w:t>
      </w:r>
    </w:p>
    <w:p>
      <w:pPr>
        <w:pStyle w:val="TextBody"/>
        <w:bidi w:val="0"/>
        <w:spacing w:lineRule="auto" w:line="288" w:before="240" w:after="283"/>
        <w:ind w:left="0" w:right="0" w:firstLine="720"/>
        <w:jc w:val="left"/>
        <w:rPr/>
      </w:pPr>
      <w:r>
        <w:rPr>
          <w:rFonts w:ascii="Times New Roman;serif" w:hAnsi="Times New Roman;serif"/>
          <w:b w:val="false"/>
          <w:color w:val="000000"/>
          <w:sz w:val="22"/>
        </w:rPr>
        <w:t>(ii)</w:t>
      </w:r>
      <w:r>
        <w:rPr>
          <w:rFonts w:ascii="Times New Roman;serif" w:hAnsi="Times New Roman;serif"/>
          <w:b w:val="false"/>
          <w:i/>
          <w:color w:val="000000"/>
          <w:sz w:val="22"/>
        </w:rPr>
        <w:t xml:space="preserve">Separation from Service. </w:t>
      </w:r>
      <w:r>
        <w:rPr>
          <w:rFonts w:ascii="Times New Roman;serif" w:hAnsi="Times New Roman;serif"/>
          <w:b w:val="false"/>
          <w:color w:val="000000"/>
          <w:sz w:val="22"/>
        </w:rPr>
        <w:t>Notwithstanding anything in this Agreement to the contrary, any compensation or benefits payable under this Agreement that is designated under this Agreement as payable upon Executive’s termination of employment shall be payable only upon</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2"/>
        </w:rPr>
        <w:t>Executive’s “separation from service” with the Company within the meaning of Section 409A (a “</w:t>
      </w:r>
      <w:r>
        <w:rPr>
          <w:rFonts w:ascii="Times New Roman;serif" w:hAnsi="Times New Roman;serif"/>
          <w:b w:val="false"/>
          <w:color w:val="000000"/>
          <w:sz w:val="22"/>
          <w:u w:val="single"/>
        </w:rPr>
        <w:t>Separation from Service</w:t>
      </w:r>
      <w:r>
        <w:rPr>
          <w:color w:val="000000"/>
        </w:rPr>
        <w:t>”</w:t>
      </w:r>
      <w:r>
        <w:rPr>
          <w:rFonts w:ascii="Times New Roman;serif" w:hAnsi="Times New Roman;serif"/>
          <w:b w:val="false"/>
          <w:color w:val="000000"/>
          <w:sz w:val="22"/>
        </w:rPr>
        <w:t xml:space="preserve">) and, except as provided below, any such compensation or benefits described in </w:t>
      </w:r>
      <w:r>
        <w:rPr>
          <w:rFonts w:ascii="Times New Roman;serif" w:hAnsi="Times New Roman;serif"/>
          <w:b w:val="false"/>
          <w:color w:val="000000"/>
          <w:sz w:val="22"/>
          <w:u w:val="single"/>
        </w:rPr>
        <w:t xml:space="preserve">Section </w:t>
      </w:r>
      <w:hyperlink w:anchor="ic5aff4b332244480a6ffe44817848242_4">
        <w:r>
          <w:rPr>
            <w:rStyle w:val="InternetLink"/>
          </w:rPr>
          <w:t>4</w:t>
        </w:r>
      </w:hyperlink>
      <w:r>
        <w:rPr>
          <w:color w:val="000000"/>
        </w:rPr>
        <w:t xml:space="preserve"> </w:t>
      </w:r>
      <w:r>
        <w:rPr>
          <w:rFonts w:ascii="Times New Roman;serif" w:hAnsi="Times New Roman;serif"/>
          <w:b w:val="false"/>
          <w:color w:val="000000"/>
          <w:sz w:val="22"/>
        </w:rPr>
        <w:t>shall not be paid, or, in the case of installments, shall not commence</w:t>
      </w:r>
    </w:p>
    <w:p>
      <w:pPr>
        <w:pStyle w:val="TextBody"/>
        <w:bidi w:val="0"/>
        <w:spacing w:lineRule="auto" w:line="288" w:before="0" w:after="0"/>
        <w:jc w:val="left"/>
        <w:rPr/>
      </w:pPr>
      <w:r>
        <w:rPr>
          <w:rFonts w:ascii="Times New Roman;serif" w:hAnsi="Times New Roman;serif"/>
          <w:b w:val="false"/>
          <w:color w:val="000000"/>
          <w:sz w:val="22"/>
        </w:rPr>
        <w:t>payment, until the thirtieth (30th) day following Executive’s Separation from Service (the “</w:t>
      </w:r>
      <w:r>
        <w:rPr>
          <w:rFonts w:ascii="Times New Roman;serif" w:hAnsi="Times New Roman;serif"/>
          <w:b w:val="false"/>
          <w:color w:val="000000"/>
          <w:sz w:val="22"/>
          <w:u w:val="single"/>
        </w:rPr>
        <w:t>First</w:t>
      </w:r>
      <w:r>
        <w:rPr>
          <w:color w:val="000000"/>
        </w:rPr>
        <w:t xml:space="preserve"> </w:t>
      </w:r>
      <w:r>
        <w:rPr>
          <w:rFonts w:ascii="Times New Roman;serif" w:hAnsi="Times New Roman;serif"/>
          <w:b w:val="false"/>
          <w:color w:val="000000"/>
          <w:sz w:val="22"/>
          <w:u w:val="single"/>
        </w:rPr>
        <w:t>Payment Date</w:t>
      </w:r>
      <w:r>
        <w:rPr>
          <w:color w:val="000000"/>
        </w:rPr>
        <w:t>”</w:t>
      </w:r>
      <w:r>
        <w:rPr>
          <w:rFonts w:ascii="Times New Roman;serif" w:hAnsi="Times New Roman;serif"/>
          <w:b w:val="false"/>
          <w:color w:val="000000"/>
          <w:sz w:val="22"/>
        </w:rPr>
        <w:t>). Any installment payments that would have been made to Executive during the thirty (30) day period immediately following Executive’s Separation from Service but for the preceding sentence shall be paid to Executive on the First Payment Date and the remaining payments shall be made as provided in this Agreement.</w:t>
      </w:r>
    </w:p>
    <w:p>
      <w:pPr>
        <w:pStyle w:val="TextBody"/>
        <w:bidi w:val="0"/>
        <w:spacing w:lineRule="auto" w:line="288" w:before="237" w:after="283"/>
        <w:ind w:left="0" w:right="0" w:hanging="720"/>
        <w:jc w:val="left"/>
        <w:rPr/>
      </w:pPr>
      <w:r>
        <w:rPr>
          <w:rFonts w:ascii="Times New Roman;serif" w:hAnsi="Times New Roman;serif"/>
          <w:b w:val="false"/>
          <w:color w:val="000000"/>
          <w:sz w:val="22"/>
        </w:rPr>
        <w:t>(iii)</w:t>
      </w:r>
      <w:r>
        <w:rPr>
          <w:rFonts w:ascii="Times New Roman;serif" w:hAnsi="Times New Roman;serif"/>
          <w:b w:val="false"/>
          <w:i/>
          <w:color w:val="000000"/>
          <w:sz w:val="22"/>
        </w:rPr>
        <w:t xml:space="preserve">Specified Employee. </w:t>
      </w:r>
      <w:r>
        <w:rPr>
          <w:rFonts w:ascii="Times New Roman;serif" w:hAnsi="Times New Roman;serif"/>
          <w:b w:val="false"/>
          <w:color w:val="000000"/>
          <w:sz w:val="22"/>
        </w:rPr>
        <w:t>Notwithstanding anything in this Agreement to the</w:t>
      </w:r>
    </w:p>
    <w:p>
      <w:pPr>
        <w:pStyle w:val="TextBody"/>
        <w:bidi w:val="0"/>
        <w:spacing w:lineRule="auto" w:line="288" w:before="2" w:after="283"/>
        <w:jc w:val="left"/>
        <w:rPr>
          <w:rFonts w:ascii="Times New Roman;serif" w:hAnsi="Times New Roman;serif"/>
          <w:b w:val="false"/>
          <w:color w:val="000000"/>
          <w:sz w:val="22"/>
        </w:rPr>
      </w:pPr>
      <w:r>
        <w:rPr>
          <w:rFonts w:ascii="Times New Roman;serif" w:hAnsi="Times New Roman;serif"/>
          <w:b w:val="false"/>
          <w:color w:val="000000"/>
          <w:sz w:val="22"/>
        </w:rPr>
        <w:t>contrary, if Executive is deemed by the Company at the time of Executive’s Separation from Service to be a “specified employee” for purposes of Section 409A, to the extent delayed</w:t>
      </w:r>
    </w:p>
    <w:p>
      <w:pPr>
        <w:pStyle w:val="TextBody"/>
        <w:bidi w:val="0"/>
        <w:spacing w:lineRule="auto" w:line="276" w:before="5" w:after="283"/>
        <w:jc w:val="left"/>
        <w:rPr>
          <w:rFonts w:ascii="Times New Roman;serif" w:hAnsi="Times New Roman;serif"/>
          <w:b w:val="false"/>
          <w:color w:val="000000"/>
          <w:sz w:val="22"/>
        </w:rPr>
      </w:pPr>
      <w:r>
        <w:rPr>
          <w:rFonts w:ascii="Times New Roman;serif" w:hAnsi="Times New Roman;serif"/>
          <w:b w:val="false"/>
          <w:color w:val="000000"/>
          <w:sz w:val="22"/>
        </w:rPr>
        <w:t>commencement of any portion of the benefits to which Executive is entitled under this Agreement is required in order to avoid a prohibited distribution under Section 409A, such portion of</w:t>
      </w:r>
    </w:p>
    <w:p>
      <w:pPr>
        <w:pStyle w:val="TextBody"/>
        <w:bidi w:val="0"/>
        <w:spacing w:lineRule="auto" w:line="288" w:before="1" w:after="283"/>
        <w:jc w:val="left"/>
        <w:rPr>
          <w:rFonts w:ascii="Times New Roman;serif" w:hAnsi="Times New Roman;serif"/>
          <w:b w:val="false"/>
          <w:color w:val="000000"/>
          <w:sz w:val="22"/>
        </w:rPr>
      </w:pPr>
      <w:r>
        <w:rPr>
          <w:rFonts w:ascii="Times New Roman;serif" w:hAnsi="Times New Roman;serif"/>
          <w:b w:val="false"/>
          <w:color w:val="000000"/>
          <w:sz w:val="22"/>
        </w:rPr>
        <w:t>Executive’s benefits shall not be provided to Executive prior to the earlier of (i) the expiration of the six-month period measured from the date of Executive’s Separation from Service with the Company or (ii) the date of Executive’s death. Upon the first business day following the</w:t>
      </w:r>
    </w:p>
    <w:p>
      <w:pPr>
        <w:pStyle w:val="TextBody"/>
        <w:bidi w:val="0"/>
        <w:spacing w:lineRule="auto" w:line="280" w:before="0" w:after="0"/>
        <w:jc w:val="left"/>
        <w:rPr>
          <w:rFonts w:ascii="Times New Roman;serif" w:hAnsi="Times New Roman;serif"/>
          <w:b w:val="false"/>
          <w:color w:val="000000"/>
          <w:sz w:val="22"/>
        </w:rPr>
      </w:pPr>
      <w:r>
        <w:rPr>
          <w:rFonts w:ascii="Times New Roman;serif" w:hAnsi="Times New Roman;serif"/>
          <w:b w:val="false"/>
          <w:color w:val="000000"/>
          <w:sz w:val="22"/>
        </w:rPr>
        <w:t>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pStyle w:val="TextBody"/>
        <w:bidi w:val="0"/>
        <w:spacing w:lineRule="auto" w:line="288" w:before="231" w:after="283"/>
        <w:ind w:left="0" w:right="0" w:firstLine="720"/>
        <w:jc w:val="left"/>
        <w:rPr/>
      </w:pPr>
      <w:r>
        <w:rPr>
          <w:rFonts w:ascii="Times New Roman;serif" w:hAnsi="Times New Roman;serif"/>
          <w:b w:val="false"/>
          <w:color w:val="000000"/>
          <w:sz w:val="22"/>
        </w:rPr>
        <w:t>(iv)</w:t>
      </w:r>
      <w:r>
        <w:rPr>
          <w:rFonts w:ascii="Times New Roman;serif" w:hAnsi="Times New Roman;serif"/>
          <w:b w:val="false"/>
          <w:i/>
          <w:color w:val="000000"/>
          <w:sz w:val="22"/>
        </w:rPr>
        <w:t xml:space="preserve">Expense Reimbursements. </w:t>
      </w:r>
      <w:r>
        <w:rPr>
          <w:rFonts w:ascii="Times New Roman;serif" w:hAnsi="Times New Roman;serif"/>
          <w:b w:val="false"/>
          <w:color w:val="000000"/>
          <w:sz w:val="22"/>
        </w:rPr>
        <w:t>To the extent that any reimbursements under this Agreement are subject to Section 409A, (A) any such reimbursements payable to Executive shall be paid to Executive no later than December 31 of the year following the year in which the expense was incurred, (B) Executive shall submit Executive’s reimbursement request promptly following the date the expense is incurred, (C) the amount of expenses reimbursed in one year shall not affect the amount eligible for reimbursement in any subsequent year, other than medical expenses referred to in Section 105(b) of the Code, and (D) Executive’s right to reimbursement under this Agreement will not be subject to liquidation or exchange for another benefit.</w:t>
      </w:r>
    </w:p>
    <w:p>
      <w:pPr>
        <w:pStyle w:val="TextBody"/>
        <w:bidi w:val="0"/>
        <w:spacing w:lineRule="auto" w:line="276" w:before="238" w:after="283"/>
        <w:ind w:left="0" w:right="0" w:firstLine="720"/>
        <w:jc w:val="left"/>
        <w:rPr/>
      </w:pPr>
      <w:r>
        <w:rPr>
          <w:rFonts w:ascii="Times New Roman;serif" w:hAnsi="Times New Roman;serif"/>
          <w:b w:val="false"/>
          <w:i/>
          <w:color w:val="000000"/>
          <w:sz w:val="22"/>
        </w:rPr>
        <w:t xml:space="preserve">Installments. </w:t>
      </w:r>
      <w:r>
        <w:rPr>
          <w:rFonts w:ascii="Times New Roman;serif" w:hAnsi="Times New Roman;serif"/>
          <w:b w:val="false"/>
          <w:color w:val="000000"/>
          <w:sz w:val="22"/>
        </w:rPr>
        <w:t>Executive’s right to receive any installment payments under this Agreement, including without limitation any continuation 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pStyle w:val="TextBody"/>
        <w:bidi w:val="0"/>
        <w:spacing w:lineRule="auto" w:line="288" w:before="244" w:after="283"/>
        <w:ind w:left="0" w:right="0" w:hanging="720"/>
        <w:jc w:val="left"/>
        <w:rPr/>
      </w:pPr>
      <w:r>
        <w:rPr>
          <w:rFonts w:ascii="Times New Roman;serif" w:hAnsi="Times New Roman;serif"/>
          <w:b/>
          <w:color w:val="000000"/>
          <w:sz w:val="24"/>
        </w:rPr>
        <w:t>10.</w:t>
      </w:r>
      <w:r>
        <w:rPr>
          <w:rFonts w:ascii="Times New Roman;serif" w:hAnsi="Times New Roman;serif"/>
          <w:b/>
          <w:color w:val="000000"/>
          <w:sz w:val="22"/>
          <w:u w:val="single"/>
        </w:rPr>
        <w:t>Executive Acknowledgement</w:t>
      </w:r>
      <w:r>
        <w:rPr>
          <w:rFonts w:ascii="Times New Roman;serif" w:hAnsi="Times New Roman;serif"/>
          <w:b/>
          <w:color w:val="000000"/>
          <w:sz w:val="22"/>
        </w:rPr>
        <w:t>.</w:t>
      </w:r>
    </w:p>
    <w:p>
      <w:pPr>
        <w:pStyle w:val="TextBody"/>
        <w:bidi w:val="0"/>
        <w:spacing w:lineRule="auto" w:line="288" w:before="232"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Executive’s own judgment.</w:t>
      </w:r>
    </w:p>
    <w:p>
      <w:pPr>
        <w:pStyle w:val="TextBody"/>
        <w:bidi w:val="0"/>
        <w:spacing w:lineRule="auto" w:line="288" w:before="241" w:after="283"/>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Follows</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1"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have executed this Agreement on the date and year first above written.</w:t>
      </w:r>
    </w:p>
    <w:p>
      <w:pPr>
        <w:pStyle w:val="TextBody"/>
        <w:bidi w:val="0"/>
        <w:spacing w:lineRule="auto" w:line="288" w:before="238" w:after="283"/>
        <w:jc w:val="left"/>
        <w:rPr>
          <w:rFonts w:ascii="Times New Roman;serif" w:hAnsi="Times New Roman;serif"/>
          <w:b/>
          <w:color w:val="000000"/>
          <w:sz w:val="22"/>
        </w:rPr>
      </w:pPr>
      <w:r>
        <w:rPr>
          <w:rFonts w:ascii="Times New Roman;serif" w:hAnsi="Times New Roman;serif"/>
          <w:b/>
          <w:color w:val="000000"/>
          <w:sz w:val="22"/>
        </w:rPr>
        <w:t>IMMUNEERING CORPORATION</w:t>
      </w:r>
    </w:p>
    <w:p>
      <w:pPr>
        <w:pStyle w:val="TextBody"/>
        <w:bidi w:val="0"/>
        <w:spacing w:lineRule="auto" w:line="288" w:before="242" w:after="283"/>
        <w:ind w:left="0" w:right="0" w:hanging="360"/>
        <w:jc w:val="left"/>
        <w:rPr/>
      </w:pPr>
      <w:r>
        <w:rPr>
          <w:rFonts w:ascii="Times New Roman;serif" w:hAnsi="Times New Roman;serif"/>
          <w:b w:val="false"/>
          <w:color w:val="000000"/>
          <w:sz w:val="22"/>
        </w:rPr>
        <w:t>By:    /s/ Ben Zeskind</w:t>
      </w:r>
      <w:r>
        <w:rPr>
          <w:rFonts w:ascii="Times New Roman;serif" w:hAnsi="Times New Roman;serif"/>
          <w:b w:val="false"/>
          <w:color w:val="000000"/>
          <w:sz w:val="22"/>
          <w:u w:val="single"/>
        </w:rPr>
        <w:br/>
      </w:r>
      <w:r>
        <w:rPr>
          <w:rFonts w:ascii="Times New Roman;serif" w:hAnsi="Times New Roman;serif"/>
          <w:b w:val="false"/>
          <w:color w:val="000000"/>
          <w:sz w:val="22"/>
        </w:rPr>
        <w:t>Name: Ben Zeskind</w:t>
      </w:r>
    </w:p>
    <w:p>
      <w:pPr>
        <w:pStyle w:val="TextBody"/>
        <w:bidi w:val="0"/>
        <w:spacing w:lineRule="atLeast" w:line="251" w:before="0" w:after="0"/>
        <w:jc w:val="left"/>
        <w:rPr>
          <w:rFonts w:ascii="Times New Roman;serif" w:hAnsi="Times New Roman;serif"/>
          <w:b w:val="false"/>
          <w:color w:val="000000"/>
          <w:sz w:val="22"/>
        </w:rPr>
      </w:pPr>
      <w:r>
        <w:rPr>
          <w:rFonts w:ascii="Times New Roman;serif" w:hAnsi="Times New Roman;serif"/>
          <w:b w:val="false"/>
          <w:color w:val="000000"/>
          <w:sz w:val="22"/>
        </w:rPr>
        <w:t>Title: 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EXECUTIVE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 Andrew Gengos</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Andrew Gengos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64" w:after="283"/>
        <w:jc w:val="left"/>
        <w:rPr/>
      </w:pPr>
      <w:r>
        <w:rPr/>
      </w:r>
    </w:p>
    <w:p>
      <w:pPr>
        <w:pStyle w:val="TextBody"/>
        <w:bidi w:val="0"/>
        <w:spacing w:lineRule="auto" w:line="288" w:before="1" w:after="283"/>
        <w:jc w:val="center"/>
        <w:rPr>
          <w:rFonts w:ascii="Times New Roman;serif" w:hAnsi="Times New Roman;serif"/>
          <w:b w:val="false"/>
          <w:i/>
          <w:color w:val="000000"/>
          <w:sz w:val="20"/>
        </w:rPr>
      </w:pPr>
      <w:r>
        <w:rPr>
          <w:rFonts w:ascii="Times New Roman;serif" w:hAnsi="Times New Roman;serif"/>
          <w:b w:val="false"/>
          <w:i/>
          <w:color w:val="000000"/>
          <w:sz w:val="20"/>
        </w:rPr>
        <w:t>[Signature Page to Employment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16" w:after="283"/>
        <w:jc w:val="left"/>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EXHIBIT A</w:t>
      </w:r>
    </w:p>
    <w:p>
      <w:pPr>
        <w:pStyle w:val="TextBody"/>
        <w:bidi w:val="0"/>
        <w:spacing w:lineRule="auto" w:line="288" w:before="242" w:after="283"/>
        <w:jc w:val="center"/>
        <w:rPr>
          <w:rFonts w:ascii="Times New Roman;serif" w:hAnsi="Times New Roman;serif"/>
          <w:b/>
          <w:color w:val="000000"/>
          <w:sz w:val="22"/>
        </w:rPr>
      </w:pPr>
      <w:r>
        <w:rPr>
          <w:rFonts w:ascii="Times New Roman;serif" w:hAnsi="Times New Roman;serif"/>
          <w:b/>
          <w:color w:val="000000"/>
          <w:sz w:val="22"/>
        </w:rPr>
        <w:t>Separation Agreement and Release</w:t>
      </w:r>
    </w:p>
    <w:p>
      <w:pPr>
        <w:pStyle w:val="TextBody"/>
        <w:bidi w:val="0"/>
        <w:spacing w:lineRule="auto" w:line="288" w:before="237" w:after="283"/>
        <w:ind w:left="0" w:right="0" w:firstLine="720"/>
        <w:jc w:val="both"/>
        <w:rPr/>
      </w:pPr>
      <w:r>
        <w:rPr>
          <w:rFonts w:ascii="Times New Roman;serif" w:hAnsi="Times New Roman;serif"/>
          <w:b w:val="false"/>
          <w:color w:val="000000"/>
          <w:sz w:val="22"/>
        </w:rPr>
        <w:t>This Separation Agreement and Release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is made by and between Andrew Gengos (“</w:t>
      </w:r>
      <w:r>
        <w:rPr>
          <w:rFonts w:ascii="Times New Roman;serif" w:hAnsi="Times New Roman;serif"/>
          <w:b w:val="false"/>
          <w:color w:val="000000"/>
          <w:sz w:val="22"/>
          <w:u w:val="single"/>
        </w:rPr>
        <w:t>Executive</w:t>
      </w:r>
      <w:r>
        <w:rPr>
          <w:color w:val="000000"/>
        </w:rPr>
        <w:t>”</w:t>
      </w:r>
      <w:r>
        <w:rPr>
          <w:rFonts w:ascii="Times New Roman;serif" w:hAnsi="Times New Roman;serif"/>
          <w:b w:val="false"/>
          <w:color w:val="000000"/>
          <w:sz w:val="22"/>
        </w:rPr>
        <w:t>) and Immuneering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(collectively referred to as the “Parties” or individually referred to as a “Party”). Capitalized terms used but not defined in this Agreement shall have the meanings set forth in the Employment Agreement (as defined below).</w:t>
      </w:r>
    </w:p>
    <w:p>
      <w:pPr>
        <w:pStyle w:val="TextBody"/>
        <w:bidi w:val="0"/>
        <w:spacing w:lineRule="auto" w:line="288" w:before="121" w:after="283"/>
        <w:ind w:left="0" w:right="0" w:firstLine="720"/>
        <w:jc w:val="left"/>
        <w:rPr/>
      </w:pPr>
      <w:r>
        <w:rPr>
          <w:rFonts w:ascii="Times New Roman;serif" w:hAnsi="Times New Roman;serif"/>
          <w:b w:val="false"/>
          <w:color w:val="000000"/>
          <w:sz w:val="22"/>
        </w:rPr>
        <w:t>WHEREAS, the Parties have previously entered into that certain Employment Agreement, dated as of June 10, 2026 (the “</w:t>
      </w:r>
      <w:r>
        <w:rPr>
          <w:rFonts w:ascii="Times New Roman;serif" w:hAnsi="Times New Roman;serif"/>
          <w:b w:val="false"/>
          <w:color w:val="000000"/>
          <w:sz w:val="22"/>
          <w:u w:val="single"/>
        </w:rPr>
        <w:t>Employment Agreement</w:t>
      </w:r>
      <w:r>
        <w:rPr>
          <w:color w:val="000000"/>
        </w:rPr>
        <w:t>”</w:t>
      </w:r>
      <w:r>
        <w:rPr>
          <w:rFonts w:ascii="Times New Roman;serif" w:hAnsi="Times New Roman;serif"/>
          <w:b w:val="false"/>
          <w:color w:val="000000"/>
          <w:sz w:val="22"/>
        </w:rPr>
        <w:t>) and that certain Employee Proprietary Information and Inventions Assignment Agreement, dated as of June 10, 2026 (the “</w:t>
      </w:r>
      <w:r>
        <w:rPr>
          <w:rFonts w:ascii="Times New Roman;serif" w:hAnsi="Times New Roman;serif"/>
          <w:b w:val="false"/>
          <w:color w:val="000000"/>
          <w:sz w:val="22"/>
          <w:u w:val="single"/>
        </w:rPr>
        <w:t>Restrictive Covenant</w:t>
      </w:r>
      <w:r>
        <w:rPr>
          <w:color w:val="000000"/>
        </w:rPr>
        <w:t xml:space="preserve">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and</w:t>
      </w:r>
    </w:p>
    <w:p>
      <w:pPr>
        <w:pStyle w:val="TextBody"/>
        <w:bidi w:val="0"/>
        <w:spacing w:lineRule="auto" w:line="288" w:before="121" w:after="283"/>
        <w:ind w:left="0" w:right="0" w:firstLine="720"/>
        <w:jc w:val="left"/>
        <w:rPr/>
      </w:pPr>
      <w:r>
        <w:rPr>
          <w:rFonts w:ascii="Times New Roman;serif" w:hAnsi="Times New Roman;serif"/>
          <w:b w:val="false"/>
          <w:color w:val="000000"/>
          <w:sz w:val="22"/>
        </w:rPr>
        <w:t xml:space="preserve">WHEREAS, in connection with Executive’s termination of employment with the Company or a subsidiary or affiliate of the Company effective </w:t>
      </w:r>
      <w:r>
        <w:rPr>
          <w:color w:val="000000"/>
          <w:u w:val="single"/>
        </w:rPr>
        <w:t>    </w:t>
      </w:r>
      <w:r>
        <w:rPr>
          <w:rFonts w:ascii="Times New Roman;serif" w:hAnsi="Times New Roman;serif"/>
          <w:b w:val="false"/>
          <w:color w:val="000000"/>
          <w:sz w:val="22"/>
        </w:rPr>
        <w:t>, 20</w:t>
      </w:r>
      <w:r>
        <w:rPr>
          <w:color w:val="000000"/>
          <w:u w:val="single"/>
        </w:rPr>
        <w:t xml:space="preserve"> </w:t>
      </w:r>
      <w:r>
        <w:rPr>
          <w:rFonts w:ascii="Times New Roman;serif" w:hAnsi="Times New Roman;serif"/>
          <w:b w:val="false"/>
          <w:color w:val="000000"/>
          <w:sz w:val="22"/>
        </w:rPr>
        <w:t>, the Parties wish to resolve any and all disputes, claims, complaints, grievances, charges, actions, petitions, and 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indemnification by the Company or any of its affiliates (collectively, the “</w:t>
      </w:r>
      <w:r>
        <w:rPr>
          <w:rFonts w:ascii="Times New Roman;serif" w:hAnsi="Times New Roman;serif"/>
          <w:b w:val="false"/>
          <w:color w:val="000000"/>
          <w:sz w:val="22"/>
          <w:u w:val="single"/>
        </w:rPr>
        <w:t>Retained Claims</w:t>
      </w:r>
      <w:r>
        <w:rPr>
          <w:color w:val="000000"/>
        </w:rPr>
        <w:t>”</w:t>
      </w:r>
      <w:r>
        <w:rPr>
          <w:rFonts w:ascii="Times New Roman;serif" w:hAnsi="Times New Roman;serif"/>
          <w:b w:val="false"/>
          <w:color w:val="000000"/>
          <w:sz w:val="22"/>
        </w:rPr>
        <w:t>).</w:t>
      </w:r>
    </w:p>
    <w:p>
      <w:pPr>
        <w:pStyle w:val="TextBody"/>
        <w:bidi w:val="0"/>
        <w:spacing w:lineRule="auto" w:line="288" w:before="119" w:after="283"/>
        <w:ind w:left="0" w:right="0" w:firstLine="720"/>
        <w:jc w:val="left"/>
        <w:rPr/>
      </w:pPr>
      <w:r>
        <w:rPr>
          <w:rFonts w:ascii="Times New Roman;serif" w:hAnsi="Times New Roman;serif"/>
          <w:b w:val="false"/>
          <w:color w:val="000000"/>
          <w:sz w:val="22"/>
        </w:rPr>
        <w:t xml:space="preserve">NOW, THEREFORE, in consideration of the severance payments and benefits described in Section </w:t>
      </w:r>
      <w:hyperlink w:anchor="ic5aff4b332244480a6ffe44817848242_4">
        <w:r>
          <w:rPr>
            <w:rStyle w:val="InternetLink"/>
            <w:rFonts w:ascii="Times New Roman;serif" w:hAnsi="Times New Roman;serif"/>
            <w:b w:val="false"/>
            <w:strike w:val="false"/>
            <w:dstrike w:val="false"/>
            <w:color w:val="000000"/>
            <w:sz w:val="22"/>
            <w:u w:val="none"/>
            <w:effect w:val="none"/>
          </w:rPr>
          <w:t>4</w:t>
        </w:r>
      </w:hyperlink>
      <w:r>
        <w:rPr>
          <w:rFonts w:ascii="Times New Roman;serif" w:hAnsi="Times New Roman;serif"/>
          <w:b w:val="false"/>
          <w:color w:val="000000"/>
          <w:sz w:val="22"/>
        </w:rPr>
        <w:t xml:space="preserve"> of the Employment Agreement, which, pursuant to the Employment Agreement, are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conditioned on Executive’s execution and non-revocation of this Agreement, and in consideration of the mutual promises made herein, the Company and Executive hereby agree as follows:</w:t>
      </w:r>
    </w:p>
    <w:p>
      <w:pPr>
        <w:pStyle w:val="TextBody"/>
        <w:bidi w:val="0"/>
        <w:spacing w:lineRule="auto" w:line="288" w:before="121" w:after="283"/>
        <w:ind w:left="0" w:right="0" w:firstLine="720"/>
        <w:jc w:val="left"/>
        <w:rPr/>
      </w:pPr>
      <w:r>
        <w:rPr>
          <w:rFonts w:ascii="Times New Roman;serif" w:hAnsi="Times New Roman;serif"/>
          <w:b w:val="false"/>
          <w:color w:val="000000"/>
          <w:sz w:val="22"/>
        </w:rPr>
        <w:t>1.</w:t>
      </w:r>
      <w:r>
        <w:rPr>
          <w:rFonts w:ascii="Times New Roman;serif" w:hAnsi="Times New Roman;serif"/>
          <w:b w:val="false"/>
          <w:color w:val="000000"/>
          <w:sz w:val="22"/>
          <w:u w:val="single"/>
        </w:rPr>
        <w:t>Severance Payments and Benefits; Salary and Benefits</w:t>
      </w:r>
      <w:r>
        <w:rPr>
          <w:rFonts w:ascii="Times New Roman;serif" w:hAnsi="Times New Roman;serif"/>
          <w:b w:val="false"/>
          <w:color w:val="000000"/>
          <w:sz w:val="22"/>
        </w:rPr>
        <w:t xml:space="preserve">. The Company agrees to provide Executive with the severance payments and benefits described in Section [4(b)/4(c)]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w:t>
      </w:r>
      <w:hyperlink w:anchor="ic5aff4b332244480a6ffe44817848242_4">
        <w:r>
          <w:rPr>
            <w:rStyle w:val="InternetLink"/>
            <w:rFonts w:ascii="Times New Roman;serif" w:hAnsi="Times New Roman;serif"/>
            <w:b w:val="false"/>
            <w:color w:val="000000"/>
            <w:sz w:val="22"/>
            <w:u w:val="single"/>
          </w:rPr>
          <w:t>3(c)</w:t>
        </w:r>
      </w:hyperlink>
      <w:r>
        <w:rPr>
          <w:color w:val="000000"/>
        </w:rPr>
        <w:t xml:space="preserve"> </w:t>
      </w:r>
      <w:r>
        <w:rPr>
          <w:rFonts w:ascii="Times New Roman;serif" w:hAnsi="Times New Roman;serif"/>
          <w:b w:val="false"/>
          <w:color w:val="000000"/>
          <w:sz w:val="22"/>
        </w:rPr>
        <w:t>of the Employment Agreement, subject to and in accordance with the terms thereof.</w:t>
      </w:r>
    </w:p>
    <w:p>
      <w:pPr>
        <w:pStyle w:val="TextBody"/>
        <w:bidi w:val="0"/>
        <w:spacing w:lineRule="auto" w:line="288" w:before="241" w:after="283"/>
        <w:ind w:left="0" w:right="0" w:firstLine="720"/>
        <w:jc w:val="left"/>
        <w:rPr/>
      </w:pPr>
      <w:r>
        <w:rPr>
          <w:rFonts w:ascii="Times New Roman;serif" w:hAnsi="Times New Roman;serif"/>
          <w:b w:val="false"/>
          <w:color w:val="000000"/>
          <w:sz w:val="22"/>
        </w:rPr>
        <w:t>2.</w:t>
      </w:r>
      <w:r>
        <w:rPr>
          <w:rFonts w:ascii="Times New Roman;serif" w:hAnsi="Times New Roman;serif"/>
          <w:b w:val="false"/>
          <w:color w:val="000000"/>
          <w:sz w:val="22"/>
          <w:u w:val="single"/>
        </w:rPr>
        <w:t>Release of Claims</w:t>
      </w:r>
      <w:r>
        <w:rPr>
          <w:rFonts w:ascii="Times New Roman;serif" w:hAnsi="Times New Roman;serif"/>
          <w:b w:val="false"/>
          <w:color w:val="000000"/>
          <w:sz w:val="22"/>
        </w:rPr>
        <w:t>. Executive agrees that, other than with respect to the Retained Claims, the foregoing consideration represents settlement in full of all outstanding obligations owed to Executive by the Company, any of its direct or indirect subsidiaries and affiliates, and any of its or their respective current and former officers, directors, equityholders, managers, employees, agents, investors, attorneys, shareholders, administrators, affiliates, benefit plans, plan administrators, insurers, trustees, divisions, and subsidiaries and predecessor and successor corporations and assigns (collectively, the “</w:t>
      </w:r>
      <w:r>
        <w:rPr>
          <w:rFonts w:ascii="Times New Roman;serif" w:hAnsi="Times New Roman;serif"/>
          <w:b w:val="false"/>
          <w:color w:val="000000"/>
          <w:sz w:val="22"/>
          <w:u w:val="single"/>
        </w:rPr>
        <w:t>Releasees</w:t>
      </w:r>
      <w:r>
        <w:rPr>
          <w:color w:val="000000"/>
        </w:rPr>
        <w:t>”</w:t>
      </w:r>
      <w:r>
        <w:rPr>
          <w:rFonts w:ascii="Times New Roman;serif" w:hAnsi="Times New Roman;serif"/>
          <w:b w:val="false"/>
          <w:color w:val="000000"/>
          <w:sz w:val="22"/>
        </w:rPr>
        <w: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Executive, on Executive’s own behalf and on behalf of any of Executive’s heirs, family members, executors, agents, and assigns, other than with respect to the 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date Executive signs this Agreement, including, without limitation: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8"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16" w:after="283"/>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(a)any and all claims relating to or arising from Executive’s employment or service relationship with the Company or any of its direct or indirect subsidiaries or affiliates and the termination of that relationship;</w:t>
      </w:r>
    </w:p>
    <w:p>
      <w:pPr>
        <w:pStyle w:val="TextBody"/>
        <w:bidi w:val="0"/>
        <w:spacing w:lineRule="auto" w:line="288" w:before="240" w:after="283"/>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(b)any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law, and securities fraud under any state or federal law;</w:t>
      </w:r>
    </w:p>
    <w:p>
      <w:pPr>
        <w:pStyle w:val="TextBody"/>
        <w:bidi w:val="0"/>
        <w:spacing w:lineRule="auto" w:line="288" w:before="241" w:after="283"/>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(c)any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pStyle w:val="TextBody"/>
        <w:bidi w:val="0"/>
        <w:spacing w:lineRule="auto" w:line="288" w:before="241" w:after="283"/>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(d)any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pStyle w:val="TextBody"/>
        <w:bidi w:val="0"/>
        <w:spacing w:lineRule="auto" w:line="288" w:before="241"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(e)any and all claims for violation of the federal or any state constitution;</w:t>
      </w:r>
    </w:p>
    <w:p>
      <w:pPr>
        <w:pStyle w:val="TextBody"/>
        <w:bidi w:val="0"/>
        <w:spacing w:lineRule="auto" w:line="288" w:before="237" w:after="283"/>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(f)any and all claims arising out of any other laws and regulations relating to employment or employment discrimination;</w:t>
      </w:r>
    </w:p>
    <w:p>
      <w:pPr>
        <w:pStyle w:val="TextBody"/>
        <w:bidi w:val="0"/>
        <w:spacing w:lineRule="auto" w:line="288" w:before="243" w:after="283"/>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(g)any claim for any loss, cost, damage, or expense arising out of any dispute over the non-withholding or other tax treatment of any of the proceeds received by Executive as a result of this Agreement;</w:t>
      </w:r>
    </w:p>
    <w:p>
      <w:pPr>
        <w:pStyle w:val="TextBody"/>
        <w:bidi w:val="0"/>
        <w:spacing w:lineRule="auto" w:line="288" w:before="239" w:after="283"/>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(h)any and all claims arising out of the wage and hour and wage payments laws and regulations of the state or states in which Executive has provided service to the Company or any of its affiliates [(including without limitation the Massachusetts Payment of Wages Law)]; and</w:t>
      </w:r>
    </w:p>
    <w:p>
      <w:pPr>
        <w:pStyle w:val="TextBody"/>
        <w:bidi w:val="0"/>
        <w:spacing w:lineRule="auto" w:line="288" w:before="241"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(i)any and all claims for attorneys’ fees and costs.</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and any right to receive an award for information provided thereunder, Executive’s right to file a charge with or participate in a charge by the Equal Employment Opportunity Commission, or any other local, state, or federal administrative body or government agency that is authorized to enforce or</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16" w:after="283"/>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administer laws related to employment, against the Company for discrimination (with the understanding that Executive’s release of claims herein bars Executive from recovering such monetary relief from the Company or any Releasee for any alleged discriminatory treatment),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Executive’s employment pursuant to written terms of any employee benefit plan of the Company or its affiliates and Executive’s right under applicable law, any Retained Claims and any claims under this Agreement.</w:t>
      </w:r>
    </w:p>
    <w:p>
      <w:pPr>
        <w:pStyle w:val="TextBody"/>
        <w:bidi w:val="0"/>
        <w:spacing w:lineRule="auto" w:line="288" w:before="239" w:after="283"/>
        <w:ind w:left="0" w:right="0" w:firstLine="720"/>
        <w:jc w:val="left"/>
        <w:rPr/>
      </w:pPr>
      <w:r>
        <w:rPr>
          <w:rFonts w:ascii="Times New Roman;serif" w:hAnsi="Times New Roman;serif"/>
          <w:b w:val="false"/>
          <w:color w:val="000000"/>
          <w:sz w:val="22"/>
        </w:rPr>
        <w:t>3.</w:t>
      </w:r>
      <w:r>
        <w:rPr>
          <w:rFonts w:ascii="Times New Roman;serif" w:hAnsi="Times New Roman;serif"/>
          <w:b w:val="false"/>
          <w:color w:val="000000"/>
          <w:sz w:val="22"/>
          <w:u w:val="single"/>
        </w:rPr>
        <w:t>Acknowledgment of Waiver of Claims under ADEA</w:t>
      </w:r>
      <w:r>
        <w:rPr>
          <w:rFonts w:ascii="Times New Roman;serif" w:hAnsi="Times New Roman;serif"/>
          <w:b w:val="false"/>
          <w:color w:val="000000"/>
          <w:sz w:val="22"/>
        </w:rPr>
        <w:t>. Executive understands and acknowledges that Executive is waiving and releasing any rights Executive may have under the Age Discrimination in Employment Act of 1967 (“</w:t>
      </w:r>
      <w:r>
        <w:rPr>
          <w:rFonts w:ascii="Times New Roman;serif" w:hAnsi="Times New Roman;serif"/>
          <w:b w:val="false"/>
          <w:color w:val="000000"/>
          <w:sz w:val="22"/>
          <w:u w:val="single"/>
        </w:rPr>
        <w:t>ADEA</w:t>
      </w:r>
      <w:r>
        <w:rPr>
          <w:color w:val="000000"/>
        </w:rPr>
        <w:t>”</w:t>
      </w:r>
      <w:r>
        <w:rPr>
          <w:rFonts w:ascii="Times New Roman;serif" w:hAnsi="Times New Roman;serif"/>
          <w:b w:val="false"/>
          <w:color w:val="000000"/>
          <w:sz w:val="22"/>
        </w:rPr>
        <w:t>), and that this waiver and release is knowing and voluntary. Executive understands and agrees that this waiver and release does not apply to any rights or claims that may arise under the ADEA after the date Executive signs this Agreement. Executive understands and acknowledges that the consideration given for this waiver and release is in addition to anything of value to which Executive was already entitled. Executive further understands and</w:t>
      </w:r>
    </w:p>
    <w:p>
      <w:pPr>
        <w:pStyle w:val="TextBody"/>
        <w:bidi w:val="0"/>
        <w:spacing w:lineRule="auto" w:line="288" w:before="1" w:after="283"/>
        <w:jc w:val="left"/>
        <w:rPr>
          <w:rFonts w:ascii="Times New Roman;serif" w:hAnsi="Times New Roman;serif"/>
          <w:b w:val="false"/>
          <w:color w:val="000000"/>
          <w:sz w:val="22"/>
        </w:rPr>
      </w:pPr>
      <w:r>
        <w:rPr>
          <w:rFonts w:ascii="Times New Roman;serif" w:hAnsi="Times New Roman;serif"/>
          <w:b w:val="false"/>
          <w:color w:val="000000"/>
          <w:sz w:val="22"/>
        </w:rPr>
        <w:t>acknowledges that Executive has been advised by this writing that: (a) Executive should consult with an attorney prior to executing this Agreement; (b) Executive has 21 days within which to consider this Agreement, and the Parties agree that such time period to review this Agreement shall not be extended upon any material or immaterial changes to this Agreement; (c) Executive has seven [business] days</w:t>
      </w:r>
    </w:p>
    <w:p>
      <w:pPr>
        <w:pStyle w:val="TextBody"/>
        <w:bidi w:val="0"/>
        <w:spacing w:lineRule="auto" w:line="288" w:before="1" w:after="283"/>
        <w:jc w:val="left"/>
        <w:rPr>
          <w:rFonts w:ascii="Times New Roman;serif" w:hAnsi="Times New Roman;serif"/>
          <w:b w:val="false"/>
          <w:color w:val="000000"/>
          <w:sz w:val="22"/>
        </w:rPr>
      </w:pPr>
      <w:r>
        <w:rPr>
          <w:rFonts w:ascii="Times New Roman;serif" w:hAnsi="Times New Roman;serif"/>
          <w:b w:val="false"/>
          <w:color w:val="000000"/>
          <w:sz w:val="22"/>
        </w:rPr>
        <w:t>following Executive’s execution of this Agreement to revoke this Agreement pursuant to written notice to the General Counsel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 day period identified above, Executive hereby acknowledges that Executive has freely and voluntarily chosen to waive the time period allotted for considering this Agreement.</w:t>
      </w:r>
    </w:p>
    <w:p>
      <w:pPr>
        <w:pStyle w:val="TextBody"/>
        <w:bidi w:val="0"/>
        <w:spacing w:lineRule="auto" w:line="288" w:before="243" w:after="283"/>
        <w:ind w:left="0" w:right="0" w:hanging="719"/>
        <w:jc w:val="left"/>
        <w:rPr/>
      </w:pPr>
      <w:r>
        <w:rPr>
          <w:rFonts w:ascii="Times New Roman;serif" w:hAnsi="Times New Roman;serif"/>
          <w:b w:val="false"/>
          <w:color w:val="000000"/>
          <w:sz w:val="22"/>
        </w:rPr>
        <w:t>4.</w:t>
      </w:r>
      <w:r>
        <w:rPr>
          <w:rFonts w:ascii="Times New Roman;serif" w:hAnsi="Times New Roman;serif"/>
          <w:b w:val="false"/>
          <w:color w:val="000000"/>
          <w:sz w:val="22"/>
          <w:u w:val="single"/>
        </w:rPr>
        <w:t>Restrictive Covenants</w:t>
      </w:r>
      <w:r>
        <w:rPr>
          <w:rFonts w:ascii="Times New Roman;serif" w:hAnsi="Times New Roman;serif"/>
          <w:b w:val="false"/>
          <w:color w:val="000000"/>
          <w:sz w:val="22"/>
        </w:rPr>
        <w:t>.</w:t>
      </w:r>
    </w:p>
    <w:p>
      <w:pPr>
        <w:pStyle w:val="TextBody"/>
        <w:bidi w:val="0"/>
        <w:spacing w:lineRule="auto" w:line="288" w:before="237" w:after="283"/>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(a)Executive’s covenants under the Restrictive Covenant Agreement are hereby incorporated by reference into this Agreement. Notwithstanding anything to the contrary in the Confidentiality Agreement, in consideration of the benefits set forth in Section [4(b)/4(c)] of the Employment Agreement, Executive agrees that the non-competition covenants set forth in Section 6.1 of the Confidentiality Agreement shall apply to Executive following the Separation Date as if Executive resigned from the Company on the Separation Date, provided that Section 6.1(c) of the Confidentiality Agreement shall be deemed deleted in its entirety and shall be of no further force or effect. Executive acknowledges and agrees that Executive’s obligations under the Restrictive Covenant Agreement, as modified hereby, shall remain in full force and effect following the Separation Date in accordance with the terms thereof.</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38"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Executive agrees that Executive shall not publicly disparage, criticize or defame the Company or its directors, officers, products, services, technology or business. Nothing in this Section 5(b) will prohibit disclosure of information that is required to be disclosed to enforce the terms of this Agreement or to comply with applicable law or order of a court or other regulatory body of competent jurisdiction.</w:t>
      </w:r>
    </w:p>
    <w:p>
      <w:pPr>
        <w:pStyle w:val="TextBody"/>
        <w:bidi w:val="0"/>
        <w:spacing w:lineRule="auto" w:line="28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(b)Executive represents and warrants that Executive has returned to the Company all files, memoranda, records and other documents, and any other physical or personal property which are the property of the Company and which Executive had in Executive’s possession, custody or control.</w:t>
      </w:r>
    </w:p>
    <w:p>
      <w:pPr>
        <w:pStyle w:val="TextBody"/>
        <w:bidi w:val="0"/>
        <w:spacing w:lineRule="auto" w:line="288" w:before="240" w:after="283"/>
        <w:ind w:left="0" w:right="0" w:firstLine="720"/>
        <w:jc w:val="left"/>
        <w:rPr/>
      </w:pPr>
      <w:r>
        <w:rPr>
          <w:rFonts w:ascii="Times New Roman;serif" w:hAnsi="Times New Roman;serif"/>
          <w:b w:val="false"/>
          <w:color w:val="000000"/>
          <w:sz w:val="22"/>
        </w:rPr>
        <w:t>6.</w:t>
      </w:r>
      <w:r>
        <w:rPr>
          <w:rFonts w:ascii="Times New Roman;serif" w:hAnsi="Times New Roman;serif"/>
          <w:b w:val="false"/>
          <w:color w:val="000000"/>
          <w:sz w:val="22"/>
          <w:u w:val="single"/>
        </w:rPr>
        <w:t>No Oral Modification</w:t>
      </w:r>
      <w:r>
        <w:rPr>
          <w:rFonts w:ascii="Times New Roman;serif" w:hAnsi="Times New Roman;serif"/>
          <w:b w:val="false"/>
          <w:color w:val="000000"/>
          <w:sz w:val="22"/>
        </w:rPr>
        <w:t>. This Agreement may only be amended in a writing signed by Executive and a duly authorized officer of the Company.</w:t>
      </w:r>
    </w:p>
    <w:p>
      <w:pPr>
        <w:pStyle w:val="TextBody"/>
        <w:bidi w:val="0"/>
        <w:spacing w:lineRule="auto" w:line="288" w:before="238" w:after="283"/>
        <w:ind w:left="0" w:right="0" w:firstLine="720"/>
        <w:jc w:val="left"/>
        <w:rPr/>
      </w:pPr>
      <w:r>
        <w:rPr>
          <w:rFonts w:ascii="Times New Roman;serif" w:hAnsi="Times New Roman;serif"/>
          <w:b w:val="false"/>
          <w:color w:val="000000"/>
          <w:sz w:val="22"/>
        </w:rPr>
        <w:t>7.</w:t>
      </w:r>
      <w:r>
        <w:rPr>
          <w:rFonts w:ascii="Times New Roman;serif" w:hAnsi="Times New Roman;serif"/>
          <w:b w:val="false"/>
          <w:color w:val="000000"/>
          <w:sz w:val="22"/>
          <w:u w:val="single"/>
        </w:rPr>
        <w:t>Governing Law; Dispute Resolution</w:t>
      </w:r>
      <w:r>
        <w:rPr>
          <w:rFonts w:ascii="Times New Roman;serif" w:hAnsi="Times New Roman;serif"/>
          <w:b w:val="false"/>
          <w:color w:val="000000"/>
          <w:sz w:val="22"/>
        </w:rPr>
        <w:t xml:space="preserve">. This Agreement shall be subject to the provisions of Sections </w:t>
      </w:r>
      <w:hyperlink w:anchor="ic5aff4b332244480a6ffe44817848242_4">
        <w:r>
          <w:rPr>
            <w:rStyle w:val="InternetLink"/>
            <w:rFonts w:ascii="Times New Roman;serif" w:hAnsi="Times New Roman;serif"/>
            <w:b w:val="false"/>
            <w:strike w:val="false"/>
            <w:dstrike w:val="false"/>
            <w:color w:val="000000"/>
            <w:sz w:val="22"/>
            <w:u w:val="none"/>
            <w:effect w:val="none"/>
          </w:rPr>
          <w:t>9(a),</w:t>
        </w:r>
      </w:hyperlink>
      <w:r>
        <w:rPr>
          <w:rFonts w:ascii="Times New Roman;serif" w:hAnsi="Times New Roman;serif"/>
          <w:b w:val="false"/>
          <w:color w:val="000000"/>
          <w:sz w:val="22"/>
        </w:rPr>
        <w:t xml:space="preserve"> </w:t>
      </w:r>
      <w:hyperlink w:anchor="ic5aff4b332244480a6ffe44817848242_4">
        <w:r>
          <w:rPr>
            <w:rStyle w:val="InternetLink"/>
            <w:rFonts w:ascii="Times New Roman;serif" w:hAnsi="Times New Roman;serif"/>
            <w:b w:val="false"/>
            <w:strike w:val="false"/>
            <w:dstrike w:val="false"/>
            <w:color w:val="000000"/>
            <w:sz w:val="22"/>
            <w:u w:val="none"/>
            <w:effect w:val="none"/>
          </w:rPr>
          <w:t>9(c),</w:t>
        </w:r>
      </w:hyperlink>
      <w:r>
        <w:rPr>
          <w:rFonts w:ascii="Times New Roman;serif" w:hAnsi="Times New Roman;serif"/>
          <w:b w:val="false"/>
          <w:color w:val="000000"/>
          <w:sz w:val="22"/>
        </w:rPr>
        <w:t xml:space="preserve"> and </w:t>
      </w:r>
      <w:hyperlink w:anchor="ic5aff4b332244480a6ffe44817848242_4">
        <w:r>
          <w:rPr>
            <w:rStyle w:val="InternetLink"/>
            <w:rFonts w:ascii="Times New Roman;serif" w:hAnsi="Times New Roman;serif"/>
            <w:b w:val="false"/>
            <w:strike w:val="false"/>
            <w:dstrike w:val="false"/>
            <w:color w:val="000000"/>
            <w:sz w:val="22"/>
            <w:u w:val="none"/>
            <w:effect w:val="none"/>
          </w:rPr>
          <w:t>9(h)</w:t>
        </w:r>
      </w:hyperlink>
      <w:r>
        <w:rPr>
          <w:rFonts w:ascii="Times New Roman;serif" w:hAnsi="Times New Roman;serif"/>
          <w:b w:val="false"/>
          <w:color w:val="000000"/>
          <w:sz w:val="22"/>
        </w:rPr>
        <w:t xml:space="preserve"> of the Employment Agreement.</w:t>
      </w:r>
    </w:p>
    <w:p>
      <w:pPr>
        <w:pStyle w:val="TextBody"/>
        <w:bidi w:val="0"/>
        <w:spacing w:lineRule="auto" w:line="288" w:before="243" w:after="283"/>
        <w:ind w:left="0" w:right="0" w:firstLine="720"/>
        <w:jc w:val="left"/>
        <w:rPr/>
      </w:pPr>
      <w:r>
        <w:rPr>
          <w:rFonts w:ascii="Times New Roman;serif" w:hAnsi="Times New Roman;serif"/>
          <w:b w:val="false"/>
          <w:color w:val="000000"/>
          <w:sz w:val="22"/>
        </w:rPr>
        <w:t>8.</w:t>
      </w:r>
      <w:r>
        <w:rPr>
          <w:rFonts w:ascii="Times New Roman;serif" w:hAnsi="Times New Roman;serif"/>
          <w:b w:val="false"/>
          <w:color w:val="000000"/>
          <w:sz w:val="22"/>
          <w:u w:val="single"/>
        </w:rPr>
        <w:t>Effective Date</w:t>
      </w:r>
      <w:r>
        <w:rPr>
          <w:rFonts w:ascii="Times New Roman;serif" w:hAnsi="Times New Roman;serif"/>
          <w:b w:val="false"/>
          <w:color w:val="000000"/>
          <w:sz w:val="22"/>
        </w:rPr>
        <w:t>. Executive has seven [business] days after Executive signs this Agreement to revoke it and this Agreement will become effective on the day immediately following the seventh day after Executive signed this Agreement (the “</w:t>
      </w:r>
      <w:r>
        <w:rPr>
          <w:rFonts w:ascii="Times New Roman;serif" w:hAnsi="Times New Roman;serif"/>
          <w:b w:val="false"/>
          <w:color w:val="000000"/>
          <w:sz w:val="22"/>
          <w:u w:val="single"/>
        </w:rPr>
        <w:t>Effective Date</w:t>
      </w:r>
      <w:r>
        <w:rPr>
          <w:color w:val="000000"/>
        </w:rPr>
        <w:t>”</w:t>
      </w:r>
      <w:r>
        <w:rPr>
          <w:rFonts w:ascii="Times New Roman;serif" w:hAnsi="Times New Roman;serif"/>
          <w:b w:val="false"/>
          <w:color w:val="000000"/>
          <w:sz w:val="22"/>
        </w:rPr>
        <w:t>). For the avoidance of doubt, if Executive revokes this Agreement as provided herein, the Parties’ modification to the Restrictive Covenant Agreement set forth in Section 4(a) above shall be void and of no effect and, unless the Company has elected or elects in writing to expressly waive Executive’s noncompetition obligations set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forth in Section 6.1(a) of the Restrictive Covenant Agreement as provided in Section 6.6 of the Restrictive Covenant Agreement, the Restrictive Covenant Agreement, including without limitation Section 6.1 of the Restrictive Covenant Agreement, shall remain in full force and effect.</w:t>
      </w:r>
    </w:p>
    <w:p>
      <w:pPr>
        <w:pStyle w:val="TextBody"/>
        <w:bidi w:val="0"/>
        <w:spacing w:lineRule="auto" w:line="288" w:before="239" w:after="283"/>
        <w:ind w:left="0" w:right="0" w:firstLine="720"/>
        <w:jc w:val="left"/>
        <w:rPr/>
      </w:pPr>
      <w:r>
        <w:rPr>
          <w:rFonts w:ascii="Times New Roman;serif" w:hAnsi="Times New Roman;serif"/>
          <w:b w:val="false"/>
          <w:color w:val="000000"/>
          <w:sz w:val="22"/>
        </w:rPr>
        <w:t>9.</w:t>
      </w:r>
      <w:r>
        <w:rPr>
          <w:rFonts w:ascii="Times New Roman;serif" w:hAnsi="Times New Roman;serif"/>
          <w:b w:val="false"/>
          <w:color w:val="000000"/>
          <w:sz w:val="22"/>
          <w:u w:val="single"/>
        </w:rPr>
        <w:t>Voluntary Execution of Agreement</w:t>
      </w:r>
      <w:r>
        <w:rPr>
          <w:rFonts w:ascii="Times New Roman;serif" w:hAnsi="Times New Roman;serif"/>
          <w:b w:val="false"/>
          <w:color w:val="000000"/>
          <w:sz w:val="22"/>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pStyle w:val="TextBody"/>
        <w:bidi w:val="0"/>
        <w:spacing w:lineRule="auto" w:line="288"/>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Follows</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116" w:after="283"/>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have executed this Agreement on the respective dates set forth below.</w:t>
      </w:r>
    </w:p>
    <w:p>
      <w:pPr>
        <w:pStyle w:val="TextBody"/>
        <w:bidi w:val="0"/>
        <w:spacing w:lineRule="auto" w:line="288" w:before="239" w:after="283"/>
        <w:jc w:val="center"/>
        <w:rPr>
          <w:rFonts w:ascii="Times New Roman;serif" w:hAnsi="Times New Roman;serif"/>
          <w:b/>
          <w:color w:val="000000"/>
          <w:sz w:val="22"/>
        </w:rPr>
      </w:pPr>
      <w:r>
        <w:rPr>
          <w:rFonts w:ascii="Times New Roman;serif" w:hAnsi="Times New Roman;serif"/>
          <w:b/>
          <w:color w:val="000000"/>
          <w:sz w:val="22"/>
        </w:rPr>
        <w:t>EXECUTIVE</w:t>
      </w:r>
    </w:p>
    <w:p>
      <w:pPr>
        <w:pStyle w:val="TextBody"/>
        <w:bidi w:val="0"/>
        <w:spacing w:before="0" w:after="0"/>
        <w:jc w:val="left"/>
        <w:rPr/>
      </w:pPr>
      <w:r>
        <w:rPr/>
      </w:r>
    </w:p>
    <w:p>
      <w:pPr>
        <w:pStyle w:val="TextBody"/>
        <w:bidi w:val="0"/>
        <w:spacing w:lineRule="auto" w:line="288" w:before="229" w:after="283"/>
        <w:jc w:val="left"/>
        <w:rPr/>
      </w:pPr>
      <w:r>
        <w:rPr>
          <w:rFonts w:ascii="Times New Roman;serif" w:hAnsi="Times New Roman;serif"/>
          <w:b w:val="false"/>
          <w:color w:val="000000"/>
          <w:sz w:val="22"/>
        </w:rPr>
        <w:t>Dated:</w:t>
      </w:r>
      <w:r>
        <w:rPr>
          <w:color w:val="000000"/>
          <w:u w:val="single"/>
        </w:rPr>
        <w:t>            </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Andrew Gengos</w:t>
      </w:r>
    </w:p>
    <w:p>
      <w:pPr>
        <w:pStyle w:val="TextBody"/>
        <w:bidi w:val="0"/>
        <w:spacing w:before="0" w:after="0"/>
        <w:jc w:val="left"/>
        <w:rPr/>
      </w:pPr>
      <w:r>
        <w:rPr/>
      </w:r>
    </w:p>
    <w:p>
      <w:pPr>
        <w:pStyle w:val="TextBody"/>
        <w:bidi w:val="0"/>
        <w:spacing w:before="225" w:after="283"/>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IMMUNEERING CORPORATION</w:t>
      </w:r>
    </w:p>
    <w:p>
      <w:pPr>
        <w:pStyle w:val="TextBody"/>
        <w:bidi w:val="0"/>
        <w:spacing w:lineRule="auto" w:line="276" w:before="244" w:after="283"/>
        <w:ind w:left="0" w:right="0" w:hanging="5009"/>
        <w:jc w:val="left"/>
        <w:rPr/>
      </w:pPr>
      <w:r>
        <w:rPr>
          <w:rFonts w:ascii="Times New Roman;serif" w:hAnsi="Times New Roman;serif"/>
          <w:b w:val="false"/>
          <w:color w:val="000000"/>
          <w:sz w:val="22"/>
        </w:rPr>
        <w:t>Dated:</w:t>
      </w:r>
      <w:r>
        <w:rPr>
          <w:color w:val="000000"/>
          <w:u w:val="single"/>
        </w:rPr>
        <w:t>    </w:t>
      </w:r>
      <w:r>
        <w:rPr>
          <w:color w:val="000000"/>
        </w:rPr>
        <w:t>    </w:t>
      </w:r>
      <w:r>
        <w:rPr>
          <w:rFonts w:ascii="Times New Roman;serif" w:hAnsi="Times New Roman;serif"/>
          <w:b w:val="false"/>
          <w:color w:val="000000"/>
          <w:sz w:val="22"/>
        </w:rPr>
        <w:t>By:</w:t>
      </w:r>
      <w:r>
        <w:rPr>
          <w:color w:val="000000"/>
          <w:u w:val="single"/>
        </w:rPr>
        <w:t>        </w:t>
      </w:r>
      <w:r>
        <w:rPr>
          <w:color w:val="000000"/>
        </w:rPr>
        <w:t xml:space="preserve"> </w:t>
      </w:r>
      <w:r>
        <w:rPr>
          <w:rFonts w:ascii="Times New Roman;serif" w:hAnsi="Times New Roman;serif"/>
          <w:b w:val="false"/>
          <w:color w:val="000000"/>
          <w:sz w:val="22"/>
        </w:rPr>
        <w:t>Name:</w:t>
      </w:r>
    </w:p>
    <w:p>
      <w:pPr>
        <w:pStyle w:val="TextBody"/>
        <w:bidi w:val="0"/>
        <w:spacing w:lineRule="auto" w:line="288" w:before="2" w:after="283"/>
        <w:jc w:val="left"/>
        <w:rPr>
          <w:rFonts w:ascii="Times New Roman;serif" w:hAnsi="Times New Roman;serif"/>
          <w:b w:val="false"/>
          <w:color w:val="000000"/>
          <w:sz w:val="22"/>
        </w:rPr>
      </w:pPr>
      <w:r>
        <w:rPr>
          <w:rFonts w:ascii="Times New Roman;serif" w:hAnsi="Times New Roman;serif"/>
          <w:b w:val="false"/>
          <w:color w:val="000000"/>
          <w:sz w:val="22"/>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16" w:after="283"/>
        <w:jc w:val="left"/>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EXHIBIT B</w:t>
      </w:r>
    </w:p>
    <w:p>
      <w:pPr>
        <w:pStyle w:val="TextBody"/>
        <w:bidi w:val="0"/>
        <w:spacing w:lineRule="auto" w:line="288" w:before="242" w:after="283"/>
        <w:jc w:val="center"/>
        <w:rPr>
          <w:rFonts w:ascii="Times New Roman;serif" w:hAnsi="Times New Roman;serif"/>
          <w:b/>
          <w:color w:val="000000"/>
          <w:sz w:val="22"/>
        </w:rPr>
      </w:pPr>
      <w:r>
        <w:rPr>
          <w:rFonts w:ascii="Times New Roman;serif" w:hAnsi="Times New Roman;serif"/>
          <w:b/>
          <w:color w:val="000000"/>
          <w:sz w:val="22"/>
        </w:rPr>
        <w:t>Restrictive Covenant Agreement</w:t>
      </w:r>
    </w:p>
    <w:p>
      <w:pPr>
        <w:pStyle w:val="TextBody"/>
        <w:bidi w:val="0"/>
        <w:spacing w:lineRule="auto" w:line="288" w:before="237" w:after="283"/>
        <w:jc w:val="center"/>
        <w:rPr>
          <w:rFonts w:ascii="Times New Roman;serif" w:hAnsi="Times New Roman;serif"/>
          <w:b w:val="false"/>
          <w:color w:val="000000"/>
          <w:sz w:val="22"/>
        </w:rPr>
      </w:pPr>
      <w:r>
        <w:rPr>
          <w:rFonts w:ascii="Times New Roman;serif" w:hAnsi="Times New Roman;serif"/>
          <w:b w:val="false"/>
          <w:color w:val="000000"/>
          <w:sz w:val="22"/>
        </w:rPr>
        <w:t>[attached]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5"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16" w:after="283"/>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Schedule 1 – Stock Option Vesting Schedule</w:t>
      </w:r>
    </w:p>
    <w:p>
      <w:pPr>
        <w:pStyle w:val="TextBody"/>
        <w:bidi w:val="0"/>
        <w:spacing w:before="0" w:after="0"/>
        <w:jc w:val="left"/>
        <w:rPr/>
      </w:pPr>
      <w:r>
        <w:rPr/>
      </w:r>
    </w:p>
    <w:p>
      <w:pPr>
        <w:pStyle w:val="TextBody"/>
        <w:bidi w:val="0"/>
        <w:spacing w:lineRule="auto" w:line="254" w:before="0" w:after="0"/>
        <w:ind w:left="0" w:right="0" w:hanging="360"/>
        <w:jc w:val="left"/>
        <w:rPr/>
      </w:pPr>
      <w:r>
        <w:rPr>
          <w:rFonts w:ascii="Courier New;serif" w:hAnsi="Courier New;serif"/>
          <w:b w:val="false"/>
          <w:color w:val="000000"/>
          <w:sz w:val="24"/>
        </w:rPr>
        <w:t>o</w:t>
      </w:r>
      <w:r>
        <w:rPr>
          <w:rFonts w:ascii="Times New Roman;serif" w:hAnsi="Times New Roman;serif"/>
          <w:b w:val="false"/>
          <w:color w:val="000000"/>
          <w:sz w:val="22"/>
        </w:rPr>
        <w:t>8.33333% of the initial shares underlying the Stock Option shall vest on each of the first, second and third monthly anniversary of the Effective Date;</w:t>
      </w:r>
    </w:p>
    <w:p>
      <w:pPr>
        <w:pStyle w:val="TextBody"/>
        <w:bidi w:val="0"/>
        <w:spacing w:lineRule="auto" w:line="264" w:before="15" w:after="283"/>
        <w:ind w:left="0" w:right="0" w:hanging="360"/>
        <w:jc w:val="left"/>
        <w:rPr/>
      </w:pPr>
      <w:r>
        <w:rPr>
          <w:rFonts w:ascii="Courier New;serif" w:hAnsi="Courier New;serif"/>
          <w:b w:val="false"/>
          <w:color w:val="000000"/>
          <w:sz w:val="24"/>
        </w:rPr>
        <w:t>o</w:t>
      </w:r>
      <w:r>
        <w:rPr>
          <w:rFonts w:ascii="Times New Roman;serif" w:hAnsi="Times New Roman;serif"/>
          <w:b w:val="false"/>
          <w:color w:val="000000"/>
          <w:sz w:val="22"/>
        </w:rPr>
        <w:t>1.6667% of the initial shares underlying the Stock Option shall vest on the fourth monthly anniversary of the Effective Date and on each monthly anniversary thereafter until the one-year anniversary of the Effective Date;</w:t>
      </w:r>
    </w:p>
    <w:p>
      <w:pPr>
        <w:pStyle w:val="TextBody"/>
        <w:bidi w:val="0"/>
        <w:spacing w:lineRule="auto" w:line="266" w:before="11" w:after="283"/>
        <w:ind w:left="0" w:right="0" w:hanging="360"/>
        <w:jc w:val="left"/>
        <w:rPr/>
      </w:pPr>
      <w:r>
        <w:rPr>
          <w:rFonts w:ascii="Courier New;serif" w:hAnsi="Courier New;serif"/>
          <w:b w:val="false"/>
          <w:color w:val="000000"/>
          <w:sz w:val="22"/>
        </w:rPr>
        <w:t>o</w:t>
      </w:r>
      <w:r>
        <w:rPr>
          <w:rFonts w:ascii="Times New Roman;serif" w:hAnsi="Times New Roman;serif"/>
          <w:b w:val="false"/>
          <w:color w:val="000000"/>
          <w:sz w:val="22"/>
        </w:rPr>
        <w:t>3.33333% of the initial shares underlying the Stock Option shall vest on each monthly anniversary following the one-year anniversary of the Effective Date until the second anniversary of the Effective Date; and</w:t>
      </w:r>
    </w:p>
    <w:p>
      <w:pPr>
        <w:pStyle w:val="TextBody"/>
        <w:bidi w:val="0"/>
        <w:spacing w:lineRule="auto" w:line="273" w:before="8" w:after="283"/>
        <w:ind w:left="0" w:right="0" w:hanging="360"/>
        <w:jc w:val="left"/>
        <w:rPr/>
      </w:pPr>
      <w:r>
        <w:rPr>
          <w:rFonts w:ascii="Courier New;serif" w:hAnsi="Courier New;serif"/>
          <w:b w:val="false"/>
          <w:color w:val="000000"/>
          <w:sz w:val="22"/>
        </w:rPr>
        <w:t>o</w:t>
      </w:r>
      <w:r>
        <w:rPr>
          <w:rFonts w:ascii="Times New Roman;serif" w:hAnsi="Times New Roman;serif"/>
          <w:b w:val="false"/>
          <w:color w:val="000000"/>
          <w:sz w:val="22"/>
        </w:rPr>
        <w:t>0.833333% of the of the initial shares underlying the Stock Option shall vest on each monthly anniversary following the second anniversary of the Effective Date until the fourth anniversary of the Effective Date, such that 100% of the initial shares underlying the Stock Option shall be fully vested on the fourth anniversary of the Effective Date.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94" w:after="283"/>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625" w:type="dxa"/>
        <w:jc w:val="left"/>
        <w:tblInd w:w="0" w:type="dxa"/>
        <w:tblLayout w:type="fixed"/>
        <w:tblCellMar>
          <w:top w:w="28" w:type="dxa"/>
          <w:left w:w="28" w:type="dxa"/>
          <w:bottom w:w="28" w:type="dxa"/>
          <w:right w:w="28" w:type="dxa"/>
        </w:tblCellMar>
      </w:tblPr>
      <w:tblGrid>
        <w:gridCol w:w="1800"/>
        <w:gridCol w:w="1582"/>
        <w:gridCol w:w="2243"/>
      </w:tblGrid>
      <w:tr>
        <w:trPr/>
        <w:tc>
          <w:tcPr>
            <w:tcW w:w="1800"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IMMUNEERING CORPORATION</w:t>
              <w:br/>
              <w:t>2025 EMPLOYMENT INDUCEMENT AWARD PLAN</w:t>
            </w:r>
          </w:p>
        </w:tc>
      </w:tr>
    </w:tbl>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br/>
        <w:t>(As Amended June 11, 2026)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240"/>
        <w:jc w:val="center"/>
        <w:rPr/>
      </w:pPr>
      <w:r>
        <w:rPr>
          <w:rFonts w:ascii="Times New Roman;serif" w:hAnsi="Times New Roman;serif"/>
          <w:b/>
          <w:color w:val="000000"/>
          <w:sz w:val="22"/>
        </w:rPr>
        <w:t>ARTICLE I.</w:t>
      </w:r>
      <w:r>
        <w:rPr>
          <w:rFonts w:ascii="Times New Roman;serif" w:hAnsi="Times New Roman;serif"/>
          <w:b/>
          <w:color w:val="000000"/>
          <w:sz w:val="22"/>
        </w:rPr>
        <w:br/>
        <w:t xml:space="preserve">PURPOSE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Plan’s purpose is to enhance the Company’s ability to attract, retain and motivate persons who make (or are expected to make) important contributions to the Company by providing these individuals with equity ownership opportunities and/or equity-linked compensatory opportunities. Capitalized terms used in the Plan are defined in Article XI.</w:t>
      </w:r>
    </w:p>
    <w:p>
      <w:pPr>
        <w:pStyle w:val="TextBody"/>
        <w:bidi w:val="0"/>
        <w:spacing w:lineRule="auto" w:line="240" w:before="0" w:after="240"/>
        <w:jc w:val="center"/>
        <w:rPr/>
      </w:pPr>
      <w:r>
        <w:rPr>
          <w:rFonts w:ascii="Times New Roman;serif" w:hAnsi="Times New Roman;serif"/>
          <w:b/>
          <w:color w:val="000000"/>
          <w:sz w:val="22"/>
        </w:rPr>
        <w:t>ARTICLE II.</w:t>
      </w:r>
      <w:r>
        <w:rPr>
          <w:rFonts w:ascii="Times New Roman;serif" w:hAnsi="Times New Roman;serif"/>
          <w:b/>
          <w:color w:val="000000"/>
          <w:sz w:val="22"/>
        </w:rPr>
        <w:br/>
        <w:t>ELIGIBILITY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Eligible Individuals are eligible to be granted Awards under the Plan, subject to the limitations described herein.</w:t>
      </w:r>
    </w:p>
    <w:p>
      <w:pPr>
        <w:pStyle w:val="TextBody"/>
        <w:bidi w:val="0"/>
        <w:spacing w:lineRule="auto" w:line="240" w:before="0" w:after="240"/>
        <w:jc w:val="center"/>
        <w:rPr/>
      </w:pPr>
      <w:r>
        <w:rPr>
          <w:rFonts w:ascii="Times New Roman;serif" w:hAnsi="Times New Roman;serif"/>
          <w:b/>
          <w:color w:val="000000"/>
          <w:sz w:val="22"/>
        </w:rPr>
        <w:t>ARTICLE III.</w:t>
      </w:r>
      <w:r>
        <w:rPr>
          <w:rFonts w:ascii="Times New Roman;serif" w:hAnsi="Times New Roman;serif"/>
          <w:b/>
          <w:color w:val="000000"/>
          <w:sz w:val="22"/>
        </w:rPr>
        <w:br/>
        <w:t xml:space="preserve">ADMINISTRATION AND DELEGATION </w:t>
      </w:r>
    </w:p>
    <w:p>
      <w:pPr>
        <w:pStyle w:val="TextBody"/>
        <w:bidi w:val="0"/>
        <w:spacing w:lineRule="auto" w:line="240" w:before="0" w:after="240"/>
        <w:ind w:left="0" w:right="0" w:firstLine="720"/>
        <w:jc w:val="both"/>
        <w:rPr/>
      </w:pPr>
      <w:r>
        <w:rPr>
          <w:rFonts w:ascii="Times New Roman;serif" w:hAnsi="Times New Roman;serif"/>
          <w:b w:val="false"/>
          <w:color w:val="000000"/>
          <w:sz w:val="22"/>
        </w:rPr>
        <w:t>3.1</w:t>
      </w:r>
      <w:r>
        <w:rPr>
          <w:rFonts w:ascii="Times New Roman;serif" w:hAnsi="Times New Roman;serif"/>
          <w:b w:val="false"/>
          <w:color w:val="000000"/>
          <w:sz w:val="22"/>
          <w:u w:val="single"/>
        </w:rPr>
        <w:t>Administration</w:t>
      </w:r>
      <w:r>
        <w:rPr>
          <w:rFonts w:ascii="Times New Roman;serif" w:hAnsi="Times New Roman;serif"/>
          <w:b w:val="false"/>
          <w:color w:val="000000"/>
          <w:sz w:val="22"/>
        </w:rPr>
        <w:t>. The Plan is administered by the Administrator. The Administrator has authority to determine which Eligible Individuals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Agreement as it deems necessary or appropriate to administer the Plan and any Awards. The Administrator’s determinations under the Plan are in its sole discretion and will be final and binding on all persons having or claiming any interest in the Plan or any Award.</w:t>
      </w:r>
    </w:p>
    <w:p>
      <w:pPr>
        <w:pStyle w:val="TextBody"/>
        <w:bidi w:val="0"/>
        <w:spacing w:lineRule="auto" w:line="240" w:before="0" w:after="240"/>
        <w:ind w:left="0" w:right="0" w:firstLine="720"/>
        <w:jc w:val="both"/>
        <w:rPr/>
      </w:pPr>
      <w:r>
        <w:rPr>
          <w:rFonts w:ascii="Times New Roman;serif" w:hAnsi="Times New Roman;serif"/>
          <w:b w:val="false"/>
          <w:color w:val="000000"/>
          <w:sz w:val="22"/>
        </w:rPr>
        <w:t>3.2</w:t>
      </w:r>
      <w:r>
        <w:rPr>
          <w:rFonts w:ascii="Times New Roman;serif" w:hAnsi="Times New Roman;serif"/>
          <w:b w:val="false"/>
          <w:color w:val="000000"/>
          <w:sz w:val="22"/>
          <w:u w:val="single"/>
        </w:rPr>
        <w:t>Appointment of Committees</w:t>
      </w:r>
      <w:r>
        <w:rPr>
          <w:rFonts w:ascii="Times New Roman;serif" w:hAnsi="Times New Roman;serif"/>
          <w:b w:val="false"/>
          <w:color w:val="000000"/>
          <w:sz w:val="22"/>
        </w:rPr>
        <w:t xml:space="preserve">. To the extent Applicable Laws permit, the Board may delegate any or all of its powers under the Plan to one or more Committees or officers of the Company or any of its Subsidiaries. The Board may abolish any Committee or re-vest in itself any previously delegated authority at any time. </w:t>
      </w:r>
    </w:p>
    <w:p>
      <w:pPr>
        <w:pStyle w:val="TextBody"/>
        <w:bidi w:val="0"/>
        <w:spacing w:lineRule="auto" w:line="240" w:before="0" w:after="240"/>
        <w:jc w:val="center"/>
        <w:rPr/>
      </w:pPr>
      <w:r>
        <w:rPr>
          <w:rFonts w:ascii="Times New Roman;serif" w:hAnsi="Times New Roman;serif"/>
          <w:b/>
          <w:color w:val="000000"/>
          <w:sz w:val="22"/>
        </w:rPr>
        <w:t>ARTICLE IV.</w:t>
      </w:r>
      <w:r>
        <w:rPr>
          <w:rFonts w:ascii="Times New Roman;serif" w:hAnsi="Times New Roman;serif"/>
          <w:b w:val="false"/>
          <w:color w:val="000000"/>
          <w:sz w:val="22"/>
        </w:rPr>
        <w:br/>
      </w:r>
      <w:r>
        <w:rPr>
          <w:rFonts w:ascii="Times New Roman;serif" w:hAnsi="Times New Roman;serif"/>
          <w:b/>
          <w:color w:val="000000"/>
          <w:sz w:val="22"/>
        </w:rPr>
        <w:t>STOCK AVAILABLE FOR AWARDS</w:t>
      </w:r>
    </w:p>
    <w:p>
      <w:pPr>
        <w:pStyle w:val="TextBody"/>
        <w:bidi w:val="0"/>
        <w:spacing w:lineRule="auto" w:line="240" w:before="0" w:after="240"/>
        <w:ind w:left="0" w:right="0" w:firstLine="720"/>
        <w:jc w:val="both"/>
        <w:rPr/>
      </w:pPr>
      <w:r>
        <w:rPr>
          <w:rFonts w:ascii="Times New Roman;serif" w:hAnsi="Times New Roman;serif"/>
          <w:b w:val="false"/>
          <w:color w:val="000000"/>
          <w:sz w:val="22"/>
        </w:rPr>
        <w:t>4.1</w:t>
      </w:r>
      <w:r>
        <w:rPr>
          <w:rFonts w:ascii="Times New Roman;serif" w:hAnsi="Times New Roman;serif"/>
          <w:b w:val="false"/>
          <w:color w:val="000000"/>
          <w:sz w:val="22"/>
          <w:u w:val="single"/>
        </w:rPr>
        <w:t>Number of Shares</w:t>
      </w:r>
      <w:r>
        <w:rPr>
          <w:rFonts w:ascii="Times New Roman;serif" w:hAnsi="Times New Roman;serif"/>
          <w:b w:val="false"/>
          <w:color w:val="000000"/>
          <w:sz w:val="22"/>
        </w:rPr>
        <w:t>. Subject to adjustment under Article VIII and the terms of this Article IV, Awards may be made under the Plan covering up to the Overall Share Limit. Shares issued under the Plan may consist of authorized but unissued Shares, Shares purchased on the open market or treasury Shares.</w:t>
      </w:r>
    </w:p>
    <w:p>
      <w:pPr>
        <w:pStyle w:val="TextBody"/>
        <w:bidi w:val="0"/>
        <w:spacing w:lineRule="auto" w:line="240" w:before="0" w:after="240"/>
        <w:ind w:left="0" w:right="0" w:firstLine="720"/>
        <w:jc w:val="both"/>
        <w:rPr/>
      </w:pPr>
      <w:r>
        <w:rPr>
          <w:rFonts w:ascii="Times New Roman;serif" w:hAnsi="Times New Roman;serif"/>
          <w:b w:val="false"/>
          <w:color w:val="000000"/>
          <w:sz w:val="22"/>
        </w:rPr>
        <w:t>4.2</w:t>
      </w:r>
      <w:r>
        <w:rPr>
          <w:rFonts w:ascii="Times New Roman;serif" w:hAnsi="Times New Roman;serif"/>
          <w:b w:val="false"/>
          <w:color w:val="000000"/>
          <w:sz w:val="22"/>
          <w:u w:val="single"/>
        </w:rPr>
        <w:t>Share Recycling</w:t>
      </w:r>
      <w:r>
        <w:rPr>
          <w:rFonts w:ascii="Times New Roman;serif" w:hAnsi="Times New Roman;serif"/>
          <w:b w:val="false"/>
          <w:color w:val="000000"/>
          <w:sz w:val="22"/>
        </w:rPr>
        <w:t>. If all or any part of an Award expires, lapses or is terminated, exchanged for or settled in cash, surrendered, repurchased, canceled without having been fully exercised/settled or forfeited, in any case, in a manner that results in the Company acquiring Shares covered by the Award at a price not greater than the price (as adjusted to reflect any Equity Restructuring) paid by the Participant for such Shares or not issuing any Shares covered by the Award or Prior Plan Award, the unused Shares covered by the Award will again be available for Award grants under the Plan. Further, Shares delivered (either by actual delivery or attestation) to the Company by a Participant to satisfy the applicable exercise or purchase price of an Award and/or to satisfy any applicable tax withholding obligation (including Shares retained by the Company from the Award being exercised or purchased and/</w:t>
      </w:r>
    </w:p>
    <w:p>
      <w:pPr>
        <w:pStyle w:val="TextBody"/>
        <w:bidi w:val="0"/>
        <w:spacing w:before="0" w:after="0"/>
        <w:jc w:val="both"/>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or creating the tax obligation) will, as applicable, become or again be available for Award grants under the Plan. The payment of Dividend Equivalents in cash in conjunction with any outstanding Awards shall not count against the Overall Share Limit. </w:t>
      </w:r>
    </w:p>
    <w:p>
      <w:pPr>
        <w:pStyle w:val="TextBody"/>
        <w:bidi w:val="0"/>
        <w:spacing w:lineRule="auto" w:line="240" w:before="0" w:after="240"/>
        <w:jc w:val="center"/>
        <w:rPr/>
      </w:pPr>
      <w:r>
        <w:rPr>
          <w:rFonts w:ascii="Times New Roman;serif" w:hAnsi="Times New Roman;serif"/>
          <w:b/>
          <w:color w:val="000000"/>
          <w:sz w:val="22"/>
        </w:rPr>
        <w:t>ARTICLE V.</w:t>
      </w:r>
      <w:r>
        <w:rPr>
          <w:rFonts w:ascii="Times New Roman;serif" w:hAnsi="Times New Roman;serif"/>
          <w:b/>
          <w:color w:val="000000"/>
          <w:sz w:val="22"/>
        </w:rPr>
        <w:br/>
        <w:t>STOCK OPTIONS AND STOCK APPRECIATION RIGHTS</w:t>
      </w:r>
    </w:p>
    <w:p>
      <w:pPr>
        <w:pStyle w:val="TextBody"/>
        <w:bidi w:val="0"/>
        <w:spacing w:lineRule="auto" w:line="240" w:before="0" w:after="240"/>
        <w:ind w:left="0" w:right="0" w:firstLine="720"/>
        <w:jc w:val="both"/>
        <w:rPr/>
      </w:pPr>
      <w:r>
        <w:rPr>
          <w:rFonts w:ascii="Times New Roman;serif" w:hAnsi="Times New Roman;serif"/>
          <w:b w:val="false"/>
          <w:color w:val="000000"/>
          <w:sz w:val="22"/>
        </w:rPr>
        <w:t>5.1</w:t>
      </w:r>
      <w:r>
        <w:rPr>
          <w:rFonts w:ascii="Times New Roman;serif" w:hAnsi="Times New Roman;serif"/>
          <w:b w:val="false"/>
          <w:color w:val="000000"/>
          <w:sz w:val="22"/>
          <w:u w:val="single"/>
        </w:rPr>
        <w:t>General</w:t>
      </w:r>
      <w:r>
        <w:rPr>
          <w:rFonts w:ascii="Times New Roman;serif" w:hAnsi="Times New Roman;serif"/>
          <w:b w:val="false"/>
          <w:color w:val="000000"/>
          <w:sz w:val="22"/>
        </w:rPr>
        <w:t xml:space="preserve">. The Administrator may grant Non-Qualified Options or Stock Appreciation Rights to Eligible Individuals subject to the conditions and limitations in the Plan.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 </w:t>
      </w:r>
    </w:p>
    <w:p>
      <w:pPr>
        <w:pStyle w:val="TextBody"/>
        <w:bidi w:val="0"/>
        <w:spacing w:lineRule="auto" w:line="240" w:before="0" w:after="240"/>
        <w:ind w:left="0" w:right="0" w:firstLine="720"/>
        <w:jc w:val="both"/>
        <w:rPr/>
      </w:pPr>
      <w:r>
        <w:rPr>
          <w:rFonts w:ascii="Times New Roman;serif" w:hAnsi="Times New Roman;serif"/>
          <w:b w:val="false"/>
          <w:color w:val="000000"/>
          <w:sz w:val="22"/>
        </w:rPr>
        <w:t>5.2</w:t>
      </w:r>
      <w:r>
        <w:rPr>
          <w:rFonts w:ascii="Times New Roman;serif" w:hAnsi="Times New Roman;serif"/>
          <w:b w:val="false"/>
          <w:color w:val="000000"/>
          <w:sz w:val="22"/>
          <w:u w:val="single"/>
        </w:rPr>
        <w:t>Exercise Price</w:t>
      </w:r>
      <w:r>
        <w:rPr>
          <w:rFonts w:ascii="Times New Roman;serif" w:hAnsi="Times New Roman;serif"/>
          <w:b w:val="false"/>
          <w:color w:val="000000"/>
          <w:sz w:val="22"/>
        </w:rPr>
        <w:t xml:space="preserve">. The Administrator will establish each Option’s and Stock Appreciation Right’s exercise price and specify the exercise price in the Award Agreement. Unless otherwise determined by the Administrator, the exercise price will not be less than 100% of the Fair Market Value on the grant date of the Option or Stock Appreciation Right. </w:t>
      </w:r>
    </w:p>
    <w:p>
      <w:pPr>
        <w:pStyle w:val="TextBody"/>
        <w:bidi w:val="0"/>
        <w:spacing w:lineRule="auto" w:line="240" w:before="0" w:after="240"/>
        <w:ind w:left="0" w:right="0" w:firstLine="720"/>
        <w:jc w:val="both"/>
        <w:rPr/>
      </w:pPr>
      <w:r>
        <w:rPr>
          <w:rFonts w:ascii="Times New Roman;serif" w:hAnsi="Times New Roman;serif"/>
          <w:b w:val="false"/>
          <w:color w:val="000000"/>
          <w:sz w:val="22"/>
        </w:rPr>
        <w:t>5.3</w:t>
      </w:r>
      <w:r>
        <w:rPr>
          <w:rFonts w:ascii="Times New Roman;serif" w:hAnsi="Times New Roman;serif"/>
          <w:b w:val="false"/>
          <w:color w:val="000000"/>
          <w:sz w:val="22"/>
          <w:u w:val="single"/>
        </w:rPr>
        <w:t>Duration</w:t>
      </w:r>
      <w:r>
        <w:rPr>
          <w:rFonts w:ascii="Times New Roman;serif" w:hAnsi="Times New Roman;serif"/>
          <w:b w:val="false"/>
          <w:color w:val="000000"/>
          <w:sz w:val="22"/>
        </w:rPr>
        <w:t>. Each Option or Stock Appreciation Right will be exercisable at such times and as specified in the Award Agreement, provided that the term of an Option or Stock Appreciation Right will not exceed ten years. Notwithstanding the foregoing and unless determined otherwise by the Company, in the event that on the last business day of the term of an Option or Stock Appreciation Right (i) the exercise of the Option or Stock Appreciation Right is prohibited by Applicable Laws, as determined by the Company, or (ii)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automatically extended until the date that is thirty (30) days after the end of the legal prohibition, black-out period or lock-up agreement, as determined by the Company; provided, however, in no event shall the extension last beyond the ten year term of the applicable Option or Stock Appreciation Right. Notwithstanding the foregoing, if the Participant, prior to the end of the term of an Option or Stock Appreciation Right,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Stock Appreciation Right issued to the Participant shall terminate immediately upon such violation, unless the Company otherwise determines. In addition, if, prior to the end of the term of an Option or Stock Appreciation Right, the Participant is given notice by the Company or any of its Subsidiaries of the Participant’s Termination of Service by the Company or any of its Subsidiaries for Cause, and the effective date of such Termination of Service is subsequent to the date of the delivery of such notice, the right of the Participant and the Participant’s transferees to exercise any Option or Stock Appreciation Right issued to the Participant shall be suspended from the time of the delivery of such notice until the earlier of (i) such time as it is determined or otherwise agreed that the Participant’s service as a Service Provider will not be terminated for Cause as provided in such notice or (ii) the effective date of the Participant’s Termination of Service by the Company or any of its Subsidiaries for Cause (in which case the right of the Participant and the Participant’s transferees to exercise any Option or Stock Appreciation Right issued to the Participant will terminate immediately upon the effective date of such Termination of Service).</w:t>
      </w:r>
    </w:p>
    <w:p>
      <w:pPr>
        <w:pStyle w:val="TextBody"/>
        <w:bidi w:val="0"/>
        <w:spacing w:lineRule="auto" w:line="240" w:before="0" w:after="240"/>
        <w:ind w:left="0" w:right="0" w:firstLine="720"/>
        <w:jc w:val="both"/>
        <w:rPr/>
      </w:pPr>
      <w:r>
        <w:rPr>
          <w:rFonts w:ascii="Times New Roman;serif" w:hAnsi="Times New Roman;serif"/>
          <w:b w:val="false"/>
          <w:color w:val="000000"/>
          <w:sz w:val="22"/>
        </w:rPr>
        <w:t>5.4</w:t>
      </w:r>
      <w:r>
        <w:rPr>
          <w:rFonts w:ascii="Times New Roman;serif" w:hAnsi="Times New Roman;serif"/>
          <w:b w:val="false"/>
          <w:color w:val="000000"/>
          <w:sz w:val="22"/>
          <w:u w:val="single"/>
        </w:rPr>
        <w:t>Exercise</w:t>
      </w:r>
      <w:r>
        <w:rPr>
          <w:rFonts w:ascii="Times New Roman;serif" w:hAnsi="Times New Roman;serif"/>
          <w:b w:val="false"/>
          <w:color w:val="000000"/>
          <w:sz w:val="22"/>
        </w:rPr>
        <w:t xml:space="preserve">. Options and Stock Appreciation Rights may be exercised by delivering to the Company a written notice of exercise, in a form the Administrator approves (which may be electronic), signed by the person authorized to exercise the Option or Stock Appreciation Right, together with, as </w:t>
      </w:r>
    </w:p>
    <w:p>
      <w:pPr>
        <w:pStyle w:val="TextBody"/>
        <w:bidi w:val="0"/>
        <w:spacing w:before="0" w:after="0"/>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applicable, payment in full (i) as specified in Section 5.5 for the number of Shares for which the Award is exercised and (ii) as specified in Section 9.5 for any applicable taxes. Unless the Administrator otherwise determines, an Option or Stock Appreciation Right may not be exercised for a fraction of a Share.</w:t>
      </w:r>
    </w:p>
    <w:p>
      <w:pPr>
        <w:pStyle w:val="TextBody"/>
        <w:bidi w:val="0"/>
        <w:spacing w:lineRule="auto" w:line="240" w:before="0" w:after="240"/>
        <w:ind w:left="0" w:right="0" w:firstLine="720"/>
        <w:jc w:val="both"/>
        <w:rPr/>
      </w:pPr>
      <w:r>
        <w:rPr>
          <w:rFonts w:ascii="Times New Roman;serif" w:hAnsi="Times New Roman;serif"/>
          <w:b w:val="false"/>
          <w:color w:val="000000"/>
          <w:sz w:val="22"/>
        </w:rPr>
        <w:t>5.5</w:t>
      </w:r>
      <w:r>
        <w:rPr>
          <w:rFonts w:ascii="Times New Roman;serif" w:hAnsi="Times New Roman;serif"/>
          <w:b w:val="false"/>
          <w:color w:val="000000"/>
          <w:sz w:val="22"/>
          <w:u w:val="single"/>
        </w:rPr>
        <w:t>Payment Upon Exercise</w:t>
      </w:r>
      <w:r>
        <w:rPr>
          <w:rFonts w:ascii="Times New Roman;serif" w:hAnsi="Times New Roman;serif"/>
          <w:b w:val="false"/>
          <w:color w:val="000000"/>
          <w:sz w:val="22"/>
        </w:rPr>
        <w:t xml:space="preserve">. Subject to Section 10.9, any Company insider trading policy (including blackout periods) and Applicable Laws, the exercise price of an Option must be paid by: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cash, wire transfer of immediately available funds or by check payable to the order of the Company, provided that the Company may limit the use of one of the foregoing payment forms if one or more of the payment forms below is permitted;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if there is a public market for Shares at the time of exercise, unless the Company otherwise determines, (A) delivery (including telephonically to the extent permitted by the Company) of an irrevocable and unconditional undertaking by a broker acceptable to the Company to deliver promptly to the Company sufficient funds to pay the exercise price, or (B)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 </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to the extent permitted by the Administrator, delivery (either by actual delivery or attestation) of Shares owned by the Participant valued at their Fair Market Value;</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to the extent permitted by the Administrator, surrendering Shares then issuable upon the Option’s exercise valued at their Fair Market Value on the exercise date;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to the extent permitted by the Administrator, delivery of a promissory note or any other property that the Administrator determines is good and valuable consideration;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to the extent permitted by the Company, any combination of the above payment forms approved by the Administrator.</w:t>
      </w:r>
    </w:p>
    <w:p>
      <w:pPr>
        <w:pStyle w:val="TextBody"/>
        <w:bidi w:val="0"/>
        <w:spacing w:lineRule="auto" w:line="240" w:before="0" w:after="240"/>
        <w:jc w:val="center"/>
        <w:rPr/>
      </w:pPr>
      <w:r>
        <w:rPr>
          <w:rFonts w:ascii="Times New Roman;serif" w:hAnsi="Times New Roman;serif"/>
          <w:b/>
          <w:color w:val="000000"/>
          <w:sz w:val="22"/>
        </w:rPr>
        <w:t>ARTICLE VI.</w:t>
      </w:r>
      <w:r>
        <w:rPr>
          <w:rFonts w:ascii="Times New Roman;serif" w:hAnsi="Times New Roman;serif"/>
          <w:b/>
          <w:color w:val="000000"/>
          <w:sz w:val="22"/>
        </w:rPr>
        <w:br/>
        <w:t>RESTRICTED STOCK; RESTRICTED STOCK UNITS</w:t>
      </w:r>
    </w:p>
    <w:p>
      <w:pPr>
        <w:pStyle w:val="TextBody"/>
        <w:bidi w:val="0"/>
        <w:spacing w:lineRule="auto" w:line="240" w:before="0" w:after="240"/>
        <w:ind w:left="0" w:right="0" w:firstLine="720"/>
        <w:jc w:val="both"/>
        <w:rPr/>
      </w:pPr>
      <w:r>
        <w:rPr>
          <w:rFonts w:ascii="Times New Roman;serif" w:hAnsi="Times New Roman;serif"/>
          <w:b w:val="false"/>
          <w:color w:val="000000"/>
          <w:sz w:val="22"/>
        </w:rPr>
        <w:t>6.1</w:t>
      </w:r>
      <w:r>
        <w:rPr>
          <w:rFonts w:ascii="Times New Roman;serif" w:hAnsi="Times New Roman;serif"/>
          <w:b w:val="false"/>
          <w:color w:val="000000"/>
          <w:sz w:val="22"/>
          <w:u w:val="single"/>
        </w:rPr>
        <w:t>General</w:t>
      </w:r>
      <w:r>
        <w:rPr>
          <w:rFonts w:ascii="Times New Roman;serif" w:hAnsi="Times New Roman;serif"/>
          <w:b w:val="false"/>
          <w:color w:val="000000"/>
          <w:sz w:val="22"/>
        </w:rPr>
        <w:t>.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and subject to the conditions and limitations in the Plan. In addition, subject to the conditions and limitations in the Plan, the Administrator may grant to Eligible Individuals Restricted Stock Units, which may be subject to vesting and forfeiture conditions during the applicable restriction period or periods, as set forth in an Award Agreement. The Administrator will determine and set forth in the Award Agreement the terms and conditions for each Restricted Stock and Restricted Stock Unit Award, subject to the conditions and limitations contained in the Plan.</w:t>
      </w:r>
    </w:p>
    <w:p>
      <w:pPr>
        <w:pStyle w:val="TextBody"/>
        <w:bidi w:val="0"/>
        <w:spacing w:lineRule="auto" w:line="240" w:before="0" w:after="240"/>
        <w:ind w:left="0" w:right="0" w:firstLine="720"/>
        <w:jc w:val="both"/>
        <w:rPr/>
      </w:pPr>
      <w:r>
        <w:rPr>
          <w:rFonts w:ascii="Times New Roman;serif" w:hAnsi="Times New Roman;serif"/>
          <w:b w:val="false"/>
          <w:color w:val="000000"/>
          <w:sz w:val="22"/>
        </w:rPr>
        <w:t>6.2</w:t>
      </w:r>
      <w:r>
        <w:rPr>
          <w:rFonts w:ascii="Times New Roman;serif" w:hAnsi="Times New Roman;serif"/>
          <w:b w:val="false"/>
          <w:color w:val="000000"/>
          <w:sz w:val="22"/>
          <w:u w:val="single"/>
        </w:rPr>
        <w:t>Restricted Stock</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Dividends</w:t>
      </w:r>
      <w:r>
        <w:rPr>
          <w:rFonts w:ascii="Times New Roman;serif" w:hAnsi="Times New Roman;serif"/>
          <w:b w:val="false"/>
          <w:color w:val="000000"/>
          <w:sz w:val="22"/>
        </w:rPr>
        <w:t xml:space="preserve">.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 </w:t>
      </w:r>
    </w:p>
    <w:p>
      <w:pPr>
        <w:pStyle w:val="TextBody"/>
        <w:bidi w:val="0"/>
        <w:spacing w:before="0" w:after="0"/>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Stock Certificates</w:t>
      </w:r>
      <w:r>
        <w:rPr>
          <w:rFonts w:ascii="Times New Roman;serif" w:hAnsi="Times New Roman;serif"/>
          <w:b w:val="false"/>
          <w:color w:val="000000"/>
          <w:sz w:val="22"/>
        </w:rPr>
        <w:t>. The Company may require that the Participant deposit in escrow with the Company (or its designee) any stock certificates issued in respect of Shares of Restricted Stock, together with a stock power endorsed in blank.</w:t>
      </w:r>
    </w:p>
    <w:p>
      <w:pPr>
        <w:pStyle w:val="TextBody"/>
        <w:bidi w:val="0"/>
        <w:spacing w:lineRule="auto" w:line="240" w:before="0" w:after="240"/>
        <w:ind w:left="0" w:right="0" w:firstLine="720"/>
        <w:jc w:val="both"/>
        <w:rPr/>
      </w:pPr>
      <w:r>
        <w:rPr>
          <w:rFonts w:ascii="Times New Roman;serif" w:hAnsi="Times New Roman;serif"/>
          <w:b w:val="false"/>
          <w:color w:val="000000"/>
          <w:sz w:val="22"/>
        </w:rPr>
        <w:t>6.3</w:t>
      </w:r>
      <w:r>
        <w:rPr>
          <w:rFonts w:ascii="Times New Roman;serif" w:hAnsi="Times New Roman;serif"/>
          <w:b w:val="false"/>
          <w:color w:val="000000"/>
          <w:sz w:val="22"/>
          <w:u w:val="single"/>
        </w:rPr>
        <w:t>Restricted Stock Units.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Settlement</w:t>
      </w:r>
      <w:r>
        <w:rPr>
          <w:rFonts w:ascii="Times New Roman;serif" w:hAnsi="Times New Roman;serif"/>
          <w:b w:val="false"/>
          <w:color w:val="000000"/>
          <w:sz w:val="22"/>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Stockholder Rights</w:t>
      </w:r>
      <w:r>
        <w:rPr>
          <w:rFonts w:ascii="Times New Roman;serif" w:hAnsi="Times New Roman;serif"/>
          <w:b w:val="false"/>
          <w:color w:val="000000"/>
          <w:sz w:val="22"/>
        </w:rPr>
        <w:t>. A Participant will have no rights of a stockholder with respect to Shares subject to any Restricted Stock Unit unless and until the Shares are delivered in settlement of the Restricted Stock Unit.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Dividend Equivalents</w:t>
      </w:r>
      <w:r>
        <w:rPr>
          <w:rFonts w:ascii="Times New Roman;serif" w:hAnsi="Times New Roman;serif"/>
          <w:b w:val="false"/>
          <w:color w:val="000000"/>
          <w:sz w:val="22"/>
        </w:rPr>
        <w:t xml:space="preserve">. If the Administrator provides, a grant of Restricted Stock Units may provide a Participant with the right to receive Dividend Equivalents. Dividend Equivalents may be paid currently or credited to an account for the Participant, settled in cash or Shares and subject to the same restrictions on transferability and forfeitability as the Restricted Stock Units with respect to which the Dividend Equivalents are granted and subject to other terms and conditions as set forth in the Award Agreement. </w:t>
      </w:r>
    </w:p>
    <w:p>
      <w:pPr>
        <w:pStyle w:val="TextBody"/>
        <w:bidi w:val="0"/>
        <w:spacing w:lineRule="auto" w:line="240" w:before="0" w:after="240"/>
        <w:jc w:val="center"/>
        <w:rPr/>
      </w:pPr>
      <w:r>
        <w:rPr>
          <w:rFonts w:ascii="Times New Roman;serif" w:hAnsi="Times New Roman;serif"/>
          <w:b/>
          <w:color w:val="000000"/>
          <w:sz w:val="22"/>
        </w:rPr>
        <w:t>ARTICLE VII.</w:t>
      </w:r>
      <w:r>
        <w:rPr>
          <w:rFonts w:ascii="Times New Roman;serif" w:hAnsi="Times New Roman;serif"/>
          <w:b/>
          <w:color w:val="000000"/>
          <w:sz w:val="22"/>
        </w:rPr>
        <w:br/>
        <w:t>OTHER STOCK OR CASH BASED AWARDS</w:t>
      </w:r>
      <w:r>
        <w:rPr>
          <w:color w:val="000000"/>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or any combination of the foregoing, as the Administrator determines. Subject to the provisions of the Plan, the Administrator will determine the terms and conditions of each Other Stock or Cash Based Award, including any purchase price, performance goal(s) (which may be based on the Performance Criteria), transfer restrictions, and vesting conditions, which will be set forth in the applicable Award Agreement. </w:t>
      </w:r>
    </w:p>
    <w:p>
      <w:pPr>
        <w:pStyle w:val="TextBody"/>
        <w:bidi w:val="0"/>
        <w:spacing w:lineRule="auto" w:line="240" w:before="0" w:after="240"/>
        <w:jc w:val="center"/>
        <w:rPr/>
      </w:pPr>
      <w:r>
        <w:rPr>
          <w:rFonts w:ascii="Times New Roman;serif" w:hAnsi="Times New Roman;serif"/>
          <w:b/>
          <w:color w:val="000000"/>
          <w:sz w:val="22"/>
        </w:rPr>
        <w:t>ARTICLE VIII.</w:t>
      </w:r>
      <w:r>
        <w:rPr>
          <w:rFonts w:ascii="Times New Roman;serif" w:hAnsi="Times New Roman;serif"/>
          <w:b/>
          <w:color w:val="000000"/>
          <w:sz w:val="22"/>
        </w:rPr>
        <w:br/>
        <w:t xml:space="preserve">ADJUSTMENTS FOR CHANGES IN COMMON STOCK </w:t>
        <w:br/>
        <w:t>AND CERTAIN OTHER EVENTS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8.1</w:t>
      </w:r>
      <w:r>
        <w:rPr>
          <w:rFonts w:ascii="Times New Roman;serif" w:hAnsi="Times New Roman;serif"/>
          <w:b w:val="false"/>
          <w:color w:val="000000"/>
          <w:sz w:val="22"/>
          <w:u w:val="single"/>
        </w:rPr>
        <w:t>Equity Restructuring</w:t>
      </w:r>
      <w:r>
        <w:rPr>
          <w:rFonts w:ascii="Times New Roman;serif" w:hAnsi="Times New Roman;serif"/>
          <w:b w:val="false"/>
          <w:color w:val="000000"/>
          <w:sz w:val="22"/>
        </w:rPr>
        <w:t>.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(subject to Section 10.4), and making a cash payment to Participants. The adjustments provided under this Section 8.1 will be nondiscretionary and final and binding on the affected Participant and the Company; provided that the Administrator will determine whether an adjustment is equitable.</w:t>
      </w:r>
    </w:p>
    <w:p>
      <w:pPr>
        <w:pStyle w:val="TextBody"/>
        <w:bidi w:val="0"/>
        <w:spacing w:lineRule="auto" w:line="240" w:before="0" w:after="240"/>
        <w:ind w:left="0" w:right="0" w:firstLine="720"/>
        <w:jc w:val="both"/>
        <w:rPr/>
      </w:pPr>
      <w:r>
        <w:rPr>
          <w:rFonts w:ascii="Times New Roman;serif" w:hAnsi="Times New Roman;serif"/>
          <w:b w:val="false"/>
          <w:color w:val="000000"/>
          <w:sz w:val="22"/>
        </w:rPr>
        <w:t>8.2</w:t>
      </w:r>
      <w:r>
        <w:rPr>
          <w:rFonts w:ascii="Times New Roman;serif" w:hAnsi="Times New Roman;serif"/>
          <w:b w:val="false"/>
          <w:color w:val="000000"/>
          <w:sz w:val="22"/>
          <w:u w:val="single"/>
        </w:rPr>
        <w:t>Corporate Transactions</w:t>
      </w:r>
      <w:r>
        <w:rPr>
          <w:rFonts w:ascii="Times New Roman;serif" w:hAnsi="Times New Roman;serif"/>
          <w:b w:val="false"/>
          <w:color w:val="000000"/>
          <w:sz w:val="22"/>
        </w:rPr>
        <w:t xml:space="preserve">.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w:t>
      </w:r>
    </w:p>
    <w:p>
      <w:pPr>
        <w:pStyle w:val="TextBody"/>
        <w:bidi w:val="0"/>
        <w:spacing w:before="0" w:after="0"/>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Laws or accounting principles may be made within a reasonable period of time after such change),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 </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To provide that such Award shall vest and, to the extent applicable, be exercisable as to all Shares covered thereby, notwithstanding anything to the contrary in the Plan or the provisions of such Award;</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 </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To make adjustments in the number and type of Shares (or other securities or property) subject to outstanding Awards and/or with respect to which Awards may be granted under the Plan (including, but not limited to, adjustments of the limitations in Article IV hereof on the maximum number and kind of shares which may be issued) and/or in the terms and conditions of (including the grant or exercise price or applicable performance goals), and the criteria included in, outstanding Awards;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To replace such Award with other rights or property selected by the Administrator; and/or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To provide that the Award will terminate and cannot vest, be exercised or become payable after the applicable event.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8.3</w:t>
      </w:r>
      <w:r>
        <w:rPr>
          <w:rFonts w:ascii="Times New Roman;serif" w:hAnsi="Times New Roman;serif"/>
          <w:b w:val="false"/>
          <w:color w:val="000000"/>
          <w:sz w:val="22"/>
          <w:u w:val="single"/>
        </w:rPr>
        <w:t>Non-Assumption of Awards</w:t>
      </w:r>
      <w:r>
        <w:rPr>
          <w:rFonts w:ascii="Times New Roman;serif" w:hAnsi="Times New Roman;serif"/>
          <w:b w:val="false"/>
          <w:color w:val="000000"/>
          <w:sz w:val="22"/>
        </w:rPr>
        <w:t>. Notwithstanding Section 8.2 above, if a Change in Control occurs and a Participant’s Award(s) that vest solely based on continued employment or service (“</w:t>
      </w:r>
      <w:r>
        <w:rPr>
          <w:rFonts w:ascii="Times New Roman;serif" w:hAnsi="Times New Roman;serif"/>
          <w:b w:val="false"/>
          <w:color w:val="000000"/>
          <w:sz w:val="22"/>
          <w:u w:val="single"/>
        </w:rPr>
        <w:t>Time-Based Awards</w:t>
      </w:r>
      <w:r>
        <w:rPr>
          <w:color w:val="000000"/>
        </w:rPr>
        <w:t>”</w:t>
      </w:r>
      <w:r>
        <w:rPr>
          <w:rFonts w:ascii="Times New Roman;serif" w:hAnsi="Times New Roman;serif"/>
          <w:b w:val="false"/>
          <w:color w:val="000000"/>
          <w:sz w:val="22"/>
        </w:rPr>
        <w:t>) are not continued, converted, assumed, or replaced with a substantially similar award by (i) the Company, or (ii) a successor entity or its parent or subsidiary (an “</w:t>
      </w:r>
      <w:r>
        <w:rPr>
          <w:rFonts w:ascii="Times New Roman;serif" w:hAnsi="Times New Roman;serif"/>
          <w:b w:val="false"/>
          <w:color w:val="000000"/>
          <w:sz w:val="22"/>
          <w:u w:val="single"/>
        </w:rPr>
        <w:t>Assumption</w:t>
      </w:r>
      <w:r>
        <w:rPr>
          <w:color w:val="000000"/>
        </w:rPr>
        <w:t>”</w:t>
      </w:r>
      <w:r>
        <w:rPr>
          <w:rFonts w:ascii="Times New Roman;serif" w:hAnsi="Times New Roman;serif"/>
          <w:b w:val="false"/>
          <w:color w:val="000000"/>
          <w:sz w:val="22"/>
        </w:rPr>
        <w:t xml:space="preserve">), and provided that the Participant has not had a Termination of Service, then immediately prior to the Change in Control such Time-Based Awards shall become fully vested, exercisable and/or payable, as applicable, and all forfeiture, repurchase and other restrictions on such Time-Based Awards shall lapse, in which case, such Time-Based Awards shall be canceled upon the consummation of the Change in Control in exchange for the right to receive the Change in Control consideration payable to other holders of Common Stock (A) which may be on such terms and conditions as apply generally to holders of Common Stock under the Change in Control documents (including, without limitation, any escrow, earn-out or other deferred consideration provisions) or such other terms and conditions as the Administrator may provide, and (B) determined by reference to the number of Shares subject to such Time-Based Awards and net of any applicable exercise price; provided that to the extent that any Time-Based Awards constitute “nonqualified deferred compensation” that may not be paid upon the Change in Control under Section 409A without the imposition of taxes thereon under Section 409A, the timing of such payments shall be </w:t>
      </w:r>
    </w:p>
    <w:p>
      <w:pPr>
        <w:pStyle w:val="TextBody"/>
        <w:bidi w:val="0"/>
        <w:spacing w:before="0" w:after="0"/>
        <w:jc w:val="both"/>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governed by the applicable Award Agreement (subject to any deferred consideration provisions applicable under the Change in Control documents); and provided, further, that if the amount to which a Participant would be entitled upon the settlement or exercise of such Time-Based Award at the time of the Change in Control is equal to or less than zero, then such Time-Based Award may be terminated without payment. The Administrator shall determine whether an Assumption of an Time-Based Award has occurred in connection with a Change in Control.</w:t>
      </w:r>
    </w:p>
    <w:p>
      <w:pPr>
        <w:pStyle w:val="TextBody"/>
        <w:bidi w:val="0"/>
        <w:spacing w:lineRule="auto" w:line="240" w:before="0" w:after="240"/>
        <w:ind w:left="0" w:right="0" w:firstLine="720"/>
        <w:jc w:val="both"/>
        <w:rPr/>
      </w:pPr>
      <w:r>
        <w:rPr>
          <w:rFonts w:ascii="Times New Roman;serif" w:hAnsi="Times New Roman;serif"/>
          <w:b w:val="false"/>
          <w:color w:val="000000"/>
          <w:sz w:val="22"/>
        </w:rPr>
        <w:t>8.4</w:t>
      </w:r>
      <w:r>
        <w:rPr>
          <w:rFonts w:ascii="Times New Roman;serif" w:hAnsi="Times New Roman;serif"/>
          <w:b w:val="false"/>
          <w:color w:val="000000"/>
          <w:sz w:val="22"/>
          <w:u w:val="single"/>
        </w:rPr>
        <w:t>Administrative Stand Still</w:t>
      </w:r>
      <w:r>
        <w:rPr>
          <w:rFonts w:ascii="Times New Roman;serif" w:hAnsi="Times New Roman;serif"/>
          <w:b w:val="false"/>
          <w:color w:val="000000"/>
          <w:sz w:val="22"/>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for administrative convenience, the Administrator may refuse to permit the exercise of any Award for up to sixty days before or after such transaction.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8.5</w:t>
      </w:r>
      <w:r>
        <w:rPr>
          <w:rFonts w:ascii="Times New Roman;serif" w:hAnsi="Times New Roman;serif"/>
          <w:b w:val="false"/>
          <w:color w:val="000000"/>
          <w:sz w:val="22"/>
          <w:u w:val="single"/>
        </w:rPr>
        <w:t>General</w:t>
      </w:r>
      <w:r>
        <w:rPr>
          <w:rFonts w:ascii="Times New Roman;serif" w:hAnsi="Times New Roman;serif"/>
          <w:b w:val="false"/>
          <w:color w:val="000000"/>
          <w:sz w:val="22"/>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above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pStyle w:val="TextBody"/>
        <w:bidi w:val="0"/>
        <w:spacing w:lineRule="auto" w:line="240" w:before="0" w:after="240"/>
        <w:jc w:val="center"/>
        <w:rPr/>
      </w:pPr>
      <w:r>
        <w:rPr>
          <w:rFonts w:ascii="Times New Roman;serif" w:hAnsi="Times New Roman;serif"/>
          <w:b/>
          <w:color w:val="000000"/>
          <w:sz w:val="22"/>
        </w:rPr>
        <w:t>ARTICLE IX.</w:t>
      </w:r>
      <w:r>
        <w:rPr>
          <w:rFonts w:ascii="Times New Roman;serif" w:hAnsi="Times New Roman;serif"/>
          <w:b/>
          <w:color w:val="000000"/>
          <w:sz w:val="22"/>
        </w:rPr>
        <w:br/>
        <w:t>GENERAL PROVISIONS APPLICABLE TO AWARDS</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9.1</w:t>
      </w:r>
      <w:r>
        <w:rPr>
          <w:rFonts w:ascii="Times New Roman;serif" w:hAnsi="Times New Roman;serif"/>
          <w:b w:val="false"/>
          <w:color w:val="000000"/>
          <w:sz w:val="22"/>
          <w:u w:val="single"/>
        </w:rPr>
        <w:t>Transferability</w:t>
      </w:r>
      <w:r>
        <w:rPr>
          <w:rFonts w:ascii="Times New Roman;serif" w:hAnsi="Times New Roman;serif"/>
          <w:b w:val="false"/>
          <w:color w:val="000000"/>
          <w:sz w:val="22"/>
        </w:rPr>
        <w:t>. Except as the Administrator may determine or provide in an Award Agreement or otherwise, Awards may not be sold, assigned, transferred, pledged or otherwise encumbered, either voluntarily or by operation of law, except by will or the laws of descent and distribution, or, subject to the Administrator’s consent, pursuant to a domestic relations order, and, during the life of the Participant, will be exercisable only by the Participant. References to a Participant, to the extent relevant in the context, will include references to a Participant’s authorized transferee that the Administrator specifically approves.</w:t>
      </w:r>
    </w:p>
    <w:p>
      <w:pPr>
        <w:pStyle w:val="TextBody"/>
        <w:bidi w:val="0"/>
        <w:spacing w:lineRule="auto" w:line="240" w:before="0" w:after="240"/>
        <w:ind w:left="0" w:right="0" w:firstLine="720"/>
        <w:jc w:val="both"/>
        <w:rPr/>
      </w:pPr>
      <w:r>
        <w:rPr>
          <w:rFonts w:ascii="Times New Roman;serif" w:hAnsi="Times New Roman;serif"/>
          <w:b w:val="false"/>
          <w:color w:val="000000"/>
          <w:sz w:val="22"/>
        </w:rPr>
        <w:t>9.2</w:t>
      </w:r>
      <w:r>
        <w:rPr>
          <w:rFonts w:ascii="Times New Roman;serif" w:hAnsi="Times New Roman;serif"/>
          <w:b w:val="false"/>
          <w:color w:val="000000"/>
          <w:sz w:val="22"/>
          <w:u w:val="single"/>
        </w:rPr>
        <w:t>Documentation</w:t>
      </w:r>
      <w:r>
        <w:rPr>
          <w:rFonts w:ascii="Times New Roman;serif" w:hAnsi="Times New Roman;serif"/>
          <w:b w:val="false"/>
          <w:color w:val="000000"/>
          <w:sz w:val="22"/>
        </w:rPr>
        <w:t xml:space="preserve">. Each Award will be evidenced in an Award Agreement, which may be written or electronic, as the Administrator determines. Each Award may contain terms and conditions in addition to those set forth in the Plan. </w:t>
      </w:r>
    </w:p>
    <w:p>
      <w:pPr>
        <w:pStyle w:val="TextBody"/>
        <w:bidi w:val="0"/>
        <w:spacing w:lineRule="auto" w:line="240" w:before="0" w:after="240"/>
        <w:ind w:left="0" w:right="0" w:firstLine="720"/>
        <w:jc w:val="both"/>
        <w:rPr/>
      </w:pPr>
      <w:r>
        <w:rPr>
          <w:rFonts w:ascii="Times New Roman;serif" w:hAnsi="Times New Roman;serif"/>
          <w:b w:val="false"/>
          <w:color w:val="000000"/>
          <w:sz w:val="22"/>
        </w:rPr>
        <w:t>9.3</w:t>
      </w:r>
      <w:r>
        <w:rPr>
          <w:rFonts w:ascii="Times New Roman;serif" w:hAnsi="Times New Roman;serif"/>
          <w:b w:val="false"/>
          <w:color w:val="000000"/>
          <w:sz w:val="22"/>
          <w:u w:val="single"/>
        </w:rPr>
        <w:t>Discretion</w:t>
      </w:r>
      <w:r>
        <w:rPr>
          <w:rFonts w:ascii="Times New Roman;serif" w:hAnsi="Times New Roman;serif"/>
          <w:b w:val="false"/>
          <w:color w:val="000000"/>
          <w:sz w:val="22"/>
        </w:rPr>
        <w:t xml:space="preserve">. Except as the Plan otherwise provides, each Award may be made alone or in addition or in relation to any other Award. The terms of each Award to a Participant need not be identical, and the Administrator need not treat Participants or Awards (or portions thereof) uniformly. </w:t>
      </w:r>
    </w:p>
    <w:p>
      <w:pPr>
        <w:pStyle w:val="TextBody"/>
        <w:bidi w:val="0"/>
        <w:spacing w:lineRule="auto" w:line="240" w:before="0" w:after="240"/>
        <w:ind w:left="0" w:right="0" w:firstLine="720"/>
        <w:jc w:val="both"/>
        <w:rPr/>
      </w:pPr>
      <w:r>
        <w:rPr>
          <w:rFonts w:ascii="Times New Roman;serif" w:hAnsi="Times New Roman;serif"/>
          <w:b w:val="false"/>
          <w:color w:val="000000"/>
          <w:sz w:val="22"/>
        </w:rPr>
        <w:t>9.4</w:t>
      </w:r>
      <w:r>
        <w:rPr>
          <w:rFonts w:ascii="Times New Roman;serif" w:hAnsi="Times New Roman;serif"/>
          <w:b w:val="false"/>
          <w:color w:val="000000"/>
          <w:sz w:val="22"/>
          <w:u w:val="single"/>
        </w:rPr>
        <w:t>Termination of Status</w:t>
      </w:r>
      <w:r>
        <w:rPr>
          <w:rFonts w:ascii="Times New Roman;serif" w:hAnsi="Times New Roman;serif"/>
          <w:b w:val="false"/>
          <w:color w:val="000000"/>
          <w:sz w:val="22"/>
        </w:rPr>
        <w:t>. The Administrator will determine how a Participant’s Disability, death, retirement, authorized leave of absence or any other change or purported change in a Participant’s Service Provider status affects an Award (including whether and when a Termination of Service has occurred) and the extent to which, and the period during which, the Participant, the Participant’s legal representative, conservator, guardian or Designated Beneficiary may exercise rights under the Award, if applicable.</w:t>
      </w:r>
    </w:p>
    <w:p>
      <w:pPr>
        <w:pStyle w:val="TextBody"/>
        <w:bidi w:val="0"/>
        <w:spacing w:lineRule="auto" w:line="240" w:before="0" w:after="240"/>
        <w:ind w:left="0" w:right="0" w:firstLine="720"/>
        <w:jc w:val="both"/>
        <w:rPr/>
      </w:pPr>
      <w:r>
        <w:rPr>
          <w:rFonts w:ascii="Times New Roman;serif" w:hAnsi="Times New Roman;serif"/>
          <w:b w:val="false"/>
          <w:color w:val="000000"/>
          <w:sz w:val="22"/>
        </w:rPr>
        <w:t>9.5</w:t>
      </w:r>
      <w:r>
        <w:rPr>
          <w:rFonts w:ascii="Times New Roman;serif" w:hAnsi="Times New Roman;serif"/>
          <w:b w:val="false"/>
          <w:color w:val="000000"/>
          <w:sz w:val="22"/>
          <w:u w:val="single"/>
        </w:rPr>
        <w:t>Withholding</w:t>
      </w:r>
      <w:r>
        <w:rPr>
          <w:rFonts w:ascii="Times New Roman;serif" w:hAnsi="Times New Roman;serif"/>
          <w:b w:val="false"/>
          <w:color w:val="000000"/>
          <w:sz w:val="22"/>
        </w:rPr>
        <w:t xml:space="preserve">. Each Participant must pay the Company, or make provision satisfactory to the Administrator for payment of, any taxes required by Applicable Laws to be withheld in connection with such Participant’s Awards by the date of the event creating the tax liability. The Company may </w:t>
      </w:r>
    </w:p>
    <w:p>
      <w:pPr>
        <w:pStyle w:val="TextBody"/>
        <w:bidi w:val="0"/>
        <w:spacing w:before="0" w:after="0"/>
        <w:jc w:val="both"/>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deduct an amount sufficient to satisfy such tax obligations based on the applicable statutory withholding rates (or such other rate as may be determined by the Company after considering any accounting consequences or costs) from any payment of any kind otherwise due to a Participant. Subject to Section 10.9 and any Company insider trading policy (including blackout periods), Participants may satisfy such tax obligations (i) in cash, by wire transfer of immediately available funds, by check made payable to the order of the Company, provided that the Company may limit the use of the foregoing payment forms if one or more of the payment forms below is permitted, (ii) to the extent permitted by the Administrator, in whole or in part by delivery of Shares, including Shares retained from the Award creating the tax obligation, valued at their fair market value, (iii) if there is a public market for Shares at the time the tax obligations are satisfied, unless the Company otherwise determines, (A) delivery (including electronically or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(iv) to the extent permitted by the Administrator, any combination of the foregoing payment forms approved by the Company. If any tax withholding obligation will be satisfied under clause (ii) of the immediately preceding sentence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 </w:t>
      </w:r>
    </w:p>
    <w:p>
      <w:pPr>
        <w:pStyle w:val="TextBody"/>
        <w:bidi w:val="0"/>
        <w:spacing w:lineRule="auto" w:line="240" w:before="0" w:after="240"/>
        <w:ind w:left="0" w:right="0" w:firstLine="720"/>
        <w:jc w:val="both"/>
        <w:rPr/>
      </w:pPr>
      <w:r>
        <w:rPr>
          <w:rFonts w:ascii="Times New Roman;serif" w:hAnsi="Times New Roman;serif"/>
          <w:b w:val="false"/>
          <w:color w:val="000000"/>
          <w:sz w:val="22"/>
        </w:rPr>
        <w:t>9.6</w:t>
      </w:r>
      <w:r>
        <w:rPr>
          <w:rFonts w:ascii="Times New Roman;serif" w:hAnsi="Times New Roman;serif"/>
          <w:b w:val="false"/>
          <w:color w:val="000000"/>
          <w:sz w:val="22"/>
          <w:u w:val="single"/>
        </w:rPr>
        <w:t>Amendment of Award; Repricing</w:t>
      </w:r>
      <w:r>
        <w:rPr>
          <w:rFonts w:ascii="Times New Roman;serif" w:hAnsi="Times New Roman;serif"/>
          <w:b w:val="false"/>
          <w:color w:val="000000"/>
          <w:sz w:val="22"/>
        </w:rPr>
        <w:t>. The Administrator may amend, modify or terminate any outstanding Award, including by substituting another Award of the same or a different type or changing the exercise or settlement date. The Participant’s consent to such action will be required unless (i) the action, taking into account any related action, does not materially and adversely affect the Participant’s rights under the Award, or (ii) the change is permitted under Article VIII or pursuant to Section 10.7. Further, the Administrator may, without the approval of the stockholders of the Company,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w:t>
      </w:r>
    </w:p>
    <w:p>
      <w:pPr>
        <w:pStyle w:val="TextBody"/>
        <w:bidi w:val="0"/>
        <w:spacing w:lineRule="auto" w:line="240" w:before="0" w:after="240"/>
        <w:ind w:left="0" w:right="0" w:firstLine="720"/>
        <w:jc w:val="both"/>
        <w:rPr/>
      </w:pPr>
      <w:r>
        <w:rPr>
          <w:rFonts w:ascii="Times New Roman;serif" w:hAnsi="Times New Roman;serif"/>
          <w:b w:val="false"/>
          <w:color w:val="000000"/>
          <w:sz w:val="22"/>
        </w:rPr>
        <w:t>9.7</w:t>
      </w:r>
      <w:r>
        <w:rPr>
          <w:rFonts w:ascii="Times New Roman;serif" w:hAnsi="Times New Roman;serif"/>
          <w:b w:val="false"/>
          <w:color w:val="000000"/>
          <w:sz w:val="22"/>
          <w:u w:val="single"/>
        </w:rPr>
        <w:t>Conditions on Delivery of Stock</w:t>
      </w:r>
      <w:r>
        <w:rPr>
          <w:rFonts w:ascii="Times New Roman;serif" w:hAnsi="Times New Roman;serif"/>
          <w:b w:val="false"/>
          <w:color w:val="000000"/>
          <w:sz w:val="22"/>
        </w:rPr>
        <w:t>.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pStyle w:val="TextBody"/>
        <w:bidi w:val="0"/>
        <w:spacing w:lineRule="auto" w:line="240" w:before="0" w:after="240"/>
        <w:ind w:left="0" w:right="0" w:firstLine="720"/>
        <w:jc w:val="both"/>
        <w:rPr/>
      </w:pPr>
      <w:r>
        <w:rPr>
          <w:rFonts w:ascii="Times New Roman;serif" w:hAnsi="Times New Roman;serif"/>
          <w:b w:val="false"/>
          <w:color w:val="000000"/>
          <w:sz w:val="22"/>
        </w:rPr>
        <w:t>9.8</w:t>
      </w:r>
      <w:r>
        <w:rPr>
          <w:rFonts w:ascii="Times New Roman;serif" w:hAnsi="Times New Roman;serif"/>
          <w:b w:val="false"/>
          <w:color w:val="000000"/>
          <w:sz w:val="22"/>
          <w:u w:val="single"/>
        </w:rPr>
        <w:t>Acceleration</w:t>
      </w:r>
      <w:r>
        <w:rPr>
          <w:rFonts w:ascii="Times New Roman;serif" w:hAnsi="Times New Roman;serif"/>
          <w:b w:val="false"/>
          <w:color w:val="000000"/>
          <w:sz w:val="22"/>
        </w:rPr>
        <w:t xml:space="preserve">. The Administrator may at any time provide that any Award will become immediately vested and fully or partially exercisable, free of some or all restrictions or conditions, or otherwise fully or partially realizable. </w:t>
      </w:r>
    </w:p>
    <w:p>
      <w:pPr>
        <w:pStyle w:val="TextBody"/>
        <w:bidi w:val="0"/>
        <w:spacing w:lineRule="auto" w:line="240" w:before="0" w:after="240"/>
        <w:ind w:left="0" w:right="0" w:firstLine="720"/>
        <w:jc w:val="both"/>
        <w:rPr/>
      </w:pPr>
      <w:r>
        <w:rPr>
          <w:rFonts w:ascii="Times New Roman;serif" w:hAnsi="Times New Roman;serif"/>
          <w:b w:val="false"/>
          <w:color w:val="000000"/>
          <w:sz w:val="22"/>
        </w:rPr>
        <w:t>9.9</w:t>
      </w:r>
      <w:r>
        <w:rPr>
          <w:rFonts w:ascii="Times New Roman;serif" w:hAnsi="Times New Roman;serif"/>
          <w:b w:val="false"/>
          <w:color w:val="000000"/>
          <w:sz w:val="22"/>
          <w:u w:val="single"/>
        </w:rPr>
        <w:t>Action Required Upon Grant of Award</w:t>
      </w:r>
      <w:r>
        <w:rPr>
          <w:rFonts w:ascii="Times New Roman;serif" w:hAnsi="Times New Roman;serif"/>
          <w:b w:val="false"/>
          <w:color w:val="000000"/>
          <w:sz w:val="22"/>
        </w:rPr>
        <w:t>. Promptly following the grant of an Award, the Company shall issue a press release in accordance with NASDAQ Rule 5635(c) and provide written notice to the NASDAQ Stock Market of the grant.</w:t>
      </w:r>
    </w:p>
    <w:p>
      <w:pPr>
        <w:pStyle w:val="TextBody"/>
        <w:bidi w:val="0"/>
        <w:spacing w:lineRule="auto" w:line="240" w:before="0" w:after="240"/>
        <w:jc w:val="center"/>
        <w:rPr/>
      </w:pPr>
      <w:r>
        <w:rPr>
          <w:rFonts w:ascii="Times New Roman;serif" w:hAnsi="Times New Roman;serif"/>
          <w:b/>
          <w:color w:val="000000"/>
          <w:sz w:val="22"/>
        </w:rPr>
        <w:t>ARTICLE X.</w:t>
      </w:r>
      <w:r>
        <w:rPr>
          <w:rFonts w:ascii="Times New Roman;serif" w:hAnsi="Times New Roman;serif"/>
          <w:b/>
          <w:color w:val="000000"/>
          <w:sz w:val="22"/>
        </w:rPr>
        <w:br/>
        <w:t>MISCELLANEOUS</w:t>
      </w:r>
      <w:r>
        <w:rPr>
          <w:color w:val="000000"/>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10.1</w:t>
      </w:r>
      <w:r>
        <w:rPr>
          <w:rFonts w:ascii="Times New Roman;serif" w:hAnsi="Times New Roman;serif"/>
          <w:b w:val="false"/>
          <w:color w:val="000000"/>
          <w:sz w:val="22"/>
          <w:u w:val="single"/>
        </w:rPr>
        <w:t>No Right to Employment or Other Status</w:t>
      </w:r>
      <w:r>
        <w:rPr>
          <w:rFonts w:ascii="Times New Roman;serif" w:hAnsi="Times New Roman;serif"/>
          <w:b w:val="false"/>
          <w:color w:val="000000"/>
          <w:sz w:val="22"/>
        </w:rPr>
        <w:t>. No person will have any claim or right to be granted an Award, and the grant of an Award will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any Award, except as expressly provided in an Award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10.2</w:t>
      </w:r>
      <w:r>
        <w:rPr>
          <w:rFonts w:ascii="Times New Roman;serif" w:hAnsi="Times New Roman;serif"/>
          <w:b w:val="false"/>
          <w:color w:val="000000"/>
          <w:sz w:val="22"/>
          <w:u w:val="single"/>
        </w:rPr>
        <w:t>No Rights as Stockholder; Certificates</w:t>
      </w:r>
      <w:r>
        <w:rPr>
          <w:rFonts w:ascii="Times New Roman;serif" w:hAnsi="Times New Roman;serif"/>
          <w:b w:val="false"/>
          <w:color w:val="000000"/>
          <w:sz w:val="22"/>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pStyle w:val="TextBody"/>
        <w:bidi w:val="0"/>
        <w:spacing w:lineRule="auto" w:line="240" w:before="0" w:after="240"/>
        <w:ind w:left="0" w:right="0" w:firstLine="720"/>
        <w:jc w:val="both"/>
        <w:rPr/>
      </w:pPr>
      <w:r>
        <w:rPr>
          <w:rFonts w:ascii="Times New Roman;serif" w:hAnsi="Times New Roman;serif"/>
          <w:b w:val="false"/>
          <w:color w:val="000000"/>
          <w:sz w:val="22"/>
        </w:rPr>
        <w:t>10.3</w:t>
      </w:r>
      <w:r>
        <w:rPr>
          <w:rFonts w:ascii="Times New Roman;serif" w:hAnsi="Times New Roman;serif"/>
          <w:b w:val="false"/>
          <w:color w:val="000000"/>
          <w:sz w:val="22"/>
          <w:u w:val="single"/>
        </w:rPr>
        <w:t>Effective Date and Term of Plan</w:t>
      </w:r>
      <w:r>
        <w:rPr>
          <w:rFonts w:ascii="Times New Roman;serif" w:hAnsi="Times New Roman;serif"/>
          <w:b w:val="false"/>
          <w:color w:val="000000"/>
          <w:sz w:val="22"/>
        </w:rPr>
        <w:t>. Unless earlier terminated by the Board, the Plan will become effective on the date it is approved by the Board and will remain in effect until the tenth anniversary of such date. Awards previously granted may extend beyond the Plan’s expiration or termination date in accordance with the Plan. No Awards may be granted under the Plan during any suspension period or after Plan termination.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10.4</w:t>
      </w:r>
      <w:r>
        <w:rPr>
          <w:rFonts w:ascii="Times New Roman;serif" w:hAnsi="Times New Roman;serif"/>
          <w:b w:val="false"/>
          <w:color w:val="000000"/>
          <w:sz w:val="22"/>
          <w:u w:val="single"/>
        </w:rPr>
        <w:t>Stockholder Approval Not Required</w:t>
      </w:r>
      <w:r>
        <w:rPr>
          <w:rFonts w:ascii="Times New Roman;serif" w:hAnsi="Times New Roman;serif"/>
          <w:b w:val="false"/>
          <w:color w:val="000000"/>
          <w:sz w:val="22"/>
        </w:rPr>
        <w:t>. It is expressly intended that approval of the Company’s stockholders not be required as a condition of the effectiveness of the Plan, and the Plan’s provisions shall be interpreted in a manner consistent with such intent for all purposes. Specifically, NASDAQ Rule 5635(c) generally requires stockholder approval for equity compensation plans adopted by companies whose securities are listed on the NASDAQ Stock Market that provide for the delivery of equity securities to any employees, directors or other service providers of such companies as compensation for services. NASDAQ Rule 5635(c)(4) provides an exemption in certain circumstances for employment inducement awards. Notwithstanding anything to the contrary herein, in accordance with NASDAQ Rule 5635(c)(4), Awards may only be granted as material inducements to Eligible Individuals being hired or rehired as Employees, as applicable, and must be approved by (a) the Board, acting through a majority of the Company’s Independent Directors or (b) the independent Compensation Committee of the Board.</w:t>
      </w:r>
    </w:p>
    <w:p>
      <w:pPr>
        <w:pStyle w:val="TextBody"/>
        <w:bidi w:val="0"/>
        <w:spacing w:lineRule="auto" w:line="240" w:before="0" w:after="240"/>
        <w:ind w:left="0" w:right="0" w:firstLine="720"/>
        <w:jc w:val="both"/>
        <w:rPr/>
      </w:pPr>
      <w:r>
        <w:rPr>
          <w:rFonts w:ascii="Times New Roman;serif" w:hAnsi="Times New Roman;serif"/>
          <w:b w:val="false"/>
          <w:color w:val="000000"/>
          <w:sz w:val="22"/>
        </w:rPr>
        <w:t>10.5</w:t>
      </w:r>
      <w:r>
        <w:rPr>
          <w:rFonts w:ascii="Times New Roman;serif" w:hAnsi="Times New Roman;serif"/>
          <w:b w:val="false"/>
          <w:color w:val="000000"/>
          <w:sz w:val="22"/>
          <w:u w:val="single"/>
        </w:rPr>
        <w:t>Amendment of Plan</w:t>
      </w:r>
      <w:r>
        <w:rPr>
          <w:rFonts w:ascii="Times New Roman;serif" w:hAnsi="Times New Roman;serif"/>
          <w:b w:val="false"/>
          <w:color w:val="000000"/>
          <w:sz w:val="22"/>
        </w:rPr>
        <w:t>. The Administrator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Plan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pStyle w:val="TextBody"/>
        <w:bidi w:val="0"/>
        <w:spacing w:lineRule="auto" w:line="240" w:before="0" w:after="240"/>
        <w:ind w:left="0" w:right="0" w:firstLine="720"/>
        <w:jc w:val="both"/>
        <w:rPr/>
      </w:pPr>
      <w:r>
        <w:rPr>
          <w:rFonts w:ascii="Times New Roman;serif" w:hAnsi="Times New Roman;serif"/>
          <w:b w:val="false"/>
          <w:color w:val="000000"/>
          <w:sz w:val="22"/>
        </w:rPr>
        <w:t>10.6</w:t>
      </w:r>
      <w:r>
        <w:rPr>
          <w:rFonts w:ascii="Times New Roman;serif" w:hAnsi="Times New Roman;serif"/>
          <w:b w:val="false"/>
          <w:color w:val="000000"/>
          <w:sz w:val="22"/>
          <w:u w:val="single"/>
        </w:rPr>
        <w:t>Provisions for Foreign Participants</w:t>
      </w:r>
      <w:r>
        <w:rPr>
          <w:rFonts w:ascii="Times New Roman;serif" w:hAnsi="Times New Roman;serif"/>
          <w:b w:val="false"/>
          <w:color w:val="000000"/>
          <w:sz w:val="22"/>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pStyle w:val="TextBody"/>
        <w:bidi w:val="0"/>
        <w:spacing w:lineRule="auto" w:line="240" w:before="0" w:after="240"/>
        <w:ind w:left="0" w:right="0" w:firstLine="720"/>
        <w:jc w:val="both"/>
        <w:rPr/>
      </w:pPr>
      <w:r>
        <w:rPr>
          <w:rFonts w:ascii="Times New Roman;serif" w:hAnsi="Times New Roman;serif"/>
          <w:b w:val="false"/>
          <w:color w:val="000000"/>
          <w:sz w:val="22"/>
        </w:rPr>
        <w:t>10.7</w:t>
      </w:r>
      <w:r>
        <w:rPr>
          <w:rFonts w:ascii="Times New Roman;serif" w:hAnsi="Times New Roman;serif"/>
          <w:b w:val="false"/>
          <w:color w:val="000000"/>
          <w:sz w:val="22"/>
          <w:u w:val="single"/>
        </w:rPr>
        <w:t>Section 409A</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General</w:t>
      </w:r>
      <w:r>
        <w:rPr>
          <w:rFonts w:ascii="Times New Roman;serif" w:hAnsi="Times New Roman;serif"/>
          <w:b w:val="false"/>
          <w:color w:val="000000"/>
          <w:sz w:val="22"/>
        </w:rPr>
        <w:t xml:space="preserve">.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w:t>
      </w:r>
    </w:p>
    <w:p>
      <w:pPr>
        <w:pStyle w:val="TextBody"/>
        <w:bidi w:val="0"/>
        <w:spacing w:before="0" w:after="0"/>
        <w:jc w:val="both"/>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10.7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 Notwithstanding any contrary provision of the Plan or any Award Agreement, any payment of “nonqualified deferred compensation” under the Plan that may be made in installments shall be treated as a right to receive a series of separate and distinct payments.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Separation from Service</w:t>
      </w:r>
      <w:r>
        <w:rPr>
          <w:rFonts w:ascii="Times New Roman;serif" w:hAnsi="Times New Roman;serif"/>
          <w:b w:val="false"/>
          <w:color w:val="000000"/>
          <w:sz w:val="22"/>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Payments to Specified Employees</w:t>
      </w:r>
      <w:r>
        <w:rPr>
          <w:rFonts w:ascii="Times New Roman;serif" w:hAnsi="Times New Roman;serif"/>
          <w:b w:val="false"/>
          <w:color w:val="000000"/>
          <w:sz w:val="22"/>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pStyle w:val="TextBody"/>
        <w:bidi w:val="0"/>
        <w:spacing w:lineRule="auto" w:line="240" w:before="0" w:after="240"/>
        <w:ind w:left="0" w:right="0" w:firstLine="720"/>
        <w:jc w:val="both"/>
        <w:rPr/>
      </w:pPr>
      <w:r>
        <w:rPr>
          <w:rFonts w:ascii="Times New Roman;serif" w:hAnsi="Times New Roman;serif"/>
          <w:b w:val="false"/>
          <w:color w:val="000000"/>
          <w:sz w:val="22"/>
        </w:rPr>
        <w:t>10.8</w:t>
      </w:r>
      <w:r>
        <w:rPr>
          <w:rFonts w:ascii="Times New Roman;serif" w:hAnsi="Times New Roman;serif"/>
          <w:b w:val="false"/>
          <w:color w:val="000000"/>
          <w:sz w:val="22"/>
          <w:u w:val="single"/>
        </w:rPr>
        <w:t>Limitations on Liability</w:t>
      </w:r>
      <w:r>
        <w:rPr>
          <w:rFonts w:ascii="Times New Roman;serif" w:hAnsi="Times New Roman;serif"/>
          <w:b w:val="false"/>
          <w:color w:val="000000"/>
          <w:sz w:val="22"/>
        </w:rPr>
        <w:t>. Notwithstanding any other provisions of the Plan and to the fullest extent permitted by the General Corporation Law of the State of Delaware and the Company’s certificate of incorporation and bylaws, (a)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and (b)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pStyle w:val="TextBody"/>
        <w:bidi w:val="0"/>
        <w:spacing w:lineRule="auto" w:line="240" w:before="0" w:after="240"/>
        <w:ind w:left="0" w:right="0" w:firstLine="720"/>
        <w:jc w:val="both"/>
        <w:rPr/>
      </w:pPr>
      <w:r>
        <w:rPr>
          <w:rFonts w:ascii="Times New Roman;serif" w:hAnsi="Times New Roman;serif"/>
          <w:b w:val="false"/>
          <w:color w:val="000000"/>
          <w:sz w:val="22"/>
        </w:rPr>
        <w:t>10.9</w:t>
      </w:r>
      <w:r>
        <w:rPr>
          <w:rFonts w:ascii="Times New Roman;serif" w:hAnsi="Times New Roman;serif"/>
          <w:b w:val="false"/>
          <w:color w:val="000000"/>
          <w:sz w:val="22"/>
          <w:u w:val="single"/>
        </w:rPr>
        <w:t>Lock-Up Period</w:t>
      </w:r>
      <w:r>
        <w:rPr>
          <w:rFonts w:ascii="Times New Roman;serif" w:hAnsi="Times New Roman;serif"/>
          <w:b w:val="false"/>
          <w:color w:val="000000"/>
          <w:sz w:val="22"/>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one hundred eighty days following the effective date of a Company registration statement filed under the Securities Act, or such longer period as determined by the underwriter.</w:t>
      </w:r>
    </w:p>
    <w:p>
      <w:pPr>
        <w:pStyle w:val="TextBody"/>
        <w:bidi w:val="0"/>
        <w:spacing w:lineRule="auto" w:line="240" w:before="0" w:after="240"/>
        <w:ind w:left="0" w:right="0" w:firstLine="720"/>
        <w:jc w:val="both"/>
        <w:rPr/>
      </w:pPr>
      <w:r>
        <w:rPr>
          <w:rFonts w:ascii="Times New Roman;serif" w:hAnsi="Times New Roman;serif"/>
          <w:b w:val="false"/>
          <w:color w:val="000000"/>
          <w:sz w:val="22"/>
        </w:rPr>
        <w:t>10.10</w:t>
      </w:r>
      <w:r>
        <w:rPr>
          <w:rFonts w:ascii="Times New Roman;serif" w:hAnsi="Times New Roman;serif"/>
          <w:b w:val="false"/>
          <w:color w:val="000000"/>
          <w:sz w:val="22"/>
          <w:u w:val="single"/>
        </w:rPr>
        <w:t>Data Privacy</w:t>
      </w:r>
      <w:r>
        <w:rPr>
          <w:rFonts w:ascii="Times New Roman;serif" w:hAnsi="Times New Roman;serif"/>
          <w:b w:val="false"/>
          <w:color w:val="000000"/>
          <w:sz w:val="22"/>
        </w:rPr>
        <w:t xml:space="preserve">.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w:t>
      </w:r>
    </w:p>
    <w:p>
      <w:pPr>
        <w:pStyle w:val="TextBody"/>
        <w:bidi w:val="0"/>
        <w:spacing w:before="0" w:after="0"/>
        <w:jc w:val="both"/>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Participant’s name, address and telephone number; birthdate; social security number, insurance number or other identification number; salary; nationality; job title(s); any Shares held in the Company or its Subsidiaries and affiliates; and Award details, to implement, manage and administer the Plan and Awards (the “</w:t>
      </w:r>
      <w:r>
        <w:rPr>
          <w:rFonts w:ascii="Times New Roman;serif" w:hAnsi="Times New Roman;serif"/>
          <w:b/>
          <w:i/>
          <w:color w:val="000000"/>
          <w:sz w:val="22"/>
        </w:rPr>
        <w:t>Data</w:t>
      </w:r>
      <w:r>
        <w:rPr>
          <w:color w:val="000000"/>
        </w:rPr>
        <w:t>”</w:t>
      </w:r>
      <w:r>
        <w:rPr>
          <w:rFonts w:ascii="Times New Roman;serif" w:hAnsi="Times New Roman;serif"/>
          <w:b w:val="false"/>
          <w:color w:val="000000"/>
          <w:sz w:val="22"/>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10.10 in writing, without cost, by contacting the local human resources representative. The Company may cancel Participant’s ability to participate in the Plan and, in the Administrator’s discretion, the Participant may forfeit any outstanding Awards if the Participant refuses or withdraws the consents in this Section 10.10. For more information on the consequences of refusing or withdrawing consent, Participants may contact their local human resources representative.</w:t>
      </w:r>
    </w:p>
    <w:p>
      <w:pPr>
        <w:pStyle w:val="TextBody"/>
        <w:bidi w:val="0"/>
        <w:spacing w:lineRule="auto" w:line="240" w:before="0" w:after="240"/>
        <w:ind w:left="0" w:right="0" w:firstLine="720"/>
        <w:jc w:val="both"/>
        <w:rPr/>
      </w:pPr>
      <w:r>
        <w:rPr>
          <w:rFonts w:ascii="Times New Roman;serif" w:hAnsi="Times New Roman;serif"/>
          <w:b w:val="false"/>
          <w:color w:val="000000"/>
          <w:sz w:val="22"/>
        </w:rPr>
        <w:t>10.11</w:t>
      </w:r>
      <w:r>
        <w:rPr>
          <w:rFonts w:ascii="Times New Roman;serif" w:hAnsi="Times New Roman;serif"/>
          <w:b w:val="false"/>
          <w:color w:val="000000"/>
          <w:sz w:val="22"/>
          <w:u w:val="single"/>
        </w:rPr>
        <w:t>Severability</w:t>
      </w:r>
      <w:r>
        <w:rPr>
          <w:rFonts w:ascii="Times New Roman;serif" w:hAnsi="Times New Roman;serif"/>
          <w:b w:val="false"/>
          <w:color w:val="000000"/>
          <w:sz w:val="22"/>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pStyle w:val="TextBody"/>
        <w:bidi w:val="0"/>
        <w:spacing w:lineRule="auto" w:line="240" w:before="0" w:after="240"/>
        <w:ind w:left="0" w:right="0" w:firstLine="720"/>
        <w:jc w:val="both"/>
        <w:rPr/>
      </w:pPr>
      <w:r>
        <w:rPr>
          <w:rFonts w:ascii="Times New Roman;serif" w:hAnsi="Times New Roman;serif"/>
          <w:b w:val="false"/>
          <w:color w:val="000000"/>
          <w:sz w:val="22"/>
        </w:rPr>
        <w:t>10.12</w:t>
      </w:r>
      <w:r>
        <w:rPr>
          <w:rFonts w:ascii="Times New Roman;serif" w:hAnsi="Times New Roman;serif"/>
          <w:b w:val="false"/>
          <w:color w:val="000000"/>
          <w:sz w:val="22"/>
          <w:u w:val="single"/>
        </w:rPr>
        <w:t>Governing Documents</w:t>
      </w:r>
      <w:r>
        <w:rPr>
          <w:rFonts w:ascii="Times New Roman;serif" w:hAnsi="Times New Roman;serif"/>
          <w:b w:val="false"/>
          <w:color w:val="000000"/>
          <w:sz w:val="22"/>
        </w:rPr>
        <w:t xml:space="preserve">.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 </w:t>
      </w:r>
    </w:p>
    <w:p>
      <w:pPr>
        <w:pStyle w:val="TextBody"/>
        <w:bidi w:val="0"/>
        <w:spacing w:lineRule="auto" w:line="240" w:before="0" w:after="240"/>
        <w:ind w:left="0" w:right="0" w:firstLine="720"/>
        <w:jc w:val="both"/>
        <w:rPr/>
      </w:pPr>
      <w:r>
        <w:rPr>
          <w:rFonts w:ascii="Times New Roman;serif" w:hAnsi="Times New Roman;serif"/>
          <w:b w:val="false"/>
          <w:color w:val="000000"/>
          <w:sz w:val="22"/>
        </w:rPr>
        <w:t>10.13</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The Plan and all Awards will be governed by and interpreted in accordance with the laws of the State of Delaware, disregarding any state’s choice-of-law principles requiring the application of a jurisdiction’s laws other than the State of Delaware.</w:t>
      </w:r>
    </w:p>
    <w:p>
      <w:pPr>
        <w:pStyle w:val="TextBody"/>
        <w:bidi w:val="0"/>
        <w:spacing w:lineRule="auto" w:line="240" w:before="0" w:after="240"/>
        <w:ind w:left="0" w:right="0" w:firstLine="720"/>
        <w:jc w:val="both"/>
        <w:rPr/>
      </w:pPr>
      <w:r>
        <w:rPr>
          <w:rFonts w:ascii="Times New Roman;serif" w:hAnsi="Times New Roman;serif"/>
          <w:b w:val="false"/>
          <w:color w:val="000000"/>
          <w:sz w:val="22"/>
        </w:rPr>
        <w:t>10.14</w:t>
      </w:r>
      <w:r>
        <w:rPr>
          <w:rFonts w:ascii="Times New Roman;serif" w:hAnsi="Times New Roman;serif"/>
          <w:b w:val="false"/>
          <w:color w:val="000000"/>
          <w:sz w:val="22"/>
          <w:u w:val="single"/>
        </w:rPr>
        <w:t>Claw-back Provisions</w:t>
      </w:r>
      <w:r>
        <w:rPr>
          <w:rFonts w:ascii="Times New Roman;serif" w:hAnsi="Times New Roman;serif"/>
          <w:b w:val="false"/>
          <w:color w:val="000000"/>
          <w:sz w:val="22"/>
        </w:rPr>
        <w:t>. All Awards (including any proceeds, gains or other economic benefit the Participant actually or constructively receives upon receipt or exercise of any Award or the receipt or resale of any Shares underlying the Award) will be subject to any Company claw-back policy, including any claw-back policy adopted to comply with Applicable Laws (including the Dodd-Frank Wall Street Reform and Consumer Protection Act and any rules or regulations promulgated thereunder) as set forth in such claw-back policy or the Award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10.15</w:t>
      </w:r>
      <w:r>
        <w:rPr>
          <w:rFonts w:ascii="Times New Roman;serif" w:hAnsi="Times New Roman;serif"/>
          <w:b w:val="false"/>
          <w:color w:val="000000"/>
          <w:sz w:val="22"/>
          <w:u w:val="single"/>
        </w:rPr>
        <w:t>Titles and Headings</w:t>
      </w:r>
      <w:r>
        <w:rPr>
          <w:rFonts w:ascii="Times New Roman;serif" w:hAnsi="Times New Roman;serif"/>
          <w:b w:val="false"/>
          <w:color w:val="000000"/>
          <w:sz w:val="22"/>
        </w:rPr>
        <w:t>. The titles and headings in the Plan are for convenience of reference only and, if any conflict, the Plan’s text, rather than such titles or headings, will control.</w:t>
      </w:r>
    </w:p>
    <w:p>
      <w:pPr>
        <w:pStyle w:val="TextBody"/>
        <w:bidi w:val="0"/>
        <w:spacing w:lineRule="auto" w:line="240" w:before="0" w:after="240"/>
        <w:ind w:left="0" w:right="0" w:firstLine="720"/>
        <w:jc w:val="both"/>
        <w:rPr/>
      </w:pPr>
      <w:r>
        <w:rPr>
          <w:rFonts w:ascii="Times New Roman;serif" w:hAnsi="Times New Roman;serif"/>
          <w:b w:val="false"/>
          <w:color w:val="000000"/>
          <w:sz w:val="22"/>
        </w:rPr>
        <w:t>10.16</w:t>
      </w:r>
      <w:r>
        <w:rPr>
          <w:rFonts w:ascii="Times New Roman;serif" w:hAnsi="Times New Roman;serif"/>
          <w:b w:val="false"/>
          <w:color w:val="000000"/>
          <w:sz w:val="22"/>
          <w:u w:val="single"/>
        </w:rPr>
        <w:t>Conformity to Securities Laws</w:t>
      </w:r>
      <w:r>
        <w:rPr>
          <w:rFonts w:ascii="Times New Roman;serif" w:hAnsi="Times New Roman;serif"/>
          <w:b w:val="false"/>
          <w:color w:val="000000"/>
          <w:sz w:val="22"/>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pStyle w:val="TextBody"/>
        <w:bidi w:val="0"/>
        <w:spacing w:lineRule="auto" w:line="240" w:before="0" w:after="240"/>
        <w:ind w:left="0" w:right="0" w:firstLine="720"/>
        <w:jc w:val="both"/>
        <w:rPr/>
      </w:pPr>
      <w:r>
        <w:rPr>
          <w:rFonts w:ascii="Times New Roman;serif" w:hAnsi="Times New Roman;serif"/>
          <w:b w:val="false"/>
          <w:color w:val="000000"/>
          <w:sz w:val="22"/>
        </w:rPr>
        <w:t>10.17</w:t>
      </w:r>
      <w:r>
        <w:rPr>
          <w:rFonts w:ascii="Times New Roman;serif" w:hAnsi="Times New Roman;serif"/>
          <w:b w:val="false"/>
          <w:color w:val="000000"/>
          <w:sz w:val="22"/>
          <w:u w:val="single"/>
        </w:rPr>
        <w:t>Relationship to Other Benefits</w:t>
      </w:r>
      <w:r>
        <w:rPr>
          <w:rFonts w:ascii="Times New Roman;serif" w:hAnsi="Times New Roman;serif"/>
          <w:b w:val="false"/>
          <w:color w:val="000000"/>
          <w:sz w:val="22"/>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pStyle w:val="TextBody"/>
        <w:bidi w:val="0"/>
        <w:spacing w:before="0" w:after="0"/>
        <w:jc w:val="both"/>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10.18</w:t>
      </w:r>
      <w:r>
        <w:rPr>
          <w:rFonts w:ascii="Times New Roman;serif" w:hAnsi="Times New Roman;serif"/>
          <w:b w:val="false"/>
          <w:color w:val="000000"/>
          <w:sz w:val="22"/>
          <w:u w:val="single"/>
        </w:rPr>
        <w:t>Broker-Assisted Sales</w:t>
      </w:r>
      <w:r>
        <w:rPr>
          <w:rFonts w:ascii="Times New Roman;serif" w:hAnsi="Times New Roman;serif"/>
          <w:b w:val="false"/>
          <w:color w:val="000000"/>
          <w:sz w:val="22"/>
        </w:rPr>
        <w:t>. In the event of a broker-assisted sale of Shares in connection with the payment of amounts owed by a Participant under or with respect to the Plan or Awards, including amounts to be paid under the final sentence of Section 9.5: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pStyle w:val="TextBody"/>
        <w:bidi w:val="0"/>
        <w:spacing w:lineRule="auto" w:line="240" w:before="0" w:after="240"/>
        <w:jc w:val="center"/>
        <w:rPr/>
      </w:pPr>
      <w:r>
        <w:rPr>
          <w:rFonts w:ascii="Times New Roman;serif" w:hAnsi="Times New Roman;serif"/>
          <w:b/>
          <w:color w:val="000000"/>
          <w:sz w:val="22"/>
        </w:rPr>
        <w:t>ARTICLE XI.</w:t>
      </w:r>
      <w:r>
        <w:rPr>
          <w:rFonts w:ascii="Times New Roman;serif" w:hAnsi="Times New Roman;serif"/>
          <w:b/>
          <w:color w:val="000000"/>
          <w:sz w:val="22"/>
        </w:rPr>
        <w:br/>
        <w:t>DEFINITIONS</w:t>
      </w:r>
      <w:r>
        <w:rPr>
          <w:color w:val="000000"/>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used in the Plan, the following words and phrases will have the following meanings:</w:t>
      </w:r>
    </w:p>
    <w:p>
      <w:pPr>
        <w:pStyle w:val="TextBody"/>
        <w:bidi w:val="0"/>
        <w:spacing w:lineRule="auto" w:line="240" w:before="0" w:after="240"/>
        <w:ind w:left="0" w:right="0" w:firstLine="720"/>
        <w:jc w:val="both"/>
        <w:rPr/>
      </w:pPr>
      <w:r>
        <w:rPr>
          <w:rFonts w:ascii="Times New Roman;serif" w:hAnsi="Times New Roman;serif"/>
          <w:b w:val="false"/>
          <w:color w:val="000000"/>
          <w:sz w:val="22"/>
        </w:rPr>
        <w:t>11.1</w:t>
      </w:r>
      <w:r>
        <w:rPr>
          <w:color w:val="000000"/>
        </w:rPr>
        <w:t>“</w:t>
      </w:r>
      <w:r>
        <w:rPr>
          <w:rFonts w:ascii="Times New Roman;serif" w:hAnsi="Times New Roman;serif"/>
          <w:b/>
          <w:i/>
          <w:color w:val="000000"/>
          <w:sz w:val="22"/>
        </w:rPr>
        <w:t>Administrator</w:t>
      </w:r>
      <w:r>
        <w:rPr>
          <w:color w:val="000000"/>
        </w:rPr>
        <w:t xml:space="preserve">” </w:t>
      </w:r>
      <w:r>
        <w:rPr>
          <w:rFonts w:ascii="Times New Roman;serif" w:hAnsi="Times New Roman;serif"/>
          <w:b w:val="false"/>
          <w:color w:val="000000"/>
          <w:sz w:val="22"/>
        </w:rPr>
        <w:t>means the Board or a Committee to the extent that the Board’s powers or authority under the Plan have been delegated to such Committee.</w:t>
      </w:r>
    </w:p>
    <w:p>
      <w:pPr>
        <w:pStyle w:val="TextBody"/>
        <w:bidi w:val="0"/>
        <w:spacing w:lineRule="auto" w:line="240" w:before="0" w:after="240"/>
        <w:ind w:left="0" w:right="0" w:firstLine="720"/>
        <w:jc w:val="both"/>
        <w:rPr/>
      </w:pPr>
      <w:r>
        <w:rPr>
          <w:rFonts w:ascii="Times New Roman;serif" w:hAnsi="Times New Roman;serif"/>
          <w:b w:val="false"/>
          <w:color w:val="000000"/>
          <w:sz w:val="22"/>
        </w:rPr>
        <w:t>11.2</w:t>
      </w:r>
      <w:r>
        <w:rPr>
          <w:color w:val="000000"/>
        </w:rPr>
        <w:t>“</w:t>
      </w:r>
      <w:r>
        <w:rPr>
          <w:rFonts w:ascii="Times New Roman;serif" w:hAnsi="Times New Roman;serif"/>
          <w:b/>
          <w:i/>
          <w:color w:val="000000"/>
          <w:sz w:val="22"/>
        </w:rPr>
        <w:t>Applicable Laws</w:t>
      </w:r>
      <w:r>
        <w:rPr>
          <w:color w:val="000000"/>
        </w:rPr>
        <w:t xml:space="preserve">” </w:t>
      </w:r>
      <w:r>
        <w:rPr>
          <w:rFonts w:ascii="Times New Roman;serif" w:hAnsi="Times New Roman;serif"/>
          <w:b w:val="false"/>
          <w:color w:val="000000"/>
          <w:sz w:val="22"/>
        </w:rPr>
        <w:t>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pStyle w:val="TextBody"/>
        <w:bidi w:val="0"/>
        <w:spacing w:lineRule="auto" w:line="240" w:before="0" w:after="240"/>
        <w:ind w:left="0" w:right="0" w:firstLine="720"/>
        <w:jc w:val="both"/>
        <w:rPr/>
      </w:pPr>
      <w:r>
        <w:rPr>
          <w:rFonts w:ascii="Times New Roman;serif" w:hAnsi="Times New Roman;serif"/>
          <w:b w:val="false"/>
          <w:color w:val="000000"/>
          <w:sz w:val="22"/>
        </w:rPr>
        <w:t>11.3</w:t>
      </w:r>
      <w:r>
        <w:rPr>
          <w:color w:val="000000"/>
        </w:rPr>
        <w:t>“</w:t>
      </w:r>
      <w:r>
        <w:rPr>
          <w:rFonts w:ascii="Times New Roman;serif" w:hAnsi="Times New Roman;serif"/>
          <w:b/>
          <w:i/>
          <w:color w:val="000000"/>
          <w:sz w:val="22"/>
        </w:rPr>
        <w:t>Award</w:t>
      </w:r>
      <w:r>
        <w:rPr>
          <w:color w:val="000000"/>
        </w:rPr>
        <w:t xml:space="preserve">” </w:t>
      </w:r>
      <w:r>
        <w:rPr>
          <w:rFonts w:ascii="Times New Roman;serif" w:hAnsi="Times New Roman;serif"/>
          <w:b w:val="false"/>
          <w:color w:val="000000"/>
          <w:sz w:val="22"/>
        </w:rPr>
        <w:t>means, individually or collectively, a grant under the Plan of Options, Stock Appreciation Rights, Restricted Stock, Restricted Stock Units, Dividend Equivalents or Other Stock or Cash Based Awards.</w:t>
      </w:r>
    </w:p>
    <w:p>
      <w:pPr>
        <w:pStyle w:val="TextBody"/>
        <w:bidi w:val="0"/>
        <w:spacing w:lineRule="auto" w:line="240" w:before="0" w:after="240"/>
        <w:ind w:left="0" w:right="0" w:firstLine="720"/>
        <w:jc w:val="both"/>
        <w:rPr/>
      </w:pPr>
      <w:r>
        <w:rPr>
          <w:rFonts w:ascii="Times New Roman;serif" w:hAnsi="Times New Roman;serif"/>
          <w:b w:val="false"/>
          <w:color w:val="000000"/>
          <w:sz w:val="22"/>
        </w:rPr>
        <w:t>11.4</w:t>
      </w:r>
      <w:r>
        <w:rPr>
          <w:color w:val="000000"/>
        </w:rPr>
        <w:t>“</w:t>
      </w:r>
      <w:r>
        <w:rPr>
          <w:rFonts w:ascii="Times New Roman;serif" w:hAnsi="Times New Roman;serif"/>
          <w:b/>
          <w:i/>
          <w:color w:val="000000"/>
          <w:sz w:val="22"/>
        </w:rPr>
        <w:t>Award Agreement</w:t>
      </w:r>
      <w:r>
        <w:rPr>
          <w:color w:val="000000"/>
        </w:rPr>
        <w:t xml:space="preserve">” </w:t>
      </w:r>
      <w:r>
        <w:rPr>
          <w:rFonts w:ascii="Times New Roman;serif" w:hAnsi="Times New Roman;serif"/>
          <w:b w:val="false"/>
          <w:color w:val="000000"/>
          <w:sz w:val="22"/>
        </w:rPr>
        <w:t>means a written agreement evidencing an Award, which may be electronic, that contains such terms and conditions as the Administrator determines, consistent with and subject to the terms and conditions of the Plan.</w:t>
      </w:r>
    </w:p>
    <w:p>
      <w:pPr>
        <w:pStyle w:val="TextBody"/>
        <w:bidi w:val="0"/>
        <w:spacing w:lineRule="auto" w:line="240" w:before="0" w:after="240"/>
        <w:ind w:left="0" w:right="0" w:firstLine="720"/>
        <w:jc w:val="both"/>
        <w:rPr/>
      </w:pPr>
      <w:r>
        <w:rPr>
          <w:rFonts w:ascii="Times New Roman;serif" w:hAnsi="Times New Roman;serif"/>
          <w:b w:val="false"/>
          <w:color w:val="000000"/>
          <w:sz w:val="22"/>
        </w:rPr>
        <w:t>11.5</w:t>
      </w:r>
      <w:r>
        <w:rPr>
          <w:color w:val="000000"/>
        </w:rPr>
        <w:t>“</w:t>
      </w:r>
      <w:r>
        <w:rPr>
          <w:rFonts w:ascii="Times New Roman;serif" w:hAnsi="Times New Roman;serif"/>
          <w:b/>
          <w:i/>
          <w:color w:val="000000"/>
          <w:sz w:val="22"/>
        </w:rPr>
        <w:t>Board</w:t>
      </w:r>
      <w:r>
        <w:rPr>
          <w:color w:val="000000"/>
        </w:rPr>
        <w:t xml:space="preserve">” </w:t>
      </w:r>
      <w:r>
        <w:rPr>
          <w:rFonts w:ascii="Times New Roman;serif" w:hAnsi="Times New Roman;serif"/>
          <w:b w:val="false"/>
          <w:color w:val="000000"/>
          <w:sz w:val="22"/>
        </w:rPr>
        <w:t>means the Board of Directors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2"/>
        </w:rPr>
        <w:t>11.6</w:t>
      </w:r>
      <w:r>
        <w:rPr>
          <w:color w:val="000000"/>
        </w:rPr>
        <w:t>“</w:t>
      </w:r>
      <w:r>
        <w:rPr>
          <w:rFonts w:ascii="Times New Roman;serif" w:hAnsi="Times New Roman;serif"/>
          <w:b/>
          <w:i/>
          <w:color w:val="000000"/>
          <w:sz w:val="22"/>
        </w:rPr>
        <w:t>Cause</w:t>
      </w:r>
      <w:r>
        <w:rPr>
          <w:color w:val="000000"/>
        </w:rPr>
        <w:t xml:space="preserve">” </w:t>
      </w:r>
      <w:r>
        <w:rPr>
          <w:rFonts w:ascii="Times New Roman;serif" w:hAnsi="Times New Roman;serif"/>
          <w:b w:val="false"/>
          <w:color w:val="000000"/>
          <w:sz w:val="22"/>
        </w:rPr>
        <w:t>means (i) if a Participant is a party to a written employment or consulting agreement with the Company or any of its Subsidiaries or an Award Agreement in which the term “cause” is defined (a “</w:t>
      </w:r>
      <w:r>
        <w:rPr>
          <w:rFonts w:ascii="Times New Roman;serif" w:hAnsi="Times New Roman;serif"/>
          <w:b/>
          <w:i/>
          <w:color w:val="000000"/>
          <w:sz w:val="22"/>
        </w:rPr>
        <w:t>Relevant Agreement</w:t>
      </w:r>
      <w:r>
        <w:rPr>
          <w:color w:val="000000"/>
        </w:rPr>
        <w:t>”</w:t>
      </w:r>
      <w:r>
        <w:rPr>
          <w:rFonts w:ascii="Times New Roman;serif" w:hAnsi="Times New Roman;serif"/>
          <w:b w:val="false"/>
          <w:color w:val="000000"/>
          <w:sz w:val="22"/>
        </w:rPr>
        <w:t xml:space="preserve">), “Cause” as defined in the Relevant Agreement, and (ii) if no Relevant Agreement exists, (A) the Administrator’s determination that the Participant failed to substantially perform the Participant’s duties (other than a failure resulting from the Participant’s Disability); (B) the Administrator’s determination that the Participant failed to carry out, or comply with any lawful and reasonable directive of the Board or the Participant’s immediate supervisor; (C) the occurrence of any act or omission by the Participant that could reasonably be expected to result in (or has resulted in) the Participant’s conviction, plea of no contest, plea of nolo contendere, or imposition of unadjudicated probation for any felony or indictable offense or crime involving moral turpitude; (D) the Participant’s unlawful use (including being under the influence) or possession of illegal drugs on the premises of the Company or any of its Subsidiaries or while performing the Participant’s duties and responsibilities for the Company or any of its Subsidiaries; or (E) the Participant’s commission of an act of fraud, embezzlement, misappropriation, misconduct, or breach of fiduciary duty against the Company or any of its Subsidiaries. </w:t>
      </w:r>
    </w:p>
    <w:p>
      <w:pPr>
        <w:pStyle w:val="TextBody"/>
        <w:bidi w:val="0"/>
        <w:spacing w:lineRule="auto" w:line="240" w:before="0" w:after="240"/>
        <w:ind w:left="0" w:right="0" w:firstLine="720"/>
        <w:jc w:val="both"/>
        <w:rPr/>
      </w:pPr>
      <w:r>
        <w:rPr>
          <w:rFonts w:ascii="Times New Roman;serif" w:hAnsi="Times New Roman;serif"/>
          <w:b w:val="false"/>
          <w:color w:val="000000"/>
          <w:sz w:val="22"/>
        </w:rPr>
        <w:t>11.7</w:t>
      </w:r>
      <w:r>
        <w:rPr>
          <w:color w:val="000000"/>
        </w:rPr>
        <w:t>“</w:t>
      </w:r>
      <w:r>
        <w:rPr>
          <w:rFonts w:ascii="Times New Roman;serif" w:hAnsi="Times New Roman;serif"/>
          <w:b/>
          <w:i/>
          <w:color w:val="000000"/>
          <w:sz w:val="22"/>
        </w:rPr>
        <w:t>Change in Control</w:t>
      </w:r>
      <w:r>
        <w:rPr>
          <w:color w:val="000000"/>
        </w:rPr>
        <w:t xml:space="preserve">” </w:t>
      </w:r>
      <w:r>
        <w:rPr>
          <w:rFonts w:ascii="Times New Roman;serif" w:hAnsi="Times New Roman;serif"/>
          <w:b w:val="false"/>
          <w:color w:val="000000"/>
          <w:sz w:val="22"/>
        </w:rPr>
        <w:t xml:space="preserve">means and includes each of the following: </w:t>
      </w:r>
    </w:p>
    <w:p>
      <w:pPr>
        <w:pStyle w:val="TextBody"/>
        <w:bidi w:val="0"/>
        <w:spacing w:before="0" w:after="0"/>
        <w:jc w:val="both"/>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serif" w:hAnsi="Times New Roman;serif"/>
          <w:b/>
          <w:i/>
          <w:color w:val="000000"/>
          <w:sz w:val="22"/>
        </w:rPr>
        <w:t>Successor Entity</w:t>
      </w:r>
      <w:r>
        <w:rPr>
          <w:color w:val="000000"/>
        </w:rPr>
        <w:t>”</w:t>
      </w:r>
      <w:r>
        <w:rPr>
          <w:rFonts w:ascii="Times New Roman;serif" w:hAnsi="Times New Roman;serif"/>
          <w:b w:val="false"/>
          <w:color w:val="000000"/>
          <w:sz w:val="22"/>
        </w:rPr>
        <w:t>)) directly or indirectly, at least a majority of the combined voting power of the Successor Entity’s outstanding voting securities immediately after the transaction, and</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 xml:space="preserve">after which no person or group beneficially owns voting securities representing 50% or more of the combined voting power of the Successor Entity;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1.409A-3(i)(5).</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pStyle w:val="TextBody"/>
        <w:bidi w:val="0"/>
        <w:spacing w:before="0" w:after="0"/>
        <w:jc w:val="both"/>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11.8</w:t>
      </w:r>
      <w:r>
        <w:rPr>
          <w:color w:val="000000"/>
        </w:rPr>
        <w:t>“</w:t>
      </w:r>
      <w:r>
        <w:rPr>
          <w:rFonts w:ascii="Times New Roman;serif" w:hAnsi="Times New Roman;serif"/>
          <w:b/>
          <w:i/>
          <w:color w:val="000000"/>
          <w:sz w:val="22"/>
        </w:rPr>
        <w:t>Code</w:t>
      </w:r>
      <w:r>
        <w:rPr>
          <w:color w:val="000000"/>
        </w:rPr>
        <w:t xml:space="preserve">” </w:t>
      </w:r>
      <w:r>
        <w:rPr>
          <w:rFonts w:ascii="Times New Roman;serif" w:hAnsi="Times New Roman;serif"/>
          <w:b w:val="false"/>
          <w:color w:val="000000"/>
          <w:sz w:val="22"/>
        </w:rPr>
        <w:t>means the Internal Revenue Code of 1986, as amended, and the regulations issued thereunder.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11.9</w:t>
      </w:r>
      <w:r>
        <w:rPr>
          <w:color w:val="000000"/>
        </w:rPr>
        <w:t>“</w:t>
      </w:r>
      <w:r>
        <w:rPr>
          <w:rFonts w:ascii="Times New Roman;serif" w:hAnsi="Times New Roman;serif"/>
          <w:b/>
          <w:i/>
          <w:color w:val="000000"/>
          <w:sz w:val="22"/>
        </w:rPr>
        <w:t>Committee</w:t>
      </w:r>
      <w:r>
        <w:rPr>
          <w:color w:val="000000"/>
        </w:rPr>
        <w:t xml:space="preserve">” </w:t>
      </w:r>
      <w:r>
        <w:rPr>
          <w:rFonts w:ascii="Times New Roman;serif" w:hAnsi="Times New Roman;serif"/>
          <w:b w:val="false"/>
          <w:color w:val="000000"/>
          <w:sz w:val="22"/>
        </w:rPr>
        <w:t xml:space="preserve">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 </w:t>
      </w:r>
    </w:p>
    <w:p>
      <w:pPr>
        <w:pStyle w:val="TextBody"/>
        <w:bidi w:val="0"/>
        <w:spacing w:lineRule="auto" w:line="240" w:before="0" w:after="240"/>
        <w:ind w:left="0" w:right="0" w:firstLine="720"/>
        <w:jc w:val="both"/>
        <w:rPr/>
      </w:pPr>
      <w:r>
        <w:rPr>
          <w:rFonts w:ascii="Times New Roman;serif" w:hAnsi="Times New Roman;serif"/>
          <w:b w:val="false"/>
          <w:color w:val="000000"/>
          <w:sz w:val="22"/>
        </w:rPr>
        <w:t>11.10</w:t>
      </w:r>
      <w:r>
        <w:rPr>
          <w:color w:val="000000"/>
        </w:rPr>
        <w:t>“</w:t>
      </w:r>
      <w:r>
        <w:rPr>
          <w:rFonts w:ascii="Times New Roman;serif" w:hAnsi="Times New Roman;serif"/>
          <w:b/>
          <w:i/>
          <w:color w:val="000000"/>
          <w:sz w:val="22"/>
        </w:rPr>
        <w:t>Common Stock</w:t>
      </w:r>
      <w:r>
        <w:rPr>
          <w:color w:val="000000"/>
        </w:rPr>
        <w:t xml:space="preserve">” </w:t>
      </w:r>
      <w:r>
        <w:rPr>
          <w:rFonts w:ascii="Times New Roman;serif" w:hAnsi="Times New Roman;serif"/>
          <w:b w:val="false"/>
          <w:color w:val="000000"/>
          <w:sz w:val="22"/>
        </w:rPr>
        <w:t xml:space="preserve">means the Class A common stock of the Company. </w:t>
      </w:r>
    </w:p>
    <w:p>
      <w:pPr>
        <w:pStyle w:val="TextBody"/>
        <w:bidi w:val="0"/>
        <w:spacing w:lineRule="auto" w:line="240" w:before="0" w:after="240"/>
        <w:ind w:left="0" w:right="0" w:firstLine="720"/>
        <w:jc w:val="both"/>
        <w:rPr/>
      </w:pPr>
      <w:r>
        <w:rPr>
          <w:rFonts w:ascii="Times New Roman;serif" w:hAnsi="Times New Roman;serif"/>
          <w:b w:val="false"/>
          <w:color w:val="000000"/>
          <w:sz w:val="22"/>
        </w:rPr>
        <w:t>11.11</w:t>
      </w:r>
      <w:r>
        <w:rPr>
          <w:color w:val="000000"/>
        </w:rPr>
        <w:t>“</w:t>
      </w:r>
      <w:r>
        <w:rPr>
          <w:rFonts w:ascii="Times New Roman;serif" w:hAnsi="Times New Roman;serif"/>
          <w:b/>
          <w:i/>
          <w:color w:val="000000"/>
          <w:sz w:val="22"/>
        </w:rPr>
        <w:t>Company</w:t>
      </w:r>
      <w:r>
        <w:rPr>
          <w:color w:val="000000"/>
        </w:rPr>
        <w:t xml:space="preserve">” </w:t>
      </w:r>
      <w:r>
        <w:rPr>
          <w:rFonts w:ascii="Times New Roman;serif" w:hAnsi="Times New Roman;serif"/>
          <w:b w:val="false"/>
          <w:color w:val="000000"/>
          <w:sz w:val="22"/>
        </w:rPr>
        <w:t>means Immuneering Corporation, a Delaware corporation, or any successor.</w:t>
      </w:r>
    </w:p>
    <w:p>
      <w:pPr>
        <w:pStyle w:val="TextBody"/>
        <w:bidi w:val="0"/>
        <w:spacing w:lineRule="auto" w:line="240" w:before="0" w:after="240"/>
        <w:ind w:left="0" w:right="0" w:firstLine="720"/>
        <w:jc w:val="both"/>
        <w:rPr/>
      </w:pPr>
      <w:r>
        <w:rPr>
          <w:rFonts w:ascii="Times New Roman;serif" w:hAnsi="Times New Roman;serif"/>
          <w:b w:val="false"/>
          <w:color w:val="000000"/>
          <w:sz w:val="22"/>
        </w:rPr>
        <w:t>11.12</w:t>
      </w:r>
      <w:r>
        <w:rPr>
          <w:color w:val="000000"/>
        </w:rPr>
        <w:t xml:space="preserve"> “</w:t>
      </w:r>
      <w:r>
        <w:rPr>
          <w:rFonts w:ascii="Times New Roman;serif" w:hAnsi="Times New Roman;serif"/>
          <w:b/>
          <w:i/>
          <w:color w:val="000000"/>
          <w:sz w:val="22"/>
        </w:rPr>
        <w:t>Consultant</w:t>
      </w:r>
      <w:r>
        <w:rPr>
          <w:color w:val="000000"/>
        </w:rPr>
        <w:t xml:space="preserve">” </w:t>
      </w:r>
      <w:r>
        <w:rPr>
          <w:rFonts w:ascii="Times New Roman;serif" w:hAnsi="Times New Roman;serif"/>
          <w:b w:val="false"/>
          <w:color w:val="000000"/>
          <w:sz w:val="22"/>
        </w:rPr>
        <w:t>means any person, including any adviser, engaged by the Company or its parent or Subsidiary to render services to such entity if the consultant or adviser: (i) renders bona fide services to the Company; (ii) renders services not in connection with the offer or sale of securities in a capital-raising transaction and does not directly or indirectly promote or maintain a market for the Company’s securities; and (iii) is a natural person.</w:t>
      </w:r>
    </w:p>
    <w:p>
      <w:pPr>
        <w:pStyle w:val="TextBody"/>
        <w:bidi w:val="0"/>
        <w:spacing w:lineRule="auto" w:line="240" w:before="0" w:after="240"/>
        <w:ind w:left="0" w:right="0" w:firstLine="720"/>
        <w:jc w:val="both"/>
        <w:rPr/>
      </w:pPr>
      <w:r>
        <w:rPr>
          <w:rFonts w:ascii="Times New Roman;serif" w:hAnsi="Times New Roman;serif"/>
          <w:b w:val="false"/>
          <w:color w:val="000000"/>
          <w:sz w:val="22"/>
        </w:rPr>
        <w:t>11.13</w:t>
      </w:r>
      <w:r>
        <w:rPr>
          <w:color w:val="000000"/>
        </w:rPr>
        <w:t>“</w:t>
      </w:r>
      <w:r>
        <w:rPr>
          <w:rFonts w:ascii="Times New Roman;serif" w:hAnsi="Times New Roman;serif"/>
          <w:b/>
          <w:i/>
          <w:color w:val="000000"/>
          <w:sz w:val="22"/>
        </w:rPr>
        <w:t>Designated Beneficiary</w:t>
      </w:r>
      <w:r>
        <w:rPr>
          <w:color w:val="000000"/>
        </w:rPr>
        <w:t xml:space="preserve">” </w:t>
      </w:r>
      <w:r>
        <w:rPr>
          <w:rFonts w:ascii="Times New Roman;serif" w:hAnsi="Times New Roman;serif"/>
          <w:b w:val="false"/>
          <w:color w:val="000000"/>
          <w:sz w:val="22"/>
        </w:rPr>
        <w:t>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11.14</w:t>
      </w:r>
      <w:r>
        <w:rPr>
          <w:color w:val="000000"/>
        </w:rPr>
        <w:t>“</w:t>
      </w:r>
      <w:r>
        <w:rPr>
          <w:rFonts w:ascii="Times New Roman;serif" w:hAnsi="Times New Roman;serif"/>
          <w:b/>
          <w:i/>
          <w:color w:val="000000"/>
          <w:sz w:val="22"/>
        </w:rPr>
        <w:t>Director</w:t>
      </w:r>
      <w:r>
        <w:rPr>
          <w:color w:val="000000"/>
        </w:rPr>
        <w:t xml:space="preserve">” </w:t>
      </w:r>
      <w:r>
        <w:rPr>
          <w:rFonts w:ascii="Times New Roman;serif" w:hAnsi="Times New Roman;serif"/>
          <w:b w:val="false"/>
          <w:color w:val="000000"/>
          <w:sz w:val="22"/>
        </w:rPr>
        <w:t>means a Board member.</w:t>
      </w:r>
    </w:p>
    <w:p>
      <w:pPr>
        <w:pStyle w:val="TextBody"/>
        <w:bidi w:val="0"/>
        <w:spacing w:lineRule="auto" w:line="240" w:before="0" w:after="240"/>
        <w:ind w:left="0" w:right="0" w:firstLine="720"/>
        <w:jc w:val="both"/>
        <w:rPr/>
      </w:pPr>
      <w:r>
        <w:rPr>
          <w:rFonts w:ascii="Times New Roman;serif" w:hAnsi="Times New Roman;serif"/>
          <w:b w:val="false"/>
          <w:color w:val="000000"/>
          <w:sz w:val="22"/>
        </w:rPr>
        <w:t>11.15</w:t>
      </w:r>
      <w:r>
        <w:rPr>
          <w:color w:val="000000"/>
        </w:rPr>
        <w:t>“</w:t>
      </w:r>
      <w:r>
        <w:rPr>
          <w:rFonts w:ascii="Times New Roman;serif" w:hAnsi="Times New Roman;serif"/>
          <w:b/>
          <w:i/>
          <w:color w:val="000000"/>
          <w:sz w:val="22"/>
        </w:rPr>
        <w:t>Disability</w:t>
      </w:r>
      <w:r>
        <w:rPr>
          <w:color w:val="000000"/>
        </w:rPr>
        <w:t xml:space="preserve">” </w:t>
      </w:r>
      <w:r>
        <w:rPr>
          <w:rFonts w:ascii="Times New Roman;serif" w:hAnsi="Times New Roman;serif"/>
          <w:b w:val="false"/>
          <w:color w:val="000000"/>
          <w:sz w:val="22"/>
        </w:rPr>
        <w:t>means a permanent and total disability under Section 22(e)(3) of the Code, as amended.</w:t>
      </w:r>
    </w:p>
    <w:p>
      <w:pPr>
        <w:pStyle w:val="TextBody"/>
        <w:bidi w:val="0"/>
        <w:spacing w:lineRule="auto" w:line="240" w:before="0" w:after="240"/>
        <w:ind w:left="0" w:right="0" w:firstLine="720"/>
        <w:jc w:val="both"/>
        <w:rPr/>
      </w:pPr>
      <w:r>
        <w:rPr>
          <w:rFonts w:ascii="Times New Roman;serif" w:hAnsi="Times New Roman;serif"/>
          <w:b w:val="false"/>
          <w:color w:val="000000"/>
          <w:sz w:val="22"/>
        </w:rPr>
        <w:t>11.16</w:t>
      </w:r>
      <w:r>
        <w:rPr>
          <w:color w:val="000000"/>
        </w:rPr>
        <w:t>“</w:t>
      </w:r>
      <w:r>
        <w:rPr>
          <w:rFonts w:ascii="Times New Roman;serif" w:hAnsi="Times New Roman;serif"/>
          <w:b/>
          <w:i/>
          <w:color w:val="000000"/>
          <w:sz w:val="22"/>
        </w:rPr>
        <w:t>Dividend Equivalents</w:t>
      </w:r>
      <w:r>
        <w:rPr>
          <w:color w:val="000000"/>
        </w:rPr>
        <w:t xml:space="preserve">” </w:t>
      </w:r>
      <w:r>
        <w:rPr>
          <w:rFonts w:ascii="Times New Roman;serif" w:hAnsi="Times New Roman;serif"/>
          <w:b w:val="false"/>
          <w:color w:val="000000"/>
          <w:sz w:val="22"/>
        </w:rPr>
        <w:t>means a right granted to a Participant under the Plan to receive the equivalent value (in cash or Shares) of dividends paid on Shares.</w:t>
      </w:r>
    </w:p>
    <w:p>
      <w:pPr>
        <w:pStyle w:val="TextBody"/>
        <w:bidi w:val="0"/>
        <w:spacing w:lineRule="auto" w:line="240" w:before="0" w:after="240"/>
        <w:ind w:left="0" w:right="0" w:firstLine="720"/>
        <w:jc w:val="both"/>
        <w:rPr/>
      </w:pPr>
      <w:r>
        <w:rPr>
          <w:rFonts w:ascii="Times New Roman;serif" w:hAnsi="Times New Roman;serif"/>
          <w:b w:val="false"/>
          <w:color w:val="000000"/>
          <w:sz w:val="22"/>
        </w:rPr>
        <w:t>11.17</w:t>
      </w:r>
      <w:r>
        <w:rPr>
          <w:color w:val="000000"/>
        </w:rPr>
        <w:t>“</w:t>
      </w:r>
      <w:r>
        <w:rPr>
          <w:rFonts w:ascii="Times New Roman;serif" w:hAnsi="Times New Roman;serif"/>
          <w:b/>
          <w:i/>
          <w:color w:val="000000"/>
          <w:sz w:val="22"/>
        </w:rPr>
        <w:t>Eligible Employee</w:t>
      </w:r>
      <w:r>
        <w:rPr>
          <w:color w:val="000000"/>
        </w:rPr>
        <w:t xml:space="preserve">” </w:t>
      </w:r>
      <w:r>
        <w:rPr>
          <w:rFonts w:ascii="Times New Roman;serif" w:hAnsi="Times New Roman;serif"/>
          <w:b w:val="false"/>
          <w:color w:val="000000"/>
          <w:sz w:val="22"/>
        </w:rPr>
        <w:t>means any individual who was not previously an Employee or Director hired as a new Employee or rehired as an Employee following a bona fide period of interruption of employment if such person is granted an Award as a material inducement to his or her entering into employment with the Company or a Subsidiary (within the meaning of the NASDAQ Rule 5635(c)(4)).</w:t>
      </w:r>
    </w:p>
    <w:p>
      <w:pPr>
        <w:pStyle w:val="TextBody"/>
        <w:bidi w:val="0"/>
        <w:spacing w:lineRule="auto" w:line="240" w:before="0" w:after="240"/>
        <w:ind w:left="0" w:right="0" w:firstLine="720"/>
        <w:jc w:val="both"/>
        <w:rPr/>
      </w:pPr>
      <w:r>
        <w:rPr>
          <w:rFonts w:ascii="Times New Roman;serif" w:hAnsi="Times New Roman;serif"/>
          <w:b w:val="false"/>
          <w:color w:val="000000"/>
          <w:sz w:val="22"/>
        </w:rPr>
        <w:t>11.18</w:t>
      </w:r>
      <w:r>
        <w:rPr>
          <w:color w:val="000000"/>
        </w:rPr>
        <w:t>“</w:t>
      </w:r>
      <w:r>
        <w:rPr>
          <w:rFonts w:ascii="Times New Roman;serif" w:hAnsi="Times New Roman;serif"/>
          <w:b/>
          <w:i/>
          <w:color w:val="000000"/>
          <w:sz w:val="22"/>
        </w:rPr>
        <w:t>Employee</w:t>
      </w:r>
      <w:r>
        <w:rPr>
          <w:color w:val="000000"/>
        </w:rPr>
        <w:t xml:space="preserve">” </w:t>
      </w:r>
      <w:r>
        <w:rPr>
          <w:rFonts w:ascii="Times New Roman;serif" w:hAnsi="Times New Roman;serif"/>
          <w:b w:val="false"/>
          <w:color w:val="000000"/>
          <w:sz w:val="22"/>
        </w:rPr>
        <w:t>means any employee of the Company or its Subsidiaries.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11.19</w:t>
      </w:r>
      <w:r>
        <w:rPr>
          <w:color w:val="000000"/>
        </w:rPr>
        <w:t>“</w:t>
      </w:r>
      <w:r>
        <w:rPr>
          <w:rFonts w:ascii="Times New Roman;serif" w:hAnsi="Times New Roman;serif"/>
          <w:b/>
          <w:i/>
          <w:color w:val="000000"/>
          <w:sz w:val="22"/>
        </w:rPr>
        <w:t>Equity Restructuring</w:t>
      </w:r>
      <w:r>
        <w:rPr>
          <w:color w:val="000000"/>
        </w:rPr>
        <w:t xml:space="preserve">” </w:t>
      </w:r>
      <w:r>
        <w:rPr>
          <w:rFonts w:ascii="Times New Roman;serif" w:hAnsi="Times New Roman;serif"/>
          <w:b w:val="false"/>
          <w:color w:val="000000"/>
          <w:sz w:val="22"/>
        </w:rPr>
        <w:t>means a nonreciprocal transaction between the Company and its stockholders, such as a stock dividend, stock split, spin-off or recapitalization through a large, nonrecurring cash dividend, that affects the number or kind of Shares (or other Company securities) or the share price of Common Stock (or other Company securities) and causes a change in the per share value of the Common Stock underlying outstanding Awards.</w:t>
      </w:r>
    </w:p>
    <w:p>
      <w:pPr>
        <w:pStyle w:val="TextBody"/>
        <w:bidi w:val="0"/>
        <w:spacing w:lineRule="auto" w:line="240" w:before="0" w:after="240"/>
        <w:ind w:left="0" w:right="0" w:firstLine="720"/>
        <w:jc w:val="both"/>
        <w:rPr/>
      </w:pPr>
      <w:r>
        <w:rPr>
          <w:rFonts w:ascii="Times New Roman;serif" w:hAnsi="Times New Roman;serif"/>
          <w:b w:val="false"/>
          <w:color w:val="000000"/>
          <w:sz w:val="22"/>
        </w:rPr>
        <w:t>11.20</w:t>
      </w:r>
      <w:r>
        <w:rPr>
          <w:color w:val="000000"/>
        </w:rPr>
        <w:t>“</w:t>
      </w:r>
      <w:r>
        <w:rPr>
          <w:rFonts w:ascii="Times New Roman;serif" w:hAnsi="Times New Roman;serif"/>
          <w:b/>
          <w:i/>
          <w:color w:val="000000"/>
          <w:sz w:val="22"/>
        </w:rPr>
        <w:t>Exchange Act</w:t>
      </w:r>
      <w:r>
        <w:rPr>
          <w:color w:val="000000"/>
        </w:rPr>
        <w:t xml:space="preserve">” </w:t>
      </w:r>
      <w:r>
        <w:rPr>
          <w:rFonts w:ascii="Times New Roman;serif" w:hAnsi="Times New Roman;serif"/>
          <w:b w:val="false"/>
          <w:color w:val="000000"/>
          <w:sz w:val="22"/>
        </w:rPr>
        <w:t>means the Securities Exchange Act of 1934, as amended.</w:t>
      </w:r>
    </w:p>
    <w:p>
      <w:pPr>
        <w:pStyle w:val="TextBody"/>
        <w:bidi w:val="0"/>
        <w:spacing w:lineRule="auto" w:line="240" w:before="0" w:after="240"/>
        <w:ind w:left="0" w:right="0" w:firstLine="720"/>
        <w:jc w:val="both"/>
        <w:rPr/>
      </w:pPr>
      <w:r>
        <w:rPr>
          <w:rFonts w:ascii="Times New Roman;serif" w:hAnsi="Times New Roman;serif"/>
          <w:b w:val="false"/>
          <w:color w:val="000000"/>
          <w:sz w:val="22"/>
        </w:rPr>
        <w:t>11.21</w:t>
      </w:r>
      <w:r>
        <w:rPr>
          <w:color w:val="000000"/>
        </w:rPr>
        <w:t>“</w:t>
      </w:r>
      <w:r>
        <w:rPr>
          <w:rFonts w:ascii="Times New Roman;serif" w:hAnsi="Times New Roman;serif"/>
          <w:b/>
          <w:i/>
          <w:color w:val="000000"/>
          <w:sz w:val="22"/>
        </w:rPr>
        <w:t>Fair Market Value</w:t>
      </w:r>
      <w:r>
        <w:rPr>
          <w:color w:val="000000"/>
        </w:rPr>
        <w:t xml:space="preserve">” </w:t>
      </w:r>
      <w:r>
        <w:rPr>
          <w:rFonts w:ascii="Times New Roman;serif" w:hAnsi="Times New Roman;serif"/>
          <w:b w:val="false"/>
          <w:color w:val="000000"/>
          <w:sz w:val="22"/>
        </w:rPr>
        <w:t xml:space="preserve">means, as of any date, the value of a Share determined as follows: (i)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The Wall Street Journal or another source the Administrator deems reliable; (ii) if the Common Stock is not traded on a stock exchange but is quoted on a national market or other quotation system, the closing sales price on such date, or if no sales occurred on such date, then on the last date preceding such date during which a sale occurred, as reported in The Wall Street Journal or another source the Administrator deems </w:t>
      </w:r>
    </w:p>
    <w:p>
      <w:pPr>
        <w:pStyle w:val="TextBody"/>
        <w:bidi w:val="0"/>
        <w:spacing w:before="0" w:after="0"/>
        <w:jc w:val="both"/>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reliable; or (iii) without an established market for the Common Stock, the Administrator will determine the Fair Market Value in its discretion. 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11.22</w:t>
      </w:r>
      <w:r>
        <w:rPr>
          <w:color w:val="000000"/>
        </w:rPr>
        <w:t>“</w:t>
      </w:r>
      <w:r>
        <w:rPr>
          <w:rFonts w:ascii="Times New Roman;serif" w:hAnsi="Times New Roman;serif"/>
          <w:b/>
          <w:i/>
          <w:color w:val="000000"/>
          <w:sz w:val="22"/>
        </w:rPr>
        <w:t>Incentive Stock Option</w:t>
      </w:r>
      <w:r>
        <w:rPr>
          <w:color w:val="000000"/>
        </w:rPr>
        <w:t xml:space="preserve">” </w:t>
      </w:r>
      <w:r>
        <w:rPr>
          <w:rFonts w:ascii="Times New Roman;serif" w:hAnsi="Times New Roman;serif"/>
          <w:b w:val="false"/>
          <w:color w:val="000000"/>
          <w:sz w:val="22"/>
        </w:rPr>
        <w:t>means an Option intended to qualify as an “incentive stock option” as defined in Section 422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2"/>
        </w:rPr>
        <w:t>11.23</w:t>
      </w:r>
      <w:r>
        <w:rPr>
          <w:color w:val="000000"/>
        </w:rPr>
        <w:t>“</w:t>
      </w:r>
      <w:r>
        <w:rPr>
          <w:rFonts w:ascii="Times New Roman;serif" w:hAnsi="Times New Roman;serif"/>
          <w:b/>
          <w:i/>
          <w:color w:val="000000"/>
          <w:sz w:val="22"/>
        </w:rPr>
        <w:t>Independent Director</w:t>
      </w:r>
      <w:r>
        <w:rPr>
          <w:color w:val="000000"/>
        </w:rPr>
        <w:t xml:space="preserve">” </w:t>
      </w:r>
      <w:r>
        <w:rPr>
          <w:rFonts w:ascii="Times New Roman;serif" w:hAnsi="Times New Roman;serif"/>
          <w:b w:val="false"/>
          <w:color w:val="000000"/>
          <w:sz w:val="22"/>
        </w:rPr>
        <w:t>means a Director who qualifies as “independent” within the meaning of NASDAQ Rule 5635(c)(4), or any successor rule, as such rule may be amended from time to time.</w:t>
      </w:r>
    </w:p>
    <w:p>
      <w:pPr>
        <w:pStyle w:val="TextBody"/>
        <w:bidi w:val="0"/>
        <w:spacing w:lineRule="auto" w:line="240" w:before="0" w:after="240"/>
        <w:ind w:left="0" w:right="0" w:firstLine="720"/>
        <w:jc w:val="both"/>
        <w:rPr/>
      </w:pPr>
      <w:r>
        <w:rPr>
          <w:rFonts w:ascii="Times New Roman;serif" w:hAnsi="Times New Roman;serif"/>
          <w:b w:val="false"/>
          <w:color w:val="000000"/>
          <w:sz w:val="22"/>
        </w:rPr>
        <w:t>11.24</w:t>
      </w:r>
      <w:r>
        <w:rPr>
          <w:color w:val="000000"/>
        </w:rPr>
        <w:t>“</w:t>
      </w:r>
      <w:r>
        <w:rPr>
          <w:rFonts w:ascii="Times New Roman;serif" w:hAnsi="Times New Roman;serif"/>
          <w:b/>
          <w:i/>
          <w:color w:val="000000"/>
          <w:sz w:val="22"/>
        </w:rPr>
        <w:t>NASDAQ Rule 5635(c)(4)</w:t>
      </w:r>
      <w:r>
        <w:rPr>
          <w:color w:val="000000"/>
        </w:rPr>
        <w:t xml:space="preserve">” </w:t>
      </w:r>
      <w:r>
        <w:rPr>
          <w:rFonts w:ascii="Times New Roman;serif" w:hAnsi="Times New Roman;serif"/>
          <w:b w:val="false"/>
          <w:color w:val="000000"/>
          <w:sz w:val="22"/>
        </w:rPr>
        <w:t>means NASDAQ Rule 5635(c)(4), or any successor rule, and all guidance and other interpretative authority thereunder, as such rule, guidance and other authority may be amended from time to time.</w:t>
      </w:r>
    </w:p>
    <w:p>
      <w:pPr>
        <w:pStyle w:val="TextBody"/>
        <w:bidi w:val="0"/>
        <w:spacing w:lineRule="auto" w:line="240" w:before="0" w:after="240"/>
        <w:ind w:left="0" w:right="0" w:firstLine="720"/>
        <w:jc w:val="both"/>
        <w:rPr/>
      </w:pPr>
      <w:r>
        <w:rPr>
          <w:rFonts w:ascii="Times New Roman;serif" w:hAnsi="Times New Roman;serif"/>
          <w:b w:val="false"/>
          <w:color w:val="000000"/>
          <w:sz w:val="22"/>
        </w:rPr>
        <w:t>11.25</w:t>
      </w:r>
      <w:r>
        <w:rPr>
          <w:color w:val="000000"/>
        </w:rPr>
        <w:t>“</w:t>
      </w:r>
      <w:r>
        <w:rPr>
          <w:rFonts w:ascii="Times New Roman;serif" w:hAnsi="Times New Roman;serif"/>
          <w:b/>
          <w:i/>
          <w:color w:val="000000"/>
          <w:sz w:val="22"/>
        </w:rPr>
        <w:t>Non-Qualified Stock Option</w:t>
      </w:r>
      <w:r>
        <w:rPr>
          <w:color w:val="000000"/>
        </w:rPr>
        <w:t xml:space="preserve">” </w:t>
      </w:r>
      <w:r>
        <w:rPr>
          <w:rFonts w:ascii="Times New Roman;serif" w:hAnsi="Times New Roman;serif"/>
          <w:b w:val="false"/>
          <w:color w:val="000000"/>
          <w:sz w:val="22"/>
        </w:rPr>
        <w:t>means an Option that is not an Incentive Stock Option.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11.26</w:t>
      </w:r>
      <w:r>
        <w:rPr>
          <w:color w:val="000000"/>
        </w:rPr>
        <w:t>“</w:t>
      </w:r>
      <w:r>
        <w:rPr>
          <w:rFonts w:ascii="Times New Roman;serif" w:hAnsi="Times New Roman;serif"/>
          <w:b/>
          <w:i/>
          <w:color w:val="000000"/>
          <w:sz w:val="22"/>
        </w:rPr>
        <w:t>Option</w:t>
      </w:r>
      <w:r>
        <w:rPr>
          <w:color w:val="000000"/>
        </w:rPr>
        <w:t xml:space="preserve">” </w:t>
      </w:r>
      <w:r>
        <w:rPr>
          <w:rFonts w:ascii="Times New Roman;serif" w:hAnsi="Times New Roman;serif"/>
          <w:b w:val="false"/>
          <w:color w:val="000000"/>
          <w:sz w:val="22"/>
        </w:rPr>
        <w:t>means an option to purchase Shares, which will either be an Incentive Stock Option or a Non-Qualified Stock Option.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11.27</w:t>
      </w:r>
      <w:r>
        <w:rPr>
          <w:color w:val="000000"/>
        </w:rPr>
        <w:t>“</w:t>
      </w:r>
      <w:r>
        <w:rPr>
          <w:rFonts w:ascii="Times New Roman;serif" w:hAnsi="Times New Roman;serif"/>
          <w:b/>
          <w:i/>
          <w:color w:val="000000"/>
          <w:sz w:val="22"/>
        </w:rPr>
        <w:t>Other Stock or Cash Based Awards</w:t>
      </w:r>
      <w:r>
        <w:rPr>
          <w:color w:val="000000"/>
        </w:rPr>
        <w:t xml:space="preserve">” </w:t>
      </w:r>
      <w:r>
        <w:rPr>
          <w:rFonts w:ascii="Times New Roman;serif" w:hAnsi="Times New Roman;serif"/>
          <w:b w:val="false"/>
          <w:color w:val="000000"/>
          <w:sz w:val="22"/>
        </w:rPr>
        <w:t>means cash awards, awards of Shares, and other awards valued wholly or partially by referring to, or are otherwise based on, Shares or other property.</w:t>
      </w:r>
    </w:p>
    <w:p>
      <w:pPr>
        <w:pStyle w:val="TextBody"/>
        <w:bidi w:val="0"/>
        <w:spacing w:lineRule="auto" w:line="240" w:before="0" w:after="240"/>
        <w:ind w:left="0" w:right="0" w:firstLine="720"/>
        <w:jc w:val="both"/>
        <w:rPr/>
      </w:pPr>
      <w:r>
        <w:rPr>
          <w:rFonts w:ascii="Times New Roman;serif" w:hAnsi="Times New Roman;serif"/>
          <w:b w:val="false"/>
          <w:color w:val="000000"/>
          <w:sz w:val="22"/>
        </w:rPr>
        <w:t>11.28</w:t>
      </w:r>
      <w:r>
        <w:rPr>
          <w:color w:val="000000"/>
        </w:rPr>
        <w:t>“</w:t>
      </w:r>
      <w:r>
        <w:rPr>
          <w:rFonts w:ascii="Times New Roman;serif" w:hAnsi="Times New Roman;serif"/>
          <w:b/>
          <w:i/>
          <w:color w:val="000000"/>
          <w:sz w:val="22"/>
        </w:rPr>
        <w:t>Overall Share Limit</w:t>
      </w:r>
      <w:r>
        <w:rPr>
          <w:color w:val="000000"/>
        </w:rPr>
        <w:t xml:space="preserve">” </w:t>
      </w:r>
      <w:r>
        <w:rPr>
          <w:rFonts w:ascii="Times New Roman;serif" w:hAnsi="Times New Roman;serif"/>
          <w:b w:val="false"/>
          <w:color w:val="000000"/>
          <w:sz w:val="22"/>
        </w:rPr>
        <w:t>means 2,000,000 Shares.</w:t>
      </w:r>
    </w:p>
    <w:p>
      <w:pPr>
        <w:pStyle w:val="TextBody"/>
        <w:bidi w:val="0"/>
        <w:spacing w:lineRule="auto" w:line="240" w:before="0" w:after="240"/>
        <w:ind w:left="0" w:right="0" w:firstLine="720"/>
        <w:jc w:val="both"/>
        <w:rPr/>
      </w:pPr>
      <w:r>
        <w:rPr>
          <w:rFonts w:ascii="Times New Roman;serif" w:hAnsi="Times New Roman;serif"/>
          <w:b w:val="false"/>
          <w:color w:val="000000"/>
          <w:sz w:val="22"/>
        </w:rPr>
        <w:t>11.29</w:t>
      </w:r>
      <w:r>
        <w:rPr>
          <w:color w:val="000000"/>
        </w:rPr>
        <w:t xml:space="preserve"> “</w:t>
      </w:r>
      <w:r>
        <w:rPr>
          <w:rFonts w:ascii="Times New Roman;serif" w:hAnsi="Times New Roman;serif"/>
          <w:b/>
          <w:i/>
          <w:color w:val="000000"/>
          <w:sz w:val="22"/>
        </w:rPr>
        <w:t>Participant</w:t>
      </w:r>
      <w:r>
        <w:rPr>
          <w:color w:val="000000"/>
        </w:rPr>
        <w:t xml:space="preserve">” </w:t>
      </w:r>
      <w:r>
        <w:rPr>
          <w:rFonts w:ascii="Times New Roman;serif" w:hAnsi="Times New Roman;serif"/>
          <w:b w:val="false"/>
          <w:color w:val="000000"/>
          <w:sz w:val="22"/>
        </w:rPr>
        <w:t>means an Eligible Individual who has been granted an Award.</w:t>
      </w:r>
    </w:p>
    <w:p>
      <w:pPr>
        <w:pStyle w:val="TextBody"/>
        <w:bidi w:val="0"/>
        <w:spacing w:lineRule="auto" w:line="240" w:before="0" w:after="240"/>
        <w:ind w:left="0" w:right="0" w:firstLine="720"/>
        <w:jc w:val="both"/>
        <w:rPr/>
      </w:pPr>
      <w:r>
        <w:rPr>
          <w:rFonts w:ascii="Times New Roman;serif" w:hAnsi="Times New Roman;serif"/>
          <w:b w:val="false"/>
          <w:color w:val="000000"/>
          <w:sz w:val="22"/>
        </w:rPr>
        <w:t>11.30</w:t>
      </w:r>
      <w:r>
        <w:rPr>
          <w:color w:val="000000"/>
        </w:rPr>
        <w:t>“</w:t>
      </w:r>
      <w:r>
        <w:rPr>
          <w:rFonts w:ascii="Times New Roman;serif" w:hAnsi="Times New Roman;serif"/>
          <w:b/>
          <w:i/>
          <w:color w:val="000000"/>
          <w:sz w:val="22"/>
        </w:rPr>
        <w:t>Performance Criteria</w:t>
      </w:r>
      <w:r>
        <w:rPr>
          <w:color w:val="000000"/>
        </w:rPr>
        <w:t xml:space="preserve">” </w:t>
      </w:r>
      <w:r>
        <w:rPr>
          <w:rFonts w:ascii="Times New Roman;serif" w:hAnsi="Times New Roman;serif"/>
          <w:b w:val="false"/>
          <w:color w:val="000000"/>
          <w:sz w:val="22"/>
        </w:rPr>
        <w:t xml:space="preserve">means the criteria (and adjustments) that the Administrator may select for an Award to establish performance goals for a performance period, which may include (but is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The Administrator may provide for exclusion of the impact of an event or occurrence which the Administrator determines should appropriately be excluded, including (a) restructurings, discontinued operations, extraordinary items, and other unusual, infrequently occurring or non-recurring charges or events, (b) asset write-downs, (c) litigation or claim judgments or settlements, (d) acquisitions or </w:t>
      </w:r>
    </w:p>
    <w:p>
      <w:pPr>
        <w:pStyle w:val="TextBody"/>
        <w:bidi w:val="0"/>
        <w:spacing w:before="0" w:after="0"/>
        <w:jc w:val="both"/>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divestitures, (e) reorganization or change in the corporate structure or capital structure of the Company, (f) an event either not directly related to the operations of the Company, Subsidiary, division, business segment or business unit or not within the reasonable control of management, (g) foreign exchange gains and losses, (h) a change in the fiscal year of the Company, (i) the refinancing or repurchase of bank loans or debt securities, (j) unbudgeted capital expenditures, (k) the issuance or repurchase of equity securities and other changes in the number of outstanding shares, (l) conversion of some or all of convertible securities to Common Stock, (m) any business interruption event (n) the cumulative effects of tax or accounting changes in accordance with U.S. generally accepted accounting principles, or (o) the effect of changes in other laws or regulatory rules affecting reported results.</w:t>
      </w:r>
    </w:p>
    <w:p>
      <w:pPr>
        <w:pStyle w:val="TextBody"/>
        <w:bidi w:val="0"/>
        <w:spacing w:lineRule="auto" w:line="240" w:before="0" w:after="240"/>
        <w:ind w:left="0" w:right="0" w:firstLine="720"/>
        <w:jc w:val="both"/>
        <w:rPr/>
      </w:pPr>
      <w:r>
        <w:rPr>
          <w:rFonts w:ascii="Times New Roman;serif" w:hAnsi="Times New Roman;serif"/>
          <w:b w:val="false"/>
          <w:color w:val="000000"/>
          <w:sz w:val="22"/>
        </w:rPr>
        <w:t>11.31</w:t>
      </w:r>
      <w:r>
        <w:rPr>
          <w:color w:val="000000"/>
        </w:rPr>
        <w:t>“</w:t>
      </w:r>
      <w:r>
        <w:rPr>
          <w:rFonts w:ascii="Times New Roman;serif" w:hAnsi="Times New Roman;serif"/>
          <w:b/>
          <w:i/>
          <w:color w:val="000000"/>
          <w:sz w:val="22"/>
        </w:rPr>
        <w:t>Plan</w:t>
      </w:r>
      <w:r>
        <w:rPr>
          <w:color w:val="000000"/>
        </w:rPr>
        <w:t xml:space="preserve">” </w:t>
      </w:r>
      <w:r>
        <w:rPr>
          <w:rFonts w:ascii="Times New Roman;serif" w:hAnsi="Times New Roman;serif"/>
          <w:b w:val="false"/>
          <w:color w:val="000000"/>
          <w:sz w:val="22"/>
        </w:rPr>
        <w:t>means this 2025 Employment Inducement Award Plan.</w:t>
      </w:r>
    </w:p>
    <w:p>
      <w:pPr>
        <w:pStyle w:val="TextBody"/>
        <w:bidi w:val="0"/>
        <w:spacing w:lineRule="auto" w:line="240" w:before="0" w:after="240"/>
        <w:ind w:left="0" w:right="0" w:firstLine="720"/>
        <w:jc w:val="both"/>
        <w:rPr/>
      </w:pPr>
      <w:r>
        <w:rPr>
          <w:rFonts w:ascii="Times New Roman;serif" w:hAnsi="Times New Roman;serif"/>
          <w:b w:val="false"/>
          <w:color w:val="000000"/>
          <w:sz w:val="22"/>
        </w:rPr>
        <w:t>11.32</w:t>
      </w:r>
      <w:r>
        <w:rPr>
          <w:color w:val="000000"/>
        </w:rPr>
        <w:t>“</w:t>
      </w:r>
      <w:r>
        <w:rPr>
          <w:rFonts w:ascii="Times New Roman;serif" w:hAnsi="Times New Roman;serif"/>
          <w:b/>
          <w:i/>
          <w:color w:val="000000"/>
          <w:sz w:val="22"/>
        </w:rPr>
        <w:t>Restricted Stock</w:t>
      </w:r>
      <w:r>
        <w:rPr>
          <w:color w:val="000000"/>
        </w:rPr>
        <w:t xml:space="preserve">” </w:t>
      </w:r>
      <w:r>
        <w:rPr>
          <w:rFonts w:ascii="Times New Roman;serif" w:hAnsi="Times New Roman;serif"/>
          <w:b w:val="false"/>
          <w:color w:val="000000"/>
          <w:sz w:val="22"/>
        </w:rPr>
        <w:t>means Shares awarded to a Participant under Article VI subject to certain vesting conditions and other restrictions.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11.33</w:t>
      </w:r>
      <w:r>
        <w:rPr>
          <w:color w:val="000000"/>
        </w:rPr>
        <w:t>“</w:t>
      </w:r>
      <w:r>
        <w:rPr>
          <w:rFonts w:ascii="Times New Roman;serif" w:hAnsi="Times New Roman;serif"/>
          <w:b/>
          <w:i/>
          <w:color w:val="000000"/>
          <w:sz w:val="22"/>
        </w:rPr>
        <w:t>Restricted Stock Unit</w:t>
      </w:r>
      <w:r>
        <w:rPr>
          <w:color w:val="000000"/>
        </w:rPr>
        <w:t xml:space="preserve">” </w:t>
      </w:r>
      <w:r>
        <w:rPr>
          <w:rFonts w:ascii="Times New Roman;serif" w:hAnsi="Times New Roman;serif"/>
          <w:b w:val="false"/>
          <w:color w:val="000000"/>
          <w:sz w:val="22"/>
        </w:rPr>
        <w:t>means an unfunded, unsecured right to receive, on the applicable settlement date, one Share or an amount in cash or other consideration determined by the Administrator to be of equal value as of such settlement date awarded to a Participant under Article VI, subject to certain vesting conditions and other restrictions.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11.34</w:t>
      </w:r>
      <w:r>
        <w:rPr>
          <w:color w:val="000000"/>
        </w:rPr>
        <w:t>“</w:t>
      </w:r>
      <w:r>
        <w:rPr>
          <w:rFonts w:ascii="Times New Roman;serif" w:hAnsi="Times New Roman;serif"/>
          <w:b/>
          <w:i/>
          <w:color w:val="000000"/>
          <w:sz w:val="22"/>
        </w:rPr>
        <w:t>Rule 16b-3</w:t>
      </w:r>
      <w:r>
        <w:rPr>
          <w:color w:val="000000"/>
        </w:rPr>
        <w:t xml:space="preserve">” </w:t>
      </w:r>
      <w:r>
        <w:rPr>
          <w:rFonts w:ascii="Times New Roman;serif" w:hAnsi="Times New Roman;serif"/>
          <w:b w:val="false"/>
          <w:color w:val="000000"/>
          <w:sz w:val="22"/>
        </w:rPr>
        <w:t>means Rule 16b-3 promulgated under the Exchange Act.</w:t>
      </w:r>
    </w:p>
    <w:p>
      <w:pPr>
        <w:pStyle w:val="TextBody"/>
        <w:bidi w:val="0"/>
        <w:spacing w:lineRule="auto" w:line="240" w:before="0" w:after="240"/>
        <w:ind w:left="0" w:right="0" w:firstLine="720"/>
        <w:jc w:val="both"/>
        <w:rPr/>
      </w:pPr>
      <w:r>
        <w:rPr>
          <w:rFonts w:ascii="Times New Roman;serif" w:hAnsi="Times New Roman;serif"/>
          <w:b w:val="false"/>
          <w:color w:val="000000"/>
          <w:sz w:val="22"/>
        </w:rPr>
        <w:t>11.35</w:t>
      </w:r>
      <w:r>
        <w:rPr>
          <w:color w:val="000000"/>
        </w:rPr>
        <w:t>“</w:t>
      </w:r>
      <w:r>
        <w:rPr>
          <w:rFonts w:ascii="Times New Roman;serif" w:hAnsi="Times New Roman;serif"/>
          <w:b/>
          <w:i/>
          <w:color w:val="000000"/>
          <w:sz w:val="22"/>
        </w:rPr>
        <w:t>Section 409A</w:t>
      </w:r>
      <w:r>
        <w:rPr>
          <w:color w:val="000000"/>
        </w:rPr>
        <w:t xml:space="preserve">” </w:t>
      </w:r>
      <w:r>
        <w:rPr>
          <w:rFonts w:ascii="Times New Roman;serif" w:hAnsi="Times New Roman;serif"/>
          <w:b w:val="false"/>
          <w:color w:val="000000"/>
          <w:sz w:val="22"/>
        </w:rPr>
        <w:t>means Section 409A of the Code and all regulations, guidance, compliance programs and other interpretative authority thereunder.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11.36</w:t>
      </w:r>
      <w:r>
        <w:rPr>
          <w:color w:val="000000"/>
        </w:rPr>
        <w:t>“</w:t>
      </w:r>
      <w:r>
        <w:rPr>
          <w:rFonts w:ascii="Times New Roman;serif" w:hAnsi="Times New Roman;serif"/>
          <w:b/>
          <w:i/>
          <w:color w:val="000000"/>
          <w:sz w:val="22"/>
        </w:rPr>
        <w:t>Securities Act</w:t>
      </w:r>
      <w:r>
        <w:rPr>
          <w:color w:val="000000"/>
        </w:rPr>
        <w:t xml:space="preserve">” </w:t>
      </w:r>
      <w:r>
        <w:rPr>
          <w:rFonts w:ascii="Times New Roman;serif" w:hAnsi="Times New Roman;serif"/>
          <w:b w:val="false"/>
          <w:color w:val="000000"/>
          <w:sz w:val="22"/>
        </w:rPr>
        <w:t>means the Securities Act of 1933, as amended.</w:t>
      </w:r>
    </w:p>
    <w:p>
      <w:pPr>
        <w:pStyle w:val="TextBody"/>
        <w:bidi w:val="0"/>
        <w:spacing w:lineRule="auto" w:line="240" w:before="0" w:after="240"/>
        <w:ind w:left="0" w:right="0" w:firstLine="720"/>
        <w:jc w:val="both"/>
        <w:rPr/>
      </w:pPr>
      <w:r>
        <w:rPr>
          <w:rFonts w:ascii="Times New Roman;serif" w:hAnsi="Times New Roman;serif"/>
          <w:b w:val="false"/>
          <w:color w:val="000000"/>
          <w:sz w:val="22"/>
        </w:rPr>
        <w:t>11.37</w:t>
      </w:r>
      <w:r>
        <w:rPr>
          <w:color w:val="000000"/>
        </w:rPr>
        <w:t>“</w:t>
      </w:r>
      <w:r>
        <w:rPr>
          <w:rFonts w:ascii="Times New Roman;serif" w:hAnsi="Times New Roman;serif"/>
          <w:b/>
          <w:i/>
          <w:color w:val="000000"/>
          <w:sz w:val="22"/>
        </w:rPr>
        <w:t>Service Provider</w:t>
      </w:r>
      <w:r>
        <w:rPr>
          <w:color w:val="000000"/>
        </w:rPr>
        <w:t xml:space="preserve">” </w:t>
      </w:r>
      <w:r>
        <w:rPr>
          <w:rFonts w:ascii="Times New Roman;serif" w:hAnsi="Times New Roman;serif"/>
          <w:b w:val="false"/>
          <w:color w:val="000000"/>
          <w:sz w:val="22"/>
        </w:rPr>
        <w:t>means an Employee, Consultant or Director.</w:t>
      </w:r>
    </w:p>
    <w:p>
      <w:pPr>
        <w:pStyle w:val="TextBody"/>
        <w:bidi w:val="0"/>
        <w:spacing w:lineRule="auto" w:line="240" w:before="0" w:after="240"/>
        <w:ind w:left="0" w:right="0" w:firstLine="720"/>
        <w:jc w:val="both"/>
        <w:rPr/>
      </w:pPr>
      <w:r>
        <w:rPr>
          <w:rFonts w:ascii="Times New Roman;serif" w:hAnsi="Times New Roman;serif"/>
          <w:b w:val="false"/>
          <w:color w:val="000000"/>
          <w:sz w:val="22"/>
        </w:rPr>
        <w:t>11.38</w:t>
      </w:r>
      <w:r>
        <w:rPr>
          <w:color w:val="000000"/>
        </w:rPr>
        <w:t>“</w:t>
      </w:r>
      <w:r>
        <w:rPr>
          <w:rFonts w:ascii="Times New Roman;serif" w:hAnsi="Times New Roman;serif"/>
          <w:b/>
          <w:i/>
          <w:color w:val="000000"/>
          <w:sz w:val="22"/>
        </w:rPr>
        <w:t>Shares</w:t>
      </w:r>
      <w:r>
        <w:rPr>
          <w:color w:val="000000"/>
        </w:rPr>
        <w:t xml:space="preserve">” </w:t>
      </w:r>
      <w:r>
        <w:rPr>
          <w:rFonts w:ascii="Times New Roman;serif" w:hAnsi="Times New Roman;serif"/>
          <w:b w:val="false"/>
          <w:color w:val="000000"/>
          <w:sz w:val="22"/>
        </w:rPr>
        <w:t>means shares of Common Stock.</w:t>
      </w:r>
    </w:p>
    <w:p>
      <w:pPr>
        <w:pStyle w:val="TextBody"/>
        <w:bidi w:val="0"/>
        <w:spacing w:lineRule="auto" w:line="240" w:before="0" w:after="240"/>
        <w:ind w:left="0" w:right="0" w:firstLine="720"/>
        <w:jc w:val="both"/>
        <w:rPr/>
      </w:pPr>
      <w:r>
        <w:rPr>
          <w:rFonts w:ascii="Times New Roman;serif" w:hAnsi="Times New Roman;serif"/>
          <w:b w:val="false"/>
          <w:color w:val="000000"/>
          <w:sz w:val="22"/>
        </w:rPr>
        <w:t>11.39</w:t>
      </w:r>
      <w:r>
        <w:rPr>
          <w:color w:val="000000"/>
        </w:rPr>
        <w:t>“</w:t>
      </w:r>
      <w:r>
        <w:rPr>
          <w:rFonts w:ascii="Times New Roman;serif" w:hAnsi="Times New Roman;serif"/>
          <w:b/>
          <w:i/>
          <w:color w:val="000000"/>
          <w:sz w:val="22"/>
        </w:rPr>
        <w:t>Stock Appreciation Right</w:t>
      </w:r>
      <w:r>
        <w:rPr>
          <w:color w:val="000000"/>
        </w:rPr>
        <w:t xml:space="preserve">” </w:t>
      </w:r>
      <w:r>
        <w:rPr>
          <w:rFonts w:ascii="Times New Roman;serif" w:hAnsi="Times New Roman;serif"/>
          <w:b w:val="false"/>
          <w:color w:val="000000"/>
          <w:sz w:val="22"/>
        </w:rPr>
        <w:t>means a stock appreciation right granted under Article V.</w:t>
      </w:r>
    </w:p>
    <w:p>
      <w:pPr>
        <w:pStyle w:val="TextBody"/>
        <w:bidi w:val="0"/>
        <w:spacing w:lineRule="auto" w:line="240" w:before="0" w:after="240"/>
        <w:ind w:left="0" w:right="0" w:firstLine="720"/>
        <w:jc w:val="both"/>
        <w:rPr/>
      </w:pPr>
      <w:r>
        <w:rPr>
          <w:rFonts w:ascii="Times New Roman;serif" w:hAnsi="Times New Roman;serif"/>
          <w:b w:val="false"/>
          <w:color w:val="000000"/>
          <w:sz w:val="22"/>
        </w:rPr>
        <w:t>11.40</w:t>
      </w:r>
      <w:r>
        <w:rPr>
          <w:color w:val="000000"/>
        </w:rPr>
        <w:t>“</w:t>
      </w:r>
      <w:r>
        <w:rPr>
          <w:rFonts w:ascii="Times New Roman;serif" w:hAnsi="Times New Roman;serif"/>
          <w:b/>
          <w:i/>
          <w:color w:val="000000"/>
          <w:sz w:val="22"/>
        </w:rPr>
        <w:t>Subsidiary</w:t>
      </w:r>
      <w:r>
        <w:rPr>
          <w:color w:val="000000"/>
        </w:rPr>
        <w:t xml:space="preserve">” </w:t>
      </w:r>
      <w:r>
        <w:rPr>
          <w:rFonts w:ascii="Times New Roman;serif" w:hAnsi="Times New Roman;serif"/>
          <w:b w:val="false"/>
          <w:color w:val="000000"/>
          <w:sz w:val="22"/>
        </w:rPr>
        <w:t>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pStyle w:val="TextBody"/>
        <w:bidi w:val="0"/>
        <w:spacing w:lineRule="auto" w:line="240" w:before="0" w:after="240"/>
        <w:ind w:left="0" w:right="0" w:firstLine="720"/>
        <w:jc w:val="both"/>
        <w:rPr/>
      </w:pPr>
      <w:r>
        <w:rPr>
          <w:rFonts w:ascii="Times New Roman;serif" w:hAnsi="Times New Roman;serif"/>
          <w:b w:val="false"/>
          <w:color w:val="000000"/>
          <w:sz w:val="22"/>
        </w:rPr>
        <w:t>11.41</w:t>
      </w:r>
      <w:r>
        <w:rPr>
          <w:color w:val="000000"/>
        </w:rPr>
        <w:t>“</w:t>
      </w:r>
      <w:r>
        <w:rPr>
          <w:rFonts w:ascii="Times New Roman;serif" w:hAnsi="Times New Roman;serif"/>
          <w:b/>
          <w:i/>
          <w:color w:val="000000"/>
          <w:sz w:val="22"/>
        </w:rPr>
        <w:t>Termination of Service</w:t>
      </w:r>
      <w:r>
        <w:rPr>
          <w:color w:val="000000"/>
        </w:rPr>
        <w:t xml:space="preserve">” </w:t>
      </w:r>
      <w:r>
        <w:rPr>
          <w:rFonts w:ascii="Times New Roman;serif" w:hAnsi="Times New Roman;serif"/>
          <w:b w:val="false"/>
          <w:color w:val="000000"/>
          <w:sz w:val="22"/>
        </w:rPr>
        <w:t>means Participant ceasing to be a Service Provider.</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 * *</w:t>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5625" w:type="dxa"/>
        <w:jc w:val="left"/>
        <w:tblInd w:w="0" w:type="dxa"/>
        <w:tblLayout w:type="fixed"/>
        <w:tblCellMar>
          <w:top w:w="28" w:type="dxa"/>
          <w:left w:w="28" w:type="dxa"/>
          <w:bottom w:w="28" w:type="dxa"/>
          <w:right w:w="28" w:type="dxa"/>
        </w:tblCellMar>
      </w:tblPr>
      <w:tblGrid>
        <w:gridCol w:w="1800"/>
        <w:gridCol w:w="1582"/>
        <w:gridCol w:w="2243"/>
      </w:tblGrid>
      <w:tr>
        <w:trPr/>
        <w:tc>
          <w:tcPr>
            <w:tcW w:w="1800"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IMMUNEERING CORPORATION</w:t>
            </w:r>
          </w:p>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2025 EMPLOYMENT INDUCEMENT AWARD PLAN</w:t>
            </w:r>
          </w:p>
        </w:tc>
      </w:tr>
    </w:tbl>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STOCK OPTION GRANT NOTICE</w:t>
      </w:r>
    </w:p>
    <w:p>
      <w:pPr>
        <w:pStyle w:val="TextBody"/>
        <w:bidi w:val="0"/>
        <w:spacing w:lineRule="auto" w:line="288" w:before="0" w:after="240"/>
        <w:ind w:left="0" w:right="0" w:firstLine="720"/>
        <w:jc w:val="both"/>
        <w:rPr/>
      </w:pPr>
      <w:r>
        <w:rPr>
          <w:rFonts w:ascii="Times New Roman;serif" w:hAnsi="Times New Roman;serif"/>
          <w:b w:val="false"/>
          <w:color w:val="000000"/>
          <w:sz w:val="22"/>
        </w:rPr>
        <w:t>Capitalized terms not specifically defined in this Stock Option Grant Notice (the “</w:t>
      </w:r>
      <w:r>
        <w:rPr>
          <w:rFonts w:ascii="Times New Roman;serif" w:hAnsi="Times New Roman;serif"/>
          <w:b/>
          <w:i/>
          <w:color w:val="000000"/>
          <w:sz w:val="22"/>
        </w:rPr>
        <w:t>Grant Notice</w:t>
      </w:r>
      <w:r>
        <w:rPr>
          <w:color w:val="000000"/>
        </w:rPr>
        <w:t>”</w:t>
      </w:r>
      <w:r>
        <w:rPr>
          <w:rFonts w:ascii="Times New Roman;serif" w:hAnsi="Times New Roman;serif"/>
          <w:b w:val="false"/>
          <w:color w:val="000000"/>
          <w:sz w:val="22"/>
        </w:rPr>
        <w:t>) have the meanings given to them in the 2025 Employment Inducement Award Plan (as amended from time to time,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of Immuneering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Company has granted to the participant listed below (“</w:t>
      </w:r>
      <w:r>
        <w:rPr>
          <w:rFonts w:ascii="Times New Roman;serif" w:hAnsi="Times New Roman;serif"/>
          <w:b/>
          <w:i/>
          <w:color w:val="000000"/>
          <w:sz w:val="22"/>
        </w:rPr>
        <w:t>Participant</w:t>
      </w:r>
      <w:r>
        <w:rPr>
          <w:color w:val="000000"/>
        </w:rPr>
        <w:t>”</w:t>
      </w:r>
      <w:r>
        <w:rPr>
          <w:rFonts w:ascii="Times New Roman;serif" w:hAnsi="Times New Roman;serif"/>
          <w:b w:val="false"/>
          <w:color w:val="000000"/>
          <w:sz w:val="22"/>
        </w:rPr>
        <w:t>) the stock option described in this Grant Notice (the “</w:t>
      </w:r>
      <w:r>
        <w:rPr>
          <w:rFonts w:ascii="Times New Roman;serif" w:hAnsi="Times New Roman;serif"/>
          <w:b/>
          <w:i/>
          <w:color w:val="000000"/>
          <w:sz w:val="22"/>
        </w:rPr>
        <w:t>Option</w:t>
      </w:r>
      <w:r>
        <w:rPr>
          <w:color w:val="000000"/>
        </w:rPr>
        <w:t>”</w:t>
      </w:r>
      <w:r>
        <w:rPr>
          <w:rFonts w:ascii="Times New Roman;serif" w:hAnsi="Times New Roman;serif"/>
          <w:b w:val="false"/>
          <w:color w:val="000000"/>
          <w:sz w:val="22"/>
        </w:rPr>
        <w:t xml:space="preserve">), subject to the terms and conditions of the Plan and the Stock Option Agreement attached as </w:t>
      </w:r>
      <w:r>
        <w:rPr>
          <w:rFonts w:ascii="Times New Roman;serif" w:hAnsi="Times New Roman;serif"/>
          <w:b/>
          <w:color w:val="000000"/>
          <w:sz w:val="22"/>
        </w:rPr>
        <w:t>Exhibit A</w:t>
      </w:r>
      <w:r>
        <w:rPr>
          <w:color w:val="000000"/>
        </w:rPr>
        <w:t xml:space="preserve"> </w:t>
      </w:r>
      <w:r>
        <w:rPr>
          <w:rFonts w:ascii="Times New Roman;serif" w:hAnsi="Times New Roman;serif"/>
          <w:b w:val="false"/>
          <w:color w:val="000000"/>
          <w:sz w:val="22"/>
        </w:rPr>
        <w:t>(the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both of which are incorporated into this Grant Notice by reference.</w:t>
      </w:r>
    </w:p>
    <w:tbl>
      <w:tblPr>
        <w:tblW w:w="5864" w:type="dxa"/>
        <w:jc w:val="left"/>
        <w:tblInd w:w="0" w:type="dxa"/>
        <w:tblLayout w:type="fixed"/>
        <w:tblCellMar>
          <w:top w:w="28" w:type="dxa"/>
          <w:left w:w="28" w:type="dxa"/>
          <w:bottom w:w="28" w:type="dxa"/>
          <w:right w:w="28" w:type="dxa"/>
        </w:tblCellMar>
      </w:tblPr>
      <w:tblGrid>
        <w:gridCol w:w="1113"/>
        <w:gridCol w:w="978"/>
        <w:gridCol w:w="983"/>
        <w:gridCol w:w="816"/>
        <w:gridCol w:w="816"/>
        <w:gridCol w:w="1158"/>
      </w:tblGrid>
      <w:tr>
        <w:trPr/>
        <w:tc>
          <w:tcPr>
            <w:tcW w:w="11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319" w:before="0" w:after="120"/>
              <w:jc w:val="both"/>
              <w:rPr>
                <w:rFonts w:ascii="Times New Roman;serif" w:hAnsi="Times New Roman;serif"/>
                <w:b/>
                <w:color w:val="000000"/>
                <w:sz w:val="22"/>
              </w:rPr>
            </w:pPr>
            <w:r>
              <w:rPr>
                <w:rFonts w:ascii="Times New Roman;serif" w:hAnsi="Times New Roman;serif"/>
                <w:b/>
                <w:color w:val="000000"/>
                <w:sz w:val="22"/>
              </w:rPr>
              <w:t>Participant:</w:t>
            </w:r>
          </w:p>
        </w:tc>
        <w:tc>
          <w:tcPr>
            <w:tcW w:w="2790" w:type="dxa"/>
            <w:gridSpan w:val="3"/>
            <w:tcBorders/>
            <w:tcMar>
              <w:top w:w="0" w:type="dxa"/>
              <w:left w:w="0" w:type="dxa"/>
              <w:bottom w:w="0" w:type="dxa"/>
              <w:right w:w="0" w:type="dxa"/>
            </w:tcMar>
            <w:vAlign w:val="center"/>
          </w:tcPr>
          <w:p>
            <w:pPr>
              <w:pStyle w:val="TableContents"/>
              <w:bidi w:val="0"/>
              <w:spacing w:before="0" w:after="120"/>
              <w:jc w:val="both"/>
              <w:rPr/>
            </w:pPr>
            <w:r>
              <w:rPr/>
            </w:r>
          </w:p>
        </w:tc>
      </w:tr>
      <w:tr>
        <w:trPr/>
        <w:tc>
          <w:tcPr>
            <w:tcW w:w="3074" w:type="dxa"/>
            <w:gridSpan w:val="3"/>
            <w:tcBorders/>
            <w:tcMar>
              <w:top w:w="0" w:type="dxa"/>
              <w:left w:w="0" w:type="dxa"/>
              <w:bottom w:w="0" w:type="dxa"/>
              <w:right w:w="0" w:type="dxa"/>
            </w:tcMar>
            <w:vAlign w:val="center"/>
          </w:tcPr>
          <w:p>
            <w:pPr>
              <w:pStyle w:val="TableContents"/>
              <w:bidi w:val="0"/>
              <w:spacing w:lineRule="auto" w:line="319" w:before="0" w:after="120"/>
              <w:jc w:val="both"/>
              <w:rPr>
                <w:rFonts w:ascii="Times New Roman;serif" w:hAnsi="Times New Roman;serif"/>
                <w:b/>
                <w:color w:val="000000"/>
                <w:sz w:val="22"/>
              </w:rPr>
            </w:pPr>
            <w:r>
              <w:rPr>
                <w:rFonts w:ascii="Times New Roman;serif" w:hAnsi="Times New Roman;serif"/>
                <w:b/>
                <w:color w:val="000000"/>
                <w:sz w:val="22"/>
              </w:rPr>
              <w:t>Grant Date:</w:t>
            </w:r>
          </w:p>
        </w:tc>
        <w:tc>
          <w:tcPr>
            <w:tcW w:w="2790" w:type="dxa"/>
            <w:gridSpan w:val="3"/>
            <w:tcBorders/>
            <w:tcMar>
              <w:top w:w="0" w:type="dxa"/>
              <w:left w:w="0" w:type="dxa"/>
              <w:bottom w:w="0" w:type="dxa"/>
              <w:right w:w="0" w:type="dxa"/>
            </w:tcMar>
            <w:vAlign w:val="center"/>
          </w:tcPr>
          <w:p>
            <w:pPr>
              <w:pStyle w:val="TableContents"/>
              <w:bidi w:val="0"/>
              <w:spacing w:before="0" w:after="120"/>
              <w:jc w:val="both"/>
              <w:rPr/>
            </w:pPr>
            <w:r>
              <w:rPr/>
            </w:r>
          </w:p>
        </w:tc>
      </w:tr>
      <w:tr>
        <w:trPr/>
        <w:tc>
          <w:tcPr>
            <w:tcW w:w="3074" w:type="dxa"/>
            <w:gridSpan w:val="3"/>
            <w:tcBorders/>
            <w:tcMar>
              <w:top w:w="0" w:type="dxa"/>
              <w:left w:w="0" w:type="dxa"/>
              <w:bottom w:w="0" w:type="dxa"/>
              <w:right w:w="0" w:type="dxa"/>
            </w:tcMar>
            <w:vAlign w:val="center"/>
          </w:tcPr>
          <w:p>
            <w:pPr>
              <w:pStyle w:val="TableContents"/>
              <w:bidi w:val="0"/>
              <w:spacing w:lineRule="auto" w:line="319" w:before="0" w:after="120"/>
              <w:jc w:val="both"/>
              <w:rPr>
                <w:rFonts w:ascii="Times New Roman;serif" w:hAnsi="Times New Roman;serif"/>
                <w:b/>
                <w:color w:val="000000"/>
                <w:sz w:val="22"/>
              </w:rPr>
            </w:pPr>
            <w:r>
              <w:rPr>
                <w:rFonts w:ascii="Times New Roman;serif" w:hAnsi="Times New Roman;serif"/>
                <w:b/>
                <w:color w:val="000000"/>
                <w:sz w:val="22"/>
              </w:rPr>
              <w:t>Exercise Price per Share:</w:t>
            </w:r>
          </w:p>
        </w:tc>
        <w:tc>
          <w:tcPr>
            <w:tcW w:w="2790" w:type="dxa"/>
            <w:gridSpan w:val="3"/>
            <w:tcBorders/>
            <w:tcMar>
              <w:top w:w="0" w:type="dxa"/>
              <w:left w:w="0" w:type="dxa"/>
              <w:bottom w:w="0" w:type="dxa"/>
              <w:right w:w="0" w:type="dxa"/>
            </w:tcMar>
            <w:vAlign w:val="center"/>
          </w:tcPr>
          <w:p>
            <w:pPr>
              <w:pStyle w:val="TableContents"/>
              <w:bidi w:val="0"/>
              <w:spacing w:before="0" w:after="120"/>
              <w:jc w:val="both"/>
              <w:rPr/>
            </w:pPr>
            <w:r>
              <w:rPr/>
            </w:r>
          </w:p>
        </w:tc>
      </w:tr>
      <w:tr>
        <w:trPr/>
        <w:tc>
          <w:tcPr>
            <w:tcW w:w="3074" w:type="dxa"/>
            <w:gridSpan w:val="3"/>
            <w:tcBorders/>
            <w:tcMar>
              <w:top w:w="0" w:type="dxa"/>
              <w:left w:w="0" w:type="dxa"/>
              <w:bottom w:w="0" w:type="dxa"/>
              <w:right w:w="0" w:type="dxa"/>
            </w:tcMar>
            <w:vAlign w:val="center"/>
          </w:tcPr>
          <w:p>
            <w:pPr>
              <w:pStyle w:val="TableContents"/>
              <w:bidi w:val="0"/>
              <w:spacing w:lineRule="auto" w:line="319" w:before="0" w:after="120"/>
              <w:jc w:val="both"/>
              <w:rPr>
                <w:rFonts w:ascii="Times New Roman;serif" w:hAnsi="Times New Roman;serif"/>
                <w:b/>
                <w:color w:val="000000"/>
                <w:sz w:val="22"/>
              </w:rPr>
            </w:pPr>
            <w:r>
              <w:rPr>
                <w:rFonts w:ascii="Times New Roman;serif" w:hAnsi="Times New Roman;serif"/>
                <w:b/>
                <w:color w:val="000000"/>
                <w:sz w:val="22"/>
              </w:rPr>
              <w:t>Shares Subject to the Option:</w:t>
            </w:r>
          </w:p>
        </w:tc>
        <w:tc>
          <w:tcPr>
            <w:tcW w:w="2790" w:type="dxa"/>
            <w:gridSpan w:val="3"/>
            <w:tcBorders/>
            <w:tcMar>
              <w:top w:w="0" w:type="dxa"/>
              <w:left w:w="0" w:type="dxa"/>
              <w:bottom w:w="0" w:type="dxa"/>
              <w:right w:w="0" w:type="dxa"/>
            </w:tcMar>
            <w:vAlign w:val="center"/>
          </w:tcPr>
          <w:p>
            <w:pPr>
              <w:pStyle w:val="TableContents"/>
              <w:bidi w:val="0"/>
              <w:spacing w:before="0" w:after="120"/>
              <w:jc w:val="both"/>
              <w:rPr/>
            </w:pPr>
            <w:r>
              <w:rPr/>
            </w:r>
          </w:p>
        </w:tc>
      </w:tr>
      <w:tr>
        <w:trPr/>
        <w:tc>
          <w:tcPr>
            <w:tcW w:w="3074" w:type="dxa"/>
            <w:gridSpan w:val="3"/>
            <w:tcBorders/>
            <w:tcMar>
              <w:top w:w="0" w:type="dxa"/>
              <w:left w:w="0" w:type="dxa"/>
              <w:bottom w:w="0" w:type="dxa"/>
              <w:right w:w="0" w:type="dxa"/>
            </w:tcMar>
            <w:vAlign w:val="center"/>
          </w:tcPr>
          <w:p>
            <w:pPr>
              <w:pStyle w:val="TableContents"/>
              <w:bidi w:val="0"/>
              <w:spacing w:lineRule="auto" w:line="319" w:before="0" w:after="120"/>
              <w:jc w:val="both"/>
              <w:rPr>
                <w:rFonts w:ascii="Times New Roman;serif" w:hAnsi="Times New Roman;serif"/>
                <w:b/>
                <w:color w:val="000000"/>
                <w:sz w:val="22"/>
              </w:rPr>
            </w:pPr>
            <w:r>
              <w:rPr>
                <w:rFonts w:ascii="Times New Roman;serif" w:hAnsi="Times New Roman;serif"/>
                <w:b/>
                <w:color w:val="000000"/>
                <w:sz w:val="22"/>
              </w:rPr>
              <w:t>Final Expiration Date:</w:t>
            </w:r>
          </w:p>
        </w:tc>
        <w:tc>
          <w:tcPr>
            <w:tcW w:w="2790" w:type="dxa"/>
            <w:gridSpan w:val="3"/>
            <w:tcBorders/>
            <w:tcMar>
              <w:top w:w="0" w:type="dxa"/>
              <w:left w:w="0" w:type="dxa"/>
              <w:bottom w:w="0" w:type="dxa"/>
              <w:right w:w="0" w:type="dxa"/>
            </w:tcMar>
            <w:vAlign w:val="center"/>
          </w:tcPr>
          <w:p>
            <w:pPr>
              <w:pStyle w:val="TableContents"/>
              <w:bidi w:val="0"/>
              <w:spacing w:before="0" w:after="120"/>
              <w:jc w:val="both"/>
              <w:rPr/>
            </w:pPr>
            <w:r>
              <w:rPr/>
            </w:r>
          </w:p>
        </w:tc>
      </w:tr>
      <w:tr>
        <w:trPr/>
        <w:tc>
          <w:tcPr>
            <w:tcW w:w="3074" w:type="dxa"/>
            <w:gridSpan w:val="3"/>
            <w:tcBorders/>
            <w:tcMar>
              <w:top w:w="0" w:type="dxa"/>
              <w:left w:w="0" w:type="dxa"/>
              <w:bottom w:w="0" w:type="dxa"/>
              <w:right w:w="0" w:type="dxa"/>
            </w:tcMar>
            <w:vAlign w:val="center"/>
          </w:tcPr>
          <w:p>
            <w:pPr>
              <w:pStyle w:val="TableContents"/>
              <w:bidi w:val="0"/>
              <w:spacing w:lineRule="auto" w:line="319" w:before="0" w:after="120"/>
              <w:jc w:val="both"/>
              <w:rPr>
                <w:rFonts w:ascii="Times New Roman;serif" w:hAnsi="Times New Roman;serif"/>
                <w:b/>
                <w:color w:val="000000"/>
                <w:sz w:val="22"/>
              </w:rPr>
            </w:pPr>
            <w:r>
              <w:rPr>
                <w:rFonts w:ascii="Times New Roman;serif" w:hAnsi="Times New Roman;serif"/>
                <w:b/>
                <w:color w:val="000000"/>
                <w:sz w:val="22"/>
              </w:rPr>
              <w:t>Vesting Commencement Date:</w:t>
            </w:r>
          </w:p>
        </w:tc>
        <w:tc>
          <w:tcPr>
            <w:tcW w:w="2790" w:type="dxa"/>
            <w:gridSpan w:val="3"/>
            <w:tcBorders/>
            <w:tcMar>
              <w:top w:w="0" w:type="dxa"/>
              <w:left w:w="0" w:type="dxa"/>
              <w:bottom w:w="0" w:type="dxa"/>
              <w:right w:w="0" w:type="dxa"/>
            </w:tcMar>
            <w:vAlign w:val="center"/>
          </w:tcPr>
          <w:p>
            <w:pPr>
              <w:pStyle w:val="TableContents"/>
              <w:bidi w:val="0"/>
              <w:spacing w:before="0" w:after="120"/>
              <w:jc w:val="both"/>
              <w:rPr/>
            </w:pPr>
            <w:r>
              <w:rPr/>
            </w:r>
          </w:p>
        </w:tc>
      </w:tr>
      <w:tr>
        <w:trPr/>
        <w:tc>
          <w:tcPr>
            <w:tcW w:w="3074" w:type="dxa"/>
            <w:gridSpan w:val="3"/>
            <w:tcBorders/>
            <w:tcMar>
              <w:top w:w="0" w:type="dxa"/>
              <w:left w:w="0" w:type="dxa"/>
              <w:bottom w:w="0" w:type="dxa"/>
              <w:right w:w="0" w:type="dxa"/>
            </w:tcMar>
            <w:vAlign w:val="center"/>
          </w:tcPr>
          <w:p>
            <w:pPr>
              <w:pStyle w:val="TableContents"/>
              <w:bidi w:val="0"/>
              <w:spacing w:lineRule="auto" w:line="319" w:before="0" w:after="120"/>
              <w:jc w:val="both"/>
              <w:rPr>
                <w:rFonts w:ascii="Times New Roman;serif" w:hAnsi="Times New Roman;serif"/>
                <w:b/>
                <w:color w:val="000000"/>
                <w:sz w:val="22"/>
              </w:rPr>
            </w:pPr>
            <w:r>
              <w:rPr>
                <w:rFonts w:ascii="Times New Roman;serif" w:hAnsi="Times New Roman;serif"/>
                <w:b/>
                <w:color w:val="000000"/>
                <w:sz w:val="22"/>
              </w:rPr>
              <w:t>Vesting Schedule:</w:t>
            </w:r>
          </w:p>
        </w:tc>
        <w:tc>
          <w:tcPr>
            <w:tcW w:w="2790" w:type="dxa"/>
            <w:gridSpan w:val="3"/>
            <w:tcBorders/>
            <w:tcMar>
              <w:top w:w="0" w:type="dxa"/>
              <w:left w:w="0" w:type="dxa"/>
              <w:bottom w:w="0" w:type="dxa"/>
              <w:right w:w="0" w:type="dxa"/>
            </w:tcMar>
            <w:vAlign w:val="center"/>
          </w:tcPr>
          <w:p>
            <w:pPr>
              <w:pStyle w:val="TableContents"/>
              <w:bidi w:val="0"/>
              <w:spacing w:before="0" w:after="120"/>
              <w:jc w:val="both"/>
              <w:rPr/>
            </w:pPr>
            <w:r>
              <w:rPr/>
            </w:r>
          </w:p>
        </w:tc>
      </w:tr>
      <w:tr>
        <w:trPr/>
        <w:tc>
          <w:tcPr>
            <w:tcW w:w="3074" w:type="dxa"/>
            <w:gridSpan w:val="3"/>
            <w:tcBorders/>
            <w:tcMar>
              <w:top w:w="0" w:type="dxa"/>
              <w:left w:w="0" w:type="dxa"/>
              <w:bottom w:w="0" w:type="dxa"/>
              <w:right w:w="0" w:type="dxa"/>
            </w:tcMar>
            <w:vAlign w:val="center"/>
          </w:tcPr>
          <w:p>
            <w:pPr>
              <w:pStyle w:val="TableContents"/>
              <w:bidi w:val="0"/>
              <w:spacing w:lineRule="auto" w:line="319" w:before="0" w:after="120"/>
              <w:jc w:val="both"/>
              <w:rPr>
                <w:rFonts w:ascii="Times New Roman;serif" w:hAnsi="Times New Roman;serif"/>
                <w:b/>
                <w:color w:val="000000"/>
                <w:sz w:val="22"/>
              </w:rPr>
            </w:pPr>
            <w:r>
              <w:rPr>
                <w:rFonts w:ascii="Times New Roman;serif" w:hAnsi="Times New Roman;serif"/>
                <w:b/>
                <w:color w:val="000000"/>
                <w:sz w:val="22"/>
              </w:rPr>
              <w:t>Type of Option:</w:t>
            </w:r>
          </w:p>
        </w:tc>
        <w:tc>
          <w:tcPr>
            <w:tcW w:w="2790" w:type="dxa"/>
            <w:gridSpan w:val="3"/>
            <w:tcBorders/>
            <w:tcMar>
              <w:top w:w="0" w:type="dxa"/>
              <w:left w:w="0" w:type="dxa"/>
              <w:bottom w:w="0" w:type="dxa"/>
              <w:right w:w="0" w:type="dxa"/>
            </w:tcMar>
            <w:vAlign w:val="center"/>
          </w:tcPr>
          <w:p>
            <w:pPr>
              <w:pStyle w:val="TableContents"/>
              <w:bidi w:val="0"/>
              <w:spacing w:lineRule="auto" w:line="319" w:before="0" w:after="120"/>
              <w:jc w:val="both"/>
              <w:rPr>
                <w:rFonts w:ascii="Times New Roman;serif" w:hAnsi="Times New Roman;serif"/>
                <w:b w:val="false"/>
                <w:color w:val="000000"/>
                <w:sz w:val="22"/>
              </w:rPr>
            </w:pPr>
            <w:r>
              <w:rPr>
                <w:rFonts w:ascii="Times New Roman;serif" w:hAnsi="Times New Roman;serif"/>
                <w:b w:val="false"/>
                <w:color w:val="000000"/>
                <w:sz w:val="22"/>
              </w:rPr>
              <w:t>Non-Qualified Stock Option</w:t>
            </w:r>
          </w:p>
        </w:tc>
      </w:tr>
      <w:tr>
        <w:trPr/>
        <w:tc>
          <w:tcPr>
            <w:tcW w:w="3074" w:type="dxa"/>
            <w:gridSpan w:val="3"/>
            <w:tcBorders/>
            <w:tcMar>
              <w:top w:w="0" w:type="dxa"/>
              <w:left w:w="0" w:type="dxa"/>
              <w:bottom w:w="0" w:type="dxa"/>
              <w:right w:w="0" w:type="dxa"/>
            </w:tcMar>
            <w:vAlign w:val="center"/>
          </w:tcPr>
          <w:p>
            <w:pPr>
              <w:pStyle w:val="TableContents"/>
              <w:bidi w:val="0"/>
              <w:spacing w:before="0" w:after="120"/>
              <w:jc w:val="both"/>
              <w:rPr/>
            </w:pPr>
            <w:r>
              <w:rPr/>
            </w:r>
          </w:p>
        </w:tc>
        <w:tc>
          <w:tcPr>
            <w:tcW w:w="2790" w:type="dxa"/>
            <w:gridSpan w:val="3"/>
            <w:tcBorders/>
            <w:tcMar>
              <w:top w:w="0" w:type="dxa"/>
              <w:left w:w="0" w:type="dxa"/>
              <w:bottom w:w="0" w:type="dxa"/>
              <w:right w:w="0" w:type="dxa"/>
            </w:tcMar>
            <w:vAlign w:val="center"/>
          </w:tcPr>
          <w:p>
            <w:pPr>
              <w:pStyle w:val="TableContents"/>
              <w:bidi w:val="0"/>
              <w:spacing w:before="0" w:after="120"/>
              <w:jc w:val="both"/>
              <w:rPr/>
            </w:pPr>
            <w:r>
              <w:rPr/>
            </w:r>
          </w:p>
        </w:tc>
      </w:tr>
    </w:tbl>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 </w:t>
      </w:r>
    </w:p>
    <w:tbl>
      <w:tblPr>
        <w:tblW w:w="5386" w:type="dxa"/>
        <w:jc w:val="left"/>
        <w:tblInd w:w="0" w:type="dxa"/>
        <w:tblLayout w:type="fixed"/>
        <w:tblCellMar>
          <w:top w:w="28" w:type="dxa"/>
          <w:left w:w="28" w:type="dxa"/>
          <w:bottom w:w="28" w:type="dxa"/>
          <w:right w:w="28" w:type="dxa"/>
        </w:tblCellMar>
      </w:tblPr>
      <w:tblGrid>
        <w:gridCol w:w="676"/>
        <w:gridCol w:w="596"/>
        <w:gridCol w:w="596"/>
        <w:gridCol w:w="596"/>
        <w:gridCol w:w="596"/>
        <w:gridCol w:w="600"/>
        <w:gridCol w:w="269"/>
        <w:gridCol w:w="269"/>
        <w:gridCol w:w="269"/>
        <w:gridCol w:w="269"/>
        <w:gridCol w:w="269"/>
        <w:gridCol w:w="381"/>
      </w:tblGrid>
      <w:tr>
        <w:trPr/>
        <w:tc>
          <w:tcPr>
            <w:tcW w:w="67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3660" w:type="dxa"/>
            <w:gridSpan w:val="6"/>
            <w:tcBorders/>
            <w:tcMar>
              <w:top w:w="0" w:type="dxa"/>
              <w:left w:w="0" w:type="dxa"/>
              <w:bottom w:w="0" w:type="dxa"/>
              <w:right w:w="0" w:type="dxa"/>
            </w:tcMar>
            <w:vAlign w:val="center"/>
          </w:tcPr>
          <w:p>
            <w:pPr>
              <w:pStyle w:val="TableContents"/>
              <w:bidi w:val="0"/>
              <w:spacing w:lineRule="auto" w:line="319" w:before="240" w:after="720"/>
              <w:jc w:val="both"/>
              <w:rPr>
                <w:rFonts w:ascii="Times New Roman;serif" w:hAnsi="Times New Roman;serif"/>
                <w:b/>
                <w:color w:val="000000"/>
                <w:sz w:val="22"/>
              </w:rPr>
            </w:pPr>
            <w:r>
              <w:rPr>
                <w:rFonts w:ascii="Times New Roman;serif" w:hAnsi="Times New Roman;serif"/>
                <w:b/>
                <w:color w:val="000000"/>
                <w:sz w:val="22"/>
              </w:rPr>
              <w:t>IMMUNEERING CORPORATION</w:t>
            </w:r>
          </w:p>
        </w:tc>
        <w:tc>
          <w:tcPr>
            <w:tcW w:w="1726" w:type="dxa"/>
            <w:gridSpan w:val="6"/>
            <w:tcBorders/>
            <w:tcMar>
              <w:top w:w="0" w:type="dxa"/>
              <w:left w:w="0" w:type="dxa"/>
              <w:bottom w:w="0" w:type="dxa"/>
              <w:right w:w="0" w:type="dxa"/>
            </w:tcMar>
            <w:vAlign w:val="center"/>
          </w:tcPr>
          <w:p>
            <w:pPr>
              <w:pStyle w:val="TableContents"/>
              <w:bidi w:val="0"/>
              <w:spacing w:lineRule="auto" w:line="319" w:before="240" w:after="720"/>
              <w:jc w:val="both"/>
              <w:rPr>
                <w:rFonts w:ascii="Times New Roman;serif" w:hAnsi="Times New Roman;serif"/>
                <w:b/>
                <w:color w:val="000000"/>
                <w:sz w:val="22"/>
              </w:rPr>
            </w:pPr>
            <w:r>
              <w:rPr>
                <w:rFonts w:ascii="Times New Roman;serif" w:hAnsi="Times New Roman;serif"/>
                <w:b/>
                <w:color w:val="000000"/>
                <w:sz w:val="22"/>
              </w:rPr>
              <w:t>PARTICIPANT</w:t>
            </w:r>
          </w:p>
        </w:tc>
      </w:tr>
      <w:tr>
        <w:trPr/>
        <w:tc>
          <w:tcPr>
            <w:tcW w:w="1868" w:type="dxa"/>
            <w:gridSpan w:val="3"/>
            <w:tcBorders/>
            <w:tcMar>
              <w:top w:w="0" w:type="dxa"/>
              <w:left w:w="0" w:type="dxa"/>
              <w:bottom w:w="0" w:type="dxa"/>
              <w:right w:w="0" w:type="dxa"/>
            </w:tcMar>
            <w:vAlign w:val="center"/>
          </w:tcPr>
          <w:p>
            <w:pPr>
              <w:pStyle w:val="TableContents"/>
              <w:bidi w:val="0"/>
              <w:spacing w:lineRule="auto" w:line="319" w:before="0" w:after="120"/>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1792" w:type="dxa"/>
            <w:gridSpan w:val="3"/>
            <w:tcBorders/>
            <w:tcMar>
              <w:top w:w="0" w:type="dxa"/>
              <w:left w:w="0" w:type="dxa"/>
              <w:bottom w:w="0" w:type="dxa"/>
              <w:right w:w="0" w:type="dxa"/>
            </w:tcMar>
            <w:vAlign w:val="center"/>
          </w:tcPr>
          <w:p>
            <w:pPr>
              <w:pStyle w:val="TableContents"/>
              <w:bidi w:val="0"/>
              <w:spacing w:lineRule="auto" w:line="319" w:before="0" w:after="120"/>
              <w:jc w:val="both"/>
              <w:rPr>
                <w:color w:val="000000"/>
                <w:u w:val="single"/>
              </w:rPr>
            </w:pPr>
            <w:r>
              <w:rPr>
                <w:color w:val="000000"/>
                <w:u w:val="single"/>
              </w:rPr>
              <w:t>    </w:t>
            </w:r>
          </w:p>
        </w:tc>
        <w:tc>
          <w:tcPr>
            <w:tcW w:w="1726" w:type="dxa"/>
            <w:gridSpan w:val="6"/>
            <w:tcBorders/>
            <w:tcMar>
              <w:top w:w="0" w:type="dxa"/>
              <w:left w:w="0" w:type="dxa"/>
              <w:bottom w:w="0" w:type="dxa"/>
              <w:right w:w="0" w:type="dxa"/>
            </w:tcMar>
            <w:vAlign w:val="center"/>
          </w:tcPr>
          <w:p>
            <w:pPr>
              <w:pStyle w:val="TableContents"/>
              <w:bidi w:val="0"/>
              <w:spacing w:lineRule="auto" w:line="319" w:before="0" w:after="120"/>
              <w:jc w:val="both"/>
              <w:rPr>
                <w:color w:val="000000"/>
                <w:u w:val="single"/>
              </w:rPr>
            </w:pPr>
            <w:r>
              <w:rPr>
                <w:color w:val="000000"/>
                <w:u w:val="single"/>
              </w:rPr>
              <w:t>    </w:t>
            </w:r>
          </w:p>
        </w:tc>
      </w:tr>
      <w:tr>
        <w:trPr/>
        <w:tc>
          <w:tcPr>
            <w:tcW w:w="1868" w:type="dxa"/>
            <w:gridSpan w:val="3"/>
            <w:tcBorders/>
            <w:tcMar>
              <w:top w:w="0" w:type="dxa"/>
              <w:left w:w="0" w:type="dxa"/>
              <w:bottom w:w="0" w:type="dxa"/>
              <w:right w:w="0" w:type="dxa"/>
            </w:tcMar>
            <w:vAlign w:val="center"/>
          </w:tcPr>
          <w:p>
            <w:pPr>
              <w:pStyle w:val="TableContents"/>
              <w:bidi w:val="0"/>
              <w:spacing w:lineRule="auto" w:line="319"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1792" w:type="dxa"/>
            <w:gridSpan w:val="3"/>
            <w:tcBorders/>
            <w:tcMar>
              <w:top w:w="0" w:type="dxa"/>
              <w:left w:w="0" w:type="dxa"/>
              <w:bottom w:w="0" w:type="dxa"/>
              <w:right w:w="0" w:type="dxa"/>
            </w:tcMar>
            <w:vAlign w:val="center"/>
          </w:tcPr>
          <w:p>
            <w:pPr>
              <w:pStyle w:val="TableContents"/>
              <w:bidi w:val="0"/>
              <w:spacing w:lineRule="auto" w:line="319" w:before="0" w:after="120"/>
              <w:jc w:val="both"/>
              <w:rPr>
                <w:color w:val="000000"/>
                <w:u w:val="single"/>
              </w:rPr>
            </w:pPr>
            <w:r>
              <w:rPr>
                <w:color w:val="000000"/>
                <w:u w:val="single"/>
              </w:rPr>
              <w:t>    </w:t>
            </w:r>
          </w:p>
        </w:tc>
        <w:tc>
          <w:tcPr>
            <w:tcW w:w="1726" w:type="dxa"/>
            <w:gridSpan w:val="6"/>
            <w:tcBorders/>
            <w:tcMar>
              <w:top w:w="0" w:type="dxa"/>
              <w:left w:w="0" w:type="dxa"/>
              <w:bottom w:w="0" w:type="dxa"/>
              <w:right w:w="0" w:type="dxa"/>
            </w:tcMar>
            <w:vAlign w:val="center"/>
          </w:tcPr>
          <w:p>
            <w:pPr>
              <w:pStyle w:val="TableContents"/>
              <w:bidi w:val="0"/>
              <w:spacing w:before="0" w:after="120"/>
              <w:jc w:val="both"/>
              <w:rPr/>
            </w:pPr>
            <w:r>
              <w:rPr/>
            </w:r>
          </w:p>
        </w:tc>
      </w:tr>
      <w:tr>
        <w:trPr/>
        <w:tc>
          <w:tcPr>
            <w:tcW w:w="1868" w:type="dxa"/>
            <w:gridSpan w:val="3"/>
            <w:tcBorders/>
            <w:tcMar>
              <w:top w:w="0" w:type="dxa"/>
              <w:left w:w="0" w:type="dxa"/>
              <w:bottom w:w="0" w:type="dxa"/>
              <w:right w:w="0" w:type="dxa"/>
            </w:tcMar>
            <w:vAlign w:val="center"/>
          </w:tcPr>
          <w:p>
            <w:pPr>
              <w:pStyle w:val="TableContents"/>
              <w:bidi w:val="0"/>
              <w:spacing w:lineRule="auto" w:line="319" w:before="0" w:after="120"/>
              <w:jc w:val="both"/>
              <w:rPr>
                <w:rFonts w:ascii="Times New Roman;serif" w:hAnsi="Times New Roman;serif"/>
                <w:b w:val="false"/>
                <w:color w:val="000000"/>
                <w:sz w:val="22"/>
              </w:rPr>
            </w:pPr>
            <w:r>
              <w:rPr>
                <w:rFonts w:ascii="Times New Roman;serif" w:hAnsi="Times New Roman;serif"/>
                <w:b w:val="false"/>
                <w:color w:val="000000"/>
                <w:sz w:val="22"/>
              </w:rPr>
              <w:t>Title:</w:t>
            </w:r>
          </w:p>
        </w:tc>
        <w:tc>
          <w:tcPr>
            <w:tcW w:w="1792" w:type="dxa"/>
            <w:gridSpan w:val="3"/>
            <w:tcBorders/>
            <w:tcMar>
              <w:top w:w="0" w:type="dxa"/>
              <w:left w:w="0" w:type="dxa"/>
              <w:bottom w:w="0" w:type="dxa"/>
              <w:right w:w="0" w:type="dxa"/>
            </w:tcMar>
            <w:vAlign w:val="center"/>
          </w:tcPr>
          <w:p>
            <w:pPr>
              <w:pStyle w:val="TableContents"/>
              <w:bidi w:val="0"/>
              <w:spacing w:lineRule="auto" w:line="319" w:before="0" w:after="120"/>
              <w:jc w:val="both"/>
              <w:rPr>
                <w:color w:val="000000"/>
                <w:u w:val="single"/>
              </w:rPr>
            </w:pPr>
            <w:r>
              <w:rPr>
                <w:color w:val="000000"/>
                <w:u w:val="single"/>
              </w:rPr>
              <w:t>    </w:t>
            </w:r>
          </w:p>
        </w:tc>
        <w:tc>
          <w:tcPr>
            <w:tcW w:w="807" w:type="dxa"/>
            <w:gridSpan w:val="3"/>
            <w:tcBorders/>
            <w:tcMar>
              <w:top w:w="0" w:type="dxa"/>
              <w:left w:w="0" w:type="dxa"/>
              <w:bottom w:w="0" w:type="dxa"/>
              <w:right w:w="0" w:type="dxa"/>
            </w:tcMar>
            <w:vAlign w:val="center"/>
          </w:tcPr>
          <w:p>
            <w:pPr>
              <w:pStyle w:val="TableContents"/>
              <w:bidi w:val="0"/>
              <w:spacing w:before="0" w:after="120"/>
              <w:jc w:val="both"/>
              <w:rPr/>
            </w:pPr>
            <w:r>
              <w:rPr/>
            </w:r>
          </w:p>
        </w:tc>
        <w:tc>
          <w:tcPr>
            <w:tcW w:w="919" w:type="dxa"/>
            <w:gridSpan w:val="3"/>
            <w:tcBorders/>
            <w:tcMar>
              <w:top w:w="0" w:type="dxa"/>
              <w:left w:w="0" w:type="dxa"/>
              <w:bottom w:w="0" w:type="dxa"/>
              <w:right w:w="0" w:type="dxa"/>
            </w:tcMar>
            <w:vAlign w:val="center"/>
          </w:tcPr>
          <w:p>
            <w:pPr>
              <w:pStyle w:val="TableContents"/>
              <w:bidi w:val="0"/>
              <w:spacing w:before="0" w:after="120"/>
              <w:jc w:val="both"/>
              <w:rPr/>
            </w:pPr>
            <w:r>
              <w:rPr/>
            </w:r>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STOCK OPTION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Capitalized terms not specifically defined in this Agreement have the meanings specified in the Grant Notice or, if not defined in the Grant Notice, in the Plan.</w:t>
      </w:r>
    </w:p>
    <w:p>
      <w:pPr>
        <w:pStyle w:val="TextBody"/>
        <w:bidi w:val="0"/>
        <w:spacing w:lineRule="auto" w:line="240" w:before="0" w:after="240"/>
        <w:jc w:val="center"/>
        <w:rPr/>
      </w:pPr>
      <w:r>
        <w:rPr>
          <w:rFonts w:ascii="Times New Roman;serif" w:hAnsi="Times New Roman;serif"/>
          <w:b/>
          <w:color w:val="000000"/>
          <w:sz w:val="22"/>
        </w:rPr>
        <w:t>ARTICLE XII.</w:t>
      </w:r>
      <w:r>
        <w:rPr>
          <w:rFonts w:ascii="Times New Roman;serif" w:hAnsi="Times New Roman;serif"/>
          <w:b/>
          <w:color w:val="000000"/>
          <w:sz w:val="22"/>
        </w:rPr>
        <w:br/>
        <w:t>GENERAL</w:t>
      </w:r>
    </w:p>
    <w:p>
      <w:pPr>
        <w:pStyle w:val="TextBody"/>
        <w:bidi w:val="0"/>
        <w:spacing w:lineRule="auto" w:line="240" w:before="0" w:after="240"/>
        <w:ind w:left="0" w:right="0" w:firstLine="720"/>
        <w:jc w:val="both"/>
        <w:rPr/>
      </w:pPr>
      <w:r>
        <w:rPr>
          <w:rFonts w:ascii="Times New Roman;serif" w:hAnsi="Times New Roman;serif"/>
          <w:b w:val="false"/>
          <w:color w:val="000000"/>
          <w:sz w:val="22"/>
        </w:rPr>
        <w:t>12.1</w:t>
      </w:r>
      <w:r>
        <w:rPr>
          <w:rFonts w:ascii="Times New Roman;serif" w:hAnsi="Times New Roman;serif"/>
          <w:b w:val="false"/>
          <w:color w:val="000000"/>
          <w:sz w:val="22"/>
          <w:u w:val="single"/>
        </w:rPr>
        <w:t>Grant of Option</w:t>
      </w:r>
      <w:r>
        <w:rPr>
          <w:rFonts w:ascii="Times New Roman;serif" w:hAnsi="Times New Roman;serif"/>
          <w:b w:val="false"/>
          <w:color w:val="000000"/>
          <w:sz w:val="22"/>
        </w:rPr>
        <w:t>. The Company has granted to Participant the Option effective as of the grant date set forth in the Grant Notice (the “</w:t>
      </w:r>
      <w:r>
        <w:rPr>
          <w:rFonts w:ascii="Times New Roman;serif" w:hAnsi="Times New Roman;serif"/>
          <w:b/>
          <w:i/>
          <w:color w:val="000000"/>
          <w:sz w:val="22"/>
        </w:rPr>
        <w:t>Grant Date</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12.2</w:t>
      </w:r>
      <w:r>
        <w:rPr>
          <w:rFonts w:ascii="Times New Roman;serif" w:hAnsi="Times New Roman;serif"/>
          <w:b w:val="false"/>
          <w:color w:val="000000"/>
          <w:sz w:val="22"/>
          <w:u w:val="single"/>
        </w:rPr>
        <w:t>Incorporation of Terms of Plan</w:t>
      </w:r>
      <w:r>
        <w:rPr>
          <w:rFonts w:ascii="Times New Roman;serif" w:hAnsi="Times New Roman;serif"/>
          <w:b w:val="false"/>
          <w:color w:val="000000"/>
          <w:sz w:val="22"/>
        </w:rPr>
        <w:t>. The Option is subject to the terms and conditions set forth in this Agreement and the Plan, which is incorporated herein by reference. In the event of any inconsistency between the Plan and this Agreement, the terms of the Plan will control.</w:t>
      </w:r>
    </w:p>
    <w:p>
      <w:pPr>
        <w:pStyle w:val="TextBody"/>
        <w:bidi w:val="0"/>
        <w:spacing w:lineRule="auto" w:line="240" w:before="0" w:after="240"/>
        <w:ind w:left="0" w:right="0" w:firstLine="720"/>
        <w:jc w:val="both"/>
        <w:rPr/>
      </w:pPr>
      <w:r>
        <w:rPr>
          <w:rFonts w:ascii="Times New Roman;serif" w:hAnsi="Times New Roman;serif"/>
          <w:b w:val="false"/>
          <w:color w:val="000000"/>
          <w:sz w:val="22"/>
        </w:rPr>
        <w:t>12.3</w:t>
      </w:r>
      <w:r>
        <w:rPr>
          <w:rFonts w:ascii="Times New Roman;serif" w:hAnsi="Times New Roman;serif"/>
          <w:b w:val="false"/>
          <w:color w:val="000000"/>
          <w:sz w:val="22"/>
          <w:u w:val="single"/>
        </w:rPr>
        <w:t>Employment Inducement Award</w:t>
      </w:r>
      <w:r>
        <w:rPr>
          <w:rFonts w:ascii="Times New Roman;serif" w:hAnsi="Times New Roman;serif"/>
          <w:b w:val="false"/>
          <w:color w:val="000000"/>
          <w:sz w:val="22"/>
        </w:rPr>
        <w:t>. The Option is intended to constitute an “employment inducement award” under NASDAQ Rule 5635(c)(4) that is exempt from the requirements of shareholder approval of equity compensation plans under NASDAQ Rule 5635(c)(4). This Agreement and the terms and conditions of the Option will be interpreted consistent with such intent.</w:t>
      </w:r>
    </w:p>
    <w:p>
      <w:pPr>
        <w:pStyle w:val="TextBody"/>
        <w:bidi w:val="0"/>
        <w:spacing w:lineRule="auto" w:line="240" w:before="0" w:after="240"/>
        <w:jc w:val="center"/>
        <w:rPr/>
      </w:pPr>
      <w:r>
        <w:rPr>
          <w:rFonts w:ascii="Times New Roman;serif" w:hAnsi="Times New Roman;serif"/>
          <w:b/>
          <w:color w:val="000000"/>
          <w:sz w:val="22"/>
        </w:rPr>
        <w:t>ARTICLE XIII.</w:t>
      </w:r>
      <w:r>
        <w:rPr>
          <w:rFonts w:ascii="Times New Roman;serif" w:hAnsi="Times New Roman;serif"/>
          <w:b/>
          <w:color w:val="000000"/>
          <w:sz w:val="22"/>
        </w:rPr>
        <w:br/>
        <w:t>PERIOD OF EXERCISABILITY</w:t>
      </w:r>
    </w:p>
    <w:p>
      <w:pPr>
        <w:pStyle w:val="TextBody"/>
        <w:bidi w:val="0"/>
        <w:spacing w:lineRule="auto" w:line="240" w:before="0" w:after="240"/>
        <w:ind w:left="0" w:right="0" w:firstLine="720"/>
        <w:jc w:val="both"/>
        <w:rPr/>
      </w:pPr>
      <w:r>
        <w:rPr>
          <w:rFonts w:ascii="Times New Roman;serif" w:hAnsi="Times New Roman;serif"/>
          <w:b w:val="false"/>
          <w:color w:val="000000"/>
          <w:sz w:val="22"/>
        </w:rPr>
        <w:t>13.1</w:t>
      </w:r>
      <w:r>
        <w:rPr>
          <w:rFonts w:ascii="Times New Roman;serif" w:hAnsi="Times New Roman;serif"/>
          <w:b w:val="false"/>
          <w:color w:val="000000"/>
          <w:sz w:val="22"/>
          <w:u w:val="single"/>
        </w:rPr>
        <w:t>Commencement of Exercisability</w:t>
      </w:r>
      <w:r>
        <w:rPr>
          <w:rFonts w:ascii="Times New Roman;serif" w:hAnsi="Times New Roman;serif"/>
          <w:b w:val="false"/>
          <w:color w:val="000000"/>
          <w:sz w:val="22"/>
        </w:rPr>
        <w:t>. The Option will vest and become exercisable according to the vesting schedule in the Grant Notice (the “</w:t>
      </w:r>
      <w:r>
        <w:rPr>
          <w:rFonts w:ascii="Times New Roman;serif" w:hAnsi="Times New Roman;serif"/>
          <w:b/>
          <w:i/>
          <w:color w:val="000000"/>
          <w:sz w:val="22"/>
        </w:rPr>
        <w:t>Vesting Schedule</w:t>
      </w:r>
      <w:r>
        <w:rPr>
          <w:color w:val="000000"/>
        </w:rPr>
        <w:t>”</w:t>
      </w:r>
      <w:r>
        <w:rPr>
          <w:rFonts w:ascii="Times New Roman;serif" w:hAnsi="Times New Roman;serif"/>
          <w:b w:val="false"/>
          <w:color w:val="000000"/>
          <w:sz w:val="22"/>
        </w:rPr>
        <w:t>) except that any fraction of a Share as to which the Option would be vested or exercisable will be accumulated and will vest and become exercisable only when a whole Share has accumulated. Notwithstanding anything in the Grant Notice, the Plan or this Agreement to the contrary, unless the Administrator otherwise determines, the Option will immediately expire and be forfeited as to any portion that is not vested and exercisable as of Participant’s Termination of Service for any reason.</w:t>
      </w:r>
    </w:p>
    <w:p>
      <w:pPr>
        <w:pStyle w:val="TextBody"/>
        <w:bidi w:val="0"/>
        <w:spacing w:lineRule="auto" w:line="240" w:before="0" w:after="240"/>
        <w:ind w:left="0" w:right="0" w:firstLine="720"/>
        <w:jc w:val="both"/>
        <w:rPr/>
      </w:pPr>
      <w:r>
        <w:rPr>
          <w:rFonts w:ascii="Times New Roman;serif" w:hAnsi="Times New Roman;serif"/>
          <w:b w:val="false"/>
          <w:color w:val="000000"/>
          <w:sz w:val="22"/>
        </w:rPr>
        <w:t>13.2</w:t>
      </w:r>
      <w:r>
        <w:rPr>
          <w:rFonts w:ascii="Times New Roman;serif" w:hAnsi="Times New Roman;serif"/>
          <w:b w:val="false"/>
          <w:color w:val="000000"/>
          <w:sz w:val="22"/>
          <w:u w:val="single"/>
        </w:rPr>
        <w:t>Duration of Exercisability</w:t>
      </w:r>
      <w:r>
        <w:rPr>
          <w:rFonts w:ascii="Times New Roman;serif" w:hAnsi="Times New Roman;serif"/>
          <w:b w:val="false"/>
          <w:color w:val="000000"/>
          <w:sz w:val="22"/>
        </w:rPr>
        <w:t>. The Vesting Schedule is cumulative. Any portion of the Option which vests and becomes exercisable will remain vested and exercisable until the Option expires. The Option will be forfeited immediately upon its expiration.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13.3</w:t>
      </w:r>
      <w:r>
        <w:rPr>
          <w:rFonts w:ascii="Times New Roman;serif" w:hAnsi="Times New Roman;serif"/>
          <w:b w:val="false"/>
          <w:color w:val="000000"/>
          <w:sz w:val="22"/>
          <w:u w:val="single"/>
        </w:rPr>
        <w:t>Expiration of Option</w:t>
      </w:r>
      <w:r>
        <w:rPr>
          <w:rFonts w:ascii="Times New Roman;serif" w:hAnsi="Times New Roman;serif"/>
          <w:b w:val="false"/>
          <w:color w:val="000000"/>
          <w:sz w:val="22"/>
        </w:rPr>
        <w:t>. The Option may not be exercised to any extent by anyone after, and will expire on, the first of the following to occur:</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final expiration date in the Grant Notice;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Except as the Administrator may otherwise approve, the expiration of three (3) months from the date of Participant’s Termination of Service, unless Participant’s Termination of Service is for Cause or by reason of Participant’s death or Disability;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Except as the Administrator may otherwise approve, the expiration of one (1) year from the date of Participant’s Termination of Service by reason of Participant’s death or Disability;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Except as the Administrator may otherwise approve, Participant’s Termination of Service for Cause. </w:t>
      </w:r>
    </w:p>
    <w:p>
      <w:pPr>
        <w:pStyle w:val="TextBody"/>
        <w:bidi w:val="0"/>
        <w:spacing w:lineRule="auto" w:line="240" w:before="0" w:after="240"/>
        <w:jc w:val="center"/>
        <w:rPr/>
      </w:pPr>
      <w:r>
        <w:rPr>
          <w:rFonts w:ascii="Times New Roman;serif" w:hAnsi="Times New Roman;serif"/>
          <w:b/>
          <w:color w:val="000000"/>
          <w:sz w:val="22"/>
        </w:rPr>
        <w:t>ARTICLE XIV.</w:t>
      </w:r>
      <w:r>
        <w:rPr>
          <w:rFonts w:ascii="Times New Roman;serif" w:hAnsi="Times New Roman;serif"/>
          <w:b/>
          <w:color w:val="000000"/>
          <w:sz w:val="22"/>
        </w:rPr>
        <w:br/>
        <w:t>EXERCISE OF OPTION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14.1</w:t>
      </w:r>
      <w:r>
        <w:rPr>
          <w:rFonts w:ascii="Times New Roman;serif" w:hAnsi="Times New Roman;serif"/>
          <w:b w:val="false"/>
          <w:color w:val="000000"/>
          <w:sz w:val="22"/>
          <w:u w:val="single"/>
        </w:rPr>
        <w:t>Person Eligible to Exercise</w:t>
      </w:r>
      <w:r>
        <w:rPr>
          <w:rFonts w:ascii="Times New Roman;serif" w:hAnsi="Times New Roman;serif"/>
          <w:b w:val="false"/>
          <w:color w:val="000000"/>
          <w:sz w:val="22"/>
        </w:rPr>
        <w:t>. During Participant’s lifetime, only Participant may exercise the Option. After Participant’s death, any exercisable portion of the Option may, prior to the time the Option expires, be exercised by Participant’s Designated Beneficiary as provided in the Plan.</w:t>
      </w:r>
    </w:p>
    <w:p>
      <w:pPr>
        <w:pStyle w:val="TextBody"/>
        <w:bidi w:val="0"/>
        <w:spacing w:before="0" w:after="0"/>
        <w:jc w:val="both"/>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14.2</w:t>
      </w:r>
      <w:r>
        <w:rPr>
          <w:rFonts w:ascii="Times New Roman;serif" w:hAnsi="Times New Roman;serif"/>
          <w:b w:val="false"/>
          <w:color w:val="000000"/>
          <w:sz w:val="22"/>
          <w:u w:val="single"/>
        </w:rPr>
        <w:t>Partial Exercise</w:t>
      </w:r>
      <w:r>
        <w:rPr>
          <w:rFonts w:ascii="Times New Roman;serif" w:hAnsi="Times New Roman;serif"/>
          <w:b w:val="false"/>
          <w:color w:val="000000"/>
          <w:sz w:val="22"/>
        </w:rPr>
        <w:t>. Any exercisable portion of the Option or the entire Option, if then wholly exercisable, may be exercised, in whole or in part, according to the procedures in the Plan at any time prior to the time the Option or portion thereof expires, except that the Option may only be exercised for whole Shares.</w:t>
      </w:r>
    </w:p>
    <w:p>
      <w:pPr>
        <w:pStyle w:val="TextBody"/>
        <w:bidi w:val="0"/>
        <w:spacing w:lineRule="auto" w:line="240" w:before="0" w:after="240"/>
        <w:ind w:left="0" w:right="0" w:firstLine="720"/>
        <w:jc w:val="both"/>
        <w:rPr/>
      </w:pPr>
      <w:r>
        <w:rPr>
          <w:rFonts w:ascii="Times New Roman;serif" w:hAnsi="Times New Roman;serif"/>
          <w:b w:val="false"/>
          <w:color w:val="000000"/>
          <w:sz w:val="22"/>
        </w:rPr>
        <w:t>14.3</w:t>
      </w:r>
      <w:r>
        <w:rPr>
          <w:rFonts w:ascii="Times New Roman;serif" w:hAnsi="Times New Roman;serif"/>
          <w:b w:val="false"/>
          <w:color w:val="000000"/>
          <w:sz w:val="22"/>
          <w:u w:val="single"/>
        </w:rPr>
        <w:t>Tax Withholding</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Company has the right and option, but not the obligation, to treat Participant’s failure to provide timely payment in accordance with the Plan of any withholding tax arising in connection with the Option as Participant’s election to satisfy all or any portion of the withholding tax by requesting the Company retain Shares otherwise issuable under the Option.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Participant acknowledges that Participant is ultimately liable and responsible for all taxes owed in connection with the Option,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Shares. The Company and the Subsidiaries do not commit and are under no obligation to structure the Option to reduce or eliminate Participant’s tax liability.</w:t>
      </w:r>
    </w:p>
    <w:p>
      <w:pPr>
        <w:pStyle w:val="TextBody"/>
        <w:bidi w:val="0"/>
        <w:spacing w:lineRule="auto" w:line="240" w:before="0" w:after="240"/>
        <w:jc w:val="center"/>
        <w:rPr/>
      </w:pPr>
      <w:r>
        <w:rPr>
          <w:rFonts w:ascii="Times New Roman;serif" w:hAnsi="Times New Roman;serif"/>
          <w:b/>
          <w:color w:val="000000"/>
          <w:sz w:val="22"/>
        </w:rPr>
        <w:t>ARTICLE XV.</w:t>
      </w:r>
      <w:r>
        <w:rPr>
          <w:rFonts w:ascii="Times New Roman;serif" w:hAnsi="Times New Roman;serif"/>
          <w:b/>
          <w:color w:val="000000"/>
          <w:sz w:val="22"/>
        </w:rPr>
        <w:br/>
        <w:t>OTHER PROVISIONS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15.1</w:t>
      </w:r>
      <w:r>
        <w:rPr>
          <w:rFonts w:ascii="Times New Roman;serif" w:hAnsi="Times New Roman;serif"/>
          <w:b w:val="false"/>
          <w:color w:val="000000"/>
          <w:sz w:val="22"/>
          <w:u w:val="single"/>
        </w:rPr>
        <w:t>Adjustments</w:t>
      </w:r>
      <w:r>
        <w:rPr>
          <w:rFonts w:ascii="Times New Roman;serif" w:hAnsi="Times New Roman;serif"/>
          <w:b w:val="false"/>
          <w:color w:val="000000"/>
          <w:sz w:val="22"/>
        </w:rPr>
        <w:t>. Participant acknowledges that the Option is subject to adjustment, modification and termination in certain events as provided in this Agreement and the Plan.</w:t>
      </w:r>
    </w:p>
    <w:p>
      <w:pPr>
        <w:pStyle w:val="TextBody"/>
        <w:bidi w:val="0"/>
        <w:spacing w:lineRule="auto" w:line="240" w:before="0" w:after="240"/>
        <w:ind w:left="0" w:right="0" w:firstLine="720"/>
        <w:jc w:val="both"/>
        <w:rPr/>
      </w:pPr>
      <w:r>
        <w:rPr>
          <w:rFonts w:ascii="Times New Roman;serif" w:hAnsi="Times New Roman;serif"/>
          <w:b w:val="false"/>
          <w:color w:val="000000"/>
          <w:sz w:val="22"/>
        </w:rPr>
        <w:t>15.2</w:t>
      </w:r>
      <w:r>
        <w:rPr>
          <w:rFonts w:ascii="Times New Roman;serif" w:hAnsi="Times New Roman;serif"/>
          <w:b w:val="false"/>
          <w:color w:val="000000"/>
          <w:sz w:val="22"/>
          <w:u w:val="single"/>
        </w:rPr>
        <w:t>Notices</w:t>
      </w:r>
      <w:r>
        <w:rPr>
          <w:rFonts w:ascii="Times New Roman;serif" w:hAnsi="Times New Roman;serif"/>
          <w:b w:val="false"/>
          <w:color w:val="000000"/>
          <w:sz w:val="22"/>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person entitled to exercise the Option)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15.3</w:t>
      </w:r>
      <w:r>
        <w:rPr>
          <w:rFonts w:ascii="Times New Roman;serif" w:hAnsi="Times New Roman;serif"/>
          <w:b w:val="false"/>
          <w:color w:val="000000"/>
          <w:sz w:val="22"/>
          <w:u w:val="single"/>
        </w:rPr>
        <w:t>Titles</w:t>
      </w:r>
      <w:r>
        <w:rPr>
          <w:rFonts w:ascii="Times New Roman;serif" w:hAnsi="Times New Roman;serif"/>
          <w:b w:val="false"/>
          <w:color w:val="000000"/>
          <w:sz w:val="22"/>
        </w:rPr>
        <w:t>. Titles are provided herein for convenience only and are not to serve as a basis for interpretation or construction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15.4</w:t>
      </w:r>
      <w:r>
        <w:rPr>
          <w:rFonts w:ascii="Times New Roman;serif" w:hAnsi="Times New Roman;serif"/>
          <w:b w:val="false"/>
          <w:color w:val="000000"/>
          <w:sz w:val="22"/>
          <w:u w:val="single"/>
        </w:rPr>
        <w:t>Conformity to Securities Laws</w:t>
      </w:r>
      <w:r>
        <w:rPr>
          <w:rFonts w:ascii="Times New Roman;serif" w:hAnsi="Times New Roman;serif"/>
          <w:b w:val="false"/>
          <w:color w:val="000000"/>
          <w:sz w:val="22"/>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pStyle w:val="TextBody"/>
        <w:bidi w:val="0"/>
        <w:spacing w:lineRule="auto" w:line="240" w:before="0" w:after="240"/>
        <w:ind w:left="0" w:right="0" w:firstLine="720"/>
        <w:jc w:val="both"/>
        <w:rPr/>
      </w:pPr>
      <w:r>
        <w:rPr>
          <w:rFonts w:ascii="Times New Roman;serif" w:hAnsi="Times New Roman;serif"/>
          <w:b w:val="false"/>
          <w:color w:val="000000"/>
          <w:sz w:val="22"/>
        </w:rPr>
        <w:t>15.5</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15.6</w:t>
      </w:r>
      <w:r>
        <w:rPr>
          <w:rFonts w:ascii="Times New Roman;serif" w:hAnsi="Times New Roman;serif"/>
          <w:b w:val="false"/>
          <w:color w:val="000000"/>
          <w:sz w:val="22"/>
          <w:u w:val="single"/>
        </w:rPr>
        <w:t>Limitations Applicable to Section 16 Persons</w:t>
      </w:r>
      <w:r>
        <w:rPr>
          <w:rFonts w:ascii="Times New Roman;serif" w:hAnsi="Times New Roman;serif"/>
          <w:b w:val="false"/>
          <w:color w:val="000000"/>
          <w:sz w:val="22"/>
        </w:rPr>
        <w:t>. Notwithstanding any other provision of the Plan or this Agreement, if Participant is subject to Section 16 of the Exchange Act, the Plan, the Grant Notice, this Agreement and the Option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pStyle w:val="TextBody"/>
        <w:bidi w:val="0"/>
        <w:spacing w:before="0" w:after="0"/>
        <w:jc w:val="both"/>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15.7</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15.8</w:t>
      </w:r>
      <w:r>
        <w:rPr>
          <w:rFonts w:ascii="Times New Roman;serif" w:hAnsi="Times New Roman;serif"/>
          <w:b w:val="false"/>
          <w:color w:val="000000"/>
          <w:sz w:val="22"/>
          <w:u w:val="single"/>
        </w:rPr>
        <w:t>Agreement Severable</w:t>
      </w:r>
      <w:r>
        <w:rPr>
          <w:rFonts w:ascii="Times New Roman;serif" w:hAnsi="Times New Roman;serif"/>
          <w:b w:val="false"/>
          <w:color w:val="000000"/>
          <w:sz w:val="22"/>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15.9</w:t>
      </w:r>
      <w:r>
        <w:rPr>
          <w:rFonts w:ascii="Times New Roman;serif" w:hAnsi="Times New Roman;serif"/>
          <w:b w:val="false"/>
          <w:color w:val="000000"/>
          <w:sz w:val="22"/>
          <w:u w:val="single"/>
        </w:rPr>
        <w:t>Limitation on Participant’s Rights</w:t>
      </w:r>
      <w:r>
        <w:rPr>
          <w:rFonts w:ascii="Times New Roman;serif" w:hAnsi="Times New Roman;serif"/>
          <w:b w:val="false"/>
          <w:color w:val="000000"/>
          <w:sz w:val="22"/>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Option, and rights no greater than the right to receive the Shares as a general unsecured creditor with respect to the Option, as and when exercised pursuant to the terms 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15.10</w:t>
      </w:r>
      <w:r>
        <w:rPr>
          <w:rFonts w:ascii="Times New Roman;serif" w:hAnsi="Times New Roman;serif"/>
          <w:b w:val="false"/>
          <w:color w:val="000000"/>
          <w:sz w:val="22"/>
          <w:u w:val="single"/>
        </w:rPr>
        <w:t>Not a Contract of Employment</w:t>
      </w:r>
      <w:r>
        <w:rPr>
          <w:rFonts w:ascii="Times New Roman;serif" w:hAnsi="Times New Roman;serif"/>
          <w:b w:val="false"/>
          <w:color w:val="000000"/>
          <w:sz w:val="22"/>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pStyle w:val="TextBody"/>
        <w:bidi w:val="0"/>
        <w:spacing w:lineRule="auto" w:line="240" w:before="0" w:after="240"/>
        <w:ind w:left="0" w:right="0" w:firstLine="720"/>
        <w:jc w:val="both"/>
        <w:rPr/>
      </w:pPr>
      <w:r>
        <w:rPr>
          <w:rFonts w:ascii="Times New Roman;serif" w:hAnsi="Times New Roman;serif"/>
          <w:b w:val="false"/>
          <w:color w:val="000000"/>
          <w:sz w:val="22"/>
        </w:rPr>
        <w:t>15.11</w:t>
      </w:r>
      <w:r>
        <w:rPr>
          <w:rFonts w:ascii="Times New Roman;serif" w:hAnsi="Times New Roman;serif"/>
          <w:b w:val="false"/>
          <w:color w:val="000000"/>
          <w:sz w:val="22"/>
          <w:u w:val="single"/>
        </w:rPr>
        <w:t>Counterparts</w:t>
      </w:r>
      <w:r>
        <w:rPr>
          <w:rFonts w:ascii="Times New Roman;serif" w:hAnsi="Times New Roman;serif"/>
          <w:b w:val="false"/>
          <w:color w:val="000000"/>
          <w:sz w:val="22"/>
        </w:rPr>
        <w:t>. The Grant Notice may be executed in one or more counterparts, including by way of any electronic signature, subject to Applicable Law, each of which will be deemed an original and all of which together will constitute one instrument.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 * *</w:t>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4755" w:type="dxa"/>
        <w:jc w:val="left"/>
        <w:tblInd w:w="0" w:type="dxa"/>
        <w:tblLayout w:type="fixed"/>
        <w:tblCellMar>
          <w:top w:w="28" w:type="dxa"/>
          <w:left w:w="28" w:type="dxa"/>
          <w:bottom w:w="28" w:type="dxa"/>
          <w:right w:w="28" w:type="dxa"/>
        </w:tblCellMar>
      </w:tblPr>
      <w:tblGrid>
        <w:gridCol w:w="1522"/>
        <w:gridCol w:w="1337"/>
        <w:gridCol w:w="1896"/>
      </w:tblGrid>
      <w:tr>
        <w:trPr/>
        <w:tc>
          <w:tcPr>
            <w:tcW w:w="152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IMMUNEERING CORPORATION</w:t>
            </w:r>
          </w:p>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2025 Employment Inducement AWARD PLAN</w:t>
            </w:r>
          </w:p>
        </w:tc>
      </w:tr>
    </w:tbl>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RESTRICTED STOCK Unit Grant Notice</w:t>
      </w:r>
    </w:p>
    <w:p>
      <w:pPr>
        <w:pStyle w:val="TextBody"/>
        <w:bidi w:val="0"/>
        <w:spacing w:lineRule="auto" w:line="288" w:before="0" w:after="240"/>
        <w:ind w:left="0" w:right="0" w:firstLine="720"/>
        <w:jc w:val="both"/>
        <w:rPr/>
      </w:pPr>
      <w:r>
        <w:rPr>
          <w:rFonts w:ascii="Times New Roman;serif" w:hAnsi="Times New Roman;serif"/>
          <w:b w:val="false"/>
          <w:color w:val="000000"/>
          <w:sz w:val="22"/>
        </w:rPr>
        <w:t>Capitalized terms not specifically defined in this Restricted Stock Unit Grant Notice (the “</w:t>
      </w:r>
      <w:r>
        <w:rPr>
          <w:rFonts w:ascii="Times New Roman;serif" w:hAnsi="Times New Roman;serif"/>
          <w:b/>
          <w:i/>
          <w:color w:val="000000"/>
          <w:sz w:val="22"/>
        </w:rPr>
        <w:t>Grant Notice</w:t>
      </w:r>
      <w:r>
        <w:rPr>
          <w:color w:val="000000"/>
        </w:rPr>
        <w:t>”</w:t>
      </w:r>
      <w:r>
        <w:rPr>
          <w:rFonts w:ascii="Times New Roman;serif" w:hAnsi="Times New Roman;serif"/>
          <w:b w:val="false"/>
          <w:color w:val="000000"/>
          <w:sz w:val="22"/>
        </w:rPr>
        <w:t>) have the meanings given to them in the 2025 Employment Inducement Award Plan (as amended from time to time,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of Immuneering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Company has granted to the participant listed below (“</w:t>
      </w:r>
      <w:r>
        <w:rPr>
          <w:rFonts w:ascii="Times New Roman;serif" w:hAnsi="Times New Roman;serif"/>
          <w:b/>
          <w:i/>
          <w:color w:val="000000"/>
          <w:sz w:val="22"/>
        </w:rPr>
        <w:t>Participant</w:t>
      </w:r>
      <w:r>
        <w:rPr>
          <w:color w:val="000000"/>
        </w:rPr>
        <w:t>”</w:t>
      </w:r>
      <w:r>
        <w:rPr>
          <w:rFonts w:ascii="Times New Roman;serif" w:hAnsi="Times New Roman;serif"/>
          <w:b w:val="false"/>
          <w:color w:val="000000"/>
          <w:sz w:val="22"/>
        </w:rPr>
        <w:t>) the Restricted Stock Units described in this Grant Notice (the “</w:t>
      </w:r>
      <w:r>
        <w:rPr>
          <w:rFonts w:ascii="Times New Roman;serif" w:hAnsi="Times New Roman;serif"/>
          <w:b/>
          <w:i/>
          <w:color w:val="000000"/>
          <w:sz w:val="22"/>
        </w:rPr>
        <w:t>RSUs</w:t>
      </w:r>
      <w:r>
        <w:rPr>
          <w:color w:val="000000"/>
        </w:rPr>
        <w:t>”</w:t>
      </w:r>
      <w:r>
        <w:rPr>
          <w:rFonts w:ascii="Times New Roman;serif" w:hAnsi="Times New Roman;serif"/>
          <w:b w:val="false"/>
          <w:color w:val="000000"/>
          <w:sz w:val="22"/>
        </w:rPr>
        <w:t xml:space="preserve">), subject to the terms and conditions of the Plan and the Restricted Stock Unit Agreement attached as </w:t>
      </w:r>
      <w:r>
        <w:rPr>
          <w:rFonts w:ascii="Times New Roman;serif" w:hAnsi="Times New Roman;serif"/>
          <w:b/>
          <w:color w:val="000000"/>
          <w:sz w:val="22"/>
        </w:rPr>
        <w:t>Exhibit A</w:t>
      </w:r>
      <w:r>
        <w:rPr>
          <w:color w:val="000000"/>
        </w:rPr>
        <w:t xml:space="preserve"> </w:t>
      </w:r>
      <w:r>
        <w:rPr>
          <w:rFonts w:ascii="Times New Roman;serif" w:hAnsi="Times New Roman;serif"/>
          <w:b w:val="false"/>
          <w:color w:val="000000"/>
          <w:sz w:val="22"/>
        </w:rPr>
        <w:t>(the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xml:space="preserve">), both of which are incorporated into this Grant Notice by reference. </w:t>
      </w:r>
    </w:p>
    <w:tbl>
      <w:tblPr>
        <w:tblW w:w="3446" w:type="dxa"/>
        <w:jc w:val="left"/>
        <w:tblInd w:w="0" w:type="dxa"/>
        <w:tblLayout w:type="fixed"/>
        <w:tblCellMar>
          <w:top w:w="28" w:type="dxa"/>
          <w:left w:w="28" w:type="dxa"/>
          <w:bottom w:w="28" w:type="dxa"/>
          <w:right w:w="28" w:type="dxa"/>
        </w:tblCellMar>
      </w:tblPr>
      <w:tblGrid>
        <w:gridCol w:w="1113"/>
        <w:gridCol w:w="978"/>
        <w:gridCol w:w="983"/>
        <w:gridCol w:w="109"/>
        <w:gridCol w:w="109"/>
        <w:gridCol w:w="154"/>
      </w:tblGrid>
      <w:tr>
        <w:trPr/>
        <w:tc>
          <w:tcPr>
            <w:tcW w:w="11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319" w:before="0" w:after="120"/>
              <w:jc w:val="both"/>
              <w:rPr>
                <w:rFonts w:ascii="Times New Roman;serif" w:hAnsi="Times New Roman;serif"/>
                <w:b/>
                <w:color w:val="000000"/>
                <w:sz w:val="22"/>
              </w:rPr>
            </w:pPr>
            <w:r>
              <w:rPr>
                <w:rFonts w:ascii="Times New Roman;serif" w:hAnsi="Times New Roman;serif"/>
                <w:b/>
                <w:color w:val="000000"/>
                <w:sz w:val="22"/>
              </w:rPr>
              <w:t>Participant:</w:t>
            </w:r>
          </w:p>
        </w:tc>
        <w:tc>
          <w:tcPr>
            <w:tcW w:w="372" w:type="dxa"/>
            <w:gridSpan w:val="3"/>
            <w:tcBorders/>
            <w:tcMar>
              <w:top w:w="0" w:type="dxa"/>
              <w:left w:w="0" w:type="dxa"/>
              <w:bottom w:w="0" w:type="dxa"/>
              <w:right w:w="0" w:type="dxa"/>
            </w:tcMar>
            <w:vAlign w:val="center"/>
          </w:tcPr>
          <w:p>
            <w:pPr>
              <w:pStyle w:val="TableContents"/>
              <w:bidi w:val="0"/>
              <w:spacing w:before="0" w:after="120"/>
              <w:jc w:val="both"/>
              <w:rPr/>
            </w:pPr>
            <w:r>
              <w:rPr/>
            </w:r>
          </w:p>
        </w:tc>
      </w:tr>
      <w:tr>
        <w:trPr/>
        <w:tc>
          <w:tcPr>
            <w:tcW w:w="3074" w:type="dxa"/>
            <w:gridSpan w:val="3"/>
            <w:tcBorders/>
            <w:tcMar>
              <w:top w:w="0" w:type="dxa"/>
              <w:left w:w="0" w:type="dxa"/>
              <w:bottom w:w="0" w:type="dxa"/>
              <w:right w:w="0" w:type="dxa"/>
            </w:tcMar>
            <w:vAlign w:val="center"/>
          </w:tcPr>
          <w:p>
            <w:pPr>
              <w:pStyle w:val="TableContents"/>
              <w:bidi w:val="0"/>
              <w:spacing w:lineRule="auto" w:line="319" w:before="0" w:after="120"/>
              <w:jc w:val="both"/>
              <w:rPr>
                <w:rFonts w:ascii="Times New Roman;serif" w:hAnsi="Times New Roman;serif"/>
                <w:b/>
                <w:color w:val="000000"/>
                <w:sz w:val="22"/>
              </w:rPr>
            </w:pPr>
            <w:r>
              <w:rPr>
                <w:rFonts w:ascii="Times New Roman;serif" w:hAnsi="Times New Roman;serif"/>
                <w:b/>
                <w:color w:val="000000"/>
                <w:sz w:val="22"/>
              </w:rPr>
              <w:t>Grant Date:</w:t>
            </w:r>
          </w:p>
        </w:tc>
        <w:tc>
          <w:tcPr>
            <w:tcW w:w="372" w:type="dxa"/>
            <w:gridSpan w:val="3"/>
            <w:tcBorders/>
            <w:tcMar>
              <w:top w:w="0" w:type="dxa"/>
              <w:left w:w="0" w:type="dxa"/>
              <w:bottom w:w="0" w:type="dxa"/>
              <w:right w:w="0" w:type="dxa"/>
            </w:tcMar>
            <w:vAlign w:val="center"/>
          </w:tcPr>
          <w:p>
            <w:pPr>
              <w:pStyle w:val="TableContents"/>
              <w:bidi w:val="0"/>
              <w:spacing w:before="0" w:after="120"/>
              <w:jc w:val="both"/>
              <w:rPr/>
            </w:pPr>
            <w:r>
              <w:rPr/>
            </w:r>
          </w:p>
        </w:tc>
      </w:tr>
      <w:tr>
        <w:trPr/>
        <w:tc>
          <w:tcPr>
            <w:tcW w:w="3074" w:type="dxa"/>
            <w:gridSpan w:val="3"/>
            <w:tcBorders/>
            <w:tcMar>
              <w:top w:w="0" w:type="dxa"/>
              <w:left w:w="0" w:type="dxa"/>
              <w:bottom w:w="0" w:type="dxa"/>
              <w:right w:w="0" w:type="dxa"/>
            </w:tcMar>
            <w:vAlign w:val="center"/>
          </w:tcPr>
          <w:p>
            <w:pPr>
              <w:pStyle w:val="TableContents"/>
              <w:bidi w:val="0"/>
              <w:spacing w:lineRule="auto" w:line="319" w:before="0" w:after="120"/>
              <w:jc w:val="both"/>
              <w:rPr>
                <w:rFonts w:ascii="Times New Roman;serif" w:hAnsi="Times New Roman;serif"/>
                <w:b/>
                <w:color w:val="000000"/>
                <w:sz w:val="22"/>
              </w:rPr>
            </w:pPr>
            <w:r>
              <w:rPr>
                <w:rFonts w:ascii="Times New Roman;serif" w:hAnsi="Times New Roman;serif"/>
                <w:b/>
                <w:color w:val="000000"/>
                <w:sz w:val="22"/>
              </w:rPr>
              <w:t>Number of RSUs:</w:t>
            </w:r>
          </w:p>
        </w:tc>
        <w:tc>
          <w:tcPr>
            <w:tcW w:w="372" w:type="dxa"/>
            <w:gridSpan w:val="3"/>
            <w:tcBorders/>
            <w:tcMar>
              <w:top w:w="0" w:type="dxa"/>
              <w:left w:w="0" w:type="dxa"/>
              <w:bottom w:w="0" w:type="dxa"/>
              <w:right w:w="0" w:type="dxa"/>
            </w:tcMar>
            <w:vAlign w:val="center"/>
          </w:tcPr>
          <w:p>
            <w:pPr>
              <w:pStyle w:val="TableContents"/>
              <w:bidi w:val="0"/>
              <w:spacing w:before="0" w:after="120"/>
              <w:jc w:val="both"/>
              <w:rPr/>
            </w:pPr>
            <w:r>
              <w:rPr/>
            </w:r>
          </w:p>
        </w:tc>
      </w:tr>
      <w:tr>
        <w:trPr/>
        <w:tc>
          <w:tcPr>
            <w:tcW w:w="3074" w:type="dxa"/>
            <w:gridSpan w:val="3"/>
            <w:tcBorders/>
            <w:tcMar>
              <w:top w:w="0" w:type="dxa"/>
              <w:left w:w="0" w:type="dxa"/>
              <w:bottom w:w="0" w:type="dxa"/>
              <w:right w:w="0" w:type="dxa"/>
            </w:tcMar>
            <w:vAlign w:val="center"/>
          </w:tcPr>
          <w:p>
            <w:pPr>
              <w:pStyle w:val="TableContents"/>
              <w:bidi w:val="0"/>
              <w:spacing w:lineRule="auto" w:line="319" w:before="0" w:after="120"/>
              <w:jc w:val="both"/>
              <w:rPr>
                <w:rFonts w:ascii="Times New Roman;serif" w:hAnsi="Times New Roman;serif"/>
                <w:b/>
                <w:color w:val="000000"/>
                <w:sz w:val="22"/>
              </w:rPr>
            </w:pPr>
            <w:r>
              <w:rPr>
                <w:rFonts w:ascii="Times New Roman;serif" w:hAnsi="Times New Roman;serif"/>
                <w:b/>
                <w:color w:val="000000"/>
                <w:sz w:val="22"/>
              </w:rPr>
              <w:t>Vesting Commencement Date:</w:t>
            </w:r>
          </w:p>
        </w:tc>
        <w:tc>
          <w:tcPr>
            <w:tcW w:w="372" w:type="dxa"/>
            <w:gridSpan w:val="3"/>
            <w:tcBorders/>
            <w:tcMar>
              <w:top w:w="0" w:type="dxa"/>
              <w:left w:w="0" w:type="dxa"/>
              <w:bottom w:w="0" w:type="dxa"/>
              <w:right w:w="0" w:type="dxa"/>
            </w:tcMar>
            <w:vAlign w:val="center"/>
          </w:tcPr>
          <w:p>
            <w:pPr>
              <w:pStyle w:val="TableContents"/>
              <w:bidi w:val="0"/>
              <w:spacing w:before="0" w:after="120"/>
              <w:jc w:val="both"/>
              <w:rPr/>
            </w:pPr>
            <w:r>
              <w:rPr/>
            </w:r>
          </w:p>
        </w:tc>
      </w:tr>
      <w:tr>
        <w:trPr/>
        <w:tc>
          <w:tcPr>
            <w:tcW w:w="3074" w:type="dxa"/>
            <w:gridSpan w:val="3"/>
            <w:tcBorders/>
            <w:tcMar>
              <w:top w:w="0" w:type="dxa"/>
              <w:left w:w="0" w:type="dxa"/>
              <w:bottom w:w="0" w:type="dxa"/>
              <w:right w:w="0" w:type="dxa"/>
            </w:tcMar>
            <w:vAlign w:val="center"/>
          </w:tcPr>
          <w:p>
            <w:pPr>
              <w:pStyle w:val="TableContents"/>
              <w:bidi w:val="0"/>
              <w:spacing w:lineRule="auto" w:line="319" w:before="0" w:after="120"/>
              <w:jc w:val="both"/>
              <w:rPr>
                <w:rFonts w:ascii="Times New Roman;serif" w:hAnsi="Times New Roman;serif"/>
                <w:b/>
                <w:color w:val="000000"/>
                <w:sz w:val="22"/>
              </w:rPr>
            </w:pPr>
            <w:r>
              <w:rPr>
                <w:rFonts w:ascii="Times New Roman;serif" w:hAnsi="Times New Roman;serif"/>
                <w:b/>
                <w:color w:val="000000"/>
                <w:sz w:val="22"/>
              </w:rPr>
              <w:t>Vesting Schedule:</w:t>
            </w:r>
          </w:p>
        </w:tc>
        <w:tc>
          <w:tcPr>
            <w:tcW w:w="372" w:type="dxa"/>
            <w:gridSpan w:val="3"/>
            <w:tcBorders/>
            <w:tcMar>
              <w:top w:w="0" w:type="dxa"/>
              <w:left w:w="0" w:type="dxa"/>
              <w:bottom w:w="0" w:type="dxa"/>
              <w:right w:w="0" w:type="dxa"/>
            </w:tcMar>
            <w:vAlign w:val="center"/>
          </w:tcPr>
          <w:p>
            <w:pPr>
              <w:pStyle w:val="TableContents"/>
              <w:bidi w:val="0"/>
              <w:spacing w:before="0" w:after="120"/>
              <w:jc w:val="both"/>
              <w:rPr/>
            </w:pPr>
            <w:r>
              <w:rPr/>
            </w:r>
          </w:p>
        </w:tc>
      </w:tr>
      <w:tr>
        <w:trPr/>
        <w:tc>
          <w:tcPr>
            <w:tcW w:w="3074" w:type="dxa"/>
            <w:gridSpan w:val="3"/>
            <w:tcBorders/>
            <w:tcMar>
              <w:top w:w="0" w:type="dxa"/>
              <w:left w:w="0" w:type="dxa"/>
              <w:bottom w:w="0" w:type="dxa"/>
              <w:right w:w="0" w:type="dxa"/>
            </w:tcMar>
            <w:vAlign w:val="center"/>
          </w:tcPr>
          <w:p>
            <w:pPr>
              <w:pStyle w:val="TableContents"/>
              <w:bidi w:val="0"/>
              <w:spacing w:before="0" w:after="120"/>
              <w:jc w:val="both"/>
              <w:rPr/>
            </w:pPr>
            <w:r>
              <w:rPr/>
            </w:r>
          </w:p>
        </w:tc>
        <w:tc>
          <w:tcPr>
            <w:tcW w:w="372" w:type="dxa"/>
            <w:gridSpan w:val="3"/>
            <w:tcBorders/>
            <w:tcMar>
              <w:top w:w="0" w:type="dxa"/>
              <w:left w:w="0" w:type="dxa"/>
              <w:bottom w:w="0" w:type="dxa"/>
              <w:right w:w="0" w:type="dxa"/>
            </w:tcMar>
            <w:vAlign w:val="center"/>
          </w:tcPr>
          <w:p>
            <w:pPr>
              <w:pStyle w:val="TableContents"/>
              <w:bidi w:val="0"/>
              <w:spacing w:before="0" w:after="120"/>
              <w:jc w:val="both"/>
              <w:rPr/>
            </w:pPr>
            <w:r>
              <w:rPr/>
            </w:r>
          </w:p>
        </w:tc>
      </w:tr>
    </w:tbl>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tbl>
      <w:tblPr>
        <w:tblW w:w="5386" w:type="dxa"/>
        <w:jc w:val="left"/>
        <w:tblInd w:w="0" w:type="dxa"/>
        <w:tblLayout w:type="fixed"/>
        <w:tblCellMar>
          <w:top w:w="28" w:type="dxa"/>
          <w:left w:w="28" w:type="dxa"/>
          <w:bottom w:w="28" w:type="dxa"/>
          <w:right w:w="28" w:type="dxa"/>
        </w:tblCellMar>
      </w:tblPr>
      <w:tblGrid>
        <w:gridCol w:w="676"/>
        <w:gridCol w:w="596"/>
        <w:gridCol w:w="596"/>
        <w:gridCol w:w="596"/>
        <w:gridCol w:w="596"/>
        <w:gridCol w:w="600"/>
        <w:gridCol w:w="269"/>
        <w:gridCol w:w="269"/>
        <w:gridCol w:w="269"/>
        <w:gridCol w:w="269"/>
        <w:gridCol w:w="269"/>
        <w:gridCol w:w="381"/>
      </w:tblGrid>
      <w:tr>
        <w:trPr/>
        <w:tc>
          <w:tcPr>
            <w:tcW w:w="67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3660" w:type="dxa"/>
            <w:gridSpan w:val="6"/>
            <w:tcBorders/>
            <w:tcMar>
              <w:top w:w="0" w:type="dxa"/>
              <w:left w:w="0" w:type="dxa"/>
              <w:bottom w:w="0" w:type="dxa"/>
              <w:right w:w="0" w:type="dxa"/>
            </w:tcMar>
            <w:vAlign w:val="center"/>
          </w:tcPr>
          <w:p>
            <w:pPr>
              <w:pStyle w:val="TableContents"/>
              <w:bidi w:val="0"/>
              <w:spacing w:lineRule="auto" w:line="319" w:before="240" w:after="720"/>
              <w:jc w:val="both"/>
              <w:rPr>
                <w:rFonts w:ascii="Times New Roman;serif" w:hAnsi="Times New Roman;serif"/>
                <w:b/>
                <w:color w:val="000000"/>
                <w:sz w:val="22"/>
              </w:rPr>
            </w:pPr>
            <w:r>
              <w:rPr>
                <w:rFonts w:ascii="Times New Roman;serif" w:hAnsi="Times New Roman;serif"/>
                <w:b/>
                <w:color w:val="000000"/>
                <w:sz w:val="22"/>
              </w:rPr>
              <w:t>IMMUNEERING CORPORATION</w:t>
            </w:r>
          </w:p>
        </w:tc>
        <w:tc>
          <w:tcPr>
            <w:tcW w:w="1726" w:type="dxa"/>
            <w:gridSpan w:val="6"/>
            <w:tcBorders/>
            <w:tcMar>
              <w:top w:w="0" w:type="dxa"/>
              <w:left w:w="0" w:type="dxa"/>
              <w:bottom w:w="0" w:type="dxa"/>
              <w:right w:w="0" w:type="dxa"/>
            </w:tcMar>
            <w:vAlign w:val="center"/>
          </w:tcPr>
          <w:p>
            <w:pPr>
              <w:pStyle w:val="TableContents"/>
              <w:bidi w:val="0"/>
              <w:spacing w:lineRule="auto" w:line="319" w:before="240" w:after="720"/>
              <w:jc w:val="both"/>
              <w:rPr>
                <w:rFonts w:ascii="Times New Roman;serif" w:hAnsi="Times New Roman;serif"/>
                <w:b/>
                <w:color w:val="000000"/>
                <w:sz w:val="22"/>
              </w:rPr>
            </w:pPr>
            <w:r>
              <w:rPr>
                <w:rFonts w:ascii="Times New Roman;serif" w:hAnsi="Times New Roman;serif"/>
                <w:b/>
                <w:color w:val="000000"/>
                <w:sz w:val="22"/>
              </w:rPr>
              <w:t>PARTICIPANT</w:t>
            </w:r>
          </w:p>
        </w:tc>
      </w:tr>
      <w:tr>
        <w:trPr/>
        <w:tc>
          <w:tcPr>
            <w:tcW w:w="1868" w:type="dxa"/>
            <w:gridSpan w:val="3"/>
            <w:tcBorders/>
            <w:tcMar>
              <w:top w:w="0" w:type="dxa"/>
              <w:left w:w="0" w:type="dxa"/>
              <w:bottom w:w="0" w:type="dxa"/>
              <w:right w:w="0" w:type="dxa"/>
            </w:tcMar>
            <w:vAlign w:val="center"/>
          </w:tcPr>
          <w:p>
            <w:pPr>
              <w:pStyle w:val="TableContents"/>
              <w:bidi w:val="0"/>
              <w:spacing w:lineRule="auto" w:line="319" w:before="0" w:after="120"/>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1792" w:type="dxa"/>
            <w:gridSpan w:val="3"/>
            <w:tcBorders/>
            <w:tcMar>
              <w:top w:w="0" w:type="dxa"/>
              <w:left w:w="0" w:type="dxa"/>
              <w:bottom w:w="0" w:type="dxa"/>
              <w:right w:w="0" w:type="dxa"/>
            </w:tcMar>
            <w:vAlign w:val="center"/>
          </w:tcPr>
          <w:p>
            <w:pPr>
              <w:pStyle w:val="TableContents"/>
              <w:bidi w:val="0"/>
              <w:spacing w:lineRule="auto" w:line="319" w:before="0" w:after="120"/>
              <w:jc w:val="both"/>
              <w:rPr>
                <w:color w:val="000000"/>
                <w:u w:val="single"/>
              </w:rPr>
            </w:pPr>
            <w:r>
              <w:rPr>
                <w:color w:val="000000"/>
                <w:u w:val="single"/>
              </w:rPr>
              <w:t>    </w:t>
            </w:r>
          </w:p>
        </w:tc>
        <w:tc>
          <w:tcPr>
            <w:tcW w:w="1726" w:type="dxa"/>
            <w:gridSpan w:val="6"/>
            <w:tcBorders/>
            <w:tcMar>
              <w:top w:w="0" w:type="dxa"/>
              <w:left w:w="0" w:type="dxa"/>
              <w:bottom w:w="0" w:type="dxa"/>
              <w:right w:w="0" w:type="dxa"/>
            </w:tcMar>
            <w:vAlign w:val="center"/>
          </w:tcPr>
          <w:p>
            <w:pPr>
              <w:pStyle w:val="TableContents"/>
              <w:bidi w:val="0"/>
              <w:spacing w:lineRule="auto" w:line="319" w:before="0" w:after="120"/>
              <w:jc w:val="both"/>
              <w:rPr>
                <w:color w:val="000000"/>
                <w:u w:val="single"/>
              </w:rPr>
            </w:pPr>
            <w:r>
              <w:rPr>
                <w:color w:val="000000"/>
                <w:u w:val="single"/>
              </w:rPr>
              <w:t>    </w:t>
            </w:r>
          </w:p>
        </w:tc>
      </w:tr>
      <w:tr>
        <w:trPr/>
        <w:tc>
          <w:tcPr>
            <w:tcW w:w="1868" w:type="dxa"/>
            <w:gridSpan w:val="3"/>
            <w:tcBorders/>
            <w:tcMar>
              <w:top w:w="0" w:type="dxa"/>
              <w:left w:w="0" w:type="dxa"/>
              <w:bottom w:w="0" w:type="dxa"/>
              <w:right w:w="0" w:type="dxa"/>
            </w:tcMar>
            <w:vAlign w:val="center"/>
          </w:tcPr>
          <w:p>
            <w:pPr>
              <w:pStyle w:val="TableContents"/>
              <w:bidi w:val="0"/>
              <w:spacing w:lineRule="auto" w:line="319"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1792" w:type="dxa"/>
            <w:gridSpan w:val="3"/>
            <w:tcBorders/>
            <w:tcMar>
              <w:top w:w="0" w:type="dxa"/>
              <w:left w:w="0" w:type="dxa"/>
              <w:bottom w:w="0" w:type="dxa"/>
              <w:right w:w="0" w:type="dxa"/>
            </w:tcMar>
            <w:vAlign w:val="center"/>
          </w:tcPr>
          <w:p>
            <w:pPr>
              <w:pStyle w:val="TableContents"/>
              <w:bidi w:val="0"/>
              <w:spacing w:lineRule="auto" w:line="319" w:before="0" w:after="120"/>
              <w:jc w:val="both"/>
              <w:rPr>
                <w:color w:val="000000"/>
                <w:u w:val="single"/>
              </w:rPr>
            </w:pPr>
            <w:r>
              <w:rPr>
                <w:color w:val="000000"/>
                <w:u w:val="single"/>
              </w:rPr>
              <w:t>    </w:t>
            </w:r>
          </w:p>
        </w:tc>
        <w:tc>
          <w:tcPr>
            <w:tcW w:w="1726" w:type="dxa"/>
            <w:gridSpan w:val="6"/>
            <w:tcBorders/>
            <w:tcMar>
              <w:top w:w="0" w:type="dxa"/>
              <w:left w:w="0" w:type="dxa"/>
              <w:bottom w:w="0" w:type="dxa"/>
              <w:right w:w="0" w:type="dxa"/>
            </w:tcMar>
            <w:vAlign w:val="center"/>
          </w:tcPr>
          <w:p>
            <w:pPr>
              <w:pStyle w:val="TableContents"/>
              <w:bidi w:val="0"/>
              <w:spacing w:before="0" w:after="120"/>
              <w:jc w:val="both"/>
              <w:rPr/>
            </w:pPr>
            <w:r>
              <w:rPr/>
            </w:r>
          </w:p>
        </w:tc>
      </w:tr>
      <w:tr>
        <w:trPr/>
        <w:tc>
          <w:tcPr>
            <w:tcW w:w="1868" w:type="dxa"/>
            <w:gridSpan w:val="3"/>
            <w:tcBorders/>
            <w:tcMar>
              <w:top w:w="0" w:type="dxa"/>
              <w:left w:w="0" w:type="dxa"/>
              <w:bottom w:w="0" w:type="dxa"/>
              <w:right w:w="0" w:type="dxa"/>
            </w:tcMar>
            <w:vAlign w:val="center"/>
          </w:tcPr>
          <w:p>
            <w:pPr>
              <w:pStyle w:val="TableContents"/>
              <w:bidi w:val="0"/>
              <w:spacing w:lineRule="auto" w:line="319" w:before="0" w:after="120"/>
              <w:jc w:val="both"/>
              <w:rPr>
                <w:rFonts w:ascii="Times New Roman;serif" w:hAnsi="Times New Roman;serif"/>
                <w:b w:val="false"/>
                <w:color w:val="000000"/>
                <w:sz w:val="22"/>
              </w:rPr>
            </w:pPr>
            <w:r>
              <w:rPr>
                <w:rFonts w:ascii="Times New Roman;serif" w:hAnsi="Times New Roman;serif"/>
                <w:b w:val="false"/>
                <w:color w:val="000000"/>
                <w:sz w:val="22"/>
              </w:rPr>
              <w:t>Title:</w:t>
            </w:r>
          </w:p>
        </w:tc>
        <w:tc>
          <w:tcPr>
            <w:tcW w:w="1792" w:type="dxa"/>
            <w:gridSpan w:val="3"/>
            <w:tcBorders/>
            <w:tcMar>
              <w:top w:w="0" w:type="dxa"/>
              <w:left w:w="0" w:type="dxa"/>
              <w:bottom w:w="0" w:type="dxa"/>
              <w:right w:w="0" w:type="dxa"/>
            </w:tcMar>
            <w:vAlign w:val="center"/>
          </w:tcPr>
          <w:p>
            <w:pPr>
              <w:pStyle w:val="TableContents"/>
              <w:bidi w:val="0"/>
              <w:spacing w:lineRule="auto" w:line="319" w:before="0" w:after="120"/>
              <w:jc w:val="both"/>
              <w:rPr>
                <w:color w:val="000000"/>
                <w:u w:val="single"/>
              </w:rPr>
            </w:pPr>
            <w:r>
              <w:rPr>
                <w:color w:val="000000"/>
                <w:u w:val="single"/>
              </w:rPr>
              <w:t>    </w:t>
            </w:r>
          </w:p>
        </w:tc>
        <w:tc>
          <w:tcPr>
            <w:tcW w:w="807" w:type="dxa"/>
            <w:gridSpan w:val="3"/>
            <w:tcBorders/>
            <w:tcMar>
              <w:top w:w="0" w:type="dxa"/>
              <w:left w:w="0" w:type="dxa"/>
              <w:bottom w:w="0" w:type="dxa"/>
              <w:right w:w="0" w:type="dxa"/>
            </w:tcMar>
            <w:vAlign w:val="center"/>
          </w:tcPr>
          <w:p>
            <w:pPr>
              <w:pStyle w:val="TableContents"/>
              <w:bidi w:val="0"/>
              <w:spacing w:before="0" w:after="120"/>
              <w:jc w:val="both"/>
              <w:rPr/>
            </w:pPr>
            <w:r>
              <w:rPr/>
            </w:r>
          </w:p>
        </w:tc>
        <w:tc>
          <w:tcPr>
            <w:tcW w:w="919" w:type="dxa"/>
            <w:gridSpan w:val="3"/>
            <w:tcBorders/>
            <w:tcMar>
              <w:top w:w="0" w:type="dxa"/>
              <w:left w:w="0" w:type="dxa"/>
              <w:bottom w:w="0" w:type="dxa"/>
              <w:right w:w="0" w:type="dxa"/>
            </w:tcMar>
            <w:vAlign w:val="center"/>
          </w:tcPr>
          <w:p>
            <w:pPr>
              <w:pStyle w:val="TableContents"/>
              <w:bidi w:val="0"/>
              <w:spacing w:before="0" w:after="120"/>
              <w:jc w:val="both"/>
              <w:rPr/>
            </w:pPr>
            <w:r>
              <w:rPr/>
            </w:r>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RESTRICTED STOCK UNIT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Capitalized terms not specifically defined in this Agreement have the meanings specified in the Grant Notice or, if not defined in the Grant Notice, in the Plan.</w:t>
      </w:r>
    </w:p>
    <w:p>
      <w:pPr>
        <w:pStyle w:val="TextBody"/>
        <w:bidi w:val="0"/>
        <w:spacing w:lineRule="auto" w:line="240" w:before="0" w:after="240"/>
        <w:jc w:val="center"/>
        <w:rPr/>
      </w:pPr>
      <w:r>
        <w:rPr>
          <w:rFonts w:ascii="Times New Roman;serif" w:hAnsi="Times New Roman;serif"/>
          <w:b/>
          <w:color w:val="000000"/>
          <w:sz w:val="22"/>
        </w:rPr>
        <w:t>ARTICLE XVI.</w:t>
      </w:r>
      <w:r>
        <w:rPr>
          <w:rFonts w:ascii="Times New Roman;serif" w:hAnsi="Times New Roman;serif"/>
          <w:b/>
          <w:color w:val="000000"/>
          <w:sz w:val="22"/>
        </w:rPr>
        <w:br/>
        <w:t>GENERAL</w:t>
      </w:r>
    </w:p>
    <w:p>
      <w:pPr>
        <w:pStyle w:val="TextBody"/>
        <w:bidi w:val="0"/>
        <w:spacing w:lineRule="auto" w:line="240" w:before="0" w:after="240"/>
        <w:ind w:left="0" w:right="0" w:firstLine="720"/>
        <w:jc w:val="both"/>
        <w:rPr/>
      </w:pPr>
      <w:r>
        <w:rPr>
          <w:rFonts w:ascii="Times New Roman;serif" w:hAnsi="Times New Roman;serif"/>
          <w:b w:val="false"/>
          <w:color w:val="000000"/>
          <w:sz w:val="22"/>
        </w:rPr>
        <w:t>16.1</w:t>
      </w:r>
      <w:r>
        <w:rPr>
          <w:rFonts w:ascii="Times New Roman;serif" w:hAnsi="Times New Roman;serif"/>
          <w:b w:val="false"/>
          <w:color w:val="000000"/>
          <w:sz w:val="22"/>
          <w:u w:val="single"/>
        </w:rPr>
        <w:t>Award of RSUs and Dividend Equivalents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Company has granted the RSUs to Participant effective as of the grant date set forth in the Grant Notice (the “</w:t>
      </w:r>
      <w:r>
        <w:rPr>
          <w:rFonts w:ascii="Times New Roman;serif" w:hAnsi="Times New Roman;serif"/>
          <w:b/>
          <w:i/>
          <w:color w:val="000000"/>
          <w:sz w:val="22"/>
        </w:rPr>
        <w:t>Grant Date</w:t>
      </w:r>
      <w:r>
        <w:rPr>
          <w:color w:val="000000"/>
        </w:rPr>
        <w:t>”</w:t>
      </w:r>
      <w:r>
        <w:rPr>
          <w:rFonts w:ascii="Times New Roman;serif" w:hAnsi="Times New Roman;serif"/>
          <w:b w:val="false"/>
          <w:color w:val="000000"/>
          <w:sz w:val="22"/>
        </w:rPr>
        <w:t>). Each RSU represents the right to receive one Share or, at the option of the Company, an amount of cash, in either case, as set forth in this Agreement. Participant will have no right to the distribution of any Shares or payment of any cash until the time (if ever) the RSUs have vested.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 Company hereby grants to Participant, with respect to each RSU, a Dividend Equivalent for ordinary cash dividends paid to substantially all holders of outstanding Shares with a record date after the Grant Date and prior to the date the applicable RSU is settled, forfeited or otherwise expires. Each Dividend Equivalent entitles Participant to receive the equivalent value of any such ordinary cash dividends paid on a single Share. The Company will establish a separate Dividend Equivalent bookkeeping account (a “</w:t>
      </w:r>
      <w:r>
        <w:rPr>
          <w:rFonts w:ascii="Times New Roman;serif" w:hAnsi="Times New Roman;serif"/>
          <w:b/>
          <w:i/>
          <w:color w:val="000000"/>
          <w:sz w:val="22"/>
        </w:rPr>
        <w:t>Dividend Equivalent Account</w:t>
      </w:r>
      <w:r>
        <w:rPr>
          <w:color w:val="000000"/>
        </w:rPr>
        <w:t>”</w:t>
      </w:r>
      <w:r>
        <w:rPr>
          <w:rFonts w:ascii="Times New Roman;serif" w:hAnsi="Times New Roman;serif"/>
          <w:b w:val="false"/>
          <w:color w:val="000000"/>
          <w:sz w:val="22"/>
        </w:rPr>
        <w:t>) for each Dividend Equivalent and credit the Dividend Equivalent Account (without interest) on the applicable dividend payment date with the amount of any such cash paid.</w:t>
      </w:r>
    </w:p>
    <w:p>
      <w:pPr>
        <w:pStyle w:val="TextBody"/>
        <w:bidi w:val="0"/>
        <w:spacing w:lineRule="auto" w:line="240" w:before="0" w:after="240"/>
        <w:ind w:left="0" w:right="0" w:firstLine="720"/>
        <w:jc w:val="both"/>
        <w:rPr/>
      </w:pPr>
      <w:r>
        <w:rPr>
          <w:rFonts w:ascii="Times New Roman;serif" w:hAnsi="Times New Roman;serif"/>
          <w:b w:val="false"/>
          <w:color w:val="000000"/>
          <w:sz w:val="22"/>
        </w:rPr>
        <w:t>16.2</w:t>
      </w:r>
      <w:r>
        <w:rPr>
          <w:rFonts w:ascii="Times New Roman;serif" w:hAnsi="Times New Roman;serif"/>
          <w:b w:val="false"/>
          <w:color w:val="000000"/>
          <w:sz w:val="22"/>
          <w:u w:val="single"/>
        </w:rPr>
        <w:t>Incorporation of Terms of Plan</w:t>
      </w:r>
      <w:r>
        <w:rPr>
          <w:rFonts w:ascii="Times New Roman;serif" w:hAnsi="Times New Roman;serif"/>
          <w:b w:val="false"/>
          <w:color w:val="000000"/>
          <w:sz w:val="22"/>
        </w:rPr>
        <w:t>. The RSUs are subject to the terms and conditions set forth in this Agreement and the Plan, which is incorporated herein by reference. In the event of any inconsistency between the Plan and this Agreement, the terms of the Plan will control.</w:t>
      </w:r>
    </w:p>
    <w:p>
      <w:pPr>
        <w:pStyle w:val="TextBody"/>
        <w:bidi w:val="0"/>
        <w:spacing w:lineRule="auto" w:line="240" w:before="0" w:after="240"/>
        <w:ind w:left="0" w:right="0" w:firstLine="720"/>
        <w:jc w:val="both"/>
        <w:rPr/>
      </w:pPr>
      <w:r>
        <w:rPr>
          <w:rFonts w:ascii="Times New Roman;serif" w:hAnsi="Times New Roman;serif"/>
          <w:b w:val="false"/>
          <w:color w:val="000000"/>
          <w:sz w:val="22"/>
        </w:rPr>
        <w:t>16.3</w:t>
      </w:r>
      <w:r>
        <w:rPr>
          <w:rFonts w:ascii="Times New Roman;serif" w:hAnsi="Times New Roman;serif"/>
          <w:b w:val="false"/>
          <w:color w:val="000000"/>
          <w:sz w:val="22"/>
          <w:u w:val="single"/>
        </w:rPr>
        <w:t>Unsecured Promise</w:t>
      </w:r>
      <w:r>
        <w:rPr>
          <w:rFonts w:ascii="Times New Roman;serif" w:hAnsi="Times New Roman;serif"/>
          <w:b w:val="false"/>
          <w:color w:val="000000"/>
          <w:sz w:val="22"/>
        </w:rPr>
        <w:t>. The RSUs and Dividend Equivalents will at all times prior to settlement represent an unsecured Company obligation payable only from the Company’s general assets.</w:t>
      </w:r>
    </w:p>
    <w:p>
      <w:pPr>
        <w:pStyle w:val="TextBody"/>
        <w:bidi w:val="0"/>
        <w:spacing w:lineRule="auto" w:line="240" w:before="0" w:after="240"/>
        <w:ind w:left="0" w:right="0" w:firstLine="720"/>
        <w:jc w:val="both"/>
        <w:rPr/>
      </w:pPr>
      <w:r>
        <w:rPr>
          <w:rFonts w:ascii="Times New Roman;serif" w:hAnsi="Times New Roman;serif"/>
          <w:b w:val="false"/>
          <w:color w:val="000000"/>
          <w:sz w:val="22"/>
        </w:rPr>
        <w:t>16.4</w:t>
      </w:r>
      <w:r>
        <w:rPr>
          <w:rFonts w:ascii="Times New Roman;serif" w:hAnsi="Times New Roman;serif"/>
          <w:b w:val="false"/>
          <w:color w:val="000000"/>
          <w:sz w:val="22"/>
          <w:u w:val="single"/>
        </w:rPr>
        <w:t>Employment Inducement Award</w:t>
      </w:r>
      <w:r>
        <w:rPr>
          <w:rFonts w:ascii="Times New Roman;serif" w:hAnsi="Times New Roman;serif"/>
          <w:b w:val="false"/>
          <w:color w:val="000000"/>
          <w:sz w:val="22"/>
        </w:rPr>
        <w:t>. The RSUs are intended to constitute an “employment inducement award” under NASDAQ Rule 5635(c)(4) that is exempt from the requirements of shareholder approval of equity compensation plans under NASDAQ Rule 5635(c)(4). This Agreement and the terms and conditions of the RSUs will be interpreted consistent with such intent.</w:t>
      </w:r>
    </w:p>
    <w:p>
      <w:pPr>
        <w:pStyle w:val="TextBody"/>
        <w:bidi w:val="0"/>
        <w:spacing w:lineRule="auto" w:line="240" w:before="0" w:after="240"/>
        <w:jc w:val="center"/>
        <w:rPr/>
      </w:pPr>
      <w:r>
        <w:rPr>
          <w:rFonts w:ascii="Times New Roman;serif" w:hAnsi="Times New Roman;serif"/>
          <w:b/>
          <w:color w:val="000000"/>
          <w:sz w:val="22"/>
        </w:rPr>
        <w:t>ARTICLE XVII.</w:t>
      </w:r>
      <w:r>
        <w:rPr>
          <w:rFonts w:ascii="Times New Roman;serif" w:hAnsi="Times New Roman;serif"/>
          <w:b/>
          <w:color w:val="000000"/>
          <w:sz w:val="22"/>
        </w:rPr>
        <w:br/>
        <w:t>VESTING; FORFEITURE AND SETTLEMENT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17.1</w:t>
      </w:r>
      <w:r>
        <w:rPr>
          <w:rFonts w:ascii="Times New Roman;serif" w:hAnsi="Times New Roman;serif"/>
          <w:b w:val="false"/>
          <w:color w:val="000000"/>
          <w:sz w:val="22"/>
          <w:u w:val="single"/>
        </w:rPr>
        <w:t>Vesting; Forfeiture</w:t>
      </w:r>
      <w:r>
        <w:rPr>
          <w:rFonts w:ascii="Times New Roman;serif" w:hAnsi="Times New Roman;serif"/>
          <w:b w:val="false"/>
          <w:color w:val="000000"/>
          <w:sz w:val="22"/>
        </w:rPr>
        <w:t>. The RSUs will vest according to the vesting schedule in the Grant Notice except that any fraction of an RSU that would otherwise be vested will be accumulated and will vest only when a whole RSU has accumulated. In the event of Participant’s Termination of Service for any reason, all unvested RSUs will immediately and automatically be cancelled and forfeited, except as otherwise determined by the Administrator or provided in a binding written agreement between Participant and the Company. Dividend Equivalents (including any Dividend Equivalent Account balance) will vest or be forfeited, as applicable, upon the vesting or forfeiture of the RSU with respect to which the Dividend Equivalent (including the Dividend Equivalent Account) relates.</w:t>
      </w:r>
    </w:p>
    <w:p>
      <w:pPr>
        <w:pStyle w:val="TextBody"/>
        <w:bidi w:val="0"/>
        <w:spacing w:lineRule="auto" w:line="240" w:before="0" w:after="240"/>
        <w:ind w:left="0" w:right="0" w:firstLine="720"/>
        <w:jc w:val="both"/>
        <w:rPr/>
      </w:pPr>
      <w:r>
        <w:rPr>
          <w:rFonts w:ascii="Times New Roman;serif" w:hAnsi="Times New Roman;serif"/>
          <w:b w:val="false"/>
          <w:color w:val="000000"/>
          <w:sz w:val="22"/>
        </w:rPr>
        <w:t>17.2</w:t>
      </w:r>
      <w:r>
        <w:rPr>
          <w:rFonts w:ascii="Times New Roman;serif" w:hAnsi="Times New Roman;serif"/>
          <w:b w:val="false"/>
          <w:color w:val="000000"/>
          <w:sz w:val="22"/>
          <w:u w:val="single"/>
        </w:rPr>
        <w:t>Settlement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RSUs and Dividend Equivalents (including any Dividend Equivalent Account balance) will be paid in Shares or cash at the Company’s option as soon as administratively practicable after the vesting of the applicable RSU, but in no event more than sixty (60) days after the RSU’s vesting date. 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w:t>
      </w:r>
    </w:p>
    <w:p>
      <w:pPr>
        <w:pStyle w:val="TextBody"/>
        <w:bidi w:val="0"/>
        <w:spacing w:before="0" w:after="0"/>
        <w:jc w:val="both"/>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Treasury Regulation Section 1.409A-2(b)(7)(ii)), provided the Company reasonably believes the delay will not result in the imposition of excise taxes under Section 409A.</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If an RSU is paid in cash, the amount of cash paid with respect to the RSU will equal the Fair Market Value of a Share on the day immediately preceding the payment date. If a Dividend Equivalent is paid in Shares, the number of Shares paid with respect to the Dividend Equivalent will equal the quotient, rounded down to the nearest whole Share, of the Dividend Equivalent Account balance divided by the Fair Market Value of a Share on the day immediately preceding the payment date.</w:t>
      </w:r>
    </w:p>
    <w:p>
      <w:pPr>
        <w:pStyle w:val="TextBody"/>
        <w:bidi w:val="0"/>
        <w:spacing w:lineRule="auto" w:line="240" w:before="0" w:after="240"/>
        <w:jc w:val="center"/>
        <w:rPr/>
      </w:pPr>
      <w:r>
        <w:rPr>
          <w:rFonts w:ascii="Times New Roman;serif" w:hAnsi="Times New Roman;serif"/>
          <w:b/>
          <w:color w:val="000000"/>
          <w:sz w:val="22"/>
        </w:rPr>
        <w:t>ARTICLE XVIII.</w:t>
      </w:r>
      <w:r>
        <w:rPr>
          <w:rFonts w:ascii="Times New Roman;serif" w:hAnsi="Times New Roman;serif"/>
          <w:b/>
          <w:color w:val="000000"/>
          <w:sz w:val="22"/>
        </w:rPr>
        <w:br/>
        <w:t>TAXATION AND TAX WITHHOLDING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18.1</w:t>
      </w:r>
      <w:r>
        <w:rPr>
          <w:rFonts w:ascii="Times New Roman;serif" w:hAnsi="Times New Roman;serif"/>
          <w:b w:val="false"/>
          <w:color w:val="000000"/>
          <w:sz w:val="22"/>
          <w:u w:val="single"/>
        </w:rPr>
        <w:t>Representation</w:t>
      </w:r>
      <w:r>
        <w:rPr>
          <w:rFonts w:ascii="Times New Roman;serif" w:hAnsi="Times New Roman;serif"/>
          <w:b w:val="false"/>
          <w:color w:val="000000"/>
          <w:sz w:val="22"/>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18.2</w:t>
      </w:r>
      <w:r>
        <w:rPr>
          <w:rFonts w:ascii="Times New Roman;serif" w:hAnsi="Times New Roman;serif"/>
          <w:b w:val="false"/>
          <w:color w:val="000000"/>
          <w:sz w:val="22"/>
          <w:u w:val="single"/>
        </w:rPr>
        <w:t>Tax Withholding</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Company has the right and option, but not the obligation, to treat Participant’s failure to provide timely payment in accordance with the Plan of any withholding tax arising in connection with the RSUs or Dividend Equivalents as Participant’s election to satisfy all or any portion of the withholding tax by requesting the Company retain Shares otherwise issuable under the Award.</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Participant acknowledges that Participant is ultimately liable and responsible for all taxes owed in connection with the RSUs and the Dividend Equivalents, regardless of any action the Company or any Subsidiary takes with respect to any tax withholding obligations that arise in connection with the RSUs or Dividend Equivalents. Neither the Company nor any Subsidiary makes any representation or undertaking regarding the treatment of any tax withholding in connection with the awarding, vesting or payment of the RSUs or the Dividend Equivalents or the subsequent sale of Shares. The Company and the Subsidiaries do not commit and are under no obligation to structure the RSUs or Dividend Equivalents to reduce or eliminate Participant’s tax liability.</w:t>
      </w:r>
    </w:p>
    <w:p>
      <w:pPr>
        <w:pStyle w:val="TextBody"/>
        <w:bidi w:val="0"/>
        <w:spacing w:lineRule="auto" w:line="240" w:before="0" w:after="240"/>
        <w:jc w:val="center"/>
        <w:rPr/>
      </w:pPr>
      <w:r>
        <w:rPr>
          <w:rFonts w:ascii="Times New Roman;serif" w:hAnsi="Times New Roman;serif"/>
          <w:b/>
          <w:color w:val="000000"/>
          <w:sz w:val="22"/>
        </w:rPr>
        <w:t>ARTICLE XIX.</w:t>
      </w:r>
      <w:r>
        <w:rPr>
          <w:rFonts w:ascii="Times New Roman;serif" w:hAnsi="Times New Roman;serif"/>
          <w:b/>
          <w:color w:val="000000"/>
          <w:sz w:val="22"/>
        </w:rPr>
        <w:br/>
        <w:t>OTHER PROVISIONS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19.1</w:t>
      </w:r>
      <w:r>
        <w:rPr>
          <w:rFonts w:ascii="Times New Roman;serif" w:hAnsi="Times New Roman;serif"/>
          <w:b w:val="false"/>
          <w:color w:val="000000"/>
          <w:sz w:val="22"/>
          <w:u w:val="single"/>
        </w:rPr>
        <w:t>Adjustments</w:t>
      </w:r>
      <w:r>
        <w:rPr>
          <w:rFonts w:ascii="Times New Roman;serif" w:hAnsi="Times New Roman;serif"/>
          <w:b w:val="false"/>
          <w:color w:val="000000"/>
          <w:sz w:val="22"/>
        </w:rPr>
        <w:t>. Participant acknowledges that the RSUs, the Shares subject to the RSUs and the Dividend Equivalents are subject to adjustment, modification and termination in certain events as provided in this Agreement and the Plan.</w:t>
      </w:r>
    </w:p>
    <w:p>
      <w:pPr>
        <w:pStyle w:val="TextBody"/>
        <w:bidi w:val="0"/>
        <w:spacing w:lineRule="auto" w:line="240" w:before="0" w:after="240"/>
        <w:ind w:left="0" w:right="0" w:firstLine="720"/>
        <w:jc w:val="both"/>
        <w:rPr/>
      </w:pPr>
      <w:r>
        <w:rPr>
          <w:rFonts w:ascii="Times New Roman;serif" w:hAnsi="Times New Roman;serif"/>
          <w:b w:val="false"/>
          <w:color w:val="000000"/>
          <w:sz w:val="22"/>
        </w:rPr>
        <w:t>19.2</w:t>
      </w:r>
      <w:r>
        <w:rPr>
          <w:rFonts w:ascii="Times New Roman;serif" w:hAnsi="Times New Roman;serif"/>
          <w:b w:val="false"/>
          <w:color w:val="000000"/>
          <w:sz w:val="22"/>
          <w:u w:val="single"/>
        </w:rPr>
        <w:t>Notices</w:t>
      </w:r>
      <w:r>
        <w:rPr>
          <w:rFonts w:ascii="Times New Roman;serif" w:hAnsi="Times New Roman;serif"/>
          <w:b w:val="false"/>
          <w:color w:val="000000"/>
          <w:sz w:val="22"/>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19.3</w:t>
      </w:r>
      <w:r>
        <w:rPr>
          <w:rFonts w:ascii="Times New Roman;serif" w:hAnsi="Times New Roman;serif"/>
          <w:b w:val="false"/>
          <w:color w:val="000000"/>
          <w:sz w:val="22"/>
          <w:u w:val="single"/>
        </w:rPr>
        <w:t>Titles</w:t>
      </w:r>
      <w:r>
        <w:rPr>
          <w:rFonts w:ascii="Times New Roman;serif" w:hAnsi="Times New Roman;serif"/>
          <w:b w:val="false"/>
          <w:color w:val="000000"/>
          <w:sz w:val="22"/>
        </w:rPr>
        <w:t>. Titles are provided herein for convenience only and are not to serve as a basis for interpretation or construction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19.4</w:t>
      </w:r>
      <w:r>
        <w:rPr>
          <w:rFonts w:ascii="Times New Roman;serif" w:hAnsi="Times New Roman;serif"/>
          <w:b w:val="false"/>
          <w:color w:val="000000"/>
          <w:sz w:val="22"/>
          <w:u w:val="single"/>
        </w:rPr>
        <w:t>Conformity to Securities Laws</w:t>
      </w:r>
      <w:r>
        <w:rPr>
          <w:rFonts w:ascii="Times New Roman;serif" w:hAnsi="Times New Roman;serif"/>
          <w:b w:val="false"/>
          <w:color w:val="000000"/>
          <w:sz w:val="22"/>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pStyle w:val="TextBody"/>
        <w:bidi w:val="0"/>
        <w:spacing w:before="0" w:after="0"/>
        <w:jc w:val="both"/>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19.5</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19.6</w:t>
      </w:r>
      <w:r>
        <w:rPr>
          <w:rFonts w:ascii="Times New Roman;serif" w:hAnsi="Times New Roman;serif"/>
          <w:b w:val="false"/>
          <w:color w:val="000000"/>
          <w:sz w:val="22"/>
          <w:u w:val="single"/>
        </w:rPr>
        <w:t>Limitations Applicable to Section 16 Persons</w:t>
      </w:r>
      <w:r>
        <w:rPr>
          <w:rFonts w:ascii="Times New Roman;serif" w:hAnsi="Times New Roman;serif"/>
          <w:b w:val="false"/>
          <w:color w:val="000000"/>
          <w:sz w:val="22"/>
        </w:rPr>
        <w:t>. Notwithstanding any other provision of the Plan or this Agreement, if Participant is subject to Section 16 of the Exchange Act, the Plan, the Grant Notice, this Agreement, the RSUs and the Dividend Equivalents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pStyle w:val="TextBody"/>
        <w:bidi w:val="0"/>
        <w:spacing w:lineRule="auto" w:line="240" w:before="0" w:after="240"/>
        <w:ind w:left="0" w:right="0" w:firstLine="720"/>
        <w:jc w:val="both"/>
        <w:rPr/>
      </w:pPr>
      <w:r>
        <w:rPr>
          <w:rFonts w:ascii="Times New Roman;serif" w:hAnsi="Times New Roman;serif"/>
          <w:b w:val="false"/>
          <w:color w:val="000000"/>
          <w:sz w:val="22"/>
        </w:rPr>
        <w:t>19.7</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19.8</w:t>
      </w:r>
      <w:r>
        <w:rPr>
          <w:rFonts w:ascii="Times New Roman;serif" w:hAnsi="Times New Roman;serif"/>
          <w:b w:val="false"/>
          <w:color w:val="000000"/>
          <w:sz w:val="22"/>
          <w:u w:val="single"/>
        </w:rPr>
        <w:t>Agreement Severable</w:t>
      </w:r>
      <w:r>
        <w:rPr>
          <w:rFonts w:ascii="Times New Roman;serif" w:hAnsi="Times New Roman;serif"/>
          <w:b w:val="false"/>
          <w:color w:val="000000"/>
          <w:sz w:val="22"/>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19.9</w:t>
      </w:r>
      <w:r>
        <w:rPr>
          <w:rFonts w:ascii="Times New Roman;serif" w:hAnsi="Times New Roman;serif"/>
          <w:b w:val="false"/>
          <w:color w:val="000000"/>
          <w:sz w:val="22"/>
          <w:u w:val="single"/>
        </w:rPr>
        <w:t>Limitation on Participant’s Rights</w:t>
      </w:r>
      <w:r>
        <w:rPr>
          <w:rFonts w:ascii="Times New Roman;serif" w:hAnsi="Times New Roman;serif"/>
          <w:b w:val="false"/>
          <w:color w:val="000000"/>
          <w:sz w:val="22"/>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Dividend Equivalents, and rights no greater than the right to receive cash or the Shares as a general unsecured creditor with respect to the RSUs and Dividend Equivalents, as and when settled pursuant to the terms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19.10</w:t>
      </w:r>
      <w:r>
        <w:rPr>
          <w:rFonts w:ascii="Times New Roman;serif" w:hAnsi="Times New Roman;serif"/>
          <w:b w:val="false"/>
          <w:color w:val="000000"/>
          <w:sz w:val="22"/>
          <w:u w:val="single"/>
        </w:rPr>
        <w:t>Not a Contract of Employment</w:t>
      </w:r>
      <w:r>
        <w:rPr>
          <w:rFonts w:ascii="Times New Roman;serif" w:hAnsi="Times New Roman;serif"/>
          <w:b w:val="false"/>
          <w:color w:val="000000"/>
          <w:sz w:val="22"/>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pStyle w:val="TextBody"/>
        <w:bidi w:val="0"/>
        <w:spacing w:lineRule="auto" w:line="240" w:before="0" w:after="240"/>
        <w:ind w:left="0" w:right="0" w:firstLine="720"/>
        <w:jc w:val="both"/>
        <w:rPr/>
      </w:pPr>
      <w:r>
        <w:rPr>
          <w:rFonts w:ascii="Times New Roman;serif" w:hAnsi="Times New Roman;serif"/>
          <w:b w:val="false"/>
          <w:color w:val="000000"/>
          <w:sz w:val="22"/>
        </w:rPr>
        <w:t>19.11</w:t>
      </w:r>
      <w:r>
        <w:rPr>
          <w:rFonts w:ascii="Times New Roman;serif" w:hAnsi="Times New Roman;serif"/>
          <w:b w:val="false"/>
          <w:color w:val="000000"/>
          <w:sz w:val="22"/>
          <w:u w:val="single"/>
        </w:rPr>
        <w:t>Counterparts</w:t>
      </w:r>
      <w:r>
        <w:rPr>
          <w:rFonts w:ascii="Times New Roman;serif" w:hAnsi="Times New Roman;serif"/>
          <w:b w:val="false"/>
          <w:color w:val="000000"/>
          <w:sz w:val="22"/>
        </w:rPr>
        <w:t>. The Grant Notice may be executed in one or more counterparts, including by way of any electronic signature, subject to Applicable Law, each of which will be deemed an original and all of which together will constitute one instrument.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 * *</w:t>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4755" w:type="dxa"/>
        <w:jc w:val="left"/>
        <w:tblInd w:w="0" w:type="dxa"/>
        <w:tblLayout w:type="fixed"/>
        <w:tblCellMar>
          <w:top w:w="28" w:type="dxa"/>
          <w:left w:w="28" w:type="dxa"/>
          <w:bottom w:w="28" w:type="dxa"/>
          <w:right w:w="28" w:type="dxa"/>
        </w:tblCellMar>
      </w:tblPr>
      <w:tblGrid>
        <w:gridCol w:w="1522"/>
        <w:gridCol w:w="1337"/>
        <w:gridCol w:w="1896"/>
      </w:tblGrid>
      <w:tr>
        <w:trPr/>
        <w:tc>
          <w:tcPr>
            <w:tcW w:w="152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IMMUNEERING CORPORATION</w:t>
            </w:r>
          </w:p>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2025 Employment Inducement AWARD PLAN</w:t>
            </w:r>
          </w:p>
        </w:tc>
      </w:tr>
    </w:tbl>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RESTRICTED STOCK GRANT NOTICE</w:t>
      </w:r>
    </w:p>
    <w:p>
      <w:pPr>
        <w:pStyle w:val="TextBody"/>
        <w:bidi w:val="0"/>
        <w:spacing w:lineRule="auto" w:line="288" w:before="0" w:after="240"/>
        <w:ind w:left="0" w:right="0" w:firstLine="720"/>
        <w:jc w:val="both"/>
        <w:rPr/>
      </w:pPr>
      <w:r>
        <w:rPr>
          <w:rFonts w:ascii="Times New Roman;serif" w:hAnsi="Times New Roman;serif"/>
          <w:b w:val="false"/>
          <w:color w:val="000000"/>
          <w:sz w:val="22"/>
        </w:rPr>
        <w:t>Capitalized terms not specifically defined in this Restricted Stock Grant Notice (the “</w:t>
      </w:r>
      <w:r>
        <w:rPr>
          <w:rFonts w:ascii="Times New Roman;serif" w:hAnsi="Times New Roman;serif"/>
          <w:b/>
          <w:i/>
          <w:color w:val="000000"/>
          <w:sz w:val="22"/>
        </w:rPr>
        <w:t>Grant Notice</w:t>
      </w:r>
      <w:r>
        <w:rPr>
          <w:color w:val="000000"/>
        </w:rPr>
        <w:t>”</w:t>
      </w:r>
      <w:r>
        <w:rPr>
          <w:rFonts w:ascii="Times New Roman;serif" w:hAnsi="Times New Roman;serif"/>
          <w:b w:val="false"/>
          <w:color w:val="000000"/>
          <w:sz w:val="22"/>
        </w:rPr>
        <w:t>) have the meanings given to them in the 2025 Employment Inducement Award Plan (as amended from time to time,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of Immuneering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Company has granted to the participant listed below (“</w:t>
      </w:r>
      <w:r>
        <w:rPr>
          <w:rFonts w:ascii="Times New Roman;serif" w:hAnsi="Times New Roman;serif"/>
          <w:b/>
          <w:i/>
          <w:color w:val="000000"/>
          <w:sz w:val="22"/>
        </w:rPr>
        <w:t>Participant</w:t>
      </w:r>
      <w:r>
        <w:rPr>
          <w:color w:val="000000"/>
        </w:rPr>
        <w: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the shares of Restricted Stock described in this Grant Notice (the “</w:t>
      </w:r>
      <w:r>
        <w:rPr>
          <w:rFonts w:ascii="Times New Roman;serif" w:hAnsi="Times New Roman;serif"/>
          <w:b/>
          <w:i/>
          <w:color w:val="000000"/>
          <w:sz w:val="22"/>
        </w:rPr>
        <w:t>Restricted Shares</w:t>
      </w:r>
      <w:r>
        <w:rPr>
          <w:color w:val="000000"/>
        </w:rPr>
        <w:t>”</w:t>
      </w:r>
      <w:r>
        <w:rPr>
          <w:rFonts w:ascii="Times New Roman;serif" w:hAnsi="Times New Roman;serif"/>
          <w:b w:val="false"/>
          <w:color w:val="000000"/>
          <w:sz w:val="22"/>
        </w:rPr>
        <w:t xml:space="preserve">), subject to the terms and conditions of the Plan and the Restricted Stock Agreement attached as </w:t>
      </w:r>
      <w:r>
        <w:rPr>
          <w:rFonts w:ascii="Times New Roman;serif" w:hAnsi="Times New Roman;serif"/>
          <w:b/>
          <w:color w:val="000000"/>
          <w:sz w:val="22"/>
        </w:rPr>
        <w:t>Exhibit A</w:t>
      </w:r>
      <w:r>
        <w:rPr>
          <w:color w:val="000000"/>
        </w:rPr>
        <w:t xml:space="preserve"> </w:t>
      </w:r>
      <w:r>
        <w:rPr>
          <w:rFonts w:ascii="Times New Roman;serif" w:hAnsi="Times New Roman;serif"/>
          <w:b w:val="false"/>
          <w:color w:val="000000"/>
          <w:sz w:val="22"/>
        </w:rPr>
        <w:t>(the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xml:space="preserve">), both of which are incorporated into this Grant Notice by reference. </w:t>
      </w:r>
    </w:p>
    <w:tbl>
      <w:tblPr>
        <w:tblW w:w="3446" w:type="dxa"/>
        <w:jc w:val="left"/>
        <w:tblInd w:w="0" w:type="dxa"/>
        <w:tblLayout w:type="fixed"/>
        <w:tblCellMar>
          <w:top w:w="28" w:type="dxa"/>
          <w:left w:w="28" w:type="dxa"/>
          <w:bottom w:w="28" w:type="dxa"/>
          <w:right w:w="28" w:type="dxa"/>
        </w:tblCellMar>
      </w:tblPr>
      <w:tblGrid>
        <w:gridCol w:w="1113"/>
        <w:gridCol w:w="978"/>
        <w:gridCol w:w="983"/>
        <w:gridCol w:w="109"/>
        <w:gridCol w:w="109"/>
        <w:gridCol w:w="154"/>
      </w:tblGrid>
      <w:tr>
        <w:trPr/>
        <w:tc>
          <w:tcPr>
            <w:tcW w:w="11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319" w:before="0" w:after="120"/>
              <w:jc w:val="both"/>
              <w:rPr>
                <w:rFonts w:ascii="Times New Roman;serif" w:hAnsi="Times New Roman;serif"/>
                <w:b/>
                <w:color w:val="000000"/>
                <w:sz w:val="22"/>
              </w:rPr>
            </w:pPr>
            <w:r>
              <w:rPr>
                <w:rFonts w:ascii="Times New Roman;serif" w:hAnsi="Times New Roman;serif"/>
                <w:b/>
                <w:color w:val="000000"/>
                <w:sz w:val="22"/>
              </w:rPr>
              <w:t>Participant:</w:t>
            </w:r>
          </w:p>
        </w:tc>
        <w:tc>
          <w:tcPr>
            <w:tcW w:w="372" w:type="dxa"/>
            <w:gridSpan w:val="3"/>
            <w:tcBorders/>
            <w:tcMar>
              <w:top w:w="0" w:type="dxa"/>
              <w:left w:w="0" w:type="dxa"/>
              <w:bottom w:w="0" w:type="dxa"/>
              <w:right w:w="0" w:type="dxa"/>
            </w:tcMar>
            <w:vAlign w:val="center"/>
          </w:tcPr>
          <w:p>
            <w:pPr>
              <w:pStyle w:val="TableContents"/>
              <w:bidi w:val="0"/>
              <w:spacing w:before="0" w:after="120"/>
              <w:jc w:val="both"/>
              <w:rPr/>
            </w:pPr>
            <w:r>
              <w:rPr/>
            </w:r>
          </w:p>
        </w:tc>
      </w:tr>
      <w:tr>
        <w:trPr/>
        <w:tc>
          <w:tcPr>
            <w:tcW w:w="3074" w:type="dxa"/>
            <w:gridSpan w:val="3"/>
            <w:tcBorders/>
            <w:tcMar>
              <w:top w:w="0" w:type="dxa"/>
              <w:left w:w="0" w:type="dxa"/>
              <w:bottom w:w="0" w:type="dxa"/>
              <w:right w:w="0" w:type="dxa"/>
            </w:tcMar>
            <w:vAlign w:val="center"/>
          </w:tcPr>
          <w:p>
            <w:pPr>
              <w:pStyle w:val="TableContents"/>
              <w:bidi w:val="0"/>
              <w:spacing w:lineRule="auto" w:line="319" w:before="0" w:after="120"/>
              <w:jc w:val="both"/>
              <w:rPr>
                <w:rFonts w:ascii="Times New Roman;serif" w:hAnsi="Times New Roman;serif"/>
                <w:b/>
                <w:color w:val="000000"/>
                <w:sz w:val="22"/>
              </w:rPr>
            </w:pPr>
            <w:r>
              <w:rPr>
                <w:rFonts w:ascii="Times New Roman;serif" w:hAnsi="Times New Roman;serif"/>
                <w:b/>
                <w:color w:val="000000"/>
                <w:sz w:val="22"/>
              </w:rPr>
              <w:t>Grant Date:</w:t>
            </w:r>
          </w:p>
        </w:tc>
        <w:tc>
          <w:tcPr>
            <w:tcW w:w="372" w:type="dxa"/>
            <w:gridSpan w:val="3"/>
            <w:tcBorders/>
            <w:tcMar>
              <w:top w:w="0" w:type="dxa"/>
              <w:left w:w="0" w:type="dxa"/>
              <w:bottom w:w="0" w:type="dxa"/>
              <w:right w:w="0" w:type="dxa"/>
            </w:tcMar>
            <w:vAlign w:val="center"/>
          </w:tcPr>
          <w:p>
            <w:pPr>
              <w:pStyle w:val="TableContents"/>
              <w:bidi w:val="0"/>
              <w:spacing w:before="0" w:after="120"/>
              <w:jc w:val="both"/>
              <w:rPr/>
            </w:pPr>
            <w:r>
              <w:rPr/>
            </w:r>
          </w:p>
        </w:tc>
      </w:tr>
      <w:tr>
        <w:trPr/>
        <w:tc>
          <w:tcPr>
            <w:tcW w:w="3074" w:type="dxa"/>
            <w:gridSpan w:val="3"/>
            <w:tcBorders/>
            <w:tcMar>
              <w:top w:w="0" w:type="dxa"/>
              <w:left w:w="0" w:type="dxa"/>
              <w:bottom w:w="0" w:type="dxa"/>
              <w:right w:w="0" w:type="dxa"/>
            </w:tcMar>
            <w:vAlign w:val="center"/>
          </w:tcPr>
          <w:p>
            <w:pPr>
              <w:pStyle w:val="TableContents"/>
              <w:bidi w:val="0"/>
              <w:spacing w:lineRule="auto" w:line="319" w:before="0" w:after="120"/>
              <w:jc w:val="both"/>
              <w:rPr>
                <w:rFonts w:ascii="Times New Roman;serif" w:hAnsi="Times New Roman;serif"/>
                <w:b/>
                <w:color w:val="000000"/>
                <w:sz w:val="22"/>
              </w:rPr>
            </w:pPr>
            <w:r>
              <w:rPr>
                <w:rFonts w:ascii="Times New Roman;serif" w:hAnsi="Times New Roman;serif"/>
                <w:b/>
                <w:color w:val="000000"/>
                <w:sz w:val="22"/>
              </w:rPr>
              <w:t>Number of Restricted Shares:</w:t>
            </w:r>
          </w:p>
        </w:tc>
        <w:tc>
          <w:tcPr>
            <w:tcW w:w="372" w:type="dxa"/>
            <w:gridSpan w:val="3"/>
            <w:tcBorders/>
            <w:tcMar>
              <w:top w:w="0" w:type="dxa"/>
              <w:left w:w="0" w:type="dxa"/>
              <w:bottom w:w="0" w:type="dxa"/>
              <w:right w:w="0" w:type="dxa"/>
            </w:tcMar>
            <w:vAlign w:val="center"/>
          </w:tcPr>
          <w:p>
            <w:pPr>
              <w:pStyle w:val="TableContents"/>
              <w:bidi w:val="0"/>
              <w:spacing w:before="0" w:after="120"/>
              <w:jc w:val="both"/>
              <w:rPr/>
            </w:pPr>
            <w:r>
              <w:rPr/>
            </w:r>
          </w:p>
        </w:tc>
      </w:tr>
      <w:tr>
        <w:trPr/>
        <w:tc>
          <w:tcPr>
            <w:tcW w:w="3074" w:type="dxa"/>
            <w:gridSpan w:val="3"/>
            <w:tcBorders/>
            <w:tcMar>
              <w:top w:w="0" w:type="dxa"/>
              <w:left w:w="0" w:type="dxa"/>
              <w:bottom w:w="0" w:type="dxa"/>
              <w:right w:w="0" w:type="dxa"/>
            </w:tcMar>
            <w:vAlign w:val="center"/>
          </w:tcPr>
          <w:p>
            <w:pPr>
              <w:pStyle w:val="TableContents"/>
              <w:bidi w:val="0"/>
              <w:spacing w:lineRule="auto" w:line="319" w:before="0" w:after="120"/>
              <w:jc w:val="both"/>
              <w:rPr>
                <w:rFonts w:ascii="Times New Roman;serif" w:hAnsi="Times New Roman;serif"/>
                <w:b/>
                <w:color w:val="000000"/>
                <w:sz w:val="22"/>
              </w:rPr>
            </w:pPr>
            <w:r>
              <w:rPr>
                <w:rFonts w:ascii="Times New Roman;serif" w:hAnsi="Times New Roman;serif"/>
                <w:b/>
                <w:color w:val="000000"/>
                <w:sz w:val="22"/>
              </w:rPr>
              <w:t>Vesting Commencement Date:</w:t>
            </w:r>
          </w:p>
        </w:tc>
        <w:tc>
          <w:tcPr>
            <w:tcW w:w="372" w:type="dxa"/>
            <w:gridSpan w:val="3"/>
            <w:tcBorders/>
            <w:tcMar>
              <w:top w:w="0" w:type="dxa"/>
              <w:left w:w="0" w:type="dxa"/>
              <w:bottom w:w="0" w:type="dxa"/>
              <w:right w:w="0" w:type="dxa"/>
            </w:tcMar>
            <w:vAlign w:val="center"/>
          </w:tcPr>
          <w:p>
            <w:pPr>
              <w:pStyle w:val="TableContents"/>
              <w:bidi w:val="0"/>
              <w:spacing w:before="0" w:after="120"/>
              <w:jc w:val="both"/>
              <w:rPr/>
            </w:pPr>
            <w:r>
              <w:rPr/>
            </w:r>
          </w:p>
        </w:tc>
      </w:tr>
      <w:tr>
        <w:trPr/>
        <w:tc>
          <w:tcPr>
            <w:tcW w:w="3074" w:type="dxa"/>
            <w:gridSpan w:val="3"/>
            <w:tcBorders/>
            <w:tcMar>
              <w:top w:w="0" w:type="dxa"/>
              <w:left w:w="0" w:type="dxa"/>
              <w:bottom w:w="0" w:type="dxa"/>
              <w:right w:w="0" w:type="dxa"/>
            </w:tcMar>
            <w:vAlign w:val="center"/>
          </w:tcPr>
          <w:p>
            <w:pPr>
              <w:pStyle w:val="TableContents"/>
              <w:bidi w:val="0"/>
              <w:spacing w:lineRule="auto" w:line="319" w:before="0" w:after="120"/>
              <w:jc w:val="both"/>
              <w:rPr>
                <w:rFonts w:ascii="Times New Roman;serif" w:hAnsi="Times New Roman;serif"/>
                <w:b/>
                <w:color w:val="000000"/>
                <w:sz w:val="22"/>
              </w:rPr>
            </w:pPr>
            <w:r>
              <w:rPr>
                <w:rFonts w:ascii="Times New Roman;serif" w:hAnsi="Times New Roman;serif"/>
                <w:b/>
                <w:color w:val="000000"/>
                <w:sz w:val="22"/>
              </w:rPr>
              <w:t>Vesting Schedule:</w:t>
            </w:r>
          </w:p>
        </w:tc>
        <w:tc>
          <w:tcPr>
            <w:tcW w:w="372" w:type="dxa"/>
            <w:gridSpan w:val="3"/>
            <w:tcBorders/>
            <w:tcMar>
              <w:top w:w="0" w:type="dxa"/>
              <w:left w:w="0" w:type="dxa"/>
              <w:bottom w:w="0" w:type="dxa"/>
              <w:right w:w="0" w:type="dxa"/>
            </w:tcMar>
            <w:vAlign w:val="center"/>
          </w:tcPr>
          <w:p>
            <w:pPr>
              <w:pStyle w:val="TableContents"/>
              <w:bidi w:val="0"/>
              <w:spacing w:before="0" w:after="120"/>
              <w:jc w:val="both"/>
              <w:rPr/>
            </w:pPr>
            <w:r>
              <w:rPr/>
            </w:r>
          </w:p>
        </w:tc>
      </w:tr>
      <w:tr>
        <w:trPr/>
        <w:tc>
          <w:tcPr>
            <w:tcW w:w="3074" w:type="dxa"/>
            <w:gridSpan w:val="3"/>
            <w:tcBorders/>
            <w:tcMar>
              <w:top w:w="0" w:type="dxa"/>
              <w:left w:w="0" w:type="dxa"/>
              <w:bottom w:w="0" w:type="dxa"/>
              <w:right w:w="0" w:type="dxa"/>
            </w:tcMar>
            <w:vAlign w:val="center"/>
          </w:tcPr>
          <w:p>
            <w:pPr>
              <w:pStyle w:val="TableContents"/>
              <w:bidi w:val="0"/>
              <w:spacing w:before="0" w:after="120"/>
              <w:jc w:val="both"/>
              <w:rPr/>
            </w:pPr>
            <w:r>
              <w:rPr/>
            </w:r>
          </w:p>
        </w:tc>
        <w:tc>
          <w:tcPr>
            <w:tcW w:w="372" w:type="dxa"/>
            <w:gridSpan w:val="3"/>
            <w:tcBorders/>
            <w:tcMar>
              <w:top w:w="0" w:type="dxa"/>
              <w:left w:w="0" w:type="dxa"/>
              <w:bottom w:w="0" w:type="dxa"/>
              <w:right w:w="0" w:type="dxa"/>
            </w:tcMar>
            <w:vAlign w:val="center"/>
          </w:tcPr>
          <w:p>
            <w:pPr>
              <w:pStyle w:val="TableContents"/>
              <w:bidi w:val="0"/>
              <w:spacing w:before="0" w:after="120"/>
              <w:jc w:val="both"/>
              <w:rPr/>
            </w:pPr>
            <w:r>
              <w:rPr/>
            </w:r>
          </w:p>
        </w:tc>
      </w:tr>
    </w:tbl>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tbl>
      <w:tblPr>
        <w:tblW w:w="5386" w:type="dxa"/>
        <w:jc w:val="left"/>
        <w:tblInd w:w="0" w:type="dxa"/>
        <w:tblLayout w:type="fixed"/>
        <w:tblCellMar>
          <w:top w:w="28" w:type="dxa"/>
          <w:left w:w="28" w:type="dxa"/>
          <w:bottom w:w="28" w:type="dxa"/>
          <w:right w:w="28" w:type="dxa"/>
        </w:tblCellMar>
      </w:tblPr>
      <w:tblGrid>
        <w:gridCol w:w="676"/>
        <w:gridCol w:w="596"/>
        <w:gridCol w:w="596"/>
        <w:gridCol w:w="596"/>
        <w:gridCol w:w="596"/>
        <w:gridCol w:w="600"/>
        <w:gridCol w:w="269"/>
        <w:gridCol w:w="269"/>
        <w:gridCol w:w="269"/>
        <w:gridCol w:w="269"/>
        <w:gridCol w:w="269"/>
        <w:gridCol w:w="381"/>
      </w:tblGrid>
      <w:tr>
        <w:trPr/>
        <w:tc>
          <w:tcPr>
            <w:tcW w:w="67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3660" w:type="dxa"/>
            <w:gridSpan w:val="6"/>
            <w:tcBorders/>
            <w:tcMar>
              <w:top w:w="0" w:type="dxa"/>
              <w:left w:w="0" w:type="dxa"/>
              <w:bottom w:w="0" w:type="dxa"/>
              <w:right w:w="0" w:type="dxa"/>
            </w:tcMar>
            <w:vAlign w:val="center"/>
          </w:tcPr>
          <w:p>
            <w:pPr>
              <w:pStyle w:val="TableContents"/>
              <w:bidi w:val="0"/>
              <w:spacing w:lineRule="auto" w:line="319" w:before="240" w:after="720"/>
              <w:jc w:val="left"/>
              <w:rPr>
                <w:rFonts w:ascii="Times New Roman;serif" w:hAnsi="Times New Roman;serif"/>
                <w:b/>
                <w:color w:val="000000"/>
                <w:sz w:val="22"/>
              </w:rPr>
            </w:pPr>
            <w:r>
              <w:rPr>
                <w:rFonts w:ascii="Times New Roman;serif" w:hAnsi="Times New Roman;serif"/>
                <w:b/>
                <w:color w:val="000000"/>
                <w:sz w:val="22"/>
              </w:rPr>
              <w:t>IMMUNEERING CORPORATION</w:t>
            </w:r>
          </w:p>
        </w:tc>
        <w:tc>
          <w:tcPr>
            <w:tcW w:w="1726" w:type="dxa"/>
            <w:gridSpan w:val="6"/>
            <w:tcBorders/>
            <w:tcMar>
              <w:top w:w="0" w:type="dxa"/>
              <w:left w:w="0" w:type="dxa"/>
              <w:bottom w:w="0" w:type="dxa"/>
              <w:right w:w="0" w:type="dxa"/>
            </w:tcMar>
            <w:vAlign w:val="center"/>
          </w:tcPr>
          <w:p>
            <w:pPr>
              <w:pStyle w:val="TableContents"/>
              <w:bidi w:val="0"/>
              <w:spacing w:lineRule="auto" w:line="319" w:before="240" w:after="720"/>
              <w:jc w:val="both"/>
              <w:rPr>
                <w:rFonts w:ascii="Times New Roman;serif" w:hAnsi="Times New Roman;serif"/>
                <w:b/>
                <w:color w:val="000000"/>
                <w:sz w:val="22"/>
              </w:rPr>
            </w:pPr>
            <w:r>
              <w:rPr>
                <w:rFonts w:ascii="Times New Roman;serif" w:hAnsi="Times New Roman;serif"/>
                <w:b/>
                <w:color w:val="000000"/>
                <w:sz w:val="22"/>
              </w:rPr>
              <w:t>PARTICIPANT</w:t>
            </w:r>
          </w:p>
        </w:tc>
      </w:tr>
      <w:tr>
        <w:trPr/>
        <w:tc>
          <w:tcPr>
            <w:tcW w:w="1868" w:type="dxa"/>
            <w:gridSpan w:val="3"/>
            <w:tcBorders/>
            <w:tcMar>
              <w:top w:w="0" w:type="dxa"/>
              <w:left w:w="0" w:type="dxa"/>
              <w:bottom w:w="0" w:type="dxa"/>
              <w:right w:w="0" w:type="dxa"/>
            </w:tcMar>
            <w:vAlign w:val="center"/>
          </w:tcPr>
          <w:p>
            <w:pPr>
              <w:pStyle w:val="TableContents"/>
              <w:bidi w:val="0"/>
              <w:spacing w:lineRule="auto" w:line="319" w:before="0" w:after="120"/>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1792" w:type="dxa"/>
            <w:gridSpan w:val="3"/>
            <w:tcBorders/>
            <w:tcMar>
              <w:top w:w="0" w:type="dxa"/>
              <w:left w:w="0" w:type="dxa"/>
              <w:bottom w:w="0" w:type="dxa"/>
              <w:right w:w="0" w:type="dxa"/>
            </w:tcMar>
            <w:vAlign w:val="center"/>
          </w:tcPr>
          <w:p>
            <w:pPr>
              <w:pStyle w:val="TableContents"/>
              <w:bidi w:val="0"/>
              <w:spacing w:lineRule="auto" w:line="319" w:before="0" w:after="120"/>
              <w:jc w:val="both"/>
              <w:rPr>
                <w:color w:val="000000"/>
                <w:u w:val="single"/>
              </w:rPr>
            </w:pPr>
            <w:r>
              <w:rPr>
                <w:color w:val="000000"/>
                <w:u w:val="single"/>
              </w:rPr>
              <w:t>    </w:t>
            </w:r>
          </w:p>
        </w:tc>
        <w:tc>
          <w:tcPr>
            <w:tcW w:w="1726" w:type="dxa"/>
            <w:gridSpan w:val="6"/>
            <w:tcBorders/>
            <w:tcMar>
              <w:top w:w="0" w:type="dxa"/>
              <w:left w:w="0" w:type="dxa"/>
              <w:bottom w:w="0" w:type="dxa"/>
              <w:right w:w="0" w:type="dxa"/>
            </w:tcMar>
            <w:vAlign w:val="center"/>
          </w:tcPr>
          <w:p>
            <w:pPr>
              <w:pStyle w:val="TableContents"/>
              <w:bidi w:val="0"/>
              <w:spacing w:lineRule="auto" w:line="319" w:before="0" w:after="120"/>
              <w:jc w:val="both"/>
              <w:rPr>
                <w:color w:val="000000"/>
                <w:u w:val="single"/>
              </w:rPr>
            </w:pPr>
            <w:r>
              <w:rPr>
                <w:color w:val="000000"/>
                <w:u w:val="single"/>
              </w:rPr>
              <w:t>    </w:t>
            </w:r>
          </w:p>
        </w:tc>
      </w:tr>
      <w:tr>
        <w:trPr/>
        <w:tc>
          <w:tcPr>
            <w:tcW w:w="1868" w:type="dxa"/>
            <w:gridSpan w:val="3"/>
            <w:tcBorders/>
            <w:tcMar>
              <w:top w:w="0" w:type="dxa"/>
              <w:left w:w="0" w:type="dxa"/>
              <w:bottom w:w="0" w:type="dxa"/>
              <w:right w:w="0" w:type="dxa"/>
            </w:tcMar>
            <w:vAlign w:val="center"/>
          </w:tcPr>
          <w:p>
            <w:pPr>
              <w:pStyle w:val="TableContents"/>
              <w:bidi w:val="0"/>
              <w:spacing w:lineRule="auto" w:line="319"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1792" w:type="dxa"/>
            <w:gridSpan w:val="3"/>
            <w:tcBorders/>
            <w:tcMar>
              <w:top w:w="0" w:type="dxa"/>
              <w:left w:w="0" w:type="dxa"/>
              <w:bottom w:w="0" w:type="dxa"/>
              <w:right w:w="0" w:type="dxa"/>
            </w:tcMar>
            <w:vAlign w:val="center"/>
          </w:tcPr>
          <w:p>
            <w:pPr>
              <w:pStyle w:val="TableContents"/>
              <w:bidi w:val="0"/>
              <w:spacing w:lineRule="auto" w:line="319" w:before="0" w:after="120"/>
              <w:jc w:val="both"/>
              <w:rPr>
                <w:color w:val="000000"/>
                <w:u w:val="single"/>
              </w:rPr>
            </w:pPr>
            <w:r>
              <w:rPr>
                <w:color w:val="000000"/>
                <w:u w:val="single"/>
              </w:rPr>
              <w:t>    </w:t>
            </w:r>
          </w:p>
        </w:tc>
        <w:tc>
          <w:tcPr>
            <w:tcW w:w="1726" w:type="dxa"/>
            <w:gridSpan w:val="6"/>
            <w:tcBorders/>
            <w:tcMar>
              <w:top w:w="0" w:type="dxa"/>
              <w:left w:w="0" w:type="dxa"/>
              <w:bottom w:w="0" w:type="dxa"/>
              <w:right w:w="0" w:type="dxa"/>
            </w:tcMar>
            <w:vAlign w:val="center"/>
          </w:tcPr>
          <w:p>
            <w:pPr>
              <w:pStyle w:val="TableContents"/>
              <w:bidi w:val="0"/>
              <w:spacing w:before="0" w:after="120"/>
              <w:jc w:val="both"/>
              <w:rPr/>
            </w:pPr>
            <w:r>
              <w:rPr/>
            </w:r>
          </w:p>
        </w:tc>
      </w:tr>
      <w:tr>
        <w:trPr/>
        <w:tc>
          <w:tcPr>
            <w:tcW w:w="1868" w:type="dxa"/>
            <w:gridSpan w:val="3"/>
            <w:tcBorders/>
            <w:tcMar>
              <w:top w:w="0" w:type="dxa"/>
              <w:left w:w="0" w:type="dxa"/>
              <w:bottom w:w="0" w:type="dxa"/>
              <w:right w:w="0" w:type="dxa"/>
            </w:tcMar>
            <w:vAlign w:val="center"/>
          </w:tcPr>
          <w:p>
            <w:pPr>
              <w:pStyle w:val="TableContents"/>
              <w:bidi w:val="0"/>
              <w:spacing w:lineRule="auto" w:line="319" w:before="0" w:after="120"/>
              <w:jc w:val="both"/>
              <w:rPr>
                <w:rFonts w:ascii="Times New Roman;serif" w:hAnsi="Times New Roman;serif"/>
                <w:b w:val="false"/>
                <w:color w:val="000000"/>
                <w:sz w:val="22"/>
              </w:rPr>
            </w:pPr>
            <w:r>
              <w:rPr>
                <w:rFonts w:ascii="Times New Roman;serif" w:hAnsi="Times New Roman;serif"/>
                <w:b w:val="false"/>
                <w:color w:val="000000"/>
                <w:sz w:val="22"/>
              </w:rPr>
              <w:t>Title:</w:t>
            </w:r>
          </w:p>
        </w:tc>
        <w:tc>
          <w:tcPr>
            <w:tcW w:w="1792" w:type="dxa"/>
            <w:gridSpan w:val="3"/>
            <w:tcBorders/>
            <w:tcMar>
              <w:top w:w="0" w:type="dxa"/>
              <w:left w:w="0" w:type="dxa"/>
              <w:bottom w:w="0" w:type="dxa"/>
              <w:right w:w="0" w:type="dxa"/>
            </w:tcMar>
            <w:vAlign w:val="center"/>
          </w:tcPr>
          <w:p>
            <w:pPr>
              <w:pStyle w:val="TableContents"/>
              <w:bidi w:val="0"/>
              <w:spacing w:lineRule="auto" w:line="319" w:before="0" w:after="120"/>
              <w:jc w:val="both"/>
              <w:rPr>
                <w:color w:val="000000"/>
                <w:u w:val="single"/>
              </w:rPr>
            </w:pPr>
            <w:r>
              <w:rPr>
                <w:color w:val="000000"/>
                <w:u w:val="single"/>
              </w:rPr>
              <w:t>    </w:t>
            </w:r>
          </w:p>
        </w:tc>
        <w:tc>
          <w:tcPr>
            <w:tcW w:w="807" w:type="dxa"/>
            <w:gridSpan w:val="3"/>
            <w:tcBorders/>
            <w:tcMar>
              <w:top w:w="0" w:type="dxa"/>
              <w:left w:w="0" w:type="dxa"/>
              <w:bottom w:w="0" w:type="dxa"/>
              <w:right w:w="0" w:type="dxa"/>
            </w:tcMar>
            <w:vAlign w:val="center"/>
          </w:tcPr>
          <w:p>
            <w:pPr>
              <w:pStyle w:val="TableContents"/>
              <w:bidi w:val="0"/>
              <w:spacing w:before="0" w:after="120"/>
              <w:jc w:val="both"/>
              <w:rPr/>
            </w:pPr>
            <w:r>
              <w:rPr/>
            </w:r>
          </w:p>
        </w:tc>
        <w:tc>
          <w:tcPr>
            <w:tcW w:w="919" w:type="dxa"/>
            <w:gridSpan w:val="3"/>
            <w:tcBorders/>
            <w:tcMar>
              <w:top w:w="0" w:type="dxa"/>
              <w:left w:w="0" w:type="dxa"/>
              <w:bottom w:w="0" w:type="dxa"/>
              <w:right w:w="0" w:type="dxa"/>
            </w:tcMar>
            <w:vAlign w:val="center"/>
          </w:tcPr>
          <w:p>
            <w:pPr>
              <w:pStyle w:val="TableContents"/>
              <w:bidi w:val="0"/>
              <w:spacing w:before="0" w:after="120"/>
              <w:jc w:val="both"/>
              <w:rPr/>
            </w:pPr>
            <w:r>
              <w:rPr/>
            </w:r>
          </w:p>
        </w:tc>
      </w:tr>
    </w:tbl>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RESTRICTED STOCK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Capitalized terms not specifically defined in this Agreement have the meanings specified in the Grant Notice or, if not defined in the Grant Notice, in the Plan. </w:t>
      </w:r>
    </w:p>
    <w:p>
      <w:pPr>
        <w:pStyle w:val="TextBody"/>
        <w:bidi w:val="0"/>
        <w:spacing w:lineRule="auto" w:line="240" w:before="0" w:after="240"/>
        <w:jc w:val="center"/>
        <w:rPr/>
      </w:pPr>
      <w:r>
        <w:rPr>
          <w:rFonts w:ascii="Times New Roman;serif" w:hAnsi="Times New Roman;serif"/>
          <w:b/>
          <w:color w:val="000000"/>
          <w:sz w:val="22"/>
        </w:rPr>
        <w:t>ARTICLE XX.</w:t>
      </w:r>
      <w:r>
        <w:rPr>
          <w:rFonts w:ascii="Times New Roman;serif" w:hAnsi="Times New Roman;serif"/>
          <w:b/>
          <w:color w:val="000000"/>
          <w:sz w:val="22"/>
        </w:rPr>
        <w:br/>
        <w:t>GENERAL</w:t>
      </w:r>
    </w:p>
    <w:p>
      <w:pPr>
        <w:pStyle w:val="TextBody"/>
        <w:bidi w:val="0"/>
        <w:spacing w:lineRule="auto" w:line="240" w:before="0" w:after="240"/>
        <w:ind w:left="0" w:right="0" w:firstLine="720"/>
        <w:jc w:val="both"/>
        <w:rPr/>
      </w:pPr>
      <w:r>
        <w:rPr>
          <w:rFonts w:ascii="Times New Roman;serif" w:hAnsi="Times New Roman;serif"/>
          <w:b w:val="false"/>
          <w:color w:val="000000"/>
          <w:sz w:val="22"/>
        </w:rPr>
        <w:t>20.1</w:t>
      </w:r>
      <w:r>
        <w:rPr>
          <w:rFonts w:ascii="Times New Roman;serif" w:hAnsi="Times New Roman;serif"/>
          <w:b w:val="false"/>
          <w:color w:val="000000"/>
          <w:sz w:val="22"/>
          <w:u w:val="single"/>
        </w:rPr>
        <w:t>Issuance of Restricted Shares</w:t>
      </w:r>
      <w:r>
        <w:rPr>
          <w:rFonts w:ascii="Times New Roman;serif" w:hAnsi="Times New Roman;serif"/>
          <w:b w:val="false"/>
          <w:color w:val="000000"/>
          <w:sz w:val="22"/>
        </w:rPr>
        <w:t>. The Company will issue the Restricted Shares to the Participant effective as of the grant date set forth in the Grant Notice and will cause (a) a stock certificate or certificates representing the Restricted Shares to be registered in Participant’s name or (b) the Restricted Shares to be held in book-entry form. If a stock certificate is issued, the certificate will be delivered to, and held in accordance with this Agreement by, the Company or its authorized representatives and will bear the restrictive legends required by this Agreement. If the Restricted Shares are held in book-entry form, then the book-entry will indicate that the Restricted Shares are subject to the restrictions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20.2</w:t>
      </w:r>
      <w:r>
        <w:rPr>
          <w:rFonts w:ascii="Times New Roman;serif" w:hAnsi="Times New Roman;serif"/>
          <w:b w:val="false"/>
          <w:color w:val="000000"/>
          <w:sz w:val="22"/>
          <w:u w:val="single"/>
        </w:rPr>
        <w:t>Incorporation of Terms of Plan</w:t>
      </w:r>
      <w:r>
        <w:rPr>
          <w:rFonts w:ascii="Times New Roman;serif" w:hAnsi="Times New Roman;serif"/>
          <w:b w:val="false"/>
          <w:color w:val="000000"/>
          <w:sz w:val="22"/>
        </w:rPr>
        <w:t>. The Restricted Shares are subject to the terms and conditions set forth in this Agreement and the Plan, which is incorporated herein by reference. In the event of any inconsistency between the Plan and this Agreement, the terms of the Plan will control.</w:t>
      </w:r>
    </w:p>
    <w:p>
      <w:pPr>
        <w:pStyle w:val="TextBody"/>
        <w:bidi w:val="0"/>
        <w:spacing w:lineRule="auto" w:line="240" w:before="0" w:after="240"/>
        <w:ind w:left="0" w:right="0" w:firstLine="720"/>
        <w:jc w:val="both"/>
        <w:rPr/>
      </w:pPr>
      <w:r>
        <w:rPr>
          <w:rFonts w:ascii="Times New Roman;serif" w:hAnsi="Times New Roman;serif"/>
          <w:b w:val="false"/>
          <w:color w:val="000000"/>
          <w:sz w:val="22"/>
        </w:rPr>
        <w:t>20.3</w:t>
      </w:r>
      <w:r>
        <w:rPr>
          <w:rFonts w:ascii="Times New Roman;serif" w:hAnsi="Times New Roman;serif"/>
          <w:b w:val="false"/>
          <w:color w:val="000000"/>
          <w:sz w:val="22"/>
          <w:u w:val="single"/>
        </w:rPr>
        <w:t>Employment Inducement Award</w:t>
      </w:r>
      <w:r>
        <w:rPr>
          <w:rFonts w:ascii="Times New Roman;serif" w:hAnsi="Times New Roman;serif"/>
          <w:b w:val="false"/>
          <w:color w:val="000000"/>
          <w:sz w:val="22"/>
        </w:rPr>
        <w:t>. The Restricted Shares are intended to constitute an “employment inducement award” under NASDAQ Rule 5635(c)(4) that is exempt from the requirements of shareholder approval of equity compensation plans under NASDAQ Rule 5635(c)(4). This Agreement and the terms and conditions of the Restricted Shares will be interpreted consistent with such intent.</w:t>
      </w:r>
    </w:p>
    <w:p>
      <w:pPr>
        <w:pStyle w:val="TextBody"/>
        <w:bidi w:val="0"/>
        <w:spacing w:lineRule="auto" w:line="240" w:before="0" w:after="240"/>
        <w:jc w:val="center"/>
        <w:rPr/>
      </w:pPr>
      <w:r>
        <w:rPr>
          <w:rFonts w:ascii="Times New Roman;serif" w:hAnsi="Times New Roman;serif"/>
          <w:b/>
          <w:color w:val="000000"/>
          <w:sz w:val="22"/>
        </w:rPr>
        <w:t>ARTICLE XXI.</w:t>
      </w:r>
      <w:r>
        <w:rPr>
          <w:rFonts w:ascii="Times New Roman;serif" w:hAnsi="Times New Roman;serif"/>
          <w:b/>
          <w:color w:val="000000"/>
          <w:sz w:val="22"/>
        </w:rPr>
        <w:br/>
        <w:t>VESTING, FORFEITURE AND ESCROW</w:t>
      </w:r>
    </w:p>
    <w:p>
      <w:pPr>
        <w:pStyle w:val="TextBody"/>
        <w:bidi w:val="0"/>
        <w:spacing w:lineRule="auto" w:line="240" w:before="0" w:after="240"/>
        <w:ind w:left="0" w:right="0" w:firstLine="720"/>
        <w:jc w:val="both"/>
        <w:rPr/>
      </w:pPr>
      <w:r>
        <w:rPr>
          <w:rFonts w:ascii="Times New Roman;serif" w:hAnsi="Times New Roman;serif"/>
          <w:b w:val="false"/>
          <w:color w:val="000000"/>
          <w:sz w:val="22"/>
        </w:rPr>
        <w:t>21.1</w:t>
      </w:r>
      <w:r>
        <w:rPr>
          <w:rFonts w:ascii="Times New Roman;serif" w:hAnsi="Times New Roman;serif"/>
          <w:b w:val="false"/>
          <w:color w:val="000000"/>
          <w:sz w:val="22"/>
          <w:u w:val="single"/>
        </w:rPr>
        <w:t>Vesting</w:t>
      </w:r>
      <w:r>
        <w:rPr>
          <w:rFonts w:ascii="Times New Roman;serif" w:hAnsi="Times New Roman;serif"/>
          <w:b w:val="false"/>
          <w:color w:val="000000"/>
          <w:sz w:val="22"/>
        </w:rPr>
        <w:t>. The Restricted Shares will become vested Shares (the “</w:t>
      </w:r>
      <w:r>
        <w:rPr>
          <w:rFonts w:ascii="Times New Roman;serif" w:hAnsi="Times New Roman;serif"/>
          <w:b/>
          <w:i/>
          <w:color w:val="000000"/>
          <w:sz w:val="22"/>
        </w:rPr>
        <w:t>Vested Shares</w:t>
      </w:r>
      <w:r>
        <w:rPr>
          <w:color w:val="000000"/>
        </w:rPr>
        <w:t>”</w:t>
      </w:r>
      <w:r>
        <w:rPr>
          <w:rFonts w:ascii="Times New Roman;serif" w:hAnsi="Times New Roman;serif"/>
          <w:b w:val="false"/>
          <w:color w:val="000000"/>
          <w:sz w:val="22"/>
        </w:rPr>
        <w:t xml:space="preserve">) according to the vesting schedule in the Grant Notice except that any fraction of a Share that would otherwise become a Vested Share will be accumulated and will become a Vested Share only when a whole Vested Share has accumulated. </w:t>
      </w:r>
    </w:p>
    <w:p>
      <w:pPr>
        <w:pStyle w:val="TextBody"/>
        <w:bidi w:val="0"/>
        <w:spacing w:lineRule="auto" w:line="240" w:before="0" w:after="240"/>
        <w:ind w:left="0" w:right="0" w:firstLine="720"/>
        <w:jc w:val="both"/>
        <w:rPr/>
      </w:pPr>
      <w:r>
        <w:rPr>
          <w:rFonts w:ascii="Times New Roman;serif" w:hAnsi="Times New Roman;serif"/>
          <w:b w:val="false"/>
          <w:color w:val="000000"/>
          <w:sz w:val="22"/>
        </w:rPr>
        <w:t>21.2</w:t>
      </w:r>
      <w:r>
        <w:rPr>
          <w:rFonts w:ascii="Times New Roman;serif" w:hAnsi="Times New Roman;serif"/>
          <w:b w:val="false"/>
          <w:color w:val="000000"/>
          <w:sz w:val="22"/>
          <w:u w:val="single"/>
        </w:rPr>
        <w:t>Forfeiture</w:t>
      </w:r>
      <w:r>
        <w:rPr>
          <w:rFonts w:ascii="Times New Roman;serif" w:hAnsi="Times New Roman;serif"/>
          <w:b w:val="false"/>
          <w:color w:val="000000"/>
          <w:sz w:val="22"/>
        </w:rPr>
        <w:t>. In the event of Participant’s Termination of Service for any reason, Participant will immediately and automatically forfeit to the Company any Shares that are not Vested Shares (the “</w:t>
      </w:r>
      <w:r>
        <w:rPr>
          <w:rFonts w:ascii="Times New Roman;serif" w:hAnsi="Times New Roman;serif"/>
          <w:b/>
          <w:i/>
          <w:color w:val="000000"/>
          <w:sz w:val="22"/>
        </w:rPr>
        <w:t>Unvested Shares</w:t>
      </w:r>
      <w:r>
        <w:rPr>
          <w:color w:val="000000"/>
        </w:rPr>
        <w:t>”</w:t>
      </w:r>
      <w:r>
        <w:rPr>
          <w:rFonts w:ascii="Times New Roman;serif" w:hAnsi="Times New Roman;serif"/>
          <w:b w:val="false"/>
          <w:color w:val="000000"/>
          <w:sz w:val="22"/>
        </w:rPr>
        <w:t>) at the time of Participant’s Termination of Service, except as otherwise determined by the Administrator or provided in a binding written agreement between Participant and the Company. Upon forfeiture of Unvested Shares, the Company will become the legal and beneficial owner of the Unvested Shares and all related interests and Participant will have no further rights with respect to the Unvested Shares.</w:t>
      </w:r>
    </w:p>
    <w:p>
      <w:pPr>
        <w:pStyle w:val="TextBody"/>
        <w:bidi w:val="0"/>
        <w:spacing w:lineRule="auto" w:line="240" w:before="0" w:after="240"/>
        <w:ind w:left="0" w:right="0" w:firstLine="720"/>
        <w:jc w:val="both"/>
        <w:rPr/>
      </w:pPr>
      <w:r>
        <w:rPr>
          <w:rFonts w:ascii="Times New Roman;serif" w:hAnsi="Times New Roman;serif"/>
          <w:b w:val="false"/>
          <w:color w:val="000000"/>
          <w:sz w:val="22"/>
        </w:rPr>
        <w:t>21.3</w:t>
      </w:r>
      <w:r>
        <w:rPr>
          <w:rFonts w:ascii="Times New Roman;serif" w:hAnsi="Times New Roman;serif"/>
          <w:b w:val="false"/>
          <w:color w:val="000000"/>
          <w:sz w:val="22"/>
          <w:u w:val="single"/>
        </w:rPr>
        <w:t>Escrow</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Unvested Shares will be held by the Company or its authorized representatives until (i) they are forfeited, (ii) they become Vested Shares or (iii) this Agreement is no longer in effect. By accepting this Award, Participant appoints the Company and its authorized representatives as Participant’s attorney(s)-in-fact to take all actions necessary to effect any transfer of forfeited Unvested Shares (and Retained Distributions (as defined below), if any, paid on such forfeited Unvested Shares) to the Company as may be required pursuant to the Plan or this Agreement and to execute such representations or other documents or assurances as the Company or such representatives deem necessary or advisable in connection with any such transfer. The Company, or its authorized representative, will not be liable for any good faith act or omission with respect to the holding in escrow or transfer of the Restricted Shares.</w:t>
      </w:r>
    </w:p>
    <w:p>
      <w:pPr>
        <w:pStyle w:val="TextBody"/>
        <w:bidi w:val="0"/>
        <w:spacing w:before="0" w:after="0"/>
        <w:jc w:val="both"/>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467360"/>
                <wp:effectExtent l="0" t="0" r="0" b="0"/>
                <wp:wrapNone/>
                <wp:docPr id="152" name="Frame152"/>
                <a:graphic xmlns:a="http://schemas.openxmlformats.org/drawingml/2006/main">
                  <a:graphicData uri="http://schemas.microsoft.com/office/word/2010/wordprocessingShape">
                    <wps:wsp>
                      <wps:cNvSpPr txBox="1"/>
                      <wps:spPr>
                        <a:xfrm>
                          <a:off x="0" y="0"/>
                          <a:ext cx="6480175" cy="467360"/>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All cash dividends and other distributions made or declared with respect to Unvested Shares (“</w:t>
      </w:r>
      <w:r>
        <w:rPr>
          <w:rFonts w:ascii="Times New Roman;serif" w:hAnsi="Times New Roman;serif"/>
          <w:b/>
          <w:i/>
          <w:color w:val="000000"/>
          <w:sz w:val="22"/>
        </w:rPr>
        <w:t>Retained Distributions</w:t>
      </w:r>
      <w:r>
        <w:rPr>
          <w:color w:val="000000"/>
        </w:rPr>
        <w:t>”</w:t>
      </w:r>
      <w:r>
        <w:rPr>
          <w:rFonts w:ascii="Times New Roman;serif" w:hAnsi="Times New Roman;serif"/>
          <w:b w:val="false"/>
          <w:color w:val="000000"/>
          <w:sz w:val="22"/>
        </w:rPr>
        <w:t>) will be held by the Company until the time (if ever) when the Unvested Shares to which such Retained Distributions relate become Vested Shares. The Company will establish a separate Retained Distribution bookkeeping account (“</w:t>
      </w:r>
      <w:r>
        <w:rPr>
          <w:rFonts w:ascii="Times New Roman;serif" w:hAnsi="Times New Roman;serif"/>
          <w:b/>
          <w:i/>
          <w:color w:val="000000"/>
          <w:sz w:val="22"/>
        </w:rPr>
        <w:t>Retained Distribution Account</w:t>
      </w:r>
      <w:r>
        <w:rPr>
          <w:color w:val="000000"/>
        </w:rPr>
        <w:t>”</w:t>
      </w:r>
      <w:r>
        <w:rPr>
          <w:rFonts w:ascii="Times New Roman;serif" w:hAnsi="Times New Roman;serif"/>
          <w:b w:val="false"/>
          <w:color w:val="000000"/>
          <w:sz w:val="22"/>
        </w:rPr>
        <w:t>) for each Unvested Share with respect to which Retained Distributions have been made or declared in cash and credit the Retained Distribution Account (without interest) on the date of payment with the amount of such cash made or declared with respect to the Unvested Share. Retained Distributions (including any Retained Distribution Account balance) will immediately and automatically be forfeited upon forfeiture of the Unvested Share with respect to which the Retained Distributions were paid or declared.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As soon as reasonably practicable following the date on which an Unvested Share becomes a Vested Share, the Company will (i) cause the certificate (or a new certificate without the legend required by this Agreement, if Participant so requests) representing the Share to be delivered to Participant or, if the Share is held in book-entry form, cause the notations indicating the Share is subject to the restrictions of this Agreement to be removed and (ii) pay to Participant the Retained Distributions relating to the Share.</w:t>
      </w:r>
    </w:p>
    <w:p>
      <w:pPr>
        <w:pStyle w:val="TextBody"/>
        <w:bidi w:val="0"/>
        <w:spacing w:lineRule="auto" w:line="240" w:before="0" w:after="240"/>
        <w:ind w:left="0" w:right="0" w:firstLine="720"/>
        <w:jc w:val="both"/>
        <w:rPr/>
      </w:pPr>
      <w:r>
        <w:rPr>
          <w:rFonts w:ascii="Times New Roman;serif" w:hAnsi="Times New Roman;serif"/>
          <w:b w:val="false"/>
          <w:color w:val="000000"/>
          <w:sz w:val="22"/>
        </w:rPr>
        <w:t>21.4</w:t>
      </w:r>
      <w:r>
        <w:rPr>
          <w:rFonts w:ascii="Times New Roman;serif" w:hAnsi="Times New Roman;serif"/>
          <w:b w:val="false"/>
          <w:color w:val="000000"/>
          <w:sz w:val="22"/>
          <w:u w:val="single"/>
        </w:rPr>
        <w:t>Rights as Stockholder</w:t>
      </w:r>
      <w:r>
        <w:rPr>
          <w:rFonts w:ascii="Times New Roman;serif" w:hAnsi="Times New Roman;serif"/>
          <w:b w:val="false"/>
          <w:color w:val="000000"/>
          <w:sz w:val="22"/>
        </w:rPr>
        <w:t xml:space="preserve">. Except as otherwise provided in this Agreement or the Plan, upon issuance of the Restricted Shares by the Company, Participant will have all the rights of a stockholder with respect to the Restricted Shares, including the right to vote the Restricted Shares and to receive dividends or other distributions paid or made with respect to the Restricted Shares. </w:t>
      </w:r>
    </w:p>
    <w:p>
      <w:pPr>
        <w:pStyle w:val="TextBody"/>
        <w:bidi w:val="0"/>
        <w:spacing w:lineRule="auto" w:line="240" w:before="0" w:after="240"/>
        <w:jc w:val="center"/>
        <w:rPr/>
      </w:pPr>
      <w:r>
        <w:rPr>
          <w:rFonts w:ascii="Times New Roman;serif" w:hAnsi="Times New Roman;serif"/>
          <w:b/>
          <w:color w:val="000000"/>
          <w:sz w:val="22"/>
        </w:rPr>
        <w:t>ARTICLE XXII.</w:t>
      </w:r>
      <w:r>
        <w:rPr>
          <w:rFonts w:ascii="Times New Roman;serif" w:hAnsi="Times New Roman;serif"/>
          <w:b/>
          <w:color w:val="000000"/>
          <w:sz w:val="22"/>
        </w:rPr>
        <w:br/>
        <w:t>TAXATION AND TAX WITHHOLDING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22.1</w:t>
      </w:r>
      <w:r>
        <w:rPr>
          <w:rFonts w:ascii="Times New Roman;serif" w:hAnsi="Times New Roman;serif"/>
          <w:b w:val="false"/>
          <w:color w:val="000000"/>
          <w:sz w:val="22"/>
          <w:u w:val="single"/>
        </w:rPr>
        <w:t>Representation</w:t>
      </w:r>
      <w:r>
        <w:rPr>
          <w:rFonts w:ascii="Times New Roman;serif" w:hAnsi="Times New Roman;serif"/>
          <w:b w:val="false"/>
          <w:color w:val="000000"/>
          <w:sz w:val="22"/>
        </w:rPr>
        <w:t>. Participant represents to the Company that Participant has reviewed with Participant’s own tax advisors the tax consequences of the Restricted Shares and the transactions contemplated by the Grant Notice and this Agreement. Participant is relying solely on such advisors and not on any statements or representations of the Company or any of its agents.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22.2</w:t>
      </w:r>
      <w:r>
        <w:rPr>
          <w:rFonts w:ascii="Times New Roman;serif" w:hAnsi="Times New Roman;serif"/>
          <w:b w:val="false"/>
          <w:color w:val="000000"/>
          <w:sz w:val="22"/>
          <w:u w:val="single"/>
        </w:rPr>
        <w:t>Section 83(b) Election</w:t>
      </w:r>
      <w:r>
        <w:rPr>
          <w:rFonts w:ascii="Times New Roman;serif" w:hAnsi="Times New Roman;serif"/>
          <w:b w:val="false"/>
          <w:color w:val="000000"/>
          <w:sz w:val="22"/>
        </w:rPr>
        <w:t>. If Participant makes an election under Section 83(b) of the Code with respect to the Restricted Shares, Participant will deliver a copy of the election to the Company promptly after filing the election with the Internal Revenue Service.</w:t>
      </w:r>
    </w:p>
    <w:p>
      <w:pPr>
        <w:pStyle w:val="TextBody"/>
        <w:bidi w:val="0"/>
        <w:spacing w:lineRule="auto" w:line="240" w:before="0" w:after="240"/>
        <w:ind w:left="0" w:right="0" w:firstLine="720"/>
        <w:jc w:val="both"/>
        <w:rPr/>
      </w:pPr>
      <w:r>
        <w:rPr>
          <w:rFonts w:ascii="Times New Roman;serif" w:hAnsi="Times New Roman;serif"/>
          <w:b w:val="false"/>
          <w:color w:val="000000"/>
          <w:sz w:val="22"/>
        </w:rPr>
        <w:t>22.3</w:t>
      </w:r>
      <w:r>
        <w:rPr>
          <w:rFonts w:ascii="Times New Roman;serif" w:hAnsi="Times New Roman;serif"/>
          <w:b w:val="false"/>
          <w:color w:val="000000"/>
          <w:sz w:val="22"/>
          <w:u w:val="single"/>
        </w:rPr>
        <w:t>Tax Withholding</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Company has the right and option, but not the obligation, to treat Participant’s failure to provide timely payment in accordance with the Plan of any withholding tax arising in connection with the Restricted Shares as Participant’s election to satisfy all or any portion of the withholding tax by requesting the Company retain Shares otherwise deliverable under the Award.</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Participant acknowledges that Participant is ultimately liable and responsible for all taxes owed in connection with the Restricted Shares, regardless of any action the Company or any Subsidiary takes with respect to any tax withholding obligations that arise in connection with the Restricted Shares. Neither the Company nor any Subsidiary makes any representation or undertaking regarding the treatment of any tax withholding in connection with the awarding, vesting or payment of the Restricted Shares or the subsequent sale of the Restricted Shares. The Company and the Subsidiaries do not commit and are under no obligation to structure this Award to reduce or eliminate Participant’s tax liability.</w:t>
      </w:r>
    </w:p>
    <w:p>
      <w:pPr>
        <w:pStyle w:val="TextBody"/>
        <w:bidi w:val="0"/>
        <w:spacing w:lineRule="auto" w:line="240" w:before="0" w:after="240"/>
        <w:jc w:val="center"/>
        <w:rPr/>
      </w:pPr>
      <w:r>
        <w:rPr>
          <w:rFonts w:ascii="Times New Roman;serif" w:hAnsi="Times New Roman;serif"/>
          <w:b/>
          <w:color w:val="000000"/>
          <w:sz w:val="22"/>
        </w:rPr>
        <w:t>ARTICLE XXIII.</w:t>
      </w:r>
      <w:r>
        <w:rPr>
          <w:rFonts w:ascii="Times New Roman;serif" w:hAnsi="Times New Roman;serif"/>
          <w:b/>
          <w:color w:val="000000"/>
          <w:sz w:val="22"/>
        </w:rPr>
        <w:br/>
        <w:t>RESTRICTIVE LEGENDS AND TRANSFERABILITY</w:t>
      </w:r>
    </w:p>
    <w:p>
      <w:pPr>
        <w:pStyle w:val="TextBody"/>
        <w:bidi w:val="0"/>
        <w:spacing w:lineRule="auto" w:line="240" w:before="0" w:after="240"/>
        <w:ind w:left="0" w:right="0" w:firstLine="720"/>
        <w:jc w:val="both"/>
        <w:rPr/>
      </w:pPr>
      <w:r>
        <w:rPr>
          <w:rFonts w:ascii="Times New Roman;serif" w:hAnsi="Times New Roman;serif"/>
          <w:b w:val="false"/>
          <w:color w:val="000000"/>
          <w:sz w:val="22"/>
        </w:rPr>
        <w:t>23.1</w:t>
      </w:r>
      <w:r>
        <w:rPr>
          <w:rFonts w:ascii="Times New Roman;serif" w:hAnsi="Times New Roman;serif"/>
          <w:b w:val="false"/>
          <w:color w:val="000000"/>
          <w:sz w:val="22"/>
          <w:u w:val="single"/>
        </w:rPr>
        <w:t>Legends</w:t>
      </w:r>
      <w:r>
        <w:rPr>
          <w:rFonts w:ascii="Times New Roman;serif" w:hAnsi="Times New Roman;serif"/>
          <w:b w:val="false"/>
          <w:color w:val="000000"/>
          <w:sz w:val="22"/>
        </w:rPr>
        <w:t>. Any certificate representing a Restricted Share will bear the following legend until the Restricted Share becomes a Vested Share:</w:t>
      </w:r>
    </w:p>
    <w:p>
      <w:pPr>
        <w:pStyle w:val="TextBody"/>
        <w:bidi w:val="0"/>
        <w:spacing w:before="0" w:after="0"/>
        <w:jc w:val="both"/>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659765"/>
                <wp:effectExtent l="0" t="0" r="0" b="0"/>
                <wp:wrapNone/>
                <wp:docPr id="153" name="Frame153"/>
                <a:graphic xmlns:a="http://schemas.openxmlformats.org/drawingml/2006/main">
                  <a:graphicData uri="http://schemas.microsoft.com/office/word/2010/wordprocessingShape">
                    <wps:wsp>
                      <wps:cNvSpPr txBox="1"/>
                      <wps:spPr>
                        <a:xfrm>
                          <a:off x="0" y="0"/>
                          <a:ext cx="6480175" cy="6597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SHARES REPRESENTED BY THIS CERTIFICATE ARE SUBJECT TO FORFEITURE IN FAVOR OF THE COMPANY AND MAY BE TRANSFERRED ONLY IN ACCORDANCE WITH THE TERMS OF A RESTRICTED STOCK AGREEMENT BETWEEN THE COMPANY AND THE STOCKHOLDER, A COPY OF WHICH IS ON FILE WITH THE SECRETARY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2"/>
        </w:rPr>
        <w:t>23.2</w:t>
      </w:r>
      <w:r>
        <w:rPr>
          <w:rFonts w:ascii="Times New Roman;serif" w:hAnsi="Times New Roman;serif"/>
          <w:b w:val="false"/>
          <w:color w:val="000000"/>
          <w:sz w:val="22"/>
          <w:u w:val="single"/>
        </w:rPr>
        <w:t>Transferability</w:t>
      </w:r>
      <w:r>
        <w:rPr>
          <w:rFonts w:ascii="Times New Roman;serif" w:hAnsi="Times New Roman;serif"/>
          <w:b w:val="false"/>
          <w:color w:val="000000"/>
          <w:sz w:val="22"/>
        </w:rPr>
        <w:t>. The Restricted Shares and any Retained Distributions are subject to the restrictions on transfer in the Plan and may not be sold, assigned or transferred in any manner unless and until they become Vested Shares. Any attempted transfer or disposition of Unvested Shares or related Retained Distributions prior to the time the Unvested Shares become Vested Shares will be null and void. The Company will not be required to (a) transfer on its books any Restricted Share that has been sold or otherwise transferred in violation of this Agreement or (b) treat as owner of such Restricted Share or accord the right to vote or pay dividends to any purchaser or other transferee to whom such Restricted Share has been so transferred. The Company may issue appropriate “stop transfer” instructions to its transfer agent, if any, or make appropriate notations to the same effect in its records.</w:t>
      </w:r>
    </w:p>
    <w:p>
      <w:pPr>
        <w:pStyle w:val="TextBody"/>
        <w:bidi w:val="0"/>
        <w:spacing w:lineRule="auto" w:line="240" w:before="0" w:after="240"/>
        <w:jc w:val="center"/>
        <w:rPr/>
      </w:pPr>
      <w:r>
        <w:rPr>
          <w:rFonts w:ascii="Times New Roman;serif" w:hAnsi="Times New Roman;serif"/>
          <w:b/>
          <w:color w:val="000000"/>
          <w:sz w:val="22"/>
        </w:rPr>
        <w:t>ARTICLE XXIV.</w:t>
      </w:r>
      <w:r>
        <w:rPr>
          <w:rFonts w:ascii="Times New Roman;serif" w:hAnsi="Times New Roman;serif"/>
          <w:b/>
          <w:color w:val="000000"/>
          <w:sz w:val="22"/>
        </w:rPr>
        <w:br/>
        <w:t>OTHER PROVISIONS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24.1</w:t>
      </w:r>
      <w:r>
        <w:rPr>
          <w:rFonts w:ascii="Times New Roman;serif" w:hAnsi="Times New Roman;serif"/>
          <w:b w:val="false"/>
          <w:color w:val="000000"/>
          <w:sz w:val="22"/>
          <w:u w:val="single"/>
        </w:rPr>
        <w:t>Adjustments</w:t>
      </w:r>
      <w:r>
        <w:rPr>
          <w:rFonts w:ascii="Times New Roman;serif" w:hAnsi="Times New Roman;serif"/>
          <w:b w:val="false"/>
          <w:color w:val="000000"/>
          <w:sz w:val="22"/>
        </w:rPr>
        <w:t>. Participant acknowledges that the Restricted Shares are subject to adjustment, modification and termination in certain events as provided in this Agreement and the Plan.</w:t>
      </w:r>
    </w:p>
    <w:p>
      <w:pPr>
        <w:pStyle w:val="TextBody"/>
        <w:bidi w:val="0"/>
        <w:spacing w:lineRule="auto" w:line="240" w:before="0" w:after="240"/>
        <w:ind w:left="0" w:right="0" w:firstLine="720"/>
        <w:jc w:val="both"/>
        <w:rPr/>
      </w:pPr>
      <w:r>
        <w:rPr>
          <w:rFonts w:ascii="Times New Roman;serif" w:hAnsi="Times New Roman;serif"/>
          <w:b w:val="false"/>
          <w:color w:val="000000"/>
          <w:sz w:val="22"/>
        </w:rPr>
        <w:t>24.2</w:t>
      </w:r>
      <w:r>
        <w:rPr>
          <w:rFonts w:ascii="Times New Roman;serif" w:hAnsi="Times New Roman;serif"/>
          <w:b w:val="false"/>
          <w:color w:val="000000"/>
          <w:sz w:val="22"/>
          <w:u w:val="single"/>
        </w:rPr>
        <w:t>Notices</w:t>
      </w:r>
      <w:r>
        <w:rPr>
          <w:rFonts w:ascii="Times New Roman;serif" w:hAnsi="Times New Roman;serif"/>
          <w:b w:val="false"/>
          <w:color w:val="000000"/>
          <w:sz w:val="22"/>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24.3</w:t>
      </w:r>
      <w:r>
        <w:rPr>
          <w:rFonts w:ascii="Times New Roman;serif" w:hAnsi="Times New Roman;serif"/>
          <w:b w:val="false"/>
          <w:color w:val="000000"/>
          <w:sz w:val="22"/>
          <w:u w:val="single"/>
        </w:rPr>
        <w:t>Titles</w:t>
      </w:r>
      <w:r>
        <w:rPr>
          <w:rFonts w:ascii="Times New Roman;serif" w:hAnsi="Times New Roman;serif"/>
          <w:b w:val="false"/>
          <w:color w:val="000000"/>
          <w:sz w:val="22"/>
        </w:rPr>
        <w:t>. Titles are provided herein for convenience only and are not to serve as a basis for interpretation or construction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24.4</w:t>
      </w:r>
      <w:r>
        <w:rPr>
          <w:rFonts w:ascii="Times New Roman;serif" w:hAnsi="Times New Roman;serif"/>
          <w:b w:val="false"/>
          <w:color w:val="000000"/>
          <w:sz w:val="22"/>
          <w:u w:val="single"/>
        </w:rPr>
        <w:t>Conformity to Securities Laws</w:t>
      </w:r>
      <w:r>
        <w:rPr>
          <w:rFonts w:ascii="Times New Roman;serif" w:hAnsi="Times New Roman;serif"/>
          <w:b w:val="false"/>
          <w:color w:val="000000"/>
          <w:sz w:val="22"/>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pStyle w:val="TextBody"/>
        <w:bidi w:val="0"/>
        <w:spacing w:lineRule="auto" w:line="240" w:before="0" w:after="240"/>
        <w:ind w:left="0" w:right="0" w:firstLine="720"/>
        <w:jc w:val="both"/>
        <w:rPr/>
      </w:pPr>
      <w:r>
        <w:rPr>
          <w:rFonts w:ascii="Times New Roman;serif" w:hAnsi="Times New Roman;serif"/>
          <w:b w:val="false"/>
          <w:color w:val="000000"/>
          <w:sz w:val="22"/>
        </w:rPr>
        <w:t>24.5</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 The Company may assign any of its rights under this Agreement to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24.6</w:t>
      </w:r>
      <w:r>
        <w:rPr>
          <w:rFonts w:ascii="Times New Roman;serif" w:hAnsi="Times New Roman;serif"/>
          <w:b w:val="false"/>
          <w:color w:val="000000"/>
          <w:sz w:val="22"/>
          <w:u w:val="single"/>
        </w:rPr>
        <w:t>Limitations Applicable to Section 16 Persons</w:t>
      </w:r>
      <w:r>
        <w:rPr>
          <w:rFonts w:ascii="Times New Roman;serif" w:hAnsi="Times New Roman;serif"/>
          <w:b w:val="false"/>
          <w:color w:val="000000"/>
          <w:sz w:val="22"/>
        </w:rPr>
        <w:t>. Notwithstanding any other provision of the Plan or this Agreement, if Participant is subject to Section 16 of the Exchange Act, the Plan, the Grant Notice, this Agreement and the Restricted Shares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pStyle w:val="TextBody"/>
        <w:bidi w:val="0"/>
        <w:spacing w:before="0" w:after="0"/>
        <w:jc w:val="both"/>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659765"/>
                <wp:effectExtent l="0" t="0" r="0" b="0"/>
                <wp:wrapNone/>
                <wp:docPr id="154" name="Frame154"/>
                <a:graphic xmlns:a="http://schemas.openxmlformats.org/drawingml/2006/main">
                  <a:graphicData uri="http://schemas.microsoft.com/office/word/2010/wordprocessingShape">
                    <wps:wsp>
                      <wps:cNvSpPr txBox="1"/>
                      <wps:spPr>
                        <a:xfrm>
                          <a:off x="0" y="0"/>
                          <a:ext cx="6480175" cy="6597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24.7</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24.8</w:t>
      </w:r>
      <w:r>
        <w:rPr>
          <w:rFonts w:ascii="Times New Roman;serif" w:hAnsi="Times New Roman;serif"/>
          <w:b w:val="false"/>
          <w:color w:val="000000"/>
          <w:sz w:val="22"/>
          <w:u w:val="single"/>
        </w:rPr>
        <w:t>Agreement Severable</w:t>
      </w:r>
      <w:r>
        <w:rPr>
          <w:rFonts w:ascii="Times New Roman;serif" w:hAnsi="Times New Roman;serif"/>
          <w:b w:val="false"/>
          <w:color w:val="000000"/>
          <w:sz w:val="22"/>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24.9</w:t>
      </w:r>
      <w:r>
        <w:rPr>
          <w:rFonts w:ascii="Times New Roman;serif" w:hAnsi="Times New Roman;serif"/>
          <w:b w:val="false"/>
          <w:color w:val="000000"/>
          <w:sz w:val="22"/>
          <w:u w:val="single"/>
        </w:rPr>
        <w:t>Limitation on Participant’s Rights</w:t>
      </w:r>
      <w:r>
        <w:rPr>
          <w:rFonts w:ascii="Times New Roman;serif" w:hAnsi="Times New Roman;serif"/>
          <w:b w:val="false"/>
          <w:color w:val="000000"/>
          <w:sz w:val="22"/>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Award.</w:t>
      </w:r>
    </w:p>
    <w:p>
      <w:pPr>
        <w:pStyle w:val="TextBody"/>
        <w:bidi w:val="0"/>
        <w:spacing w:lineRule="auto" w:line="240" w:before="0" w:after="240"/>
        <w:ind w:left="0" w:right="0" w:firstLine="720"/>
        <w:jc w:val="both"/>
        <w:rPr/>
      </w:pPr>
      <w:r>
        <w:rPr>
          <w:rFonts w:ascii="Times New Roman;serif" w:hAnsi="Times New Roman;serif"/>
          <w:b w:val="false"/>
          <w:color w:val="000000"/>
          <w:sz w:val="22"/>
        </w:rPr>
        <w:t>24.10</w:t>
      </w:r>
      <w:r>
        <w:rPr>
          <w:rFonts w:ascii="Times New Roman;serif" w:hAnsi="Times New Roman;serif"/>
          <w:b w:val="false"/>
          <w:color w:val="000000"/>
          <w:sz w:val="22"/>
          <w:u w:val="single"/>
        </w:rPr>
        <w:t>Not a Contract of Employment</w:t>
      </w:r>
      <w:r>
        <w:rPr>
          <w:rFonts w:ascii="Times New Roman;serif" w:hAnsi="Times New Roman;serif"/>
          <w:b w:val="false"/>
          <w:color w:val="000000"/>
          <w:sz w:val="22"/>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pStyle w:val="TextBody"/>
        <w:bidi w:val="0"/>
        <w:spacing w:lineRule="auto" w:line="240" w:before="0" w:after="240"/>
        <w:ind w:left="0" w:right="0" w:firstLine="720"/>
        <w:jc w:val="both"/>
        <w:rPr/>
      </w:pPr>
      <w:r>
        <w:rPr>
          <w:rFonts w:ascii="Times New Roman;serif" w:hAnsi="Times New Roman;serif"/>
          <w:b w:val="false"/>
          <w:color w:val="000000"/>
          <w:sz w:val="22"/>
        </w:rPr>
        <w:t>24.11</w:t>
      </w:r>
      <w:r>
        <w:rPr>
          <w:rFonts w:ascii="Times New Roman;serif" w:hAnsi="Times New Roman;serif"/>
          <w:b w:val="false"/>
          <w:color w:val="000000"/>
          <w:sz w:val="22"/>
          <w:u w:val="single"/>
        </w:rPr>
        <w:t>Counterparts</w:t>
      </w:r>
      <w:r>
        <w:rPr>
          <w:rFonts w:ascii="Times New Roman;serif" w:hAnsi="Times New Roman;serif"/>
          <w:b w:val="false"/>
          <w:color w:val="000000"/>
          <w:sz w:val="22"/>
        </w:rPr>
        <w:t>. The Grant Notice may be executed in one or more counterparts, including by way of any electronic signature, subject to Applicable Law, each of which will be deemed an original and all of which together will constitute one instrument.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 * *</w:t>
      </w:r>
    </w:p>
    <w:p>
      <w:pPr>
        <w:pStyle w:val="TextBody"/>
        <w:bidi w:val="0"/>
        <w:spacing w:before="0" w:after="24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659765"/>
                <wp:effectExtent l="0" t="0" r="0" b="0"/>
                <wp:wrapNone/>
                <wp:docPr id="155" name="Frame155"/>
                <a:graphic xmlns:a="http://schemas.openxmlformats.org/drawingml/2006/main">
                  <a:graphicData uri="http://schemas.microsoft.com/office/word/2010/wordprocessingShape">
                    <wps:wsp>
                      <wps:cNvSpPr txBox="1"/>
                      <wps:spPr>
                        <a:xfrm>
                          <a:off x="0" y="0"/>
                          <a:ext cx="6480175" cy="6597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Benjamin J. Zeskind, certify that: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Immuneering Corporation;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bl>
      <w:tblPr>
        <w:tblW w:w="8366"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2160"/>
        <w:gridCol w:w="2160"/>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3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 Benjamin J. Zeskind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7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J. Zeskind,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73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Co-Founder, President, Chief Executive Officer and Director (Principal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Andrew Gengos, certify that: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Immuneering Corporation;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bl>
      <w:tblPr>
        <w:tblW w:w="4121"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921"/>
        <w:gridCol w:w="921"/>
        <w:gridCol w:w="13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Gengos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Andrew Gengos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50"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of Immuneering Corporation (the “Company”) for the quarterly period ended June 30, 2026 as filed with the Securities and Exchange Commission on the date hereof (the “Report”), I, the undersigned, certify, pursuant to 18 U.S.C. Section 1350, as adopted pursuant to Section 906 of the Sarbanes-Oxley Act of 2002, to the best of my knowledge, that: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(1)The Report fully complies with the requirements of Section 13(a) or Section 15(d) of the Securities Exchange Act of 1934, as amended; and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results of operations of the Company.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5, 2026 </w:t>
      </w:r>
    </w:p>
    <w:tbl>
      <w:tblPr>
        <w:tblW w:w="8365"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2159"/>
        <w:gridCol w:w="2159"/>
        <w:gridCol w:w="30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Benjamin J. Zeskind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7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J. Zeskind,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7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Co-Founder, President, Chief Executive Officer and Director (Principal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of Immuneering Corporation (the “Company”) for the quarterly period ended June 30, 2026, as filed with the Securities and Exchange Commission on the date hereof (the “Report”), I, the undersigned, certify, pursuant to 18 U.S.C. Section 1350, as adopted pursuant to Section 906 of the Sarbanes-Oxley Act of 2002, to the best of my knowledge, that: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(1)The Report fully complies with the requirements of Section 13(a) or Section 15(d) of the Securities Exchange Act of 1934, as amended; and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results of operations of the Company.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bl>
      <w:tblPr>
        <w:tblW w:w="4121"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921"/>
        <w:gridCol w:w="921"/>
        <w:gridCol w:w="13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Gengos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Andrew Gengos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50"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Courier New">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0340/000155837021012336/imrx-20210630xex3d1.htm" TargetMode="External"/><Relationship Id="rId3" Type="http://schemas.openxmlformats.org/officeDocument/2006/relationships/hyperlink" Target="https://www.sec.gov/Archives/edgar/data/1790340/000110465924010041/tm245037d1_ex3-1.htm" TargetMode="External"/><Relationship Id="rId4" Type="http://schemas.openxmlformats.org/officeDocument/2006/relationships/hyperlink" Target="https://www.sec.gov/Archives/edgar/data/1790340/000110465925081995/tm2524079d1_ex4-1.htm" TargetMode="External"/><Relationship Id="rId5" Type="http://schemas.openxmlformats.org/officeDocument/2006/relationships/hyperlink" Target="https://www.sec.gov/Archives/edgar/data/1790340/000110465925081995/tm2524079d1_ex4-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58</Pages>
  <Words>93732</Words>
  <Characters>524929</Characters>
  <CharactersWithSpaces>616251</CharactersWithSpaces>
  <Paragraphs>3419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