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128905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140335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78" w:lineRule="exact"/>
        <w:rPr>
          <w:sz w:val="24"/>
          <w:szCs w:val="24"/>
          <w:color w:val="auto"/>
        </w:rPr>
      </w:pPr>
    </w:p>
    <w:p>
      <w:pPr>
        <w:ind w:left="760"/>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4140" w:right="1940" w:hanging="2146"/>
        <w:spacing w:after="0" w:line="282" w:lineRule="auto"/>
        <w:tabs>
          <w:tab w:leader="none" w:pos="2324"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 the fiscal year ended December 31, 2021</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or</w:t>
      </w:r>
    </w:p>
    <w:p>
      <w:pPr>
        <w:spacing w:after="0" w:line="84" w:lineRule="exact"/>
        <w:rPr>
          <w:sz w:val="24"/>
          <w:szCs w:val="24"/>
          <w:color w:val="auto"/>
        </w:rPr>
      </w:pPr>
    </w:p>
    <w:p>
      <w:pPr>
        <w:ind w:left="4140" w:right="1760" w:hanging="2326"/>
        <w:spacing w:after="0" w:line="298" w:lineRule="auto"/>
        <w:tabs>
          <w:tab w:leader="none" w:pos="214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5" w:lineRule="exact"/>
        <w:rPr>
          <w:sz w:val="24"/>
          <w:szCs w:val="24"/>
          <w:color w:val="auto"/>
        </w:rPr>
      </w:pPr>
    </w:p>
    <w:tbl>
      <w:tblPr>
        <w:tblLayout w:type="fixed"/>
        <w:tblInd w:w="3900" w:type="dxa"/>
        <w:tblCellMar>
          <w:top w:w="0" w:type="dxa"/>
          <w:left w:w="0" w:type="dxa"/>
          <w:bottom w:w="0" w:type="dxa"/>
          <w:right w:w="0" w:type="dxa"/>
        </w:tblCellMar>
      </w:tblPr>
      <w:tr>
        <w:trPr>
          <w:trHeight w:val="149"/>
        </w:trPr>
        <w:tc>
          <w:tcPr>
            <w:tcW w:w="1660" w:type="dxa"/>
            <w:vAlign w:val="bottom"/>
          </w:tcPr>
          <w:p>
            <w:pPr>
              <w:spacing w:after="0"/>
              <w:rPr>
                <w:sz w:val="20"/>
                <w:szCs w:val="20"/>
                <w:color w:val="auto"/>
              </w:rPr>
            </w:pPr>
            <w:r>
              <w:rPr>
                <w:rFonts w:ascii="Arial" w:cs="Arial" w:eastAsia="Arial" w:hAnsi="Arial"/>
                <w:sz w:val="13"/>
                <w:szCs w:val="13"/>
                <w:b w:val="1"/>
                <w:bCs w:val="1"/>
                <w:color w:val="auto"/>
                <w:w w:val="89"/>
              </w:rPr>
              <w:t>For the transition period from</w:t>
            </w:r>
          </w:p>
        </w:tc>
        <w:tc>
          <w:tcPr>
            <w:tcW w:w="580" w:type="dxa"/>
            <w:vAlign w:val="bottom"/>
            <w:tcBorders>
              <w:bottom w:val="single" w:sz="8" w:color="auto"/>
            </w:tcBorders>
          </w:tcPr>
          <w:p>
            <w:pPr>
              <w:spacing w:after="0"/>
              <w:rPr>
                <w:sz w:val="13"/>
                <w:szCs w:val="13"/>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0"/>
              </w:rPr>
              <w:t>to</w:t>
            </w:r>
          </w:p>
        </w:tc>
      </w:tr>
      <w:tr>
        <w:trPr>
          <w:trHeight w:val="248"/>
        </w:trPr>
        <w:tc>
          <w:tcPr>
            <w:tcW w:w="2240" w:type="dxa"/>
            <w:vAlign w:val="bottom"/>
            <w:gridSpan w:val="2"/>
          </w:tcPr>
          <w:p>
            <w:pPr>
              <w:ind w:left="200"/>
              <w:spacing w:after="0"/>
              <w:rPr>
                <w:sz w:val="20"/>
                <w:szCs w:val="20"/>
                <w:color w:val="auto"/>
              </w:rPr>
            </w:pPr>
            <w:r>
              <w:rPr>
                <w:rFonts w:ascii="Arial" w:cs="Arial" w:eastAsia="Arial" w:hAnsi="Arial"/>
                <w:sz w:val="13"/>
                <w:szCs w:val="13"/>
                <w:b w:val="1"/>
                <w:bCs w:val="1"/>
                <w:color w:val="auto"/>
                <w:w w:val="89"/>
              </w:rPr>
              <w:t>Commission File Number: 001-40675</w:t>
            </w:r>
          </w:p>
        </w:tc>
        <w:tc>
          <w:tcPr>
            <w:tcW w:w="18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61595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3"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Immuneering Corporation</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62230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jc w:val="center"/>
              <w:ind w:right="537"/>
              <w:spacing w:after="0"/>
              <w:rPr>
                <w:sz w:val="20"/>
                <w:szCs w:val="20"/>
                <w:color w:val="auto"/>
              </w:rPr>
            </w:pPr>
            <w:r>
              <w:rPr>
                <w:rFonts w:ascii="Arial" w:cs="Arial" w:eastAsia="Arial" w:hAnsi="Arial"/>
                <w:sz w:val="13"/>
                <w:szCs w:val="13"/>
                <w:b w:val="1"/>
                <w:bCs w:val="1"/>
                <w:color w:val="auto"/>
                <w:w w:val="87"/>
              </w:rPr>
              <w:t>Delaware</w:t>
            </w: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gridSpan w:val="2"/>
          </w:tcPr>
          <w:p>
            <w:pPr>
              <w:jc w:val="right"/>
              <w:ind w:right="1466"/>
              <w:spacing w:after="0"/>
              <w:rPr>
                <w:sz w:val="20"/>
                <w:szCs w:val="20"/>
                <w:color w:val="auto"/>
              </w:rPr>
            </w:pPr>
            <w:r>
              <w:rPr>
                <w:rFonts w:ascii="Arial" w:cs="Arial" w:eastAsia="Arial" w:hAnsi="Arial"/>
                <w:sz w:val="13"/>
                <w:szCs w:val="13"/>
                <w:color w:val="auto"/>
              </w:rPr>
              <w:t>26-1976972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4960" w:type="dxa"/>
            <w:vAlign w:val="bottom"/>
            <w:gridSpan w:val="6"/>
          </w:tcPr>
          <w:p>
            <w:pPr>
              <w:jc w:val="center"/>
              <w:ind w:right="2400"/>
              <w:spacing w:after="0"/>
              <w:rPr>
                <w:sz w:val="20"/>
                <w:szCs w:val="20"/>
                <w:color w:val="auto"/>
              </w:rPr>
            </w:pPr>
            <w:r>
              <w:rPr>
                <w:rFonts w:ascii="Arial" w:cs="Arial" w:eastAsia="Arial" w:hAnsi="Arial"/>
                <w:sz w:val="9"/>
                <w:szCs w:val="9"/>
                <w:b w:val="1"/>
                <w:bCs w:val="1"/>
                <w:color w:val="auto"/>
                <w:w w:val="91"/>
              </w:rPr>
              <w:t>(State or other jurisdiction of incorporation or organization)</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20" w:type="dxa"/>
            <w:vAlign w:val="bottom"/>
            <w:gridSpan w:val="3"/>
          </w:tcPr>
          <w:p>
            <w:pPr>
              <w:jc w:val="center"/>
              <w:ind w:right="860"/>
              <w:spacing w:after="0"/>
              <w:rPr>
                <w:sz w:val="20"/>
                <w:szCs w:val="20"/>
                <w:color w:val="auto"/>
              </w:rPr>
            </w:pPr>
            <w:r>
              <w:rPr>
                <w:rFonts w:ascii="Arial" w:cs="Arial" w:eastAsia="Arial" w:hAnsi="Arial"/>
                <w:sz w:val="9"/>
                <w:szCs w:val="9"/>
                <w:b w:val="1"/>
                <w:bCs w:val="1"/>
                <w:color w:val="auto"/>
                <w:w w:val="93"/>
              </w:rPr>
              <w:t>(I.R.S. Employer Identification Number)</w:t>
            </w: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2140" w:type="dxa"/>
            <w:vAlign w:val="bottom"/>
            <w:gridSpan w:val="2"/>
          </w:tcPr>
          <w:p>
            <w:pPr>
              <w:jc w:val="center"/>
              <w:ind w:left="362"/>
              <w:spacing w:after="0"/>
              <w:rPr>
                <w:sz w:val="20"/>
                <w:szCs w:val="20"/>
                <w:color w:val="auto"/>
              </w:rPr>
            </w:pPr>
            <w:r>
              <w:rPr>
                <w:rFonts w:ascii="Arial" w:cs="Arial" w:eastAsia="Arial" w:hAnsi="Arial"/>
                <w:sz w:val="13"/>
                <w:szCs w:val="13"/>
                <w:b w:val="1"/>
                <w:bCs w:val="1"/>
                <w:color w:val="auto"/>
                <w:w w:val="90"/>
              </w:rPr>
              <w:t>245 Main St.</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140" w:type="dxa"/>
            <w:vAlign w:val="bottom"/>
            <w:gridSpan w:val="2"/>
          </w:tcPr>
          <w:p>
            <w:pPr>
              <w:jc w:val="center"/>
              <w:ind w:left="342"/>
              <w:spacing w:after="0" w:line="135" w:lineRule="exact"/>
              <w:rPr>
                <w:sz w:val="20"/>
                <w:szCs w:val="20"/>
                <w:color w:val="auto"/>
              </w:rPr>
            </w:pPr>
            <w:r>
              <w:rPr>
                <w:rFonts w:ascii="Arial" w:cs="Arial" w:eastAsia="Arial" w:hAnsi="Arial"/>
                <w:sz w:val="13"/>
                <w:szCs w:val="13"/>
                <w:b w:val="1"/>
                <w:bCs w:val="1"/>
                <w:color w:val="auto"/>
                <w:w w:val="84"/>
              </w:rPr>
              <w:t>Second Floor</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2140" w:type="dxa"/>
            <w:vAlign w:val="bottom"/>
            <w:gridSpan w:val="2"/>
          </w:tcPr>
          <w:p>
            <w:pPr>
              <w:jc w:val="center"/>
              <w:ind w:left="362"/>
              <w:spacing w:after="0" w:line="144" w:lineRule="exact"/>
              <w:rPr>
                <w:sz w:val="20"/>
                <w:szCs w:val="20"/>
                <w:color w:val="auto"/>
              </w:rPr>
            </w:pPr>
            <w:r>
              <w:rPr>
                <w:rFonts w:ascii="Arial" w:cs="Arial" w:eastAsia="Arial" w:hAnsi="Arial"/>
                <w:sz w:val="13"/>
                <w:szCs w:val="13"/>
                <w:b w:val="1"/>
                <w:bCs w:val="1"/>
                <w:color w:val="auto"/>
                <w:w w:val="92"/>
              </w:rPr>
              <w:t>Cambridge, MA</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0" w:type="dxa"/>
            <w:vAlign w:val="bottom"/>
            <w:gridSpan w:val="2"/>
          </w:tcPr>
          <w:p>
            <w:pPr>
              <w:jc w:val="right"/>
              <w:ind w:right="1606"/>
              <w:spacing w:after="0" w:line="144" w:lineRule="exact"/>
              <w:rPr>
                <w:sz w:val="20"/>
                <w:szCs w:val="20"/>
                <w:color w:val="auto"/>
              </w:rPr>
            </w:pPr>
            <w:r>
              <w:rPr>
                <w:rFonts w:ascii="Arial" w:cs="Arial" w:eastAsia="Arial" w:hAnsi="Arial"/>
                <w:sz w:val="13"/>
                <w:szCs w:val="13"/>
                <w:b w:val="1"/>
                <w:bCs w:val="1"/>
                <w:color w:val="auto"/>
              </w:rPr>
              <w:t>02142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140" w:type="dxa"/>
            <w:vAlign w:val="bottom"/>
            <w:gridSpan w:val="2"/>
          </w:tcPr>
          <w:p>
            <w:pPr>
              <w:jc w:val="center"/>
              <w:ind w:left="342"/>
              <w:spacing w:after="0"/>
              <w:rPr>
                <w:sz w:val="20"/>
                <w:szCs w:val="20"/>
                <w:color w:val="auto"/>
              </w:rPr>
            </w:pPr>
            <w:r>
              <w:rPr>
                <w:rFonts w:ascii="Arial" w:cs="Arial" w:eastAsia="Arial" w:hAnsi="Arial"/>
                <w:sz w:val="9"/>
                <w:szCs w:val="9"/>
                <w:b w:val="1"/>
                <w:bCs w:val="1"/>
                <w:color w:val="auto"/>
                <w:w w:val="90"/>
              </w:rPr>
              <w:t>(Address of Principal Executive Offices)</w:t>
            </w: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20" w:type="dxa"/>
            <w:vAlign w:val="bottom"/>
            <w:gridSpan w:val="2"/>
          </w:tcPr>
          <w:p>
            <w:pPr>
              <w:jc w:val="center"/>
              <w:ind w:right="1540"/>
              <w:spacing w:after="0"/>
              <w:rPr>
                <w:sz w:val="20"/>
                <w:szCs w:val="20"/>
                <w:color w:val="auto"/>
              </w:rPr>
            </w:pPr>
            <w:r>
              <w:rPr>
                <w:rFonts w:ascii="Arial" w:cs="Arial" w:eastAsia="Arial" w:hAnsi="Arial"/>
                <w:sz w:val="9"/>
                <w:szCs w:val="9"/>
                <w:b w:val="1"/>
                <w:bCs w:val="1"/>
                <w:color w:val="auto"/>
                <w:w w:val="94"/>
              </w:rPr>
              <w:t>(Zip Code)</w:t>
            </w: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20" w:type="dxa"/>
            <w:vAlign w:val="bottom"/>
            <w:gridSpan w:val="3"/>
          </w:tcPr>
          <w:p>
            <w:pPr>
              <w:jc w:val="center"/>
              <w:ind w:left="1206"/>
              <w:spacing w:after="0"/>
              <w:rPr>
                <w:sz w:val="20"/>
                <w:szCs w:val="20"/>
                <w:color w:val="auto"/>
              </w:rPr>
            </w:pPr>
            <w:r>
              <w:rPr>
                <w:rFonts w:ascii="Arial" w:cs="Arial" w:eastAsia="Arial" w:hAnsi="Arial"/>
                <w:sz w:val="13"/>
                <w:szCs w:val="13"/>
                <w:b w:val="1"/>
                <w:bCs w:val="1"/>
                <w:color w:val="auto"/>
                <w:w w:val="87"/>
              </w:rPr>
              <w:t>(617) 500-8080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20" w:type="dxa"/>
            <w:vAlign w:val="bottom"/>
            <w:gridSpan w:val="3"/>
          </w:tcPr>
          <w:p>
            <w:pPr>
              <w:jc w:val="center"/>
              <w:ind w:left="86"/>
              <w:spacing w:after="0"/>
              <w:rPr>
                <w:sz w:val="20"/>
                <w:szCs w:val="20"/>
                <w:color w:val="auto"/>
              </w:rPr>
            </w:pPr>
            <w:r>
              <w:rPr>
                <w:rFonts w:ascii="Arial" w:cs="Arial" w:eastAsia="Arial" w:hAnsi="Arial"/>
                <w:sz w:val="9"/>
                <w:szCs w:val="9"/>
                <w:b w:val="1"/>
                <w:bCs w:val="1"/>
                <w:color w:val="auto"/>
                <w:w w:val="89"/>
              </w:rPr>
              <w:t>(Registrant’s telephone number)</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gridSpan w:val="2"/>
          </w:tcPr>
          <w:p>
            <w:pPr>
              <w:jc w:val="center"/>
              <w:ind w:right="740"/>
              <w:spacing w:after="0"/>
              <w:rPr>
                <w:sz w:val="20"/>
                <w:szCs w:val="20"/>
                <w:color w:val="auto"/>
              </w:rPr>
            </w:pPr>
            <w:r>
              <w:rPr>
                <w:rFonts w:ascii="Arial" w:cs="Arial" w:eastAsia="Arial" w:hAnsi="Arial"/>
                <w:sz w:val="9"/>
                <w:szCs w:val="9"/>
                <w:b w:val="1"/>
                <w:bCs w:val="1"/>
                <w:color w:val="auto"/>
              </w:rPr>
              <w:t>N/A</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60" w:type="dxa"/>
            <w:vAlign w:val="bottom"/>
            <w:gridSpan w:val="6"/>
          </w:tcPr>
          <w:p>
            <w:pPr>
              <w:jc w:val="right"/>
              <w:spacing w:after="0"/>
              <w:rPr>
                <w:sz w:val="20"/>
                <w:szCs w:val="20"/>
                <w:color w:val="auto"/>
              </w:rPr>
            </w:pPr>
            <w:r>
              <w:rPr>
                <w:rFonts w:ascii="Arial" w:cs="Arial" w:eastAsia="Arial" w:hAnsi="Arial"/>
                <w:sz w:val="9"/>
                <w:szCs w:val="9"/>
                <w:b w:val="1"/>
                <w:bCs w:val="1"/>
                <w:color w:val="auto"/>
                <w:w w:val="92"/>
              </w:rPr>
              <w:t>(Former name, former address and former fiscal year, if changed since last report)</w:t>
            </w:r>
          </w:p>
        </w:tc>
        <w:tc>
          <w:tcPr>
            <w:tcW w:w="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420" w:type="dxa"/>
            <w:vAlign w:val="bottom"/>
            <w:gridSpan w:val="3"/>
            <w:vMerge w:val="restart"/>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4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42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80" w:type="dxa"/>
            <w:vAlign w:val="bottom"/>
            <w:vMerge w:val="restart"/>
          </w:tcPr>
          <w:p>
            <w:pPr>
              <w:ind w:left="420"/>
              <w:spacing w:after="0"/>
              <w:rPr>
                <w:sz w:val="20"/>
                <w:szCs w:val="20"/>
                <w:color w:val="auto"/>
              </w:rPr>
            </w:pPr>
            <w:r>
              <w:rPr>
                <w:rFonts w:ascii="Arial" w:cs="Arial" w:eastAsia="Arial" w:hAnsi="Arial"/>
                <w:sz w:val="13"/>
                <w:szCs w:val="13"/>
                <w:b w:val="1"/>
                <w:bCs w:val="1"/>
                <w:color w:val="auto"/>
                <w:w w:val="79"/>
              </w:rPr>
              <w:t>Class A common</w:t>
            </w:r>
          </w:p>
        </w:tc>
        <w:tc>
          <w:tcPr>
            <w:tcW w:w="21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400" w:type="dxa"/>
            <w:vAlign w:val="bottom"/>
          </w:tcPr>
          <w:p>
            <w:pPr>
              <w:spacing w:after="0"/>
              <w:rPr>
                <w:sz w:val="16"/>
                <w:szCs w:val="16"/>
                <w:color w:val="auto"/>
              </w:rPr>
            </w:pPr>
          </w:p>
        </w:tc>
        <w:tc>
          <w:tcPr>
            <w:tcW w:w="2420" w:type="dxa"/>
            <w:vAlign w:val="bottom"/>
            <w:gridSpan w:val="3"/>
          </w:tcPr>
          <w:p>
            <w:pPr>
              <w:jc w:val="center"/>
              <w:ind w:left="126"/>
              <w:spacing w:after="0"/>
              <w:rPr>
                <w:sz w:val="20"/>
                <w:szCs w:val="20"/>
                <w:color w:val="auto"/>
              </w:rPr>
            </w:pPr>
            <w:r>
              <w:rPr>
                <w:rFonts w:ascii="Arial" w:cs="Arial" w:eastAsia="Arial" w:hAnsi="Arial"/>
                <w:sz w:val="13"/>
                <w:szCs w:val="13"/>
                <w:b w:val="1"/>
                <w:bCs w:val="1"/>
                <w:color w:val="auto"/>
                <w:w w:val="86"/>
              </w:rPr>
              <w:t>Trading symbol</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3"/>
          </w:tcPr>
          <w:p>
            <w:pPr>
              <w:jc w:val="center"/>
              <w:ind w:left="620"/>
              <w:spacing w:after="0"/>
              <w:rPr>
                <w:sz w:val="20"/>
                <w:szCs w:val="20"/>
                <w:color w:val="auto"/>
              </w:rPr>
            </w:pPr>
            <w:r>
              <w:rPr>
                <w:rFonts w:ascii="Arial" w:cs="Arial" w:eastAsia="Arial" w:hAnsi="Arial"/>
                <w:sz w:val="13"/>
                <w:szCs w:val="13"/>
                <w:b w:val="1"/>
                <w:bCs w:val="1"/>
                <w:color w:val="auto"/>
                <w:w w:val="86"/>
              </w:rPr>
              <w:t>Name of Exchange on which registered</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280" w:type="dxa"/>
            <w:vAlign w:val="bottom"/>
            <w:vMerge w:val="continue"/>
          </w:tcPr>
          <w:p>
            <w:pPr>
              <w:spacing w:after="0"/>
              <w:rPr>
                <w:sz w:val="13"/>
                <w:szCs w:val="13"/>
                <w:color w:val="auto"/>
              </w:rPr>
            </w:pPr>
          </w:p>
        </w:tc>
        <w:tc>
          <w:tcPr>
            <w:tcW w:w="2140" w:type="dxa"/>
            <w:vAlign w:val="bottom"/>
            <w:gridSpan w:val="2"/>
          </w:tcPr>
          <w:p>
            <w:pPr>
              <w:ind w:left="80"/>
              <w:spacing w:after="0"/>
              <w:rPr>
                <w:sz w:val="20"/>
                <w:szCs w:val="20"/>
                <w:color w:val="auto"/>
              </w:rPr>
            </w:pPr>
            <w:r>
              <w:rPr>
                <w:rFonts w:ascii="Arial" w:cs="Arial" w:eastAsia="Arial" w:hAnsi="Arial"/>
                <w:sz w:val="13"/>
                <w:szCs w:val="13"/>
                <w:b w:val="1"/>
                <w:bCs w:val="1"/>
                <w:color w:val="auto"/>
                <w:w w:val="99"/>
              </w:rPr>
              <w:t>Stock, par value $0.001 per share</w:t>
            </w: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IMRX</w:t>
            </w:r>
          </w:p>
        </w:tc>
        <w:tc>
          <w:tcPr>
            <w:tcW w:w="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b w:val="1"/>
                <w:bCs w:val="1"/>
                <w:color w:val="auto"/>
                <w:w w:val="90"/>
              </w:rPr>
              <w:t>The Nasdaq Global Market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6240" w:type="dxa"/>
            <w:vAlign w:val="bottom"/>
            <w:gridSpan w:val="7"/>
          </w:tcPr>
          <w:p>
            <w:pPr>
              <w:spacing w:after="0"/>
              <w:rPr>
                <w:sz w:val="20"/>
                <w:szCs w:val="20"/>
                <w:color w:val="auto"/>
              </w:rPr>
            </w:pPr>
            <w:r>
              <w:rPr>
                <w:rFonts w:ascii="Arial" w:cs="Arial" w:eastAsia="Arial" w:hAnsi="Arial"/>
                <w:sz w:val="13"/>
                <w:szCs w:val="13"/>
                <w:color w:val="auto"/>
                <w:w w:val="88"/>
              </w:rPr>
              <w:t>Indicate by check mark if the registrant is a well-known seasoned issuer, as defined in Rule 405 of the Securities Act.  Yes</w:t>
            </w:r>
          </w:p>
        </w:tc>
        <w:tc>
          <w:tcPr>
            <w:tcW w:w="440" w:type="dxa"/>
            <w:vAlign w:val="bottom"/>
            <w:gridSpan w:val="2"/>
          </w:tcPr>
          <w:p>
            <w:pPr>
              <w:jc w:val="right"/>
              <w:ind w:righ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c>
          <w:tcPr>
            <w:tcW w:w="2820" w:type="dxa"/>
            <w:vAlign w:val="bottom"/>
            <w:gridSpan w:val="3"/>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43"/>
        </w:trPr>
        <w:tc>
          <w:tcPr>
            <w:tcW w:w="6240" w:type="dxa"/>
            <w:vAlign w:val="bottom"/>
            <w:gridSpan w:val="7"/>
          </w:tcPr>
          <w:p>
            <w:pPr>
              <w:spacing w:after="0"/>
              <w:rPr>
                <w:sz w:val="20"/>
                <w:szCs w:val="20"/>
                <w:color w:val="auto"/>
              </w:rPr>
            </w:pPr>
            <w:r>
              <w:rPr>
                <w:rFonts w:ascii="Arial" w:cs="Arial" w:eastAsia="Arial" w:hAnsi="Arial"/>
                <w:sz w:val="13"/>
                <w:szCs w:val="13"/>
                <w:color w:val="auto"/>
                <w:w w:val="88"/>
              </w:rPr>
              <w:t>Indicate by check mark if the registrant is not required to file reports pursuant to Section 13 or Section 15(d) of the Act. Yes</w:t>
            </w:r>
          </w:p>
        </w:tc>
        <w:tc>
          <w:tcPr>
            <w:tcW w:w="440" w:type="dxa"/>
            <w:vAlign w:val="bottom"/>
            <w:gridSpan w:val="2"/>
          </w:tcPr>
          <w:p>
            <w:pPr>
              <w:jc w:val="right"/>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c>
          <w:tcPr>
            <w:tcW w:w="2820" w:type="dxa"/>
            <w:vAlign w:val="bottom"/>
            <w:gridSpan w:val="3"/>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260"/>
        <w:spacing w:after="0" w:line="161"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right="6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ind w:right="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40" w:top="665" w:right="899" w:bottom="1440" w:gutter="0" w:footer="0" w:header="0"/>
        </w:sectPr>
      </w:pPr>
    </w:p>
    <w:p>
      <w:pPr>
        <w:spacing w:after="0" w:line="57"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15" w:lineRule="exact"/>
        <w:rPr>
          <w:sz w:val="24"/>
          <w:szCs w:val="24"/>
          <w:color w:val="auto"/>
        </w:rPr>
      </w:pPr>
    </w:p>
    <w:p>
      <w:pPr>
        <w:sectPr>
          <w:pgSz w:w="11900" w:h="16838" w:orient="portrait"/>
          <w:cols w:equalWidth="0" w:num="4">
            <w:col w:w="1120" w:space="580"/>
            <w:col w:w="1680" w:space="720"/>
            <w:col w:w="1360" w:space="720"/>
            <w:col w:w="3980"/>
          </w:cols>
          <w:pgMar w:left="840" w:top="665" w:right="89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7" w:lineRule="exact"/>
        <w:rPr>
          <w:sz w:val="24"/>
          <w:szCs w:val="24"/>
          <w:color w:val="auto"/>
        </w:rPr>
      </w:pPr>
    </w:p>
    <w:p>
      <w:pPr>
        <w:sectPr>
          <w:pgSz w:w="11900" w:h="16838" w:orient="portrait"/>
          <w:cols w:equalWidth="0" w:num="6">
            <w:col w:w="1060" w:space="640"/>
            <w:col w:w="1680" w:space="720"/>
            <w:col w:w="1380" w:space="700"/>
            <w:col w:w="860" w:space="720"/>
            <w:col w:w="1400" w:space="720"/>
            <w:col w:w="280"/>
          </w:cols>
          <w:pgMar w:left="840" w:top="665" w:right="899" w:bottom="1440" w:gutter="0" w:footer="0" w:header="0"/>
          <w:type w:val="continuous"/>
        </w:sectPr>
      </w:pPr>
    </w:p>
    <w:p>
      <w:pPr>
        <w:ind w:right="3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5" w:lineRule="exact"/>
        <w:rPr>
          <w:sz w:val="24"/>
          <w:szCs w:val="24"/>
          <w:color w:val="auto"/>
        </w:rPr>
      </w:pPr>
    </w:p>
    <w:p>
      <w:pPr>
        <w:ind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150" w:lineRule="exact"/>
        <w:tabs>
          <w:tab w:leader="none" w:pos="626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5" w:lineRule="exact"/>
        <w:rPr>
          <w:sz w:val="24"/>
          <w:szCs w:val="24"/>
          <w:color w:val="auto"/>
        </w:rPr>
      </w:pPr>
    </w:p>
    <w:p>
      <w:pPr>
        <w:spacing w:after="0" w:line="254" w:lineRule="auto"/>
        <w:rPr>
          <w:sz w:val="20"/>
          <w:szCs w:val="20"/>
          <w:color w:val="auto"/>
        </w:rPr>
      </w:pPr>
      <w:r>
        <w:rPr>
          <w:rFonts w:ascii="Arial" w:cs="Arial" w:eastAsia="Arial" w:hAnsi="Arial"/>
          <w:sz w:val="12"/>
          <w:szCs w:val="12"/>
          <w:color w:val="auto"/>
        </w:rPr>
        <w:t>As of June 30, 2021, the last day of the registrant’s most recently completed second fiscal quarter, the registrant’s Class A common stock was not publicly traded. The registrant's Class A common stock, began trading on the Nasdaq Global Market on July 30, 2021. As of March 3, 2022, the aggregate market value of the registrant’s voting and non-voting common stock held by non-affiliates of the registrant was approximately $136.9 million (based upon the closing sale price of the Class A common stock on that date on the Nasdaq Global Market).</w:t>
      </w:r>
    </w:p>
    <w:p>
      <w:pPr>
        <w:spacing w:after="0" w:line="129" w:lineRule="exact"/>
        <w:rPr>
          <w:sz w:val="24"/>
          <w:szCs w:val="24"/>
          <w:color w:val="auto"/>
        </w:rPr>
      </w:pPr>
    </w:p>
    <w:p>
      <w:pPr>
        <w:ind w:right="200"/>
        <w:spacing w:after="0" w:line="236" w:lineRule="auto"/>
        <w:rPr>
          <w:sz w:val="20"/>
          <w:szCs w:val="20"/>
          <w:color w:val="auto"/>
        </w:rPr>
      </w:pPr>
      <w:r>
        <w:rPr>
          <w:rFonts w:ascii="Arial" w:cs="Arial" w:eastAsia="Arial" w:hAnsi="Arial"/>
          <w:sz w:val="13"/>
          <w:szCs w:val="13"/>
          <w:color w:val="auto"/>
        </w:rPr>
        <w:t>As of March 3, 2022, the registrant had 26,377,299 shares of Class A common stock, $0.001 par value per share, issued and outstanding and 0 shares of Class B common stock, $0.001 par value per share, issued and outstanding.</w:t>
      </w: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0" w:lineRule="exact"/>
        <w:rPr>
          <w:sz w:val="24"/>
          <w:szCs w:val="24"/>
          <w:color w:val="auto"/>
        </w:rPr>
      </w:pPr>
    </w:p>
    <w:p>
      <w:pPr>
        <w:ind w:right="60"/>
        <w:spacing w:after="0" w:line="273" w:lineRule="auto"/>
        <w:rPr>
          <w:sz w:val="20"/>
          <w:szCs w:val="20"/>
          <w:color w:val="auto"/>
        </w:rPr>
      </w:pPr>
      <w:r>
        <w:rPr>
          <w:rFonts w:ascii="Arial" w:cs="Arial" w:eastAsia="Arial" w:hAnsi="Arial"/>
          <w:sz w:val="12"/>
          <w:szCs w:val="12"/>
          <w:color w:val="auto"/>
        </w:rPr>
        <w:t>Portions of the registrant’s Definitive Proxy Statement relating to the registrant’s 2022 Annual Meeting of Stockholders to be filed with the Securities and Exchange Commission within 120 days of the end of the registrant’s fiscal year ended December 31, 2021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589915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92710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135255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60"/>
          </w:cols>
          <w:pgMar w:left="840" w:top="665" w:right="89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gridSpan w:val="12"/>
          </w:tcPr>
          <w:p>
            <w:pPr>
              <w:ind w:left="4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80" w:type="dxa"/>
            <w:vAlign w:val="bottom"/>
            <w:gridSpan w:val="6"/>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8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Item 1.</w:t>
              </w:r>
            </w:hyperlink>
          </w:p>
        </w:tc>
        <w:tc>
          <w:tcPr>
            <w:tcW w:w="460" w:type="dxa"/>
            <w:vAlign w:val="bottom"/>
            <w:gridSpan w:val="4"/>
          </w:tcPr>
          <w:p>
            <w:pPr>
              <w:spacing w:after="0"/>
              <w:rPr>
                <w:sz w:val="24"/>
                <w:szCs w:val="24"/>
                <w:color w:val="auto"/>
              </w:rPr>
            </w:pPr>
          </w:p>
        </w:tc>
        <w:tc>
          <w:tcPr>
            <w:tcW w:w="758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3"/>
              </w:rPr>
            </w:pPr>
            <w:hyperlink w:anchor="page55">
              <w:r>
                <w:rPr>
                  <w:rFonts w:ascii="Arial" w:cs="Arial" w:eastAsia="Arial" w:hAnsi="Arial"/>
                  <w:sz w:val="18"/>
                  <w:szCs w:val="18"/>
                  <w:color w:val="0000EE"/>
                  <w:w w:val="83"/>
                </w:rPr>
                <w:t>Item 1A.</w:t>
              </w:r>
            </w:hyperlink>
          </w:p>
        </w:tc>
        <w:tc>
          <w:tcPr>
            <w:tcW w:w="380" w:type="dxa"/>
            <w:vAlign w:val="bottom"/>
            <w:gridSpan w:val="2"/>
          </w:tcPr>
          <w:p>
            <w:pPr>
              <w:spacing w:after="0"/>
              <w:rPr>
                <w:sz w:val="24"/>
                <w:szCs w:val="24"/>
                <w:color w:val="auto"/>
              </w:rPr>
            </w:pPr>
          </w:p>
        </w:tc>
        <w:tc>
          <w:tcPr>
            <w:tcW w:w="758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3"/>
              </w:rPr>
            </w:pPr>
            <w:hyperlink w:anchor="page116">
              <w:r>
                <w:rPr>
                  <w:rFonts w:ascii="Arial" w:cs="Arial" w:eastAsia="Arial" w:hAnsi="Arial"/>
                  <w:sz w:val="18"/>
                  <w:szCs w:val="18"/>
                  <w:color w:val="0000EE"/>
                  <w:w w:val="83"/>
                </w:rPr>
                <w:t>Item 1B.</w:t>
              </w:r>
            </w:hyperlink>
          </w:p>
        </w:tc>
        <w:tc>
          <w:tcPr>
            <w:tcW w:w="380" w:type="dxa"/>
            <w:vAlign w:val="bottom"/>
            <w:gridSpan w:val="2"/>
          </w:tcPr>
          <w:p>
            <w:pPr>
              <w:spacing w:after="0"/>
              <w:rPr>
                <w:sz w:val="24"/>
                <w:szCs w:val="24"/>
                <w:color w:val="auto"/>
              </w:rPr>
            </w:pPr>
          </w:p>
        </w:tc>
        <w:tc>
          <w:tcPr>
            <w:tcW w:w="7580" w:type="dxa"/>
            <w:vAlign w:val="bottom"/>
            <w:gridSpan w:val="2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Unresolved Staff Comments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Borders>
              <w:top w:val="single" w:sz="8" w:color="0000EE"/>
            </w:tcBorders>
            <w:gridSpan w:val="4"/>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Item 2.</w:t>
              </w:r>
            </w:hyperlink>
          </w:p>
        </w:tc>
        <w:tc>
          <w:tcPr>
            <w:tcW w:w="380" w:type="dxa"/>
            <w:vAlign w:val="bottom"/>
            <w:gridSpan w:val="2"/>
          </w:tcPr>
          <w:p>
            <w:pPr>
              <w:spacing w:after="0"/>
              <w:rPr>
                <w:sz w:val="24"/>
                <w:szCs w:val="24"/>
                <w:color w:val="auto"/>
              </w:rPr>
            </w:pP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Properties</w:t>
              </w:r>
            </w:hyperlink>
          </w:p>
        </w:tc>
        <w:tc>
          <w:tcPr>
            <w:tcW w:w="554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Item 3.</w:t>
              </w:r>
            </w:hyperlink>
          </w:p>
        </w:tc>
        <w:tc>
          <w:tcPr>
            <w:tcW w:w="7580" w:type="dxa"/>
            <w:vAlign w:val="bottom"/>
            <w:gridSpan w:val="2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Legal Proceedings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Item 4.</w:t>
              </w:r>
            </w:hyperlink>
          </w:p>
        </w:tc>
        <w:tc>
          <w:tcPr>
            <w:tcW w:w="7580" w:type="dxa"/>
            <w:vAlign w:val="bottom"/>
            <w:gridSpan w:val="2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Mine Safety Disclosures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16">
              <w:r>
                <w:rPr>
                  <w:rFonts w:ascii="Arial" w:cs="Arial" w:eastAsia="Arial" w:hAnsi="Arial"/>
                  <w:sz w:val="18"/>
                  <w:szCs w:val="18"/>
                  <w:color w:val="0000EE"/>
                  <w:w w:val="88"/>
                </w:rPr>
                <w:t>PART II</w:t>
              </w:r>
            </w:hyperlink>
          </w:p>
        </w:tc>
        <w:tc>
          <w:tcPr>
            <w:tcW w:w="3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Item 5.</w:t>
              </w:r>
            </w:hyperlink>
          </w:p>
        </w:tc>
        <w:tc>
          <w:tcPr>
            <w:tcW w:w="7580" w:type="dxa"/>
            <w:vAlign w:val="bottom"/>
            <w:gridSpan w:val="21"/>
          </w:tcPr>
          <w:p>
            <w:pPr>
              <w:spacing w:after="0"/>
              <w:rPr>
                <w:rFonts w:ascii="Arial" w:cs="Arial" w:eastAsia="Arial" w:hAnsi="Arial"/>
                <w:sz w:val="18"/>
                <w:szCs w:val="18"/>
                <w:color w:val="0000EE"/>
                <w:w w:val="93"/>
              </w:rPr>
            </w:pPr>
            <w:hyperlink w:anchor="page116">
              <w:r>
                <w:rPr>
                  <w:rFonts w:ascii="Arial" w:cs="Arial" w:eastAsia="Arial" w:hAnsi="Arial"/>
                  <w:sz w:val="18"/>
                  <w:szCs w:val="18"/>
                  <w:color w:val="0000EE"/>
                  <w:w w:val="93"/>
                </w:rPr>
                <w:t>Market for Registrant’s Common Equity, Related Stockholder Matters and Issuer Purchases of Equity</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Securities</w:t>
              </w:r>
            </w:hyperlink>
          </w:p>
        </w:tc>
        <w:tc>
          <w:tcPr>
            <w:tcW w:w="6580" w:type="dxa"/>
            <w:vAlign w:val="bottom"/>
            <w:tcBorders>
              <w:top w:val="single" w:sz="8" w:color="0000EE"/>
            </w:tcBorders>
            <w:gridSpan w:val="18"/>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Item 6.</w:t>
              </w:r>
            </w:hyperlink>
          </w:p>
        </w:tc>
        <w:tc>
          <w:tcPr>
            <w:tcW w:w="7580" w:type="dxa"/>
            <w:vAlign w:val="bottom"/>
            <w:gridSpan w:val="21"/>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[Reserved]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Item 7.</w:t>
              </w:r>
            </w:hyperlink>
          </w:p>
        </w:tc>
        <w:tc>
          <w:tcPr>
            <w:tcW w:w="7580" w:type="dxa"/>
            <w:vAlign w:val="bottom"/>
            <w:gridSpan w:val="21"/>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3"/>
              </w:rPr>
            </w:pPr>
            <w:hyperlink w:anchor="page129">
              <w:r>
                <w:rPr>
                  <w:rFonts w:ascii="Arial" w:cs="Arial" w:eastAsia="Arial" w:hAnsi="Arial"/>
                  <w:sz w:val="18"/>
                  <w:szCs w:val="18"/>
                  <w:color w:val="0000EE"/>
                  <w:w w:val="83"/>
                </w:rPr>
                <w:t>Item 7A.</w:t>
              </w:r>
            </w:hyperlink>
          </w:p>
        </w:tc>
        <w:tc>
          <w:tcPr>
            <w:tcW w:w="380" w:type="dxa"/>
            <w:vAlign w:val="bottom"/>
            <w:gridSpan w:val="2"/>
          </w:tcPr>
          <w:p>
            <w:pPr>
              <w:spacing w:after="0"/>
              <w:rPr>
                <w:sz w:val="24"/>
                <w:szCs w:val="24"/>
                <w:color w:val="auto"/>
              </w:rPr>
            </w:pPr>
          </w:p>
        </w:tc>
        <w:tc>
          <w:tcPr>
            <w:tcW w:w="7580" w:type="dxa"/>
            <w:vAlign w:val="bottom"/>
            <w:gridSpan w:val="21"/>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Quantitative and Qualitative Disclosures about Market Risk</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top w:val="single" w:sz="8" w:color="0000EE"/>
            </w:tcBorders>
            <w:gridSpan w:val="4"/>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Item 8.</w:t>
              </w:r>
            </w:hyperlink>
          </w:p>
        </w:tc>
        <w:tc>
          <w:tcPr>
            <w:tcW w:w="380" w:type="dxa"/>
            <w:vAlign w:val="bottom"/>
            <w:gridSpan w:val="2"/>
          </w:tcPr>
          <w:p>
            <w:pPr>
              <w:spacing w:after="0"/>
              <w:rPr>
                <w:sz w:val="24"/>
                <w:szCs w:val="24"/>
                <w:color w:val="auto"/>
              </w:rPr>
            </w:pPr>
          </w:p>
        </w:tc>
        <w:tc>
          <w:tcPr>
            <w:tcW w:w="4300" w:type="dxa"/>
            <w:vAlign w:val="bottom"/>
            <w:tcBorders>
              <w:top w:val="single" w:sz="8" w:color="0000EE"/>
            </w:tcBorders>
            <w:gridSpan w:val="14"/>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Financial Statements and Supplementary Data</w:t>
              </w:r>
            </w:hyperlink>
          </w:p>
        </w:tc>
        <w:tc>
          <w:tcPr>
            <w:tcW w:w="328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Item 9.</w:t>
              </w:r>
            </w:hyperlink>
          </w:p>
        </w:tc>
        <w:tc>
          <w:tcPr>
            <w:tcW w:w="7580" w:type="dxa"/>
            <w:vAlign w:val="bottom"/>
            <w:gridSpan w:val="21"/>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Changes in and Disagreements With Accountants on Accounting and Financial Disclosure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157">
              <w:r>
                <w:rPr>
                  <w:rFonts w:ascii="Arial" w:cs="Arial" w:eastAsia="Arial" w:hAnsi="Arial"/>
                  <w:sz w:val="18"/>
                  <w:szCs w:val="18"/>
                  <w:color w:val="0000EE"/>
                  <w:w w:val="83"/>
                </w:rPr>
                <w:t>Item 9A.</w:t>
              </w:r>
            </w:hyperlink>
          </w:p>
        </w:tc>
        <w:tc>
          <w:tcPr>
            <w:tcW w:w="380" w:type="dxa"/>
            <w:vAlign w:val="bottom"/>
            <w:gridSpan w:val="2"/>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57">
              <w:r>
                <w:rPr>
                  <w:rFonts w:ascii="Arial" w:cs="Arial" w:eastAsia="Arial" w:hAnsi="Arial"/>
                  <w:sz w:val="18"/>
                  <w:szCs w:val="18"/>
                  <w:color w:val="0000EE"/>
                  <w:w w:val="88"/>
                </w:rPr>
                <w:t>Controls and Procedures</w:t>
              </w:r>
            </w:hyperlink>
          </w:p>
        </w:tc>
        <w:tc>
          <w:tcPr>
            <w:tcW w:w="5800" w:type="dxa"/>
            <w:vAlign w:val="bottom"/>
            <w:gridSpan w:val="1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Item 9B.</w:t>
              </w:r>
            </w:hyperlink>
          </w:p>
        </w:tc>
        <w:tc>
          <w:tcPr>
            <w:tcW w:w="7580" w:type="dxa"/>
            <w:vAlign w:val="bottom"/>
            <w:gridSpan w:val="21"/>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Item 9C.</w:t>
              </w:r>
            </w:hyperlink>
          </w:p>
        </w:tc>
        <w:tc>
          <w:tcPr>
            <w:tcW w:w="7580" w:type="dxa"/>
            <w:vAlign w:val="bottom"/>
            <w:gridSpan w:val="21"/>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Disclosure Regarding Foreign Jurisdictions that Prevent Inspections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158">
              <w:r>
                <w:rPr>
                  <w:rFonts w:ascii="Arial" w:cs="Arial" w:eastAsia="Arial" w:hAnsi="Arial"/>
                  <w:sz w:val="18"/>
                  <w:szCs w:val="18"/>
                  <w:color w:val="0000EE"/>
                  <w:w w:val="86"/>
                </w:rPr>
                <w:t>Item 10.</w:t>
              </w:r>
            </w:hyperlink>
          </w:p>
        </w:tc>
        <w:tc>
          <w:tcPr>
            <w:tcW w:w="380" w:type="dxa"/>
            <w:vAlign w:val="bottom"/>
            <w:gridSpan w:val="2"/>
          </w:tcPr>
          <w:p>
            <w:pPr>
              <w:spacing w:after="0"/>
              <w:rPr>
                <w:sz w:val="24"/>
                <w:szCs w:val="24"/>
                <w:color w:val="auto"/>
              </w:rPr>
            </w:pP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58">
              <w:r>
                <w:rPr>
                  <w:rFonts w:ascii="Arial" w:cs="Arial" w:eastAsia="Arial" w:hAnsi="Arial"/>
                  <w:sz w:val="18"/>
                  <w:szCs w:val="18"/>
                  <w:color w:val="0000EE"/>
                  <w:w w:val="90"/>
                </w:rPr>
                <w:t>Directors, Executive Officers and Corporate Governance</w:t>
              </w:r>
            </w:hyperlink>
          </w:p>
        </w:tc>
        <w:tc>
          <w:tcPr>
            <w:tcW w:w="3480" w:type="dxa"/>
            <w:vAlign w:val="bottom"/>
            <w:gridSpan w:val="8"/>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Item 11.</w:t>
              </w:r>
            </w:hyperlink>
          </w:p>
        </w:tc>
        <w:tc>
          <w:tcPr>
            <w:tcW w:w="7580" w:type="dxa"/>
            <w:vAlign w:val="bottom"/>
            <w:gridSpan w:val="21"/>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Executive Compensation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58">
              <w:r>
                <w:rPr>
                  <w:rFonts w:ascii="Arial" w:cs="Arial" w:eastAsia="Arial" w:hAnsi="Arial"/>
                  <w:sz w:val="18"/>
                  <w:szCs w:val="18"/>
                  <w:color w:val="0000EE"/>
                  <w:w w:val="86"/>
                </w:rPr>
                <w:t>Item 12.</w:t>
              </w:r>
            </w:hyperlink>
          </w:p>
        </w:tc>
        <w:tc>
          <w:tcPr>
            <w:tcW w:w="380" w:type="dxa"/>
            <w:vAlign w:val="bottom"/>
            <w:gridSpan w:val="2"/>
          </w:tcPr>
          <w:p>
            <w:pPr>
              <w:spacing w:after="0"/>
              <w:rPr>
                <w:sz w:val="24"/>
                <w:szCs w:val="24"/>
                <w:color w:val="auto"/>
              </w:rPr>
            </w:pP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58">
              <w:r>
                <w:rPr>
                  <w:rFonts w:ascii="Arial" w:cs="Arial" w:eastAsia="Arial" w:hAnsi="Arial"/>
                  <w:sz w:val="18"/>
                  <w:szCs w:val="18"/>
                  <w:color w:val="0000EE"/>
                  <w:w w:val="90"/>
                </w:rPr>
                <w:t>Security Ownership of Certain Beneficial Owners and Management and Related Stockholder Matters</w:t>
              </w:r>
            </w:hyperlink>
          </w:p>
        </w:tc>
        <w:tc>
          <w:tcPr>
            <w:tcW w:w="28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58">
              <w:r>
                <w:rPr>
                  <w:rFonts w:ascii="Arial" w:cs="Arial" w:eastAsia="Arial" w:hAnsi="Arial"/>
                  <w:sz w:val="18"/>
                  <w:szCs w:val="18"/>
                  <w:color w:val="0000EE"/>
                  <w:w w:val="86"/>
                </w:rPr>
                <w:t>Item 13.</w:t>
              </w:r>
            </w:hyperlink>
          </w:p>
        </w:tc>
        <w:tc>
          <w:tcPr>
            <w:tcW w:w="380" w:type="dxa"/>
            <w:vAlign w:val="bottom"/>
            <w:gridSpan w:val="2"/>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58">
              <w:r>
                <w:rPr>
                  <w:rFonts w:ascii="Arial" w:cs="Arial" w:eastAsia="Arial" w:hAnsi="Arial"/>
                  <w:sz w:val="18"/>
                  <w:szCs w:val="18"/>
                  <w:color w:val="0000EE"/>
                  <w:w w:val="89"/>
                </w:rPr>
                <w:t>Certain Relationships and Related Transactions, and Director Independence</w:t>
              </w:r>
            </w:hyperlink>
          </w:p>
        </w:tc>
        <w:tc>
          <w:tcPr>
            <w:tcW w:w="212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w w:val="86"/>
              </w:rPr>
            </w:pPr>
            <w:hyperlink w:anchor="page158">
              <w:r>
                <w:rPr>
                  <w:rFonts w:ascii="Arial" w:cs="Arial" w:eastAsia="Arial" w:hAnsi="Arial"/>
                  <w:sz w:val="18"/>
                  <w:szCs w:val="18"/>
                  <w:color w:val="0000EE"/>
                  <w:w w:val="86"/>
                </w:rPr>
                <w:t>Item 14.</w:t>
              </w:r>
            </w:hyperlink>
          </w:p>
        </w:tc>
        <w:tc>
          <w:tcPr>
            <w:tcW w:w="380" w:type="dxa"/>
            <w:vAlign w:val="bottom"/>
            <w:gridSpan w:val="2"/>
          </w:tcPr>
          <w:p>
            <w:pPr>
              <w:spacing w:after="0"/>
              <w:rPr>
                <w:sz w:val="24"/>
                <w:szCs w:val="24"/>
                <w:color w:val="auto"/>
              </w:rPr>
            </w:pPr>
          </w:p>
        </w:tc>
        <w:tc>
          <w:tcPr>
            <w:tcW w:w="7580" w:type="dxa"/>
            <w:vAlign w:val="bottom"/>
            <w:gridSpan w:val="21"/>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Principal Accounting Fees and Services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58">
              <w:r>
                <w:rPr>
                  <w:rFonts w:ascii="Arial" w:cs="Arial" w:eastAsia="Arial" w:hAnsi="Arial"/>
                  <w:sz w:val="18"/>
                  <w:szCs w:val="18"/>
                  <w:color w:val="0000EE"/>
                  <w:w w:val="91"/>
                </w:rPr>
                <w:t>PART IV</w:t>
              </w:r>
            </w:hyperlink>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58">
              <w:r>
                <w:rPr>
                  <w:rFonts w:ascii="Arial" w:cs="Arial" w:eastAsia="Arial" w:hAnsi="Arial"/>
                  <w:sz w:val="18"/>
                  <w:szCs w:val="18"/>
                  <w:color w:val="0000EE"/>
                  <w:w w:val="86"/>
                </w:rPr>
                <w:t>Item 15.</w:t>
              </w:r>
            </w:hyperlink>
          </w:p>
        </w:tc>
        <w:tc>
          <w:tcPr>
            <w:tcW w:w="380" w:type="dxa"/>
            <w:vAlign w:val="bottom"/>
            <w:gridSpan w:val="2"/>
          </w:tcPr>
          <w:p>
            <w:pPr>
              <w:spacing w:after="0"/>
              <w:rPr>
                <w:sz w:val="24"/>
                <w:szCs w:val="24"/>
                <w:color w:val="auto"/>
              </w:rPr>
            </w:pPr>
          </w:p>
        </w:tc>
        <w:tc>
          <w:tcPr>
            <w:tcW w:w="29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58">
              <w:r>
                <w:rPr>
                  <w:rFonts w:ascii="Arial" w:cs="Arial" w:eastAsia="Arial" w:hAnsi="Arial"/>
                  <w:sz w:val="18"/>
                  <w:szCs w:val="18"/>
                  <w:color w:val="0000EE"/>
                  <w:w w:val="89"/>
                </w:rPr>
                <w:t>Exhibits, Financial Statement Schedules</w:t>
              </w:r>
            </w:hyperlink>
          </w:p>
        </w:tc>
        <w:tc>
          <w:tcPr>
            <w:tcW w:w="468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60">
              <w:r>
                <w:rPr>
                  <w:rFonts w:ascii="Arial" w:cs="Arial" w:eastAsia="Arial" w:hAnsi="Arial"/>
                  <w:sz w:val="18"/>
                  <w:szCs w:val="18"/>
                  <w:color w:val="0000EE"/>
                  <w:w w:val="86"/>
                </w:rPr>
                <w:t>Item 16.</w:t>
              </w:r>
            </w:hyperlink>
          </w:p>
        </w:tc>
        <w:tc>
          <w:tcPr>
            <w:tcW w:w="380" w:type="dxa"/>
            <w:vAlign w:val="bottom"/>
            <w:gridSpan w:val="2"/>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60">
              <w:r>
                <w:rPr>
                  <w:rFonts w:ascii="Arial" w:cs="Arial" w:eastAsia="Arial" w:hAnsi="Arial"/>
                  <w:sz w:val="18"/>
                  <w:szCs w:val="18"/>
                  <w:color w:val="0000EE"/>
                  <w:w w:val="92"/>
                </w:rPr>
                <w:t>Form 10-K Summary</w:t>
              </w:r>
            </w:hyperlink>
          </w:p>
        </w:tc>
        <w:tc>
          <w:tcPr>
            <w:tcW w:w="6020" w:type="dxa"/>
            <w:vAlign w:val="bottom"/>
            <w:gridSpan w:val="1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gridSpan w:val="13"/>
          </w:tcPr>
          <w:p>
            <w:pPr>
              <w:ind w:left="34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This Annual Report on Form 10-K contains forward-looking statements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Annual Report on Form 10-K, including without limitation statements regarding our plans to develop, manufacture and commercialize our product candidates, the timing or outcome of our ongoing or planned clinical trials for IMM-1-104, any of our other pipeline product candidates and any future product candidates, the clinical utility of our product candidates, the filing with, and approval by, regulatory authorities of our product candidates, the sufficiency of funds to operate the business of the Company, the ongoing impact of the pandemic related to COVID-19 and its variants on our business and operations, including manufacturing, research and development, clinical trials and employees, our cash needs and availability including our revenue streams, and the plans and objectives of management for future operations, are forward-looking statements.</w:t>
      </w:r>
    </w:p>
    <w:p>
      <w:pPr>
        <w:spacing w:after="0" w:line="18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other important factors that could cause actual results to differ materially from those projected in the forward-looking statements, including, but not limited to, those described in the sections of this Annual Report on Form 10-K entitled “Risk Factors” and “Management’s Discussion and Analysis of Financial Condition and Results of Operations”. These risks and uncertainties include, but are not limited to:</w:t>
      </w:r>
    </w:p>
    <w:p>
      <w:pPr>
        <w:spacing w:after="0" w:line="192"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pandemic related to COVID-19 and its variants;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the substantial additional capital that will be required to finance our operations;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difficulty of obtaining regulatory approval for any of our current or future product candidates;</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file INDs (as defined below) or IND amendments or comparable documents in foreign jurisdictions in order to commence clinical trials on the timelines we expect;</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experience in designing clinical trials;</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substantial delays in completing, if at all, the development and commercialization of our current or future product candidates;</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adverse events, toxicities or other undesirable side effects caused by our current or future product candidates;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delays or difficulties in the enrollment and/or maintenance of patients in clinical trials;</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substantial reliance on the successful development of our current and future product candidates, as well as our platform, including our proprietary technologies such as DCT and Fluency;</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competition in our industry;</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opportunity for our product candidates, if approved;</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manufacturing;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reliance on third parties;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intellectual property; and</w:t>
      </w:r>
    </w:p>
    <w:p>
      <w:pPr>
        <w:spacing w:after="0" w:line="117"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important risk factors that could affect the outcome of the events set forth in these statements and that could affect our operating results and financial condition are described in the “Risk Factors” section of this Annual Report on Form 10-K.</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6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Unless otherwise stated or the context requires otherwise, references to “Immuneering,” the “Company,” “we,” “us,” and “our,” refer to Immuneering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are subject to numerous risks and uncertainties, including those further described below in Part I Item IA. “Risk Factors” in this Annual Report on Form 10-K,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spacing w:after="0" w:line="192" w:lineRule="exact"/>
        <w:rPr>
          <w:sz w:val="20"/>
          <w:szCs w:val="20"/>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have not completed any clinical trials and have no products approved for commercial sale, which may make it difficult for you to evaluate our current business and predict our future success and viability.</w:t>
      </w:r>
    </w:p>
    <w:p>
      <w:pPr>
        <w:spacing w:after="0" w:line="7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net losses for the past several years and we expect to continue to incur significant net losses for the foreseeable future and may never attain profitability.</w:t>
      </w:r>
    </w:p>
    <w:p>
      <w:pPr>
        <w:spacing w:after="0" w:line="62"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5"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7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substantial delays in completing, or ultimately be unable to complete, the development and commercialization of our product candidates.</w:t>
      </w:r>
    </w:p>
    <w:p>
      <w:pPr>
        <w:spacing w:after="0" w:line="62"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75"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78"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7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75"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long-term prospects depend in part upon discovering, developing and commercializing product candidates, which may fail in development or suffer delays that adversely affect their commercial viability.</w:t>
      </w:r>
    </w:p>
    <w:p>
      <w:pPr>
        <w:spacing w:after="0" w:line="38"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75"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never commercialized a product candidate before and may lack the necessary expertise, personnel and resources to successfully commercialize any products on our own or together with suitable collaborators.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could be negatively impacted.</w:t>
      </w:r>
    </w:p>
    <w:p>
      <w:pPr>
        <w:spacing w:after="0" w:line="75"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COVID-19 pandemic and potential future pandemics could continue to adversely impact our business, including our anticipated clinical trials and their timelines, supply chain and business development activities.</w:t>
      </w:r>
    </w:p>
    <w:p>
      <w:pPr>
        <w:spacing w:after="0" w:line="38" w:lineRule="exact"/>
        <w:rPr>
          <w:rFonts w:ascii="Arial" w:cs="Arial" w:eastAsia="Arial" w:hAnsi="Arial"/>
          <w:sz w:val="17"/>
          <w:szCs w:val="17"/>
          <w:color w:val="auto"/>
        </w:rPr>
      </w:pPr>
    </w:p>
    <w:p>
      <w:pPr>
        <w:jc w:val="both"/>
        <w:ind w:left="720" w:right="79" w:hanging="319"/>
        <w:spacing w:after="0" w:line="296"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substantially rely, and expect to continue to rely, on third parties, including independent clinical investigators and contract research organizations, or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53" w:lineRule="exact"/>
        <w:rPr>
          <w:rFonts w:ascii="Arial" w:cs="Arial" w:eastAsia="Arial" w:hAnsi="Arial"/>
          <w:sz w:val="16"/>
          <w:szCs w:val="16"/>
          <w:color w:val="auto"/>
        </w:rPr>
      </w:pPr>
    </w:p>
    <w:p>
      <w:pPr>
        <w:jc w:val="both"/>
        <w:ind w:left="720" w:right="79" w:hanging="319"/>
        <w:spacing w:after="0" w:line="25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contract with third parties for the manufacturing of our product candidates for preclinical studies, and expect to continue to do so for clinical trials and ultimately,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79" w:lineRule="exact"/>
        <w:rPr>
          <w:rFonts w:ascii="Arial" w:cs="Arial" w:eastAsia="Arial" w:hAnsi="Arial"/>
          <w:sz w:val="18"/>
          <w:szCs w:val="18"/>
          <w:color w:val="auto"/>
        </w:rPr>
      </w:pPr>
    </w:p>
    <w:p>
      <w:pPr>
        <w:jc w:val="both"/>
        <w:ind w:left="720" w:right="7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40" w:lineRule="exact"/>
        <w:rPr>
          <w:rFonts w:ascii="Arial" w:cs="Arial" w:eastAsia="Arial" w:hAnsi="Arial"/>
          <w:sz w:val="16"/>
          <w:szCs w:val="16"/>
          <w:color w:val="auto"/>
        </w:rPr>
      </w:pPr>
    </w:p>
    <w:p>
      <w:pPr>
        <w:jc w:val="both"/>
        <w:ind w:left="720" w:right="79" w:hanging="319"/>
        <w:spacing w:after="0" w:line="25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aim to improve patient outcomes by advancing a unique pipeline of oncology and neuroscience product candidates developed using our translational bioinformatics platform. We have more than a decade of experience applying translational bioinformatics to generate insights into drug mechanism of action and patient treatment response. Building on this experience, our disease-agnostic discovery platform enables us to create product candidates based on 1) biological insights that are both counterintuitive and deeply rooted in data, and 2) novel chemistry. Our lead product candidate IMM-1-104 is designed to be a highly selective dual-MEK inhibitor that further disrupts KSR to modulate the signaling dynamics of the MAPK pathway. Specifically, it is designed to use deep cyclic inhibition to deprive tumor cells of the sustained proliferative signaling required for rapid growth, while providing a cadenced, moderate level of signaling sufficient to spare healthy cells. IMM-1-104 is being developed to treat advanced solid tumors in patients harboring RAS mutant tumors, guided by our proprietary, human-aligned 3D tumor modeling platform combined with translational bioinformatics and expertise in translational planning. In addition to IMM-1-104, we have six other oncology programs in the discovery stage that are designed to target either the MAPK or mTOR pathway, and two neuroscience programs in the discovery stage.</w:t>
      </w:r>
    </w:p>
    <w:p>
      <w:pPr>
        <w:spacing w:after="0" w:line="18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plan to submit an Investigational New Drug application (an “IND”) to the Food and Drug Administration (“FDA”) for IMM-1-104 in the third quarter of 2022. In addition, we anticipate filing an IND for IMM-6-415, our MEK-io candidate, in 2023, and plan to file an additional IND for another oncology program in 2024.</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platform is enabled by our ability to efficiently analyze high-throughput molecular-level biochemical assays, including transcriptomics, genomics and/or proteomics, collectively referred to as Omics data. These different types of biochemical assays each provide us with unique information about the molecular mechanisms of disease biology and drug response. Since our inception, we have partnered with industry- leading pharmaceutical and biotechnology companies to perform a variety of analyses that utilize our expertise in translational bioinformatics. Examples publicly disclosed by our partners include our analyses of ibrutinib, ipilimumab, daratumumab, glatiramer acetate and pridopidine.</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early 2018, we began applying our proprietary platform and approach to internally develop our wholly owned pipeline of orally administered small molecule drug programs. Our approach played a critical role in determining the most important characteristics for and creation of IMM-1-104. Specifically, our platform enables us to:</w:t>
      </w:r>
    </w:p>
    <w:p>
      <w:pPr>
        <w:spacing w:after="0" w:line="184"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leverage insights from human data to identify disease transcriptional profiles we aim to counteract;</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identify novel biology, specifically evaluating new ways to drug an existing target by utilizing our proprietary Disease Cancelling Technology, or DCT, and analyze mechanisms of existing drugs;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231F20"/>
        </w:rPr>
        <w:t>generate novel chemistry that overcomes MAPK-feedback loops to achieve optimal signaling dynamics; and</w:t>
      </w:r>
    </w:p>
    <w:p>
      <w:pPr>
        <w:spacing w:after="0" w:line="23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profile IMM-1-104 in a large number of 3D models using our own translational planning to identify the types of cancer most likely to be sensitive to the product candidate.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current oncology programs target mutations of the RAS/RAF/MEK/ERK, or MAPK, and the PI3K/AKT/mTOR, or mTOR, pathways. The MAPK and mTOR signaling pathways run parallel to each other, and in over half of all cancers, one or both of these pathways are inappropriately activated (as depicted below). Existing drugs targeting these pathways are limited by toxicity, resistance and/or are narrowly focused on subpopulations with specific mutations. The MAPK and mTOR pathways function to drive cell proliferation, differentiation, survival and a variety of other cellular functions that are critical for the formation of tumors.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Fundamental Cancer Signaling Cellular Pathways: MAPK and mTOR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154305</wp:posOffset>
            </wp:positionV>
            <wp:extent cx="3840480" cy="2219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4048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Each of the programs in our oncology pipeline is designed to cause cyclical disruption of abnormal activation of the MAPK and mTOR signaling pathways while limiting drug-related toxicity. Traditional drug approaches have been designed to sustain pathway inhibition, which can cause on-target drug-related toxicity and limit clinical durability as a result of drug holidays or treatment discontinuation. Based on insights derived from our translational bioinformatics platform, our differentiated approach is to design drugs with short half-lives that provide enhanced mechanistic control of the target of interest and break tumor addiction, which is the tumor’s ability to indefinitely self-replicate, metastasize and evade the host’s immune system, among other capabilities, through deep cyclic disruption of these pathways (i.e., signaling dynamics). By cyclically disrupting these core oncogenic signaling pathways in cancer cells, we believe we can create novel therapeutics that maximize therapeutic activity in broad patient populations while providing an improved tolerability profile (as depicted below). We believe we are pioneers in this unique approach of leveraging signaling dynamics against tumor addiction.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Signaling Dynamics: Traditional Sustained Inhibition Versus Our Cyclic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154305</wp:posOffset>
            </wp:positionV>
            <wp:extent cx="4937760" cy="1834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3776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Wholly Owned Pipeline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oncology programs target clinically validated pathways, but we seek to improve patient outcomes across a wide range of addressable solid tumor types through our differentiated programs. In addition to our oncology pipeline, we are also leveraging our platform to build a neuroscience pipeline initially focusing on Alzheimer’s disease, or AD. Our current pipeline of product candidates and discovery programs is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127635</wp:posOffset>
            </wp:positionV>
            <wp:extent cx="5554980" cy="2802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Dual-MEK Program</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dual mitogen-activated protein kinase kinase, or MEK, product candidate, IMM-1-104, is designed to be a highly selective inhibitor of mitogen-activated protein kinase kinase kinase, or ERK, activation (i.e., phosphorylation), prevent MAPK pathway reactivation and have a short plasma half-life that reduces sustained pathway inhibition (as depicted below). Unlike MEK inhibitors approved by the U.S. Food and Drug Administration, or the FDA, IMM-1-104 is designed to prevent RAF-mediated activation of MEK by engagement of the RAF activation loop on MEK, such as CRAF-bypass, and further disrupt the kinase suppressor of RAS 1 and 2, or KSR. Additionally, with a short plasma half-life, IMM-1-104 can achieve deep cyclic inhibition of the MAPK pathway. We believe this innovative method of pathway inhibition normalizes cancer cell signaling dynamics and prevents further damage to normal healthy cells. Collectively, we believe these qualities differentiate IMM-1-104 from known MEK inhibitors by potentially enabling IMM-1-104 to avoid drug resistance while improving tolerability.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Dual-MEK Inhibition Prevents Activation of MEK and Downstream Activation of ERK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154305</wp:posOffset>
            </wp:positionV>
            <wp:extent cx="4937760" cy="2339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3776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preclinical studies, we observed that IMM-1-104 inhibited MEK and ERK across a wide range of human and murine solid tumor models, including those with activating mutations in KRAS, NRAS, HRAS and BRAF. In addition, in head-to-head preclinical studies, we evaluated IMM-1-104 in murine-based KRAS, NRAS, and BRAF mutant solid tumor models representing lung, colon, pancreas and skin cancer, and observed tumor stasis or regression with insignificant body weight loss, or BWL, when compared to certain current FDA- approved MEK and BRAF inhibitors. Given the data observed in these preclinical studies, we believe that IMM-1-104 has the potential to deliver clinical benefit as monotherapy and, in the future, may potentially be administered in select drug combinations for patients with RAS and/or RAF mutant solid tumors who currently have limited treatment options.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IMM-1-104 is currently undergoing Investigational New Drug, or IND, enabling studies. We plan to submit an IND for IMM-1-104 to the FDA in the third quarter of 2022. We intend to enroll our first patient in our first-in-human Phase 1 clinical trial of IMM-1-104 in the fourth quarter of 2022 for the treatment of advanced solid tumors in patients harboring RAS mutant tumors, if our IND for IMM-1-104 is accepted.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MEK-Immuno-Oncology</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MEK-immuno-oncology, or MEK-io, program is focused on developing innovative allosteric MEK inhibitors to be administered in combination with select immune modulators (e.g., checkpoint inhibitors) for the treatment of “cold” solid tumors, which are immunologically inaccessible. Our investigational MEK-io program inhibitors were designed to target MEK in a way that disrupts the MAPK pathway at ERK and to also reduce baseline MEK activation. We designed these inhibitors with unique pharmacokinetic, or PK, and pharmacodynamic, or PD, profiles that may enhance cycle inhibition time of MEK and ERK to optimize the patient’s immune response and promote maximal antitumor responses when administered in combination with select immune modulators. We recently selected a development candidate, IMM-6-415, for the MEK-io program, and initiated IND-enabling studies in the first quarter of 2022.</w:t>
      </w:r>
    </w:p>
    <w:p>
      <w:pPr>
        <w:spacing w:after="0" w:line="16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 xml:space="preserve">We observed an initial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for our MEK-io program, from a related analogue compound to IMM-6-415, in a widely utilized syngeneic murine model. We evaluated this analogue compound as monotherapy and in combination with a checkpoint inhibitor and compared to vehicle to observe tumor growth inhibition in tumor-bearing BALB/C mice. Neither treatment alone altered tumor growth as compared to vehicle. However, when we administered our analogue MEK-io program inhibitor in combination with the checkpoint inhibitor, we observed greater than 50% tumor growth inhibition after two weeks of dosing as compared to vehicle treated mice.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IMM-6-415 may enhance responses to checkpoint inhibitors in tumors that have been responsive to these class of agents. We observed single agent activity in the Colon-26 syngenetic colorectal tumor model and are evaluating IMM-6-415 as monotherapy or in combination with checkpoint inhibitors in CT26 and MC-38 syngeneic models. We plan to submit an IND for IMM-6-415 to the FDA in 2023.</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Additional Oncology Discovery Research Programs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are leveraging our platform to continue expanding our oncology pipeline by targeting the MAPK and mTOR pathways in novel ways. We have five additional programs in various stages of drug discovery focused on targeting these pathways through novel pharmacological approaches. We expect to file an IND for at least one of these programs in 2024.</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Neuroscience Programs</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AD is the most common form of dementia and one in three adults over the age of 65 succumb to AD-related dementia or another form of dementia. We believe there are specific subgroups of AD that can be stratified through gene expression and brain pathology. To identify AD subgroups, we have leveraged our platform to employ a patient-centric, data-driven approach. AD is a neurodegenerative disorder of uncertain cause and pathogenesis characterized by memory impairment and further cognitive decline that can ultimately affect the patient’s behavior, speech, visuospatial orientation and motor system. AD is a complex multifactorial disease driven by genetic and environmental causes that affects older adults and is one of the leading sources of morbidity and mortality in the aging population. The estimated total healthcare costs for the treatment of AD were approximately $305 billion in 2020, with the cost expected to increase to more than $1 trillion by 2050.</w:t>
      </w:r>
    </w:p>
    <w:p>
      <w:pPr>
        <w:spacing w:after="0" w:line="19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neuroscience programs are in the early stages of drug discovery, and we are evaluating undisclosed targets to pursue a unique approach to treating AD. Our focus is to slow the progression of AD by developing targeted therapies for distinct biological mechanisms that we have identified in specific AD subgroups. Our platform and expertise in neurology and neuroscience have allowed us to determine biological differences in AD patients to help develop novel product candidates that may potentially address the significant unmet needs of this underserved patient population.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were founded in 2008 by our Chief Executive Officer and President, Benjamin J. Zeskind, Ph.D., and the Chairman of our board of directors, Robert J. Carpenter, with the goal of leveraging translational bioinformatics to generate insights into the mechanisms that cause certain patients to respond to specific medicines across multiple therapeutic areas. Our multi-disciplinary team brings together experts across translational bioinformatics, preclinical and clinical development in both oncology and neuroscience and includes individuals with extensive experience at some of the leading pharmaceutical companies, including Johnson &amp; Johnson, AstraZeneca, Merck and Incyte.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company is built on more than a decade of experience in translational bioinformatics. Since our founding in 2008, we have utilized this experience to generate insights into the mechanisms that cause certain patients to respond to specific medicines across therapeutic areas by analyzing Omics data. Our computational biology services business has helped us to better understand how translational bioinformatics can contribute to each stage of drug development, from early drug discovery to clinical development and through commercialization. However, we recognized the limitations of applying translational bioinformatics in isolation to specific stages of the drug development process and realized that bioinformatics could be even more helpful if applied continuously throughout the drug development process. Over time, we have developed a proprietary technology platform to facilitate that process and, in early 2018, we began applying the extensive insights from and capabilities of our platform and approach to create a wholly owned pipeline of drug programs, initially focusing on oncology.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mission is to develop novel therapies by utilizing our disease-agnostic platform to address areas of high unmet medical need, initially in cancer and neurologic diseases. Our platform allows us to leverage human biological data to generate insights that are not constrained by the inherent limitations of conventional approaches or prevailing scientific views. We are developing novel product candidates that aim to optimize both safety and efficacy for diseases with suboptimal treatment options. To achieve our mission, we are executing a near-term strategy with the following key elements:</w:t>
      </w:r>
    </w:p>
    <w:p>
      <w:pPr>
        <w:spacing w:after="0" w:line="157" w:lineRule="exact"/>
        <w:rPr>
          <w:sz w:val="20"/>
          <w:szCs w:val="20"/>
          <w:color w:val="auto"/>
        </w:rPr>
      </w:pPr>
    </w:p>
    <w:p>
      <w:pPr>
        <w:jc w:val="both"/>
        <w:ind w:left="720" w:right="79" w:hanging="319"/>
        <w:spacing w:after="0" w:line="292"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231F20"/>
        </w:rPr>
        <w:t>Advance IMM-1-104 into Clinical Development</w:t>
      </w:r>
      <w:r>
        <w:rPr>
          <w:rFonts w:ascii="Arial" w:cs="Arial" w:eastAsia="Arial" w:hAnsi="Arial"/>
          <w:sz w:val="16"/>
          <w:szCs w:val="16"/>
          <w:b w:val="1"/>
          <w:bCs w:val="1"/>
          <w:color w:val="231F20"/>
        </w:rPr>
        <w:t>.</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We believe that IMM-1-104 has the potential to treat broad</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populations of solid tumor patients, specifically those with inappropriate activation of the MAPK pathway. IMM-1-104 has been specifically designed to overcome MAPK-feedback loops and, combined with its intentionally short half-life, could have the potential to provide broader therapeutic activity and an improved tolerability profile relative to known MEK inhibitors. We believe IMM-1-104 has the potential to target patients with a wide spectrum of mutations in KRAS and NRAS, as well as other mutations that activate the MAPK pathway. IMM-1-104 is currently in IND-enabling studies, and we expect to submit an IND in the third quarter of 2022.</w:t>
      </w:r>
    </w:p>
    <w:p>
      <w:pPr>
        <w:spacing w:after="0" w:line="165" w:lineRule="exact"/>
        <w:rPr>
          <w:rFonts w:ascii="Arial" w:cs="Arial" w:eastAsia="Arial" w:hAnsi="Arial"/>
          <w:sz w:val="16"/>
          <w:szCs w:val="16"/>
          <w:color w:val="auto"/>
        </w:rPr>
      </w:pPr>
    </w:p>
    <w:p>
      <w:pPr>
        <w:jc w:val="both"/>
        <w:ind w:left="720" w:right="79" w:hanging="319"/>
        <w:spacing w:after="0" w:line="25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231F20"/>
        </w:rPr>
        <w:t>Advance IMM-</w:t>
      </w:r>
      <w:r>
        <w:rPr>
          <w:rFonts w:ascii="Arial" w:cs="Arial" w:eastAsia="Arial" w:hAnsi="Arial"/>
          <w:sz w:val="18"/>
          <w:szCs w:val="18"/>
          <w:b w:val="1"/>
          <w:bCs w:val="1"/>
          <w:i w:val="1"/>
          <w:iCs w:val="1"/>
          <w:color w:val="000000"/>
        </w:rPr>
        <w:t>6-415 through IND-Enabling studies.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000000"/>
        </w:rPr>
        <w:t>We recently commenced IND-enabling studies for IMM-6-415 and plan to submit an IND in 2023. IMM-6-415 is a dual-MEK inhibitor that has drug-like properties optimized for immune modulation, and may enhance and/or expand clinical responses to checkpoint inhibitors in tumors that have proved historically challenging to immune modulating therapies. In addition, we may target patient populations with RAS and RAF mutations who have observed low rates of clinical responses to checkpoint inhibitors.</w:t>
      </w:r>
    </w:p>
    <w:p>
      <w:pPr>
        <w:spacing w:after="0" w:line="188" w:lineRule="exact"/>
        <w:rPr>
          <w:rFonts w:ascii="Arial" w:cs="Arial" w:eastAsia="Arial" w:hAnsi="Arial"/>
          <w:sz w:val="18"/>
          <w:szCs w:val="18"/>
          <w:color w:val="auto"/>
        </w:rPr>
      </w:pPr>
    </w:p>
    <w:p>
      <w:pPr>
        <w:jc w:val="both"/>
        <w:ind w:left="720" w:right="79" w:hanging="319"/>
        <w:spacing w:after="0" w:line="273"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231F20"/>
        </w:rPr>
        <w:t>Progress Our Pipeline of Additional MAPK and mTOR Pathway Programs to IND-Enabling Studies</w:t>
      </w:r>
      <w:r>
        <w:rPr>
          <w:rFonts w:ascii="Arial" w:cs="Arial" w:eastAsia="Arial" w:hAnsi="Arial"/>
          <w:sz w:val="17"/>
          <w:szCs w:val="17"/>
          <w:b w:val="1"/>
          <w:bCs w:val="1"/>
          <w:color w:val="231F20"/>
        </w:rPr>
        <w:t>.</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Other</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key programs in our oncology pipeline also leverage our knowledge of the MAPK and mTOR pathways, translational bioinformatics and signaling dynamics. For example, we are advancing programs which modulate the formation of RAS dimers to kill RAS-driven tumors while sparing healthy cells. We are also applying our platform to other relevant pathways and have initiated a program targeting PI3Kα in the mTOR pathway. We intend to develop other programs for the mTOR pathway, as well as other oncogenic pathways. We anticipate submitting an IND for at least one of these programs in 2024.</w:t>
      </w:r>
    </w:p>
    <w:p>
      <w:pPr>
        <w:spacing w:after="0" w:line="175" w:lineRule="exact"/>
        <w:rPr>
          <w:rFonts w:ascii="Arial" w:cs="Arial" w:eastAsia="Arial" w:hAnsi="Arial"/>
          <w:sz w:val="17"/>
          <w:szCs w:val="17"/>
          <w:color w:val="auto"/>
        </w:rPr>
      </w:pPr>
    </w:p>
    <w:p>
      <w:pPr>
        <w:jc w:val="both"/>
        <w:ind w:left="720" w:right="79" w:hanging="319"/>
        <w:spacing w:after="0" w:line="296"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231F20"/>
        </w:rPr>
        <w:t xml:space="preserve">Utilize Our Platform to Advance Our Neuroscience Programs. </w:t>
      </w:r>
      <w:r>
        <w:rPr>
          <w:rFonts w:ascii="Arial" w:cs="Arial" w:eastAsia="Arial" w:hAnsi="Arial"/>
          <w:sz w:val="16"/>
          <w:szCs w:val="16"/>
          <w:color w:val="231F20"/>
        </w:rPr>
        <w:t>In addition to our extensive oncology pipeline,</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we have built a neuroscience pipeline initially focused on AD, which leverages key components of our platform. We have identified subgroups of AD with distinct molecular drivers and have identified unique undisclosed targets for these specific subgroups. Currently, we are developing investigational small molecules to inhibit these undisclosed targets, which we intend to continue advancing towards IND-enabling studies.</w:t>
      </w:r>
    </w:p>
    <w:p>
      <w:pPr>
        <w:spacing w:after="0" w:line="157" w:lineRule="exact"/>
        <w:rPr>
          <w:rFonts w:ascii="Arial" w:cs="Arial" w:eastAsia="Arial" w:hAnsi="Arial"/>
          <w:sz w:val="16"/>
          <w:szCs w:val="16"/>
          <w:color w:val="auto"/>
        </w:rPr>
      </w:pPr>
    </w:p>
    <w:p>
      <w:pPr>
        <w:jc w:val="both"/>
        <w:ind w:left="720" w:right="79" w:hanging="319"/>
        <w:spacing w:after="0" w:line="291"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231F20"/>
        </w:rPr>
        <w:t>Continue to Grow and Advance Our Platform</w:t>
      </w:r>
      <w:r>
        <w:rPr>
          <w:rFonts w:ascii="Arial" w:cs="Arial" w:eastAsia="Arial" w:hAnsi="Arial"/>
          <w:sz w:val="16"/>
          <w:szCs w:val="16"/>
          <w:b w:val="1"/>
          <w:bCs w:val="1"/>
          <w:color w:val="231F20"/>
        </w:rPr>
        <w:t>.</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We have built a biopharmaceutical company that fully integrates</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bioinformatics across all aspects of drug discovery and development. We currently utilize our bioinformatics platform for our drug discovery efforts in oncology and neuroscience, and as we advance our product candidates into and through the clinic, we plan to utilize data and insights from our bioinformatics platform to not only guide future clinical development but to also provide key learnings back to our earlier stage programs. Lastly, we continue to iterate on our existing technology and processes, and develop new technologies for our platform, all aimed at creating the most efficient process for the development of product candidates that we believe have the potential to optimize both safety and efficacy in broad patient populations with high unmet medical needs.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Bioinformatics Approach</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Leveraging our history in translational bioinformatics, we have built a biopharmaceutical company that incorporates our expertise into every step of our process to discover and develop novel product candidates. Our goal is to meaningfully improve patient outcomes as compared to drugs developed through traditional drug discovery approaches. Our integrated approach has already yielded programs that have exhibited preclinical tumor growth inhibition against a broad range of clinically challenging solid tumors, which are advancing towards the clinic. Our Dual-MEK and MEK-io drug programs are currently in IND-enabling studies, while the rest of our programs are in earlier stage preclinical studies. We have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expanded our team of experts, including drug discovery and clinical development experts, to develop a pipeline of product candidates by leveraging our translational bioinformatics expertise (as depicted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Bioinformatics Expertise Leveraged Through All Stages of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3017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5498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Cancer Overview</w:t>
      </w:r>
    </w:p>
    <w:p>
      <w:pPr>
        <w:spacing w:after="0" w:line="22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Cancer is the second most common cause of death worldwide with approximately 10 million deaths annually and an incidence of approximately 19.3 million new cases in 2020. Cancer is defined as a collection of diseases in which abnormal cells divide uncontrollably and can invade nearby tissues. The uncontrollable division of abnormal cells typically results in a malignant tumor (i.e., cancerous) or benign tumor (i.e., non-cancerous). There are two main categories of cancer: hematologic (i.e., blood) cancers and solid tumor cancers. Hematologic cancers are cancers of the blood cells, and include leukemia, lymphoma and multiple myeloma. Solid tumor cancers are cancers of any of the body’s other organs or tissue, including the pancreas, skin, lung and colon. Core tumor capabilities seen in cancer patients include the ability to indefinitely self-replicate, develop new blood vessels (i.e., angiogenesis), evade cell death (i.e., apoptosis), sustain self-sufficient growth, invade other tissues (i.e., metastasis), alter signaling pathways, evade immune system responses and modify metabolism. Tumor survival is dependent on certain of these capabilities (i.e., tumor addiction).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MAPK and mTOR Pathways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all cells, signaling pathways govern how cells regulate themselves as well as direct activities in relation to other cells in the body. Two of the most commonly altered signaling pathways in cancer are the MAPK and mTOR pathways. MAPK and mTOR are both oncogenic signaling pathways that run parallel to each other. RAS is a family of related oncogenes found upstream in each pathway that codes for four highly related protein isoforms, HRAS, NRAS, KRAS4A and KRAS4B. In over half of all cancers, one or both of these pathways are inappropriately activated, often through mutations in the key members of the pathway, including RAS, RAF and PI3Kα. When RAS is switched “on” through the activation of the membrane-bound receptor tyrosine kinase, or RTK, the MAPK and mTOR pathways function to drive cell proliferation, differentiation, survival and a variety of other cellular functions that are critical for the formation of tumors. In addition, the membrane-bound RTKs can separately activate the mTOR pathway without the assistance of RAS.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6"/>
          <w:szCs w:val="16"/>
          <w:color w:val="auto"/>
        </w:rPr>
        <w:t>Through widespread adaptation of molecular profiling, we now recognize that up to one in two cancer patients harbor tumors which are inappropriately activated through the MAPK pathway, and an additional one in three display alterations that impact the mTOR pathway. Many of these patients display tumors with activation mutations in RAS or RAF, which lie upstream of MEK and ERK. Because inappropriate activation of the MAPK and/or mTOR pathways supports many of the core tumor capabilities described above, efforts to create new therapeutics to target these pathways has been a high priority in cancer drug research. However, therapeutics that target the MAPK and mTOR pathways have not lived up to the expectations of effectively disrupting these pathways with high patient tolerability. Nearly all targeted therapeutics against the MAPK and mTOR pathways have been designed for sustained pathway suppression, which has resulted in on-target drug-related toxicity that limits clinical durability and potential drug-drug combinations. Furthermore, sustained irreversible covalent inhibition of these pathways may lead to treatment resistance, as highlighted in a recently published study in the New England Journal of Medicine. The study focused on patients treated with adagrasib, an irreversible covalent inhibitor of KRAS</w:t>
      </w:r>
      <w:r>
        <w:rPr>
          <w:rFonts w:ascii="Arial" w:cs="Arial" w:eastAsia="Arial" w:hAnsi="Arial"/>
          <w:sz w:val="23"/>
          <w:szCs w:val="23"/>
          <w:color w:val="auto"/>
          <w:vertAlign w:val="superscript"/>
        </w:rPr>
        <w:t>G12C</w:t>
      </w:r>
      <w:r>
        <w:rPr>
          <w:rFonts w:ascii="Arial" w:cs="Arial" w:eastAsia="Arial" w:hAnsi="Arial"/>
          <w:sz w:val="16"/>
          <w:szCs w:val="16"/>
          <w:color w:val="auto"/>
        </w:rPr>
        <w:t>, and reported that 45% of patients (17 patients out of 38) in the study receiving adagrasib monotherapy developed resistance. Of these patients, many resistance mechanisms were observed involving non-G12C variations in KRAS, variations in NRAS or BRAF, or other resistance mechanisms related to the MAPK and mTOR pathways. A second study published in Nature (November 10, 2021) evaluated 43 patients treated with sotorasib, an irreversible covalent inhibitor of KRAS</w:t>
      </w:r>
      <w:r>
        <w:rPr>
          <w:rFonts w:ascii="Arial" w:cs="Arial" w:eastAsia="Arial" w:hAnsi="Arial"/>
          <w:sz w:val="23"/>
          <w:szCs w:val="23"/>
          <w:color w:val="auto"/>
          <w:vertAlign w:val="superscript"/>
        </w:rPr>
        <w:t>G12C</w:t>
      </w:r>
      <w:r>
        <w:rPr>
          <w:rFonts w:ascii="Arial" w:cs="Arial" w:eastAsia="Arial" w:hAnsi="Arial"/>
          <w:sz w:val="16"/>
          <w:szCs w:val="16"/>
          <w:color w:val="auto"/>
        </w:rPr>
        <w:t>, and reported 27 patients with multiple treatment-emergent resistance alterations. Of these, 15 patients reported resistance mechanisms involving RAS/RAF mutations.</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Developing novel therapeutics to effectively and safely target these pathways may provide clinical benefit in large patient populations with significant unmet needs. In addition, although these two pathways represent two of the most active areas in cancer drug discovery and development, targeted therapeutics that more effectively and safely normalize, but not ablate, ERK and mTOR signaling may uncouple drug activity and tolerability, while optimizing both. Our oncology pipeline is designed to non-chronically disrupt molecular pathways that enable tumor addiction while limiting drug-related toxicity of normal healthy cells that also rely, to a lesser degree, on these pathways.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Programs Target Aggressive Solid Tumors That Display High RAS/RAF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154305</wp:posOffset>
            </wp:positionV>
            <wp:extent cx="5486400" cy="237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8640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Differentiated Approach to Tackling Some the Most Challenging Cancers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are leveraging our platform to target the MAPK and/or mTOR pathway. Our differentiated approach is to design drugs with short half-lives that provide enhanced mechanistic control of the target of interest and break tumor addiction through deep cyclic disruption of these pathways (i.e., signaling dynamics). We believe we are pioneers in this approach of leveraging signaling dynamics against tumor addiction, and our insights derived from our translational bioinformatics platform supports our belief that this approach may result in novel therapies targeting these pathways. Traditional drug approaches have been designed to sustain pathway inhibition, which leads to on-target drug-related toxicity and becomes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limiting for clinical durability as a result of drug holidays or treatment discontinuation. The mutational activation and/or overexpression of the signaling components that activate the MAPK pathway are well-known, and MEK has been previously validated as a therapeutic target. We believe our programs, as compared to FDA-approved treatments targeting the MAPK pathway, have the potential to be differentiated by their unique target engagement and PK and PD profiles. For example, our lead product candidate, IMM-1-104, is designed to inhibit ERK, prevent MAPK- pathway reactivation and have a short plasma half-life that reduces sustained pathway inhibition compared to other drugs targeting the same mechanistic pathway. By cyclically disrupting these core oncogenic signaling pathways in cancer cells, we believe we can create novel therapeutics in oncology that maximize therapeutic activity in broad patient populations while providing an improved tolerability profile as compared to other FDA-approved treatments for cancers caused by MAPK pathway activation.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Oncology Pipeline</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current development programs in oncology are focused on providing treatments for patients with solid tumors caused by mutations of the MAPK and mTOR pathways. Our Dual-MEK product candidate, IMM-1-104, and our MEK-io product candidate, IMM-6-415 are currently being evaluated in IND-enabling studies and are complemented by multiple earlier-stage programs that also target the MAPK and mTOR pathways. The following table summarizes our oncology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108585</wp:posOffset>
            </wp:positionV>
            <wp:extent cx="5554980" cy="2871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498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Our Lead Program: Dual-MEK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Background of MEK Inhibitors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Activating mutations of RAS and/or RAF in the MAPK pathway are observed in approximately 30% of all cancer patients, and inappropriate activation of this pathway is observed in up to 50% of all tumors and represents one of the most highly utilized signaling pathways in oncologic drug discovery. In aggressive solid tumors of the pancreas, skin, lungs and colon, mutations in RAS and/or RAF are even more common. For example, approximately 40% of lung cancers and approximately 90% of pancreatic cancers are due to RAS and/or RAF mutations. To date, FDA-approved MEK inhibitors have been ineffective at treating RAS mutant tumors when compared to BRAF mutant tumors because of a well-known mechanism of resistance, CRAF- mediated MEK activation, or the CRAF-bypass. In addition, a well-known limitation of current FDA- approved MEK inhibitors are their high rates of serious drug-related adverse events, most often in over 50% of treated patients, which results in drug intolerability. The longer half-life of these drugs (e.g., up to 2 to 4 days), or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moderate half-life (e.g., 3 to 6 hours) with increased dosing frequency, contributes to high rates of adverse events because these drugs systemically circulate for an extended period of time destroying healthy normal cells, which also rely on the pathway for survival. Our goal in developing IMM-1-104 is to address these shortcomings to potentially provide patients with better outcomes, improved tolerability, durability and expand drug-drug combination opportunities (as depicted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IMM-1-104: Designed to be a Highly Differentiated Dual-MEK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5349240" cy="2348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Solution: IMM-1-104</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have leveraged our platform to develop our lead product candidate, IMM-1-104, which is designed to be a highly selective dual-MEK inhibitor that promotes additional scaffold-related disruption of KSR. We are developing IMM-1-104 to treat patients with cancer, including pancreatic, melanoma, colorectal and non-small cell lung cancer, or NSCLC, caused by mutations of RAS and/or RAF. In order to overcome MAPK-feedback and CRAF-mediated MEK activation, a well-known limitation of current FDA-approved MEK inhibitors, we developed IMM-1-104 to allosterically inhibit MEK by targeting the site lying adjacent to the binding pocket of adenosine triphosphate, or ATP, which results in downstream inhibition of ERK. In addition, unlike FDA-approved MEK inhibitors, IMM-1-104 is designed to prevent RAF-mediated activation of MEK by unique engagement of MEK that further disrupts KSR. We believe the bypass of these drug resistance mechanisms will provide for better patient outcomes by enhancing therapeutic activity throughout the course of treatment. By reducing steady state drug trough levels, we also designed IMM-1-104 to limit or reduce high rates of serious drug-related adverse events that are observed in current FDA-approved MEK inhibitors (e.g., ranging from 45% to 69%), most often given in combination with a RAF inhibitor, which contribute to discontinuation rates of up to 10% to 15%.</w:t>
      </w:r>
    </w:p>
    <w:p>
      <w:pPr>
        <w:spacing w:after="0" w:line="16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With a goal of improving the tolerability profile of our MEK inhibitor, we designed IMM-1-104 to have a short plasma half-life, resulting in a near-zero steady state drug trough concentration that enables deep cyclic inhibition of the MAPK pathway. We believe this method of drug cadence-driven pathway inhibition has the potential to normalize cancer cell signaling dynamics and prevent further damage to normal healthy cells. Collectively, we believe these qualities may differentiate IMM-1-104 from known MEK inhibitors by potentially allowing IMM-1-104 to avoid drug resistance while improving tolerability due to its dual allosteric inhibition of MEK, KSR disruption and short plasma half-life.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Preclinical Studies Overview: IMM-1-104</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multiple preclinical studies, we observed that IMM-1-104 inhibited activated MEK (i.e., pMEK) and activated ERK (i.e., pERK) across a wide range of murine and humanized 3D solid tumor models, including those with activating mutations in KRAS, NRAS, HRAS and BRAF. In addition, in head-to-head preclinical studies, we evaluated IMM-1-104 in murine-based KRAS, NRAS, and BRAF mutant solid tumor models representing lung (i.e., A549), colon (i.e., Colon-26), pancreas (i.e., MIA PaCa-2) and skin cancer (i.e., A375 and SK-MEL-2), and observed tumor stasis or regression with insignificant BWL when compared to current FDA-approved MEK inhibitors, including selumetinib, binimetinib, encorafenib and AMG-510 (now known as sotorasib). Given the data observed in our previously conducted preclinical studies, we believe that IMM-1-104 has the potential to deliver clinical benefit as monotherapy and, in the future, may potentially be administered in select drug combinations for patients with RAS and/or RAF mutant solid tumors who currently have limited treatment options.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 Maximum Tolerated Dose and Therapeutic Effect</w:t>
      </w:r>
    </w:p>
    <w:p>
      <w:pPr>
        <w:spacing w:after="0" w:line="225"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In our early maximum tolerated dose, or MTD, studies, we observed that oral administration of IMM-1-104 twice a day of up to 150 mg/kg/dose was well-tolerated in mice. In other preclinical studies, we observed that the maximum therapeutic effect of IMM-1-104 was reached when administered orally twice a day between 100 and 150 mg/kg/dose. These dosing studies provided the basis of IMM-1-104’s dosing schedule in subsequent preclinical studies.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 Pharmacogenomics</w:t>
      </w:r>
    </w:p>
    <w:p>
      <w:pPr>
        <w:spacing w:after="0" w:line="21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7"/>
          <w:szCs w:val="17"/>
          <w:color w:val="auto"/>
        </w:rPr>
        <w:t>In a pharmacogenomics study utilizing a colorectal KRAS</w:t>
      </w:r>
      <w:r>
        <w:rPr>
          <w:rFonts w:ascii="Arial" w:cs="Arial" w:eastAsia="Arial" w:hAnsi="Arial"/>
          <w:sz w:val="25"/>
          <w:szCs w:val="25"/>
          <w:color w:val="auto"/>
          <w:vertAlign w:val="superscript"/>
        </w:rPr>
        <w:t>G12D</w:t>
      </w:r>
      <w:r>
        <w:rPr>
          <w:rFonts w:ascii="Arial" w:cs="Arial" w:eastAsia="Arial" w:hAnsi="Arial"/>
          <w:sz w:val="17"/>
          <w:szCs w:val="17"/>
          <w:color w:val="auto"/>
        </w:rPr>
        <w:t xml:space="preserve"> tumor model in BALB/c mice, we evaluated downstream ERK inhibition of the MAPK pathway after IMM-1-104 treatment. We orally administered vehicle, selumetinib and IMM-1-104 twice a day at 100 mg/kg/dose, then harvested the tumors after 18 days of chronic treatment at 2 and 12 hours following the last drug dose to evaluate RNAseq changes. The tumors were collected across distinct BALB/c mice and RNAseq changes were evaluated using statistical analysis software. Consistent with IMM-1-104’s designed short plasma half-life, we observed deep, cyclic inhibition of most of the top genes in the ERK transcriptome, as noted by the differences of the dark and light blue bars, which we believe may improve tolerability by allowing healthy normal cells to regenerate before the next dose is administered. For example, </w:t>
      </w:r>
      <w:r>
        <w:rPr>
          <w:rFonts w:ascii="Arial" w:cs="Arial" w:eastAsia="Arial" w:hAnsi="Arial"/>
          <w:sz w:val="17"/>
          <w:szCs w:val="17"/>
          <w:i w:val="1"/>
          <w:iCs w:val="1"/>
          <w:color w:val="auto"/>
        </w:rPr>
        <w:t>Erg1</w:t>
      </w:r>
      <w:r>
        <w:rPr>
          <w:rFonts w:ascii="Arial" w:cs="Arial" w:eastAsia="Arial" w:hAnsi="Arial"/>
          <w:sz w:val="17"/>
          <w:szCs w:val="17"/>
          <w:color w:val="auto"/>
        </w:rPr>
        <w:t xml:space="preserve"> and </w:t>
      </w:r>
      <w:r>
        <w:rPr>
          <w:rFonts w:ascii="Arial" w:cs="Arial" w:eastAsia="Arial" w:hAnsi="Arial"/>
          <w:sz w:val="17"/>
          <w:szCs w:val="17"/>
          <w:i w:val="1"/>
          <w:iCs w:val="1"/>
          <w:color w:val="auto"/>
        </w:rPr>
        <w:t>Spry4</w:t>
      </w:r>
      <w:r>
        <w:rPr>
          <w:rFonts w:ascii="Arial" w:cs="Arial" w:eastAsia="Arial" w:hAnsi="Arial"/>
          <w:sz w:val="17"/>
          <w:szCs w:val="17"/>
          <w:color w:val="auto"/>
        </w:rPr>
        <w:t xml:space="preserve"> were both downregulated over 16-fold at 2 hours after receiving the first dose on day 18 of the study, and at 12 hours after the first dose, which was prior to the second dose, both genes were approaching their baseline state when compared to vehicle treated tumors (as depicted below). In contrast to IMM-1-104, we did not observe deep cyclic inhibition by selumetinib, but rather observed sustained MAPK pathway suppression versus vehicle groups between the two timepoints on day 18 (as depicted below). The top 20 genes were a subset of a 52-gene signature for ERK signaling.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Head-to-Head Comparison of IMM-1-104 Against Selumetinib Using a Colon-26 Syngeneic Tumor Model: Deep Cyclic Inhibition of the ERK Transcriptome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25114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5498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right="879" w:firstLine="806"/>
        <w:spacing w:after="0" w:line="500" w:lineRule="auto"/>
        <w:tabs>
          <w:tab w:leader="none" w:pos="1011"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Adjusted p-value &lt; 0.05, for each treatment versus vehicle (n = 3-4 independent tumors per group) Preclinical Studies: Resistance to CRAF-bypass</w:t>
      </w:r>
    </w:p>
    <w:p>
      <w:pPr>
        <w:spacing w:after="0" w:line="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evaluated IMM-1-104 head-to-head against four FDA-approved MEK inhibitors for CRAF-bypass resistance in a KRAS mutant NSCLC tumor model. We exposed the tumor cells with 100 nM of each drug for 2 hours and evaluated MEK and ERK activation levels. We observed that IMM-1-104 was able to reduce overall activity of the MAPK pathway at ERK and pathway reactivation at MEK through a decrease in MEK and ERK activation, resulting in CRAF-bypass resistance. In contrast, we observed that all four FDA- approved MEK inhibitors displayed an increase in activated MEK, resulting in CRAF-bypass (as depicted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80" w:right="179" w:firstLine="2"/>
        <w:spacing w:after="0" w:line="347" w:lineRule="auto"/>
        <w:rPr>
          <w:sz w:val="20"/>
          <w:szCs w:val="20"/>
          <w:color w:val="auto"/>
        </w:rPr>
      </w:pPr>
      <w:r>
        <w:rPr>
          <w:rFonts w:ascii="Arial" w:cs="Arial" w:eastAsia="Arial" w:hAnsi="Arial"/>
          <w:sz w:val="16"/>
          <w:szCs w:val="16"/>
          <w:b w:val="1"/>
          <w:bCs w:val="1"/>
          <w:color w:val="auto"/>
        </w:rPr>
        <w:t>Head-to-Head Comparison of IMM-1-104 against Four FDA-Approved MEK Inhibitors Using a A549 Xenograft Tumor Model: Prevented Downstream Activation of ERK (↓ pERK) and Inhibited Activation of MEK (↓ pMEK)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85090</wp:posOffset>
            </wp:positionV>
            <wp:extent cx="5554980" cy="2528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5498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 Tumor Regression and Body Weight Loss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6"/>
          <w:szCs w:val="16"/>
          <w:color w:val="auto"/>
        </w:rPr>
        <w:t>We evaluated IMM-1-104 head-to-head against binimetinib and selumetinib in an aggressive murine colorectal tumor model (i.e., Colon-26), which expresses mutant KRAS</w:t>
      </w:r>
      <w:r>
        <w:rPr>
          <w:rFonts w:ascii="Arial" w:cs="Arial" w:eastAsia="Arial" w:hAnsi="Arial"/>
          <w:sz w:val="23"/>
          <w:szCs w:val="23"/>
          <w:color w:val="auto"/>
          <w:vertAlign w:val="superscript"/>
        </w:rPr>
        <w:t>G12D</w:t>
      </w:r>
      <w:r>
        <w:rPr>
          <w:rFonts w:ascii="Arial" w:cs="Arial" w:eastAsia="Arial" w:hAnsi="Arial"/>
          <w:sz w:val="16"/>
          <w:szCs w:val="16"/>
          <w:color w:val="auto"/>
        </w:rPr>
        <w:t>. We observed that IMM-1-104 demonstrated greater tumor growth inhibition, where notably 5 of 8 mice experienced tumor regression during the first 10 days of dosing, as well as greater tolerability, evidenced by changes in BWL. In addition, we observed that IMM-1-104 had overall better durability of antitumor response as compared to the two FDA- approved MEK inhibitors, as demonstrated by significantly lower tumor volume, or TV, progression. This study demonstrated that IMM-1-104 as compared to binimetinib and selumetinib provided greater tumor inhibition, lower BWL and lower TV progression (as depicted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Head-to-Head Comparison of IMM-1-104 Against Binimetinib and Selumetinib Using a Colon-26 Syngeneic Tumor Model: Body Weight Loss and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3214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5498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 xml:space="preserve">After observing the results of the Colon-26 tumor study, we completed two follow-up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where we evaluated IMM-1-104 head-to-head against binimetinib or encorafenib, a BRAF inhibitor, as monotherapy plus the combination of binimetinib with encorafenib in BALB/c mice tumor models with RAS and RAF mutations. It should be noted that when encorafenib is used to treat KRAS mutant tumors that are wild type for BRAF, it can paradoxically activate the MAPK pathway and antagonize the effects of binimetinib. In addition, the drug doses and schedules used for binimetinib and encorafenib in these studies were consistent with what was provided in their NDAs to the FDA.</w:t>
      </w:r>
    </w:p>
    <w:p>
      <w:pPr>
        <w:spacing w:after="0" w:line="17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7"/>
          <w:szCs w:val="17"/>
          <w:color w:val="auto"/>
        </w:rPr>
        <w:t>We evaluated IMM-1-104 head-to-head against binimetinib monotherapy and in combination with encorafenib in the KRAS</w:t>
      </w:r>
      <w:r>
        <w:rPr>
          <w:rFonts w:ascii="Arial" w:cs="Arial" w:eastAsia="Arial" w:hAnsi="Arial"/>
          <w:sz w:val="25"/>
          <w:szCs w:val="25"/>
          <w:color w:val="auto"/>
          <w:vertAlign w:val="superscript"/>
        </w:rPr>
        <w:t>G12S</w:t>
      </w:r>
      <w:r>
        <w:rPr>
          <w:rFonts w:ascii="Arial" w:cs="Arial" w:eastAsia="Arial" w:hAnsi="Arial"/>
          <w:sz w:val="17"/>
          <w:szCs w:val="17"/>
          <w:color w:val="auto"/>
        </w:rPr>
        <w:t xml:space="preserve"> human NSCLC tumor model (i.e., A549). When comparing IMM-1-104 to binimetinib monotherapy, we observed that IMM-1-104 had greater tumor growth inhibition (as depicted below). The observations of IMM-1-104 head-to-head against binimetinib alone and in combination with encorafenib, which was not considered relevant for a KRAS mutant, RAF wild-type tumor model, has been included in the figure below for comparison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Head-to-Head Comparison of IMM-1-104 Against Binimetinib +/- Encorafenib Using a A549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3008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5498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7"/>
          <w:szCs w:val="17"/>
          <w:color w:val="auto"/>
        </w:rPr>
        <w:t>We also evaluated IMM-1-104 head-to-head against binimetinib and encorafenib monotherapy and the combination of binimetinib with encorafenib in a BRAF</w:t>
      </w:r>
      <w:r>
        <w:rPr>
          <w:rFonts w:ascii="Arial" w:cs="Arial" w:eastAsia="Arial" w:hAnsi="Arial"/>
          <w:sz w:val="25"/>
          <w:szCs w:val="25"/>
          <w:color w:val="auto"/>
          <w:vertAlign w:val="superscript"/>
        </w:rPr>
        <w:t>V600E</w:t>
      </w:r>
      <w:r>
        <w:rPr>
          <w:rFonts w:ascii="Arial" w:cs="Arial" w:eastAsia="Arial" w:hAnsi="Arial"/>
          <w:sz w:val="17"/>
          <w:szCs w:val="17"/>
          <w:color w:val="auto"/>
        </w:rPr>
        <w:t xml:space="preserve"> human melanoma tumor model. It should be noted that the administered combination of binimetinib and encorafenib for BRAF mutant melanoma, such as BRAF</w:t>
      </w:r>
      <w:r>
        <w:rPr>
          <w:rFonts w:ascii="Arial" w:cs="Arial" w:eastAsia="Arial" w:hAnsi="Arial"/>
          <w:sz w:val="25"/>
          <w:szCs w:val="25"/>
          <w:color w:val="auto"/>
          <w:vertAlign w:val="superscript"/>
        </w:rPr>
        <w:t>V600E/K</w:t>
      </w:r>
      <w:r>
        <w:rPr>
          <w:rFonts w:ascii="Arial" w:cs="Arial" w:eastAsia="Arial" w:hAnsi="Arial"/>
          <w:sz w:val="17"/>
          <w:szCs w:val="17"/>
          <w:color w:val="auto"/>
        </w:rPr>
        <w:t>, is an FDA-approved combination. As expected, when comparing IMM-1-104 alone to binimetinib in combination with encorafenib, we observed that the combination therapy had greater tumor growth inhibition (as depicted below). However, when we compared IMM-1-104 to binimetinib monotherapy, we observed that IMM-1-104 had greater tumor growth inhibition (as depicted below). We believe the greater single agent MEK inhibitor activity provides an opportunity to expand IMM-1-104 into drug-drug combinations with other MAPK pathway inhibitors, such as encorafenib, to treat RAF mutant cancers, such as BRAF</w:t>
      </w:r>
      <w:r>
        <w:rPr>
          <w:rFonts w:ascii="Arial" w:cs="Arial" w:eastAsia="Arial" w:hAnsi="Arial"/>
          <w:sz w:val="25"/>
          <w:szCs w:val="25"/>
          <w:color w:val="auto"/>
          <w:vertAlign w:val="superscript"/>
        </w:rPr>
        <w:t>V600E/K</w:t>
      </w:r>
      <w:r>
        <w:rPr>
          <w:rFonts w:ascii="Arial" w:cs="Arial" w:eastAsia="Arial" w:hAnsi="Arial"/>
          <w:sz w:val="17"/>
          <w:szCs w:val="17"/>
          <w:color w:val="auto"/>
        </w:rPr>
        <w:t>, among other MAPK pathway mutations.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Head-to-Head Comparison of IMM-1-104 Against Binimetinib +/- Encorafenib Using a A375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2974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54980" cy="297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0" w:right="59"/>
        <w:spacing w:after="0" w:line="224" w:lineRule="auto"/>
        <w:rPr>
          <w:sz w:val="20"/>
          <w:szCs w:val="20"/>
          <w:color w:val="auto"/>
        </w:rPr>
      </w:pPr>
      <w:r>
        <w:rPr>
          <w:rFonts w:ascii="Arial" w:cs="Arial" w:eastAsia="Arial" w:hAnsi="Arial"/>
          <w:sz w:val="18"/>
          <w:szCs w:val="18"/>
          <w:color w:val="auto"/>
        </w:rPr>
        <w:t xml:space="preserve">In a further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study based on humanized 3D tumor model data, we evaluated IMM-1-104 head-to-head against AMG-510 (sotorasib) and gemcitabine alone, and IMM-1-104 in combination with AMG-510, for 21 days in the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mutant tumor model (i.e., MIA PaCa-2). In a previous study conducted by a third-party, AMG-510 demonstrated sensitivity to this pancreatic tumor model. Comparing IMM-1-104 alone, against AMG-510 and in combination with AMG-510, we observed tumor regressions with insignificant BWL (i.e., within 3% of baseline), which we believe indicates activity, durability and tolerability of IMM-1-104 against a KRAS</w:t>
      </w:r>
      <w:r>
        <w:rPr>
          <w:rFonts w:ascii="Arial" w:cs="Arial" w:eastAsia="Arial" w:hAnsi="Arial"/>
          <w:sz w:val="26"/>
          <w:szCs w:val="26"/>
          <w:color w:val="auto"/>
          <w:vertAlign w:val="superscript"/>
        </w:rPr>
        <w:t>G12C</w:t>
      </w:r>
      <w:r>
        <w:rPr>
          <w:rFonts w:ascii="Arial" w:cs="Arial" w:eastAsia="Arial" w:hAnsi="Arial"/>
          <w:sz w:val="18"/>
          <w:szCs w:val="18"/>
          <w:color w:val="auto"/>
        </w:rPr>
        <w:t xml:space="preserve"> mutant pancreatic cancer model (as depicted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Head-to-Head Comparison of IMM-1-104 +/- AMG-510 (sotorasib) and Gemcitabine Using a MIA PaCa-2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388620</wp:posOffset>
            </wp:positionV>
            <wp:extent cx="5554980" cy="2717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5498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 w:right="59"/>
        <w:spacing w:after="0" w:line="222" w:lineRule="auto"/>
        <w:rPr>
          <w:sz w:val="20"/>
          <w:szCs w:val="20"/>
          <w:color w:val="auto"/>
        </w:rPr>
      </w:pPr>
      <w:r>
        <w:rPr>
          <w:rFonts w:ascii="Arial" w:cs="Arial" w:eastAsia="Arial" w:hAnsi="Arial"/>
          <w:sz w:val="18"/>
          <w:szCs w:val="18"/>
          <w:color w:val="auto"/>
        </w:rPr>
        <w:t xml:space="preserve">In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study based on humanized 3D tumor model data, we evaluated IMM-1-104 monotherapy as compared to binimetinib for 21 days in the NRAS</w:t>
      </w:r>
      <w:r>
        <w:rPr>
          <w:rFonts w:ascii="Arial" w:cs="Arial" w:eastAsia="Arial" w:hAnsi="Arial"/>
          <w:sz w:val="26"/>
          <w:szCs w:val="26"/>
          <w:color w:val="auto"/>
          <w:vertAlign w:val="superscript"/>
        </w:rPr>
        <w:t>Q61R</w:t>
      </w:r>
      <w:r>
        <w:rPr>
          <w:rFonts w:ascii="Arial" w:cs="Arial" w:eastAsia="Arial" w:hAnsi="Arial"/>
          <w:sz w:val="18"/>
          <w:szCs w:val="18"/>
          <w:color w:val="auto"/>
        </w:rPr>
        <w:t xml:space="preserve"> mutant tumor model (i.e., SK-MEL-2). We observed better tumor growth inhibition relative to binimetinib (as depicted below).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Head-to-Head Comparison of IMM-1-104 Against Binimetinib Using a SK-MEL-2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3257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5498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08" w:lineRule="auto"/>
        <w:rPr>
          <w:sz w:val="20"/>
          <w:szCs w:val="20"/>
          <w:color w:val="auto"/>
        </w:rPr>
      </w:pPr>
      <w:r>
        <w:rPr>
          <w:rFonts w:ascii="Arial" w:cs="Arial" w:eastAsia="Arial" w:hAnsi="Arial"/>
          <w:sz w:val="18"/>
          <w:szCs w:val="18"/>
          <w:color w:val="auto"/>
        </w:rPr>
        <w:t xml:space="preserve">In a further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study based on humanized 3D tumor model data, we evaluated IMM-1-104 monotherapy as compared to vehicle for 21 days in the NRAS</w:t>
      </w:r>
      <w:r>
        <w:rPr>
          <w:rFonts w:ascii="Arial" w:cs="Arial" w:eastAsia="Arial" w:hAnsi="Arial"/>
          <w:sz w:val="26"/>
          <w:szCs w:val="26"/>
          <w:color w:val="auto"/>
          <w:vertAlign w:val="superscript"/>
        </w:rPr>
        <w:t>Q61R</w:t>
      </w:r>
      <w:r>
        <w:rPr>
          <w:rFonts w:ascii="Arial" w:cs="Arial" w:eastAsia="Arial" w:hAnsi="Arial"/>
          <w:sz w:val="18"/>
          <w:szCs w:val="18"/>
          <w:color w:val="auto"/>
        </w:rPr>
        <w:t xml:space="preserve"> mutant tumor model (i.e., SK-MEL-2). We observed midcycle tumor regressions in mice treated with IMM-1-104, which we believe indicates activity and durability of IMM-1-104 against an NRAS</w:t>
      </w:r>
      <w:r>
        <w:rPr>
          <w:rFonts w:ascii="Arial" w:cs="Arial" w:eastAsia="Arial" w:hAnsi="Arial"/>
          <w:sz w:val="26"/>
          <w:szCs w:val="26"/>
          <w:color w:val="auto"/>
          <w:vertAlign w:val="superscript"/>
        </w:rPr>
        <w:t>Q61R</w:t>
      </w:r>
      <w:r>
        <w:rPr>
          <w:rFonts w:ascii="Arial" w:cs="Arial" w:eastAsia="Arial" w:hAnsi="Arial"/>
          <w:sz w:val="18"/>
          <w:szCs w:val="18"/>
          <w:color w:val="auto"/>
        </w:rPr>
        <w:t xml:space="preserve"> mutant melanoma cancer model (as depicted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Evaluation of IMM-1-104 as Compared to Vehicle Using a SK-MEL-2 Xenograft Tumor Model: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161925</wp:posOffset>
            </wp:positionV>
            <wp:extent cx="3960495" cy="3780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60495"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 3D Tumor Growth Models</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7"/>
          <w:szCs w:val="17"/>
          <w:color w:val="auto"/>
        </w:rPr>
        <w:t xml:space="preserve">3D tumor growth models mimic the tumor microenvironment, or TME, more closely than 2D models, and we believe the 3D model more accurately reflects human tumor biology and complexity when evaluating pharmacological data of MAPK pathway inhibition </w:t>
      </w:r>
      <w:r>
        <w:rPr>
          <w:rFonts w:ascii="Arial" w:cs="Arial" w:eastAsia="Arial" w:hAnsi="Arial"/>
          <w:sz w:val="17"/>
          <w:szCs w:val="17"/>
          <w:i w:val="1"/>
          <w:iCs w:val="1"/>
          <w:color w:val="auto"/>
        </w:rPr>
        <w:t>in vivo</w:t>
      </w:r>
      <w:r>
        <w:rPr>
          <w:rFonts w:ascii="Arial" w:cs="Arial" w:eastAsia="Arial" w:hAnsi="Arial"/>
          <w:sz w:val="17"/>
          <w:szCs w:val="17"/>
          <w:color w:val="auto"/>
        </w:rPr>
        <w:t>. We have established and evaluated over 60 humanized 3D tumor models that display mutations in the RAS isoforms, amongst other altered MAPK pathway targets, including BRAF, CRAF, NF1 and ERK, to evaluate their sensitivities to IMM-1-104. In general, we observed that tumor models with KRAS or NRAS mutations and certain molecular profiles were most sensitive to IMM-1-104, followed closely by tumor models with BRAF mutations. For example, the IC</w:t>
      </w:r>
      <w:r>
        <w:rPr>
          <w:rFonts w:ascii="Arial" w:cs="Arial" w:eastAsia="Arial" w:hAnsi="Arial"/>
          <w:sz w:val="25"/>
          <w:szCs w:val="25"/>
          <w:color w:val="auto"/>
          <w:vertAlign w:val="subscript"/>
        </w:rPr>
        <w:t>50</w:t>
      </w:r>
      <w:r>
        <w:rPr>
          <w:rFonts w:ascii="Arial" w:cs="Arial" w:eastAsia="Arial" w:hAnsi="Arial"/>
          <w:sz w:val="17"/>
          <w:szCs w:val="17"/>
          <w:color w:val="auto"/>
        </w:rPr>
        <w:t xml:space="preserve"> of IMM-1-104 ranged from 68.7 nM in NRAS</w:t>
      </w:r>
      <w:r>
        <w:rPr>
          <w:rFonts w:ascii="Arial" w:cs="Arial" w:eastAsia="Arial" w:hAnsi="Arial"/>
          <w:sz w:val="25"/>
          <w:szCs w:val="25"/>
          <w:color w:val="auto"/>
          <w:vertAlign w:val="superscript"/>
        </w:rPr>
        <w:t>Q61K</w:t>
      </w:r>
      <w:r>
        <w:rPr>
          <w:rFonts w:ascii="Arial" w:cs="Arial" w:eastAsia="Arial" w:hAnsi="Arial"/>
          <w:sz w:val="17"/>
          <w:szCs w:val="17"/>
          <w:color w:val="auto"/>
        </w:rPr>
        <w:t xml:space="preserve"> to 214.7 nM in NRAS</w:t>
      </w:r>
      <w:r>
        <w:rPr>
          <w:rFonts w:ascii="Arial" w:cs="Arial" w:eastAsia="Arial" w:hAnsi="Arial"/>
          <w:sz w:val="25"/>
          <w:szCs w:val="25"/>
          <w:color w:val="auto"/>
          <w:vertAlign w:val="superscript"/>
        </w:rPr>
        <w:t>G12D</w:t>
      </w:r>
      <w:r>
        <w:rPr>
          <w:rFonts w:ascii="Arial" w:cs="Arial" w:eastAsia="Arial" w:hAnsi="Arial"/>
          <w:sz w:val="17"/>
          <w:szCs w:val="17"/>
          <w:color w:val="auto"/>
        </w:rPr>
        <w:t>, whereas the IC</w:t>
      </w:r>
      <w:r>
        <w:rPr>
          <w:rFonts w:ascii="Arial" w:cs="Arial" w:eastAsia="Arial" w:hAnsi="Arial"/>
          <w:sz w:val="25"/>
          <w:szCs w:val="25"/>
          <w:color w:val="auto"/>
          <w:vertAlign w:val="subscript"/>
        </w:rPr>
        <w:t>50</w:t>
      </w:r>
      <w:r>
        <w:rPr>
          <w:rFonts w:ascii="Arial" w:cs="Arial" w:eastAsia="Arial" w:hAnsi="Arial"/>
          <w:sz w:val="17"/>
          <w:szCs w:val="17"/>
          <w:color w:val="auto"/>
        </w:rPr>
        <w:t xml:space="preserve"> of IMM-1-104 ranged from 814.7 nM to greater than 10,000 nM in BRAF</w:t>
      </w:r>
      <w:r>
        <w:rPr>
          <w:rFonts w:ascii="Arial" w:cs="Arial" w:eastAsia="Arial" w:hAnsi="Arial"/>
          <w:sz w:val="25"/>
          <w:szCs w:val="25"/>
          <w:color w:val="auto"/>
          <w:vertAlign w:val="superscript"/>
        </w:rPr>
        <w:t>V600E</w:t>
      </w:r>
      <w:r>
        <w:rPr>
          <w:rFonts w:ascii="Arial" w:cs="Arial" w:eastAsia="Arial" w:hAnsi="Arial"/>
          <w:sz w:val="17"/>
          <w:szCs w:val="17"/>
          <w:color w:val="auto"/>
        </w:rPr>
        <w:t xml:space="preserve"> and certain RAS mutants, respectively. More specifically, our 3D tumor modeling data suggested that KRAS mutant pancreatic cancer and NRAS mutant melanoma may be particularly sensitive to single agent IMM-1-104.</w:t>
      </w:r>
    </w:p>
    <w:p>
      <w:pPr>
        <w:spacing w:after="0" w:line="197"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To further examine the translational opportunity in KRAS mutant pancreatic cancer and NRAS mutant melanoma, we evaluated several of these cancer mutations utilizing real-world data through a pan-cancer registry, the Genomics Evidence Neoplasia Information Exchange, or GENIE. The total number of patients in the analysis are depicted below in blue and the percentage of patients with a known mutation in KRAS or NRAS are shown as a percentage of the total patients (depicted below in black). Biomarker sensitive profiles (depicted below in green) and biomarker resistant profiles (depicted below in red) are projected subsets of patients with mutated KRAS or NRAS that may be sensitive or resistant to IMM-1-</w:t>
      </w:r>
    </w:p>
    <w:p>
      <w:pPr>
        <w:spacing w:after="0" w:line="4" w:lineRule="exact"/>
        <w:rPr>
          <w:sz w:val="20"/>
          <w:szCs w:val="20"/>
          <w:color w:val="auto"/>
        </w:rPr>
      </w:pPr>
    </w:p>
    <w:p>
      <w:pPr>
        <w:jc w:val="both"/>
        <w:ind w:left="60" w:right="59" w:hanging="10"/>
        <w:spacing w:after="0" w:line="255" w:lineRule="auto"/>
        <w:tabs>
          <w:tab w:leader="none" w:pos="4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observed that the overwhelming majority of pancreatic cancers associated with KRAS mutations (i.e., 92%) and melanoma associated with NRAS mutations (i.e., 73%) are found to harbor a biomarker profile that may be sensitive to IMM-1-104 (as depicted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82" w:lineRule="auto"/>
        <w:rPr>
          <w:sz w:val="20"/>
          <w:szCs w:val="20"/>
          <w:color w:val="auto"/>
        </w:rPr>
      </w:pPr>
      <w:r>
        <w:rPr>
          <w:rFonts w:ascii="Arial" w:cs="Arial" w:eastAsia="Arial" w:hAnsi="Arial"/>
          <w:sz w:val="18"/>
          <w:szCs w:val="18"/>
          <w:b w:val="1"/>
          <w:bCs w:val="1"/>
          <w:color w:val="auto"/>
        </w:rPr>
        <w:t>Translational Profiling for KRAS Mutant Pancreatic Cancer and NRAS Mutant Melanoma Utilizing a Pan-Cancer Registry, GENIE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114300</wp:posOffset>
            </wp:positionV>
            <wp:extent cx="5469255" cy="59664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69255" cy="596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Development Overview: IMM-1-104</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IMM-1-104 is currently undergoing IND-enabling studies. We plan to submit an IND for IMM-1-104 to the FDA in the third quarter of 2022. We continue to expand our preclinical pharmacology models, including research to further understand sensitivity and resistance biomarkers related to IMM-1-104. We have conducted 28-day good laboratory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practices, or GLP, orally dosed safety and toxicology studies in rats and dogs prior to initiating our Phase 1 clinical trial of IMM-1-104. We intend to enroll the first patient in our first-in-human Phase 1 clinical trial of IMM-1-104 in the fourth quarter of 2022 for the treatment of advanced solid tumors in patients harboring RAS mutant tumors if our IND for IMM-1-104 is accepted. The Phase 1 clinical trial of IMM-1-104 is being designed to primarily evaluate its safety and tolerability, and to also identify dose-limiting toxicities.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clinical development plan for IMM-1-104 will initially focus on indications selected by our translational data. Additional indications will be based on future preclinical studies and clinical trial outcomes. Our goal is to further expand the development of IMM-1-104 in indications, including a broad range of RAS and/or RAF mutant tumors. In addition, we plan to evaluate IMM-1-104 in combination with FDA-approved MAPK and adjacent pathway inhibitors to treat certain cancers in the future.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MEK-io Program</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are developing innovative investigational allosteric MEK inhibitors to be administered in combination with select immune modulators (e.g., checkpoint inhibitors) for the treatment of “cold” solid tumors. Our investigational MEK-io program inhibitors are designed to target MEK in a way that disrupts the MAPK pathway at ERK and to also reduce baseline MEK activation. We are designing these inhibitors with unique PK and PD profiles that may enhance cycle inhibition time of MEK and ERK to optimize the patient’s immune response and promote maximal antitumor responses when administered in combination with select immune modulators. KRAS mutant tumors impact approximately 15% of patients globally and include cold or “non-inflamed” tumors. Cold tumors are immunologically inaccessible, meaning the patient’s immune system cannot provide an appropriate antitumor response because the lack of T-cell infiltration in the tumor, which is required for the immune system (i.e., T-cells) to find, target and attack the tumor. Checkpoint inhibitors work by helping to reactivate and enhance the patient’s immune system by allowing T-cells to better provide an appropriate antitumor response. If a cold tumor were to become “hot” or “inflamed,” this would create an inflammatory process enabling T-cells to infiltrate the tumor and allow them to recognize and attack the tumor (i.e., an antitumor response). We believe our investigational MEK-io program inhibitors have the potential to turn a cold tumor hot, and when administered in combination with a checkpoint inhibitor, could provide an innovative approach to treat patients with cold solid tumors by providing MEK/ERK inhibition and optimizing antitumor response, which would not typically be seen in these patients.</w:t>
      </w:r>
    </w:p>
    <w:p>
      <w:pPr>
        <w:spacing w:after="0" w:line="16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We observed an initial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for our MEK-io program, with a related analogue to our MEK-io product candidate IMM-6-415, in a widely utilized syngeneic murine model. We evaluated it as monotherapy and in combination with a checkpoint inhibitor as compared to vehicle to observe tumor growth inhibition in tumor-bearing BALB/C mice. Neither treatment alone altered tumor growth as compared to vehicle. However, when we administered in combination with the checkpoint inhibitor, we observed greater than 50% tumor growth inhibition (TGI) after two weeks of dosing as compared to vehicle treated mice.</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MEK-io product candidate, IMM-6-415, is currently in IND-enabling studies. IMM-6-415 may enhance responses to checkpoint inhibitors in tumors that have been poorly responsive to these class of agents. We observed dose-dependent, tumor growth inhibition by IMM-6-415 in a syngeneic Colon-26 animal model following oral administration of the drug to identify maximum tolerated dose in a once per day, or QD, schedule (TGI after 8 days at 175 mg/kg = 46%) or twice per day, or BID, schedule (TGI after 8 days at 150 mg/kg = 74%). Current preclinical studies are evaluating IMM-6-415 as monotherapy or in combination with checkpoint inhibitors in CT26 and MC-38 syngeneic models. We plan to submit an IND for IMM-6-415 to the FDA in 2023.</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Trifecta-MEK Program</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are developing novel product candidates that are designed to uniquely engage MEK and inhibit the upstream activation events of MEK and the downstream activation events of ERK in MEK itself, for the treatment of solid tumors. We believe the inhibition of upstream and downstream activation events of MEK and ERK bypass MAPK pathway reactivation events (i.e., drug resistance). Our investigational Trifecta- MEK program inhibitors are designed to be differentiated from IMM-1-104 and IMM-6-415 due to their potential mechanism of target engagement, novel allosteric inhibition of MEK and KSR disruption, along with a unique PK approach. The potential dosing intervals, potency and mechanisms of target engagement of our investigational Trifecta-MEK program inhibitors may broaden the application of these inhibitors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metabolically diverse RAS and RAF mutant tumors. We are designing our investigational Trifecta-MEK program inhibitors to be administered as monotherapy to provide potentially better alternatives to combination therapies inhibiting MEK and RAF in BRAF mutant tumors.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6"/>
          <w:szCs w:val="16"/>
          <w:color w:val="auto"/>
        </w:rPr>
        <w:t>We have evaluated one of our investigational Trifecta-MEK program inhibitors head-to-head against binimetinib and encorafenib in a cell-based potency study to observe comparisons in the reduction of activated MEK and ERK in KRAS</w:t>
      </w:r>
      <w:r>
        <w:rPr>
          <w:rFonts w:ascii="Arial" w:cs="Arial" w:eastAsia="Arial" w:hAnsi="Arial"/>
          <w:sz w:val="23"/>
          <w:szCs w:val="23"/>
          <w:color w:val="auto"/>
          <w:vertAlign w:val="superscript"/>
        </w:rPr>
        <w:t>G12S</w:t>
      </w:r>
      <w:r>
        <w:rPr>
          <w:rFonts w:ascii="Arial" w:cs="Arial" w:eastAsia="Arial" w:hAnsi="Arial"/>
          <w:sz w:val="16"/>
          <w:szCs w:val="16"/>
          <w:color w:val="auto"/>
        </w:rPr>
        <w:t xml:space="preserve"> and BRAF</w:t>
      </w:r>
      <w:r>
        <w:rPr>
          <w:rFonts w:ascii="Arial" w:cs="Arial" w:eastAsia="Arial" w:hAnsi="Arial"/>
          <w:sz w:val="23"/>
          <w:szCs w:val="23"/>
          <w:color w:val="auto"/>
          <w:vertAlign w:val="superscript"/>
        </w:rPr>
        <w:t>V600E</w:t>
      </w:r>
      <w:r>
        <w:rPr>
          <w:rFonts w:ascii="Arial" w:cs="Arial" w:eastAsia="Arial" w:hAnsi="Arial"/>
          <w:sz w:val="16"/>
          <w:szCs w:val="16"/>
          <w:color w:val="auto"/>
        </w:rPr>
        <w:t xml:space="preserve"> mutant tumor models. In the KRAS mutant tumor model, our investigational Trifecta-MEK program inhibitor provided greater inhibition of activated MEK and ERK as compared to binimetinib and encorafenib (as depicted below). In the BRAF mutant tumor model, our investigational Trifecta-MEK program inhibitor displayed greater inhibition of activated MEK and ERK as compared to binimetinib, and greater activated ERK inhibition as compared to encorafenib (as depicted below). Our Trifecta-MEK program is currently in the drug discovery stage of development.</w:t>
      </w:r>
    </w:p>
    <w:p>
      <w:pPr>
        <w:spacing w:after="0" w:line="191" w:lineRule="exact"/>
        <w:rPr>
          <w:sz w:val="20"/>
          <w:szCs w:val="20"/>
          <w:color w:val="auto"/>
        </w:rPr>
      </w:pPr>
    </w:p>
    <w:p>
      <w:pPr>
        <w:jc w:val="center"/>
        <w:ind w:left="60" w:right="59"/>
        <w:spacing w:after="0" w:line="282" w:lineRule="auto"/>
        <w:rPr>
          <w:sz w:val="20"/>
          <w:szCs w:val="20"/>
          <w:color w:val="auto"/>
        </w:rPr>
      </w:pPr>
      <w:r>
        <w:rPr>
          <w:rFonts w:ascii="Arial" w:cs="Arial" w:eastAsia="Arial" w:hAnsi="Arial"/>
          <w:sz w:val="18"/>
          <w:szCs w:val="18"/>
          <w:b w:val="1"/>
          <w:bCs w:val="1"/>
          <w:color w:val="auto"/>
        </w:rPr>
        <w:t>Head-to-Head Comparison of One of Our Investigational Trifecta-MEK Program Inhibitors Against Encorafenib and Binimetinib Using A549 and A375 Xenograft Tumor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114300</wp:posOffset>
            </wp:positionV>
            <wp:extent cx="5280660" cy="4046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8066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KRAS4B Program</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are developing investigational mutation agnostic KRAS4B inhibitors that are designed to bind to a unique, undisclosed site on KRAS4B for the treatment of solid tumors. We believe our investigational KRAS4B inhibitors have the potential to disrupt RAS nanocluster biology and prevent MAPK signaling in patients with KRAS mutant tumors, which represent approximately 15% of all cancer patients. Although drugs in this class have begun targeting RAS mutations, such as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0" w:right="59"/>
        <w:spacing w:after="0" w:line="216" w:lineRule="auto"/>
        <w:rPr>
          <w:sz w:val="20"/>
          <w:szCs w:val="20"/>
          <w:color w:val="auto"/>
        </w:rPr>
      </w:pPr>
      <w:r>
        <w:rPr>
          <w:rFonts w:ascii="Arial" w:cs="Arial" w:eastAsia="Arial" w:hAnsi="Arial"/>
          <w:sz w:val="18"/>
          <w:szCs w:val="18"/>
          <w:color w:val="auto"/>
        </w:rPr>
        <w:t>KRAS</w:t>
      </w:r>
      <w:r>
        <w:rPr>
          <w:rFonts w:ascii="Arial" w:cs="Arial" w:eastAsia="Arial" w:hAnsi="Arial"/>
          <w:sz w:val="26"/>
          <w:szCs w:val="26"/>
          <w:color w:val="auto"/>
          <w:vertAlign w:val="superscript"/>
        </w:rPr>
        <w:t>G12C</w:t>
      </w:r>
      <w:r>
        <w:rPr>
          <w:rFonts w:ascii="Arial" w:cs="Arial" w:eastAsia="Arial" w:hAnsi="Arial"/>
          <w:sz w:val="18"/>
          <w:szCs w:val="18"/>
          <w:color w:val="auto"/>
        </w:rPr>
        <w:t>, we believe a majority of KRAS mutations, which we are designing our KRAS4B inhibitors to target, will remain unaddressed.</w:t>
      </w:r>
    </w:p>
    <w:p>
      <w:pPr>
        <w:spacing w:after="0" w:line="10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6"/>
          <w:szCs w:val="16"/>
          <w:color w:val="auto"/>
        </w:rPr>
        <w:t xml:space="preserve">In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tumor model, we observed a half maximal tumor inhibitor concentration, or IC</w:t>
      </w:r>
      <w:r>
        <w:rPr>
          <w:rFonts w:ascii="Arial" w:cs="Arial" w:eastAsia="Arial" w:hAnsi="Arial"/>
          <w:sz w:val="23"/>
          <w:szCs w:val="23"/>
          <w:color w:val="auto"/>
          <w:vertAlign w:val="subscript"/>
        </w:rPr>
        <w:t>50</w:t>
      </w:r>
      <w:r>
        <w:rPr>
          <w:rFonts w:ascii="Arial" w:cs="Arial" w:eastAsia="Arial" w:hAnsi="Arial"/>
          <w:sz w:val="16"/>
          <w:szCs w:val="16"/>
          <w:color w:val="auto"/>
        </w:rPr>
        <w:t>, of 1 μM for one of our investigational KRAS4B inhibitors. A low IC</w:t>
      </w:r>
      <w:r>
        <w:rPr>
          <w:rFonts w:ascii="Arial" w:cs="Arial" w:eastAsia="Arial" w:hAnsi="Arial"/>
          <w:sz w:val="23"/>
          <w:szCs w:val="23"/>
          <w:color w:val="auto"/>
          <w:vertAlign w:val="subscript"/>
        </w:rPr>
        <w:t>50</w:t>
      </w:r>
      <w:r>
        <w:rPr>
          <w:rFonts w:ascii="Arial" w:cs="Arial" w:eastAsia="Arial" w:hAnsi="Arial"/>
          <w:sz w:val="16"/>
          <w:szCs w:val="16"/>
          <w:color w:val="auto"/>
        </w:rPr>
        <w:t xml:space="preserve"> value means that a drug is effective at low concentrations and may provide lower systemic toxicity when administered to the patient because of the low concentration required to generate therapeutic activity. Based on this tumor model, we believe our investigational KRAS inhibitors may achieve KRAS4B inhibition when administered at low concentrations, providing a potentially improved tolerability profile as compared to other FDA-approved MAPK pathway inhibitors. Our KRAS4B program is currently in the drug discovery stage of development.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RAS Induction Program</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are developing investigational RAS inducers that are designed to hyperactivate the MAPK pathway to potentially induce tumor cell death. Our RAS inducers are designed to be agnostic to known activating mutations of any oncogene of the MAPK pathway, providing the potential clinical opportunity to effectively treat any patient with an activated MAPK pathway, which represents over 50% of all cancer patients globally. A study by Leung et al (Mol Can Res 2019) supports this novel pharmacological approach by demonstrating that the hyperactivation of the MAPK pathway in tumor cells that express mutant RAS or RAF are intolerant to further increases in activity at the level of ERK and induce tumor cell death. This approach was further validated by clinical observations of secondary tumor reductions in some patients when targeted agents that inhibit the MAPK pathway were discontinued.</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KRAS mutant tumor model, we observed cell-based induction of the MAPK pathway at activated ERK of 844% when administering 30 μM of one of our RAS inducers.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modeling is required to validate this pharmacologic strategy, but we believe that, if successful, short pulsatile target induction will be critical. Our RAS induction, or RASi, program is currently in the drug discovery stage of development.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Covalent-MEK Program</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are developing investigational irreversible allosteric inhibitors of MEK by attacking one of three critical amino acids lying adjacent to the binding pocket. We believe the covalent, or irreversible inhibition, fully disrupts MEK enzymatic activity completely avoiding any potential drug resistance from MAPK pathway reactivation events. Covalent-MEK’s novel pharmacological approach provides scaled attenuation of the MAPK pathway disruption that is anchored to the half-life of MEK itself, which has been reported to be approximately 12 to 14 hours.</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Covalent-MEK program is in the drug discovery stage of development and builds on our dynamic portfolio of novel and mechanistically distinct MEK inhibitors.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PI3K-alpha Program</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developing investigational allosteric PI3Kα inhibitors designed to target PI3Kα agnostically in common mutations and further disrupt upstream activation events of the mTOR pathway. Similar to IMM- 1-104, we intend to design our PI3Kα inhibitors with a short plasma half-life to potentially normalize tumor signaling dynamics while retaining healthy normal cells. While still in the early drug discovery stage of development, we envision our PI3K-alpha program will be able to address significant unmet clinical needs in certain subsets of cancer, as well as reaching a broader patient population in combination with one or more of our MEK or RAS drug programs, where the mTOR pathway may synergistically work in tandem with MAPK pathway inhibition.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Neuroscience Programs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to our extensive oncology pipeline, we are also leveraging our platform to build a neuroscience pipeline initially focusing on AD. Our neuroscience programs are in the early stages of drug discovery, and we are evaluating undisclosed targets to pursue a unique approach to treating AD. We believe by treating AD- related neuroinflammation, rather than treating amyloid beta protein, or β-amyloid, and hyperphosphorylated tau deposition in the brain, we may be able to slow the progression of AD. We believe our platform and expertise in neurology and neuroscience has allowed us to determine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biological differences in AD patients to help develop novel product candidates that have the potential to address the significant unmet needs of this underserved patient population.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Alzheimer’s Disease Overview</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AD is a neurodegenerative disorder of uncertain cause and pathogenesis and is the most common form of dementia. AD is characterized by memory impairment and further cognitive decline that can ultimately affect the patient’s behavior, speech, visuospatial orientation and motor system. AD is a complex multifactorial disease driven by genetic and environmental causes that affects older adults and is one of the leading sources of morbidity and mortality in the aging population. Established risk factors for AD include age, family history of dementia, rare dominantly inherited mutations in genes that impact β-amyloid in the brain (as described below) and apolipoprotein E epsilon 4 allele (as described below). The disease is most often categorized into three different groups: early-onset AD, late-onset AD and familial AD. Late-onset AD, also referred to as sporadic AD, is the most common form of the disease representing approximately 90% of the patients, and is classified in patients who present with symptoms at older ages (i.e., ≥ 65 years), while early-onset AD is classified in patients who present with symptoms at younger ages (i.e., &lt; 65 years). Familial AD is an inherited form of AD (i.e., genetic) and patients with early-onset AD most often have some inherited form of the disease. In contrast, sporadic AD most often involves common and rare genetic risk factors, as well as environmental factors.</w:t>
      </w:r>
    </w:p>
    <w:p>
      <w:pPr>
        <w:spacing w:after="0" w:line="16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Available data supports a worldwide prevalence of AD of approximately 35 million people, or approximately 6 million people in the United States. The prevalence of AD is known to increase exponentially with age, essentially doubling every 5 years after the age of 65. Diagnosis of AD is typically only considered after symptoms manifest and while the diagnosis of AD can be based on clinical criteria or detection of certain biomarkers, such as β-amyloid and tau, a postmortem histopathologic examination is required to confirm the diagnosis. Recent emerging evidence supports that neurological changes may occur years before patients start to experience early clinical manifestations of AD, which is most often memory impairment.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Limitations of Current Targeted Therapies for Alzheimer’s Disease</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Since 2003, only two new treatments for AD have been approved by the FDA, representing a significant unmet medical need. Despite clinical trials of numerous agents over a wide range of mechanisms, there are currently only six FDA-approved treatments for AD, and none of these treatments has been shown to do anything more than briefly and modestly improve AD symptoms, ultimately failing to prevent or slow disease progression. Patients may develop AD irrespective of</w:t>
      </w:r>
    </w:p>
    <w:p>
      <w:pPr>
        <w:spacing w:after="0" w:line="1" w:lineRule="exact"/>
        <w:rPr>
          <w:sz w:val="20"/>
          <w:szCs w:val="20"/>
          <w:color w:val="auto"/>
        </w:rPr>
      </w:pPr>
    </w:p>
    <w:p>
      <w:pPr>
        <w:ind w:left="60" w:right="59" w:hanging="10"/>
        <w:spacing w:after="0" w:line="260"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amyloid deposition. Without a disease-modifying treatment that targets the underlying cause of AD, many AD patients require daily supportive care from their families or other caregivers.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Pathogenesis of Alzheimer’s Disease</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While the pathogenesis of AD remains unclear, the genetic basis for early-onset and familial AD is understood most clearly. Most AD patients appear to have an overproduction and/or decreased clearance of β-amyloid, which is neurotoxic. This explanation of AD is otherwise known as the “amyloid hypothesis.” β-amyloid is produced by the cleavage of a protein translated from the amyloid precursor protein gene, or </w:t>
      </w:r>
      <w:r>
        <w:rPr>
          <w:rFonts w:ascii="Arial" w:cs="Arial" w:eastAsia="Arial" w:hAnsi="Arial"/>
          <w:sz w:val="18"/>
          <w:szCs w:val="18"/>
          <w:i w:val="1"/>
          <w:iCs w:val="1"/>
          <w:color w:val="auto"/>
        </w:rPr>
        <w:t>APP</w:t>
      </w:r>
      <w:r>
        <w:rPr>
          <w:rFonts w:ascii="Arial" w:cs="Arial" w:eastAsia="Arial" w:hAnsi="Arial"/>
          <w:sz w:val="18"/>
          <w:szCs w:val="18"/>
          <w:color w:val="auto"/>
        </w:rPr>
        <w:t xml:space="preserve">, and cleaved by α-secretase, β-secretase, and γ-secretase. Presenilin is a sub-component of γ-secretase and is partially responsible for cleaving </w:t>
      </w:r>
      <w:r>
        <w:rPr>
          <w:rFonts w:ascii="Arial" w:cs="Arial" w:eastAsia="Arial" w:hAnsi="Arial"/>
          <w:sz w:val="18"/>
          <w:szCs w:val="18"/>
          <w:i w:val="1"/>
          <w:iCs w:val="1"/>
          <w:color w:val="auto"/>
        </w:rPr>
        <w:t>APP</w:t>
      </w:r>
      <w:r>
        <w:rPr>
          <w:rFonts w:ascii="Arial" w:cs="Arial" w:eastAsia="Arial" w:hAnsi="Arial"/>
          <w:sz w:val="18"/>
          <w:szCs w:val="18"/>
          <w:color w:val="auto"/>
        </w:rPr>
        <w:t xml:space="preserve">. Mutations in presenilin 1 gene, or </w:t>
      </w:r>
      <w:r>
        <w:rPr>
          <w:rFonts w:ascii="Arial" w:cs="Arial" w:eastAsia="Arial" w:hAnsi="Arial"/>
          <w:sz w:val="18"/>
          <w:szCs w:val="18"/>
          <w:i w:val="1"/>
          <w:iCs w:val="1"/>
          <w:color w:val="auto"/>
        </w:rPr>
        <w:t>PSEN1</w:t>
      </w:r>
      <w:r>
        <w:rPr>
          <w:rFonts w:ascii="Arial" w:cs="Arial" w:eastAsia="Arial" w:hAnsi="Arial"/>
          <w:sz w:val="18"/>
          <w:szCs w:val="18"/>
          <w:color w:val="auto"/>
        </w:rPr>
        <w:t xml:space="preserve">, or presenilin 2, or </w:t>
      </w:r>
      <w:r>
        <w:rPr>
          <w:rFonts w:ascii="Arial" w:cs="Arial" w:eastAsia="Arial" w:hAnsi="Arial"/>
          <w:sz w:val="18"/>
          <w:szCs w:val="18"/>
          <w:i w:val="1"/>
          <w:iCs w:val="1"/>
          <w:color w:val="auto"/>
        </w:rPr>
        <w:t>PSEN2</w:t>
      </w:r>
      <w:r>
        <w:rPr>
          <w:rFonts w:ascii="Arial" w:cs="Arial" w:eastAsia="Arial" w:hAnsi="Arial"/>
          <w:sz w:val="18"/>
          <w:szCs w:val="18"/>
          <w:color w:val="auto"/>
        </w:rPr>
        <w:t xml:space="preserve">, and </w:t>
      </w:r>
      <w:r>
        <w:rPr>
          <w:rFonts w:ascii="Arial" w:cs="Arial" w:eastAsia="Arial" w:hAnsi="Arial"/>
          <w:sz w:val="18"/>
          <w:szCs w:val="18"/>
          <w:i w:val="1"/>
          <w:iCs w:val="1"/>
          <w:color w:val="auto"/>
        </w:rPr>
        <w:t>APP</w:t>
      </w:r>
      <w:r>
        <w:rPr>
          <w:rFonts w:ascii="Arial" w:cs="Arial" w:eastAsia="Arial" w:hAnsi="Arial"/>
          <w:sz w:val="18"/>
          <w:szCs w:val="18"/>
          <w:color w:val="auto"/>
        </w:rPr>
        <w:t xml:space="preserve"> result in overproduction of β-amyloid and are known to cause familial AD in greater than 95% of patients. In addition, the pathogenesis of AD is believed to involve a second protein, tau.</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Tau plays a role in stabilizing the biological mechanisms required for facilitating neuronal activity and communication. In patients suffering from AD, observations have shown that tau accumulates and causes neurotoxicity as a result of its hyperphosphorylation. In addition, transmission of pathologic forms of tau between neurons has been proposed to account for the spread of AD in the brain.</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 xml:space="preserve">There are several other important and potentially overlapping pathways that are considered to be involved in AD. For example, the strongest association of sporadic AD involves human apolipoprotein E gene, or </w:t>
      </w:r>
      <w:r>
        <w:rPr>
          <w:rFonts w:ascii="Arial" w:cs="Arial" w:eastAsia="Arial" w:hAnsi="Arial"/>
          <w:sz w:val="16"/>
          <w:szCs w:val="16"/>
          <w:i w:val="1"/>
          <w:iCs w:val="1"/>
          <w:color w:val="auto"/>
        </w:rPr>
        <w:t>APOE</w:t>
      </w:r>
      <w:r>
        <w:rPr>
          <w:rFonts w:ascii="Arial" w:cs="Arial" w:eastAsia="Arial" w:hAnsi="Arial"/>
          <w:sz w:val="16"/>
          <w:szCs w:val="16"/>
          <w:color w:val="auto"/>
        </w:rPr>
        <w:t xml:space="preserve">. </w:t>
      </w:r>
      <w:r>
        <w:rPr>
          <w:rFonts w:ascii="Arial" w:cs="Arial" w:eastAsia="Arial" w:hAnsi="Arial"/>
          <w:sz w:val="16"/>
          <w:szCs w:val="16"/>
          <w:i w:val="1"/>
          <w:iCs w:val="1"/>
          <w:color w:val="auto"/>
        </w:rPr>
        <w:t>APOE</w:t>
      </w:r>
      <w:r>
        <w:rPr>
          <w:rFonts w:ascii="Arial" w:cs="Arial" w:eastAsia="Arial" w:hAnsi="Arial"/>
          <w:sz w:val="16"/>
          <w:szCs w:val="16"/>
          <w:color w:val="auto"/>
        </w:rPr>
        <w:t xml:space="preserve"> is involved in multiple cellular processes, including cholesterol transport and immune regulation, amongst others. </w:t>
      </w:r>
      <w:r>
        <w:rPr>
          <w:rFonts w:ascii="Arial" w:cs="Arial" w:eastAsia="Arial" w:hAnsi="Arial"/>
          <w:sz w:val="16"/>
          <w:szCs w:val="16"/>
          <w:i w:val="1"/>
          <w:iCs w:val="1"/>
          <w:color w:val="auto"/>
        </w:rPr>
        <w:t>APOE</w:t>
      </w:r>
      <w:r>
        <w:rPr>
          <w:rFonts w:ascii="Arial" w:cs="Arial" w:eastAsia="Arial" w:hAnsi="Arial"/>
          <w:sz w:val="16"/>
          <w:szCs w:val="16"/>
          <w:color w:val="auto"/>
        </w:rPr>
        <w:t xml:space="preserve"> is known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have three alleles, including epsilon 4, or </w:t>
      </w:r>
      <w:r>
        <w:rPr>
          <w:rFonts w:ascii="Arial" w:cs="Arial" w:eastAsia="Arial" w:hAnsi="Arial"/>
          <w:sz w:val="18"/>
          <w:szCs w:val="18"/>
          <w:i w:val="1"/>
          <w:iCs w:val="1"/>
          <w:color w:val="auto"/>
        </w:rPr>
        <w:t>APOE4</w:t>
      </w:r>
      <w:r>
        <w:rPr>
          <w:rFonts w:ascii="Arial" w:cs="Arial" w:eastAsia="Arial" w:hAnsi="Arial"/>
          <w:sz w:val="18"/>
          <w:szCs w:val="18"/>
          <w:color w:val="auto"/>
        </w:rPr>
        <w:t xml:space="preserve">. Carriers of one </w:t>
      </w:r>
      <w:r>
        <w:rPr>
          <w:rFonts w:ascii="Arial" w:cs="Arial" w:eastAsia="Arial" w:hAnsi="Arial"/>
          <w:sz w:val="18"/>
          <w:szCs w:val="18"/>
          <w:i w:val="1"/>
          <w:iCs w:val="1"/>
          <w:color w:val="auto"/>
        </w:rPr>
        <w:t>APOE4</w:t>
      </w:r>
      <w:r>
        <w:rPr>
          <w:rFonts w:ascii="Arial" w:cs="Arial" w:eastAsia="Arial" w:hAnsi="Arial"/>
          <w:sz w:val="18"/>
          <w:szCs w:val="18"/>
          <w:color w:val="auto"/>
        </w:rPr>
        <w:t xml:space="preserve"> are two to three times more likely to develop AD as compared to noncarriers, and those with two </w:t>
      </w:r>
      <w:r>
        <w:rPr>
          <w:rFonts w:ascii="Arial" w:cs="Arial" w:eastAsia="Arial" w:hAnsi="Arial"/>
          <w:sz w:val="18"/>
          <w:szCs w:val="18"/>
          <w:i w:val="1"/>
          <w:iCs w:val="1"/>
          <w:color w:val="auto"/>
        </w:rPr>
        <w:t>APOE4</w:t>
      </w:r>
      <w:r>
        <w:rPr>
          <w:rFonts w:ascii="Arial" w:cs="Arial" w:eastAsia="Arial" w:hAnsi="Arial"/>
          <w:sz w:val="18"/>
          <w:szCs w:val="18"/>
          <w:color w:val="auto"/>
        </w:rPr>
        <w:t xml:space="preserve"> are at approximately 8 to 12 times more likely to develop AD. Despite </w:t>
      </w:r>
      <w:r>
        <w:rPr>
          <w:rFonts w:ascii="Arial" w:cs="Arial" w:eastAsia="Arial" w:hAnsi="Arial"/>
          <w:sz w:val="18"/>
          <w:szCs w:val="18"/>
          <w:i w:val="1"/>
          <w:iCs w:val="1"/>
          <w:color w:val="auto"/>
        </w:rPr>
        <w:t>APOE4</w:t>
      </w:r>
      <w:r>
        <w:rPr>
          <w:rFonts w:ascii="Arial" w:cs="Arial" w:eastAsia="Arial" w:hAnsi="Arial"/>
          <w:sz w:val="18"/>
          <w:szCs w:val="18"/>
          <w:color w:val="auto"/>
        </w:rPr>
        <w:t xml:space="preserve">’s strong link to sporadic AD, some carriers of </w:t>
      </w:r>
      <w:r>
        <w:rPr>
          <w:rFonts w:ascii="Arial" w:cs="Arial" w:eastAsia="Arial" w:hAnsi="Arial"/>
          <w:sz w:val="18"/>
          <w:szCs w:val="18"/>
          <w:i w:val="1"/>
          <w:iCs w:val="1"/>
          <w:color w:val="auto"/>
        </w:rPr>
        <w:t>APOE4</w:t>
      </w:r>
      <w:r>
        <w:rPr>
          <w:rFonts w:ascii="Arial" w:cs="Arial" w:eastAsia="Arial" w:hAnsi="Arial"/>
          <w:sz w:val="18"/>
          <w:szCs w:val="18"/>
          <w:color w:val="auto"/>
        </w:rPr>
        <w:t xml:space="preserve"> never develop any cognitive decline. Unlike familial and early-onset AD, the genetic basis for sporadic AD is complex and poorly understood, and often involves environmental factors.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Pathology of Alzheimer’s Disease</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hallmark neuropathologic changes of AD are diffuse and neuritic plaques, marked by extracellular β-amyloid deposition and neurofibrillary tangles, comprised of the intracellular accumulation of hyperphosphorylated tau (as depicted below). The pathology of AD is characterized by the widespread death of neurons in the brain and follows a destructive trajectory starting at the hippocampus, which is responsible for learning and memory. As AD progresses, the pathology gradually spreads to other important regions of the brain further causing cognitive decline. Among AD patients, the levels of brain atrophy vary and the underlying cause of this is unknown.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Healthy Brain Compared to an AD Patient’s Brain with β-Amyloid and Tau Deposition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4989195" cy="213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8919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Heterogeneity Among Alzheimer’s Disease Patients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growing body of evidence suggests that AD is a heterogeneous group of diseases, which may partially explain the lack of consistent clinical data, including clinical trials. The cardinal symptoms of AD are cognitive impairment, including memory impairment, loss of executive function, impaired judgement and problem solving, behavioral and psychological problems, and visuospatial impairment. While nearly all AD patients struggle with cognitive decline, there is no prescribed pattern or progression of symptoms. For example, some AD patients have significant β-amyloid and hyperphosphorylated tau deposition, but experience little or no cognitive impairment.</w:t>
      </w:r>
    </w:p>
    <w:p>
      <w:pPr>
        <w:spacing w:after="0" w:line="17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pattern of memory impairment in patients suffering from AD is distinctive. Memory of events occurring at a particular time and place is often profoundly affected in these patients. These memory deficits develop insidiously and progress slowly over time, evolving to include deficits of semantic memory (i.e., general knowledge accumulated throughout life) and immediate recall. Impairments of procedural memory (i.e., how to perform certain actions and skills) appear only in the late stages of AD. In addition, behavioral and psychologic symptoms become more common in the middle to late course of the disease. These can begin with relatively subtle symptoms including apathy, social disengagement and irritability. However, emergence of behavioral disturbances such as agitation, aggression, wandering and psychosis are seen as well. Approximately 11% of AD patients suffer from some form of psychosis and at least 75% of AD patients deal with agitation, aggression and wandering. Although the signs and symptoms of AD are understood, the underlying cause of the disease, including progression of certain aspects of the disease, still remain unknown and provide an opportunity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for the development of disease-modifying treatments that would address significant unmet needs in the underserved AD patient population.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Approach to Alzheimer’s Disease</w:t>
      </w:r>
    </w:p>
    <w:p>
      <w:pPr>
        <w:spacing w:after="0" w:line="229"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We believe there are specific subgroups of AD that can be stratified through gene expression and brain pathology. To identify AD subgroups, we have leveraged our platform to employ a patient-centric, data-driven approach through:</w:t>
      </w:r>
    </w:p>
    <w:p>
      <w:pPr>
        <w:spacing w:after="0" w:line="146" w:lineRule="exact"/>
        <w:rPr>
          <w:sz w:val="20"/>
          <w:szCs w:val="20"/>
          <w:color w:val="auto"/>
        </w:rPr>
      </w:pPr>
    </w:p>
    <w:p>
      <w:pPr>
        <w:ind w:left="720" w:right="7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231F20"/>
        </w:rPr>
        <w:t>Patient Data</w:t>
      </w:r>
      <w:r>
        <w:rPr>
          <w:rFonts w:ascii="Arial" w:cs="Arial" w:eastAsia="Arial" w:hAnsi="Arial"/>
          <w:sz w:val="18"/>
          <w:szCs w:val="18"/>
          <w:color w:val="231F20"/>
        </w:rPr>
        <w:t>. Categorizing and quality controlling postmortem patient data available from multiple public</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repositories.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231F20"/>
        </w:rPr>
        <w:t>Patient Stratification</w:t>
      </w:r>
      <w:r>
        <w:rPr>
          <w:rFonts w:ascii="Arial" w:cs="Arial" w:eastAsia="Arial" w:hAnsi="Arial"/>
          <w:sz w:val="18"/>
          <w:szCs w:val="18"/>
          <w:color w:val="231F20"/>
        </w:rPr>
        <w:t>. Using a combination of different types of data, such as brain pathology and gene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expression, to stratify patients into certain groups.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231F20"/>
        </w:rPr>
        <w:t>Our Expertise</w:t>
      </w:r>
      <w:r>
        <w:rPr>
          <w:rFonts w:ascii="Arial" w:cs="Arial" w:eastAsia="Arial" w:hAnsi="Arial"/>
          <w:sz w:val="18"/>
          <w:szCs w:val="18"/>
          <w:color w:val="231F20"/>
        </w:rPr>
        <w:t>. Leveraging our computational biology expertise to develop machine learning algorithms to detect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patterns across biological data and find subgroups based on distinct patterns.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approach to stratify AD patients based off specific subgroups and discover therapies that may benefit these patients is depicted in the image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 Patient Subgroup Stratification and Application of Our Drug Discovery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154305</wp:posOffset>
            </wp:positionV>
            <wp:extent cx="4937760" cy="1619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3776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believe our platform and expertise in neurology and neuroscience has allowed us to determine biological differences in AD patients to help develop novel product candidates that have the potential to address the significant unmet needs of this underserved patient population. Through postmortem patient data, we have determined multiple subgroups of AD with varying degrees of neuropathology and cognitive deficiencies, differences in brain gene expression irrespective of β-amyloid or tau deposition, and inclusion or lack of high levels of gene expression resulting in neuroinflammation of the brain. We categorize the subgroup of patients with high levels of gene expression resulting in neuroinflammation of the brain as “Type I AD.”</w:t>
      </w:r>
    </w:p>
    <w:p>
      <w:pPr>
        <w:spacing w:after="0" w:line="19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Through our next-generation approach for AD drug discovery (as depicted above), we have been able to develop a streamlined strategy for identifying novel product candidates by utilizing the following elements of our platform:</w:t>
      </w:r>
    </w:p>
    <w:p>
      <w:pPr>
        <w:spacing w:after="0" w:line="146" w:lineRule="exact"/>
        <w:rPr>
          <w:sz w:val="20"/>
          <w:szCs w:val="20"/>
          <w:color w:val="auto"/>
        </w:rPr>
      </w:pPr>
    </w:p>
    <w:p>
      <w:pPr>
        <w:jc w:val="both"/>
        <w:ind w:left="720" w:right="79" w:hanging="319"/>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231F20"/>
        </w:rPr>
        <w:t>Novel Biology</w:t>
      </w:r>
      <w:r>
        <w:rPr>
          <w:rFonts w:ascii="Arial" w:cs="Arial" w:eastAsia="Arial" w:hAnsi="Arial"/>
          <w:sz w:val="18"/>
          <w:szCs w:val="18"/>
          <w:color w:val="231F20"/>
        </w:rPr>
        <w:t>. Leveraging DCT to identify robust novel targets using gene expression signatures from each AD</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subgroup. Characterizing mechanisms of action in central nervous system, or CNS, cell types for target assessment.</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231F20"/>
        </w:rPr>
        <w:t>Novel Chemistry</w:t>
      </w:r>
      <w:r>
        <w:rPr>
          <w:rFonts w:ascii="Arial" w:cs="Arial" w:eastAsia="Arial" w:hAnsi="Arial"/>
          <w:sz w:val="18"/>
          <w:szCs w:val="18"/>
          <w:color w:val="231F20"/>
        </w:rPr>
        <w:t>. Employing our Fluency technology to accelerate the identification of small molecules that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selectively bind to a target of interest.</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86"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231F20"/>
        </w:rPr>
        <w:t xml:space="preserve">Proprietary Translational Planning. </w:t>
      </w:r>
      <w:r>
        <w:rPr>
          <w:rFonts w:ascii="Arial" w:cs="Arial" w:eastAsia="Arial" w:hAnsi="Arial"/>
          <w:sz w:val="17"/>
          <w:szCs w:val="17"/>
          <w:color w:val="231F20"/>
        </w:rPr>
        <w:t>Utilizing the AD subgroup data that we have generated to select ideal</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preclinical models to improve clinical translation, including AD subgroup-specific induced pluripotent stem cell, or iPSC, lines, and defined existing and novel biomarkers specific to these patients.</w:t>
      </w:r>
    </w:p>
    <w:p>
      <w:pPr>
        <w:spacing w:after="0" w:line="16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By leveraging our data-driven discoveries, we believe we have a unique advantage to develop a targeted strategy for patient selection and to increase response rates by treating the underlying biology of the AD subgroups.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Neuroscience Pipeline</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current neuroscience programs are dedicated to providing treatments for patients classified in a specific AD subgroup for which there are significant unmet needs and underserved patient populations. Our neuroscience programs are currently in the early stages of drug discovery and we are focused on advancing these programs into lead optimization. The following table summarizes our neuroscience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127635</wp:posOffset>
            </wp:positionV>
            <wp:extent cx="5554980" cy="13804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5498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Neuroscience Programs—Rationale for Treating Neuroinflammation</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believe treating neuroinflammation in Type I AD patients will slow the progression of the disease. Previous academic studies have shown that neuroinflammation is a possible cause of AD pathology. In addition, other studies have determined that neuroinflammation is an early AD event that precedes β-amyloid and/or tau deposition in AD patients, and is necessary for AD patients to progress from mild cognitive symptoms to more severe cognitive impairment leading to diagnosis of AD. In a meta-analysis review of peripheral inflammatory markers in AD, an academic group reviewed 175 studies that enrolled over 26,000 patients and observed that AD patients have elevated inflammatory markers, including IL-1β and IL-6. In another study, IL-1β was associated with a faster rate of decline on executive functioning in older adults and IL-6 was associated with a faster decline of verbal memory. These observations are in agreement with our studies that identified subgroups of AD patients with elevated levels of neuroinflammatory gene expression. Collectively, through our own research and publicly available literature, we believe that treating neuroinflammation earlier in Type I AD patients may be able to slow the progression of the disease in these patients.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Solution: IMM-ALL-01</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developing investigational small molecule inhibitors against an undisclosed target, or AO.01, for our IMM-ALL-01 program, which is currently in early stages of discovery. We believe that inhibition of AO.01 will decrease AD-related neuroinflammation by reducing the activation of microglia. Microglia are innate immune cells that have been observed to significantly increase AD-related neuroinflammation. Our preclinical studies in cultured microglia have demonstrated that 50 μM treatment with our AO.01 inhibitors decrease the release of IL-6 (as depicted in figure B below), an inflammatory marker that drives AD-related neuroinflammation, while promoting anti-inflammatory IL-10 expression (as depicted in figure A below).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In Vitro </w:t>
      </w:r>
      <w:r>
        <w:rPr>
          <w:rFonts w:ascii="Arial" w:cs="Arial" w:eastAsia="Arial" w:hAnsi="Arial"/>
          <w:sz w:val="18"/>
          <w:szCs w:val="18"/>
          <w:b w:val="1"/>
          <w:bCs w:val="1"/>
          <w:color w:val="auto"/>
        </w:rPr>
        <w:t>Observation of AO.01 Inhibitors Decreasing the Release of IL-6 and Promoting IL-10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154305</wp:posOffset>
            </wp:positionV>
            <wp:extent cx="4937760" cy="2314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3776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 xml:space="preserve">DCT revealed AO.01 as a target involved in AD-related neuroinflammatory mechanisms dysregulated in the brains of Type I AD patients. Through our bioinformatics analysis of independent study data, we observed that gene expression of AO.01 is significantly increased in activated microglia. In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knockdown of AO.01 gene expression suppressed the neuroinflammatory behavior of primary microglia. Our RNAseq analysis of our internal microglia experiment confirmed reduced expression of neuroinflammatory pathway genes after AO.01 knockdown. Based on these studies, we observed that knockdown of AO.01 directly correlates with a decrease in neuroinflammatory markers. We further observed that knockdown of AO.01 gene expression decreased neuronal hyperphosphorylated tau deposition in a tau cell model. We believe this suggests that AO.01 inhibition may block multiple independent AD-related neuroinflammatory pathways by inhibiting and/or suppressing the release of neuroinflammatory markers, including IL-6, and decreasing tau deposition.</w:t>
      </w:r>
    </w:p>
    <w:p>
      <w:pPr>
        <w:spacing w:after="0" w:line="16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We plan to improve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potency of our AO.01 inhibitors by focusing on a resolved catalytic pocket of AO.01 to further reduce the proinflammatory activity of microglia. While our preliminary studies demonstrate high cell permeability for our current AO.01 inhibitors, we plan to focus on optimizing blood brain barrier penetrance during lead optimization to provide desirable activity in the brain. Our goal is to increase translatability by exploring the effect of our AO.01 inhibitors on inflammation in human microglia derived from acquired iPSC lines of Type I AD patients.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Solution: IMM-ALL-03</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are developing investigational small molecule inhibitors against an undisclosed target, or AO.03, for our IMM-ALL-03 program, which is currently in the early stages of discovery. We leveraged Fluency to identify and rank initial hits against the AO.03 protein and screened a subset of hits with drug-like properties through a cell-free assay. The screening assays confirmed several Fluency hits from different chemical classes to AO.03, and subsequent modification of our AO.03 hits significantly improved inhibition of AO.03’s activity (as depicted in figure A below). Our preclinical studies in activated microglia have demonstrated that 10 and 50 μM treatment with our AO.03 inhibitors decrease the release of IL-6 (as depicted in figure B below). In addition, in our preliminary studies, we have observed high cell permeability for our current AO.03 inhibitors. We plan to optimize blood brain barrier penetrance during lead optimization to provide desirable activity in the brain.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82" w:lineRule="auto"/>
        <w:rPr>
          <w:sz w:val="20"/>
          <w:szCs w:val="20"/>
          <w:color w:val="auto"/>
        </w:rPr>
      </w:pPr>
      <w:r>
        <w:rPr>
          <w:rFonts w:ascii="Arial" w:cs="Arial" w:eastAsia="Arial" w:hAnsi="Arial"/>
          <w:sz w:val="18"/>
          <w:szCs w:val="18"/>
          <w:b w:val="1"/>
          <w:bCs w:val="1"/>
          <w:color w:val="auto"/>
        </w:rPr>
        <w:t>Fluency Platform Identifies Small Molecules Designed to Inhibit AO.03 and In Vitro Observation of AO.03 Inhibitors Decreasing the Release of IL-6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114300</wp:posOffset>
            </wp:positionV>
            <wp:extent cx="4989195" cy="2254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8919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Biological Relevance of AO.03</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 xml:space="preserve">Through our platform, we have discovered that AO.03 is a target that is involved in aberrant inflammatory pathways in Type I AD pathogenesis, and that reduced AO.03 gene expression corrects the expression of genes related to Type I AD biology. In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we observed that stimulation of microglia into a proinflammatory state triggered significant increases in AO.03 gene expression, whereas reduction of AO.03 gene expression had a causative effect in converting microglial behavior from a proinflammatory state to an anti-inflammatory state. Similar to AO.01, we also observed that lower AO.03 gene expression blocked neuronal tau deposition in a tau cell model, including phosphorylation of tau at a protein site called Threonine 181, or p181 (as depicted below). Based upon literature, there is strong evidence that p181 phosphorylation occurs early in AD progression and is positively correlated to the age of onset, suggesting early prevention of p181 phosphorylation may significantly delay AD symptoms. While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analysis of stimulated microglia after AO.03 and AO.01 knockdown revealed non-identical, overlapping changes in cytokine release, RNAseq analyses have revealed that the targeted pathways of AO.03 and AO.01 are different. Concretely, reduction of AO.01 gene expression reduced expression of signaling genes for oxidation phosphorylation and the pentose phosphate pathway, whereas reduction of AO.03 gene caused a reduction of genes widely known to be involved in neuroinflammatory pathways in AD, including the IL-6 and toll-like receptor signaling pathways (as depicted below). We believe this represents unique opportunities for regulating several neuroinflammatory pathways in Type I AD patients.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82" w:lineRule="auto"/>
        <w:rPr>
          <w:sz w:val="20"/>
          <w:szCs w:val="20"/>
          <w:color w:val="auto"/>
        </w:rPr>
      </w:pPr>
      <w:r>
        <w:rPr>
          <w:rFonts w:ascii="Arial" w:cs="Arial" w:eastAsia="Arial" w:hAnsi="Arial"/>
          <w:sz w:val="18"/>
          <w:szCs w:val="18"/>
          <w:b w:val="1"/>
          <w:bCs w:val="1"/>
          <w:color w:val="auto"/>
        </w:rPr>
        <w:t>The Biological Effect of Reducing AO.03 Gene Expression on Inflammation and Tau Deposition, and Pathway Analysis of AO.01 versus AO.03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27343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5498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Consistent with our approach of weaving bioinformatics and computational biology into every stage of the drug development process, we have developed a proprietary disease-agnostic platform that allows us to leverage human biological data to generate insights that are not constrained by the inherent limitations of conventional approaches or prevailing scientific views. We are developing novel product candidates that aim to optimize both safety and efficacy for diseases with high unmet medical needs and suboptimal treatment options. Key elements of our platform include:</w:t>
      </w:r>
    </w:p>
    <w:p>
      <w:pPr>
        <w:spacing w:after="0" w:line="176" w:lineRule="exact"/>
        <w:rPr>
          <w:sz w:val="20"/>
          <w:szCs w:val="20"/>
          <w:color w:val="auto"/>
        </w:rPr>
      </w:pPr>
    </w:p>
    <w:p>
      <w:pPr>
        <w:ind w:left="720" w:right="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Insights from Human Data. </w:t>
      </w:r>
      <w:r>
        <w:rPr>
          <w:rFonts w:ascii="Arial" w:cs="Arial" w:eastAsia="Arial" w:hAnsi="Arial"/>
          <w:sz w:val="18"/>
          <w:szCs w:val="18"/>
          <w:color w:val="auto"/>
        </w:rPr>
        <w:t>Compare distinct groups of individuals who differ in a certain aspect of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response to a particular therapy, or identify new patient subsets.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Novel Biology. </w:t>
      </w:r>
      <w:r>
        <w:rPr>
          <w:rFonts w:ascii="Arial" w:cs="Arial" w:eastAsia="Arial" w:hAnsi="Arial"/>
          <w:sz w:val="18"/>
          <w:szCs w:val="18"/>
          <w:color w:val="auto"/>
        </w:rPr>
        <w:t>Identify novel targets and new ways to drug existing targets using DCT and/or our insights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mechanisms of response.</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Novel Chemistry. </w:t>
      </w:r>
      <w:r>
        <w:rPr>
          <w:rFonts w:ascii="Arial" w:cs="Arial" w:eastAsia="Arial" w:hAnsi="Arial"/>
          <w:sz w:val="18"/>
          <w:szCs w:val="18"/>
          <w:color w:val="auto"/>
        </w:rPr>
        <w:t>Rapidly identify small molecules that selectively bind to a target of interest using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Fluency technology, and/or engineer PK to achieve optimal signaling dynamics.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Translational Planning. </w:t>
      </w:r>
      <w:r>
        <w:rPr>
          <w:rFonts w:ascii="Arial" w:cs="Arial" w:eastAsia="Arial" w:hAnsi="Arial"/>
          <w:sz w:val="18"/>
          <w:szCs w:val="18"/>
          <w:color w:val="auto"/>
        </w:rPr>
        <w:t>Use humanized preclinical models and bioinformatics to prioritize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indications and identify sensitive subpopulations.</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Underlying each of these elements is our rigorous quality control and ability to analyze complex biological datasets. We are one of the few biopharmaceutical companies that has been involved in defining best practices for robustly analyzing bioinformatics data, as evidenced by co-authorship on journal articles together with regulators as well as writing invited reviews to educate the scientific community on this topic. This attention to rigorous quality control pervades all of our analyses, and we believe this enables us to extract meaningful information from a variety of databases of human data, including GENIE and The Cancer Genome Atlas Program, or TCGA.</w:t>
      </w:r>
    </w:p>
    <w:p>
      <w:pPr>
        <w:spacing w:after="0" w:line="178"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Our platform is not limited to a single aspect or pathology; rather, it is disease-agnostic, which we believe enables us to identify, develop and evaluate product candidates across multiple disease areas simultaneously, with our initial focus in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oncology and neuroscience. While we currently have an emphasis on transcriptomic data, our platform is not limited to a single data type and thus we believe it will be able to evolve as new datasets emerge. Our platform enabled the initiation, discovery and development of our lead product candidate, IMM-1-104, and has led us to identify additional product candidates with novel compositions of matter by leveraging our platform and drug discovery process. Moreover, our platform has been applied extensively in successful partnerships with large pharmaceutical and biotechnology companies, and through our internal drug discovery and development.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Insights from Human Data</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analyses often begin by comparing existing transcriptomic data from two groups of patients (e.g. from those whose tumors have metastasized versus those whose tumors have not) to help elucidate the biological mechanisms underlying a particular aspect of disease which we seek to counteract. As another example, we may analyze existing data from patients with differences in response to an existing therapy, in order to better understand what is happening in responders versus non-responders. We may also analyze existing data from patients with a disease to identify novel subsets of patients. Our platform has enabled us to conduct multiple projects that involve stratifying patients into novel subsets. We associate transcriptomic profiles with each subset, which can then be directly inputted into DCT to identify novel targets specific to a given patient subset.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Novel Biology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Disease Cancelling Technology</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have developed DCT to identify targets that reverse a disease signal across multiple relevant genes with the potential to yield product candidates with differentiated mechanisms that are less likely to be discovered by traditional drug discovery methods. Additional biologic context is derived from quantifying the extent to which different time points, concentrations and perturbations (e.g., inhibition and overexpression) may cancel a disease signal more effectively than existing drug targets. DCT ranks target perturbations by the extent to which they generate signals that counteract disease-associated gene expression changes observed in patient data. Thus, we believe DCT enables hypothesis-free, data-driven identification of novel targets and new ways to drug existing targets.</w:t>
      </w:r>
    </w:p>
    <w:p>
      <w:pPr>
        <w:spacing w:after="0" w:line="17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DCT leverages gene expression data derived from human patient samples to identify targets that may rescue abnormal gene expression and restore pathway homeostasis. In addition, DCT identifies biology relevant to attenuating a disease by quantifying the similarity of genome-wide signatures of specific aspects of the disease to signatures of target induced gene expression changes using a mathematical similarity metric. Uniquely, DCT quantifies the per-gene contribution to overall disease amplification or cancellation. An example of a typical analysis begins by running DCT to identify an unwanted, disease-specific gene expression pattern. The ideal input to DCT is focused on a specific aspect of a disease, such as tumors that have metastasized versus those that have not, rather than comparing diseased versus healthy states. DCT identifies target candidates by screening a disease differential expression signature and comparing it to thousands of target gene expression signatures.</w:t>
      </w:r>
    </w:p>
    <w:p>
      <w:pPr>
        <w:spacing w:after="0" w:line="18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DCT is able to rapidly compare disease state signatures against vast numbers of target signatures. DCT ranks signatures resulting from the modulation of specific targets by the extent to which they oppose disease signatures (as depicted below). Unlike some algorithms or artificial intelligence, or AI, approaches, the results originating from DCT are designed to be interpretable from a computational and biological perspective. This platform uses gene expression from patient datasets and does not rely on literature. Together with the target, DCT provides a specific list of testable genes associated with the target of interest, relevant drug concentrations and temporal dynamic information driving the result. Thus, we believe DCT can identify new targets and readily detect dynamic relevant biology relating to modulating a target in a better way.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workflow for DCT’s novel target identification can be described as follows:</w:t>
      </w:r>
    </w:p>
    <w:p>
      <w:pPr>
        <w:spacing w:after="0" w:line="225" w:lineRule="exact"/>
        <w:rPr>
          <w:sz w:val="20"/>
          <w:szCs w:val="20"/>
          <w:color w:val="auto"/>
        </w:rPr>
      </w:pPr>
    </w:p>
    <w:p>
      <w:pPr>
        <w:ind w:left="720" w:right="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Carefully curated and quality controlled human transcriptomic data representing a specific aspect of disease, or Input 1, is input and vectorized for processing (as depicted below).</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79"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231F20"/>
        </w:rPr>
        <w:t>A carefully curated and quality controlled library of gene expression signals associated with perturbing specific targets at specific time points and concentrations, or Input 2, is input and vectorized for processing (as depicted below). This library can potentially include clustered regularly interspaced short palindromic repeats, or CRISPR, RNA interference, tool compounds, screening library compounds and existing drugs.</w:t>
      </w:r>
    </w:p>
    <w:p>
      <w:pPr>
        <w:spacing w:after="0" w:line="171" w:lineRule="exact"/>
        <w:rPr>
          <w:rFonts w:ascii="Arial" w:cs="Arial" w:eastAsia="Arial" w:hAnsi="Arial"/>
          <w:sz w:val="17"/>
          <w:szCs w:val="17"/>
          <w:color w:val="auto"/>
        </w:rPr>
      </w:pPr>
    </w:p>
    <w:p>
      <w:pPr>
        <w:ind w:left="720" w:hanging="319"/>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231F20"/>
        </w:rPr>
        <w:t>The strength of disease signal cancellation is measured between Input 1 and every target signature in Input 2.</w:t>
      </w:r>
    </w:p>
    <w:p>
      <w:pPr>
        <w:spacing w:after="0" w:line="244" w:lineRule="exact"/>
        <w:rPr>
          <w:rFonts w:ascii="Arial" w:cs="Arial" w:eastAsia="Arial" w:hAnsi="Arial"/>
          <w:sz w:val="16"/>
          <w:szCs w:val="16"/>
          <w:color w:val="auto"/>
        </w:rPr>
      </w:pPr>
    </w:p>
    <w:p>
      <w:pPr>
        <w:ind w:left="1560"/>
        <w:spacing w:after="0"/>
        <w:rPr>
          <w:rFonts w:ascii="Arial" w:cs="Arial" w:eastAsia="Arial" w:hAnsi="Arial"/>
          <w:sz w:val="16"/>
          <w:szCs w:val="16"/>
          <w:color w:val="auto"/>
        </w:rPr>
      </w:pPr>
      <w:r>
        <w:rPr>
          <w:rFonts w:ascii="Arial" w:cs="Arial" w:eastAsia="Arial" w:hAnsi="Arial"/>
          <w:sz w:val="18"/>
          <w:szCs w:val="18"/>
          <w:b w:val="1"/>
          <w:bCs w:val="1"/>
          <w:color w:val="auto"/>
        </w:rPr>
        <w:t>Disease Cancelling Technology Summary Workflow for Target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154305</wp:posOffset>
            </wp:positionV>
            <wp:extent cx="4491990" cy="46291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91990"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 second filtration step selects target candidates for which multiple biological pathways are restored in the proper direction compared to the disease signal. DCT includes a method to compute a per pathway contribution to disease canceling in terms of percent contribution to overall disease reversal for cases when a specific pathway is particularly relevant. DCT is designed to have many capabilities in addition to identifying novel targets or novel ways to drug existing targets. To enable rapid translation to experimental validation, DCT can suggest ideal concentrations, temporal dynamics and marker genes to monitor. DCT is also capable of predicting target combinations for a given disease or an ideal target for combination with an existing therapy. For expanded utility, DCT has a graphical user interface that enables our biologists to interact with, sort, modify, query and run results along with producing visualizations of results.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 xml:space="preserve">We believe DCT has several advantages over other target identification technologies. The platform uses patient data as a starting point, rather than artificial 2D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models. For example, our neuroscience program uses gene expression data from AD patient subsets as an input to DCT. We have presented data at American Association for Cancer Research and other conferences demonstrating how cell lines fail to capture the heterogeneity of patient tumors, and our discovery team’s experience in the 3D tumor modeling field has also highlighted the limitations of 2D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Moreover, working closely with several FDA-approved drugs, we have found that transcriptomic data was most frequently and dynamically linked to drug activity. Thus, our core insights are derived from transcriptomic data (RNA), while some of our competitor’s platforms may focus on sequencing data (DNA), imaging data from phenotypic screens and/or literature. DCT is focused on identifying novel targets or novel ways to modulate existing targets, with the goal of generating novel therapeutics with improved clinical activity. We have not in-licensed external drugs and we do not focus on “drug repurposing” activities. Our pipeline is composed of programs with potentially novel pharmacological effects.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Biological Mechanisms of Response</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also identify novel biology by applying translational bioinformatics to analyze the biological mechanisms of response of existing therapies. This may include comparing the transcriptional profiles induced by a drug at different timepoints in order to highlight biological feedback loops that we then seek to counteract.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Novel Chemistry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Fluency</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developed Fluency, an easy-to-use AI-based tool, to allow for the rapid screening of large compound libraries for potential binders to a protein target of interest. Fluency can be run with any compound library, including libraries containing millions of compounds. It identifies the most attractive drug candidates within a library by making ranked predictions of binding affinity for all compounds. It also makes predictions about the target binding location for all compounds, which allows us to filter the library for drug candidates that are the most likely to affect a specific region of interest on the desired target. Fluency accelerates our drug development process by allowing us to go from millions of potential compounds down to what Fluency selects as the best hundred drug candidates within a single work day. This allows us to quickly advance only those select candidates to medicinal chemistry and experimental validation (as depicted below), increasing our capital efficiency. Knowledge of the 3D structure of the protein target of interest is not required, which expands the applicability of Fluency to include targets with poorly defined or non-existent 3D structures.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Fluency Accelerates Our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154305</wp:posOffset>
            </wp:positionV>
            <wp:extent cx="4389120" cy="2023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8912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To illustrate both the ease of use, as well as the power of Fluency to identify promising drug candidates, we constructed a test screen of Tukysa® (tucatinib), a recently FDA-approved drug for the treatment of advanced breast cancer in combination with trastuzumab and capecitabine. Tukysa® is a tyrosine kinase inhibitor of human epidermal growth factor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receptor 2, or HER2 (also referred to as ERBB2). We created a test compound library by placing Tukysa® in a diverse chemical library of 17.8 million drug-like molecules and evaluated whether or not Fluency could identify it as a promising drug candidate against ERBB2 (depicted in the first panel below). The binding models within Fluency were trained against millions of carefully quality controlled, publicly available binding affinity measurements for compounds against thousands of proteins. However, because Fluency did not see Tukysa® or other molecules highly similar to Tukysa® during training, it did not know whether or not it was a promising candidate before the test screen was run. In our test screens, we input the protein of interest into Fluency, then select a library to screen, and optionally enter the region of interest within the protein (depicted in the second panel below). In the test screen for Tukysa®, we screened the test library against all amino acids within ERBB2.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Fluency Test Screen Input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154305</wp:posOffset>
            </wp:positionV>
            <wp:extent cx="4714875" cy="1551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1487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Fluency rapidly screened approximately 17.8 million compounds in less than 7 hours and identified Tukysa® as the best binder to ERBB2 along with a number of other potential candidates (as depicted below). Fluency’s location prediction for this compound points towards the kinase domain of ERBB2 which contains the binding site. Referring back to our drug discovery flow chart depicted above, Tukysa® would have been amongst the hundreds of compounds to go on to medicinal chemistry and experimental validation if we were searching for general ERBB2 binders or if we were searching for potential binders specific to the kinase domain.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Fluency Test Screen Output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154305</wp:posOffset>
            </wp:positionV>
            <wp:extent cx="4732020" cy="1414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32020"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Fluency has been used to screen for potential drug candidates within our early-stage oncology and neuroscience programs. We have a dedicated team of AI experts who continue to evolve Fluency and are embedded in our end-to-end preclinical drug development processes. We continue to seek new ways to apply our AI expertise to develop novel product candidates and potentially improve the lives of patients.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Signaling Dynamics (PK-Driven)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Transcriptomic data has proven critical to these analyses because it provides an understanding of the extent to which specific genes are expressed at any given time, capturing temporal changes in pathway activation. Signaling networks differ between cell types, and we leverage this to modulate targets in such a way that certain cell types will be more impacted than others. Our platform enables us to assess the signaling dynamics of product candidates, which we believe allows us to optimize the chemistry of our product candidate programs to achieve broad therapeutic activity against diseased cells while sparing healthy normal cells. Modulation of these signaling networks impacts cell fate decisions in many cell types, including cancerous cells. Our computational biology expertise enables us to analyze transcriptomic data that closely reflects spatiotemporal dynamics of biological signaling networks.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Proprietary Translational Planning</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Humanized Models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oncology, we are deeply experienced in advanced, humanized 3D-based tumor growth models,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based on peer reviewed research by members of our team and others, more accurately predict drug response in animal models, and we believe in patients, compared to standard models. Unlike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approaches, the 3D tumor growth models reflect the complexity of tumor biology given their alignment with the TME. Thus, we believe our deep expertise in 3D tumor models enables us to more accurately stratify patients likely to benefit from our potential product candidates. In neuroscience, we similarly seek to use human iPSC based models that more faithfully represent the biology of a heterogeneous patient population than more traditional cell lines.</w:t>
      </w:r>
    </w:p>
    <w:p>
      <w:pPr>
        <w:spacing w:after="0" w:line="17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i w:val="1"/>
          <w:iCs w:val="1"/>
          <w:color w:val="auto"/>
        </w:rPr>
        <w:t>Prioritize Indications and Identify Sensitive Subpopulations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are able to leverage bioinformatics to analyze genomic</w:t>
      </w:r>
      <w:r>
        <w:rPr>
          <w:rFonts w:ascii="Arial" w:cs="Arial" w:eastAsia="Arial" w:hAnsi="Arial"/>
          <w:sz w:val="16"/>
          <w:szCs w:val="16"/>
          <w:i w:val="1"/>
          <w:iCs w:val="1"/>
          <w:color w:val="auto"/>
        </w:rPr>
        <w:t xml:space="preserve"> </w:t>
      </w:r>
      <w:r>
        <w:rPr>
          <w:rFonts w:ascii="Arial" w:cs="Arial" w:eastAsia="Arial" w:hAnsi="Arial"/>
          <w:sz w:val="16"/>
          <w:szCs w:val="16"/>
          <w:color w:val="auto"/>
        </w:rPr>
        <w:t>data from large patient databases to identify specific indications where the majority of patients have characteristics that align with our more reflective humanized models, and identify biological mechanisms and biomarkers that enable us to identify subpopulations that are more likely to be sensitive based on their similarity to our translational approaches.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Platform and its Role in the IMM-1-104 Program</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Our platform played a key role in creating the most important characteristics of our lead product candidate, IMM-1-104. In the early stages of the program, insights from human data were used to identify transcriptional profiles we aimed to counteract. DCT and our analysis of mechanisms of existing drugs led us to identify what we believe to be novel biology, specifically new ways to drug an existing target, to highlight the goal of counteracting a biologic feedback loop. Novel chemistry was generated to counteract the feedback loop, and the PK was tuned to generate optimal signaling dynamics (deep but cyclic interruptions of the pathway) as confirmed for translational profiling. Our proprietary translational planning has involved profiling IMM-1-104 in a large number of 3D models to identify the types of cancer (and biomarkers of subsets when needed) that we believe will have the highest probability of success in the clinic. Together, these insights enabled us to demonstrate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 that a drug with feedback loop resistance combined with a short half-life was able to move toward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improvements in key efficacy metrics and tolerability through modulation of tumor cell signaling dynamics.</w:t>
      </w:r>
    </w:p>
    <w:p>
      <w:pPr>
        <w:spacing w:after="0" w:line="18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Early in the program, we utilized human data to generate translational profiles specific to cancer patients experiencing cachexia, which causes extreme weight loss and muscle wasting. DCT was then utilized to identify targets and intervention time points, otherwise known as biological perturbations, that could counteract cachexia. Among the highest ranked perturbations were multiple MEK, inhibitors, but only the gene expression profiles induced by these MEK inhibitors at early time points (i.e., at 3 and 6 hours) were ranked highly for cancelling the disease-associated signals according to our technology. In contrast, the gene expression signals induced by MEK inhibitors at a later time point (i.e., at 24 hours) amplified or mimicked the transcriptomic signatures associated with diseases. These findings pointed to the importance of a feedback loop in the MAPK pathway called the CRAF-bypass, which may lead to resistance of MEK inhibition, and highlighted the critical importance of designing IMM-1-104 to potentially counteract the CRAF-bypass.</w:t>
      </w:r>
    </w:p>
    <w:p>
      <w:pPr>
        <w:spacing w:after="0" w:line="166"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8"/>
          <w:szCs w:val="18"/>
          <w:color w:val="auto"/>
        </w:rPr>
        <w:t>We next applied our platform’s ability to characterize mechanisms of response by generating transcriptomic (RNA sequencing) data evaluating the impact of a recently approved MEK inhibitor, selumetinib, relative to vehicle in KRAS</w:t>
      </w:r>
      <w:r>
        <w:rPr>
          <w:rFonts w:ascii="Arial" w:cs="Arial" w:eastAsia="Arial" w:hAnsi="Arial"/>
          <w:sz w:val="26"/>
          <w:szCs w:val="26"/>
          <w:color w:val="auto"/>
          <w:vertAlign w:val="superscript"/>
        </w:rPr>
        <w:t>G12D</w:t>
      </w:r>
      <w:r>
        <w:rPr>
          <w:rFonts w:ascii="Arial" w:cs="Arial" w:eastAsia="Arial" w:hAnsi="Arial"/>
          <w:sz w:val="18"/>
          <w:szCs w:val="18"/>
          <w:color w:val="auto"/>
        </w:rPr>
        <w:t xml:space="preserve"> tumor-bearing BALB/c mice, which are inbred, albino and immunodeficient mice ordinarily used in research models for cancer therapy. The BALB/c mice were orally administered 100 mg/kg of selumetinib twice a day for 18 days. Notably,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when we examined a set of genes known to be downstream of ERK and activated by the MAPK pathway, we saw reduced downregulation of the pathway following selumetinib treatment. There was very little difference between the degree of MAPK pathway downregulation at the 2 hour time point and the 12 hour time point, demonstrating that the inhibition achieved by a typical MEK inhibitor with a non-zero drug trough was both static and limiting in a chronic setting. This focused us on the need to develop IMM-1-104 with novel chemistry, specifically a short half-life to achieve deep cyclic inhibition. Through the medicinal chemistry process, we were able to conduct similar analyses to assess the impact of varying PK profiles on signaling dynamics, and when we conducted the same analysis with IMM-1-104 in the model referenced above, we observed much stronger downregulation at the 2 hour time point followed by a return to baseline at the 12 hour time point. These observed results confirm that we achieved the desired signaling dynamics of cycles of deep inhibition and release of the MAPK pathway.</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are utilizing our platform’s proprietary translational planning capabilities by evaluating IMM-1-104 in a large panel of 3D tumor models, and then applying our ability to robustly analyze challenging datasets to assess genomic data from publicly available cancer patient databases to prioritize indications for IMM-1-104 and identify biomarkers of response, when needed. We believe this analysis will enable us to identify substantial translational opportunities for additional indications.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Platform and Our Early-Stage Oncology Pipeline</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utilize Fluency, the novel chemistry element of our platform, to rapidly identify small molecule hits for a targeted region of a protein for many of the earlier stage programs in our oncology pipeline. Fluency is being utilized to accelerate the advancement of our RAS and PI3K-alpha programs. In addition, these earlier stage programs also utilize our platform’s ability to generate novel biology by characterizing mechanisms of response to address these targets in new ways. In the case of our RAS modulators, this involves targeting the process of RAS dimerization. Finally, we are also leveraging novel chemistry in the form of PK changes with the goal of achieving optimal signaling dynamics and deep cyclic inhibition to maximize therapeutic activity in broad populations while improving tolerability. We plan to evaluate each of our programs in humanized 3D models and leverage bioinformatics to prioritize indications and identify sensitive patient subgroups.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Platform and Our Neuroscience Programs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 xml:space="preserve">Our neuroscience programs began with our platform’s ability to identify insights from human data, specifically by methodically analyzing challenging datasets by assessing the robustness of various publicly available AD datasets. Given the lack of disease-modifying therapies and AD patient heterogeneity, robust analysis of data is a motivating factor to drive our success in this space. We applied our platform’s capability to stratify patients into previously undiscovered subsets, identifying new subpopulations of AD patients with strikingly different molecular biology and distinct gene expression profiles. We then applied our platform’s ability to identify novel biology by leveraging DCT to identify and rank novel targets for specific subsets of AD patients. Two of these undisclosed AD targets, AO.01 and AO.03, have been identified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and have gone on to become the focus of our two lead neuroscience programs, IMM-ALL-01 and IMM-ALL-03,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respectively. Once those targets had been identified and experimentally confirmed, we utilized Fluency to rapidly identify small molecules that are designed to selectively bind to the targets, and such selective binding has since been observed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vitro</w:t>
      </w:r>
      <w:r>
        <w:rPr>
          <w:rFonts w:ascii="Arial" w:cs="Arial" w:eastAsia="Arial" w:hAnsi="Arial"/>
          <w:sz w:val="16"/>
          <w:szCs w:val="16"/>
          <w:color w:val="auto"/>
        </w:rPr>
        <w:t>. We also leveraged our platform’s capabilities for characterizing mechanisms of response to assess the biological</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those hits, and we are preparing for proprietary translational planning by using iPSC models to confirm the differences in response we expect to see in specific AD patient subgroups.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pharmaceutical and biotechnology industries are characterized by rapid advancement of novel technologies, significant competition and a strong defense of intellectual property rights. While we believe that our proprietary platform and scientific expertise provides us with competitive advantages, we face competition from multiple sources, including larger and better-funded pharmaceutical and biotechnology companies, academic institutions, governmental agencies and public and private research institutions. Any product candidates that we successfully develop and commercialize will compete with currently approved therapies and new therapies that may become available in the future. Key factors that would affect our ability to effectively compete with other therapeutics include safety, efficacy, ease of administration, pricing, brand recognition and availability of reimbursement and coverage by third party payors.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Oncology and Neuroscience Programs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current FDA-approved treatment options that target MAPK pathway cancers are either MEK inhibitors limited by their high rates of serious drug-related adverse events that result in drug intolerability and drug resistance through MAPK-feedback loops, or KRAS inhibitors limited to patients with specific KRAS mutations. We expect that our oncology programs targeting the MAPK pathway may compete with current FDA-approved therapies or clinical programs targeting KRAS mutant tumors that are being advanced by certain pharmaceutical and biotechnology companies.</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are currently only five FDA-approved treatments for AD, and these treatments are widely considered to only briefly and modestly improve AD symptoms, ultimately failing to prevent or slow disease progression.</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expect that our neuroscience programs that are initially focused on treating neuroinflammation in AD may compete with products or programs being advanced by certain pharmaceutical and biotechnology companies.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ability to obtain and maintain intellectual property protection for our products and technology is fundamental to the long-term success of our business. We rely on a combination of intellectual property protection strategies, including patents, trademarks, copyrights, trade secrets, license agreements, confidentiality policies and procedures, non-disclosure agreements, invention assignment agreements and technical measures designed to protect the intellectual property and confidential information and data used in our business.</w:t>
      </w:r>
    </w:p>
    <w:p>
      <w:pPr>
        <w:spacing w:after="0" w:line="188"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As of March 3, 2022, we have: one issued U.S. patent; two pending U.S. patent applications; one U.S. provisional application; and one Patent Cooperation Treaty, or PCT, application that has not entered national stage. These patents and patent applications relate to subject matter, including: our lead product candidate, IMM-1-104, our MEK-io candidate, IMM-6-415, our DCT, and Fluency. Excluding any possible patent term adjustments or extensions and assuming payment of all appropriate maintenance, renewal, annuity or other governmental fees, as applicable; our owned issued U.S. patent and any patents that may issue from our owned pending U.S. patent applications are expected to expire in February, 2039; and any patents that may issue from our owned pending foreign patent applications or PCT applications are expected to expire in January, 2041.</w:t>
      </w:r>
    </w:p>
    <w:p>
      <w:pPr>
        <w:spacing w:after="0" w:line="178"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With respect to IMM-1-104, as of March 3, 2022, we have one pending U.S. provisional application and one pending PCT application. The pending U.S. provisional application is directed to, among other things, combination claims with respect to IMM-1-104. This U.S. provisional application would need to be converted to a non-provisional application by January 6, 2023. Any patent that may issue, based upon this provisional U.S. application is expected to expire in January, 2043, excluding any possible patent term adjustments or extensions and assuming payment of all appropriate maintenance, renewal, annuity or other governmental fees, as applicable.The pending PCT application has not yet entered the national stage; its pending claims are directed to compounds, pharmaceutical compositions, and methods of use. Any patent that may issue, based upon this pending PCT application related to IMM-1-104, is expected to expire in January, 2041, excluding any possible patent term adjustments or extensions and assuming payment of all appropriate maintenance, renewal, annuity or other governmental fees, as applicable.</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With respect to IMM-6-415, as of March 3, 2022, we have one pending provisional U.S. application; this application would need to be converted to a non-provisional application by January 6, 2023. Any patent that may issue, based upon this provisional U.S. application related to IMM-6-415, is expected to expire in January, 2043, excluding any possible patent term adjustments or extensions and assuming payment of all appropriate maintenance, renewal, annuity or other governmental fees, as applicable.</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With respect to our DCT, as of March 3, 2022, we have one issued U.S. patent and one pending U.S. patent application. The issued claims of this U.S. patent and the pending claims of this U.S. patent application are directed to methods (processes) and systems. Our issued U.S. patent related to our DCT and any patent that may issue from our pending patent application related to our DCT are expected to expire in February, 2039, excluding any possible patent term adjustments or extensions and assuming payment of all appropriate maintenance, renewal, annuity or other governmental fees, as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With respect to Fluency, as of March 3, 2022, we have one pending U.S. patent application. The pending claims of this U.S. patent application are directed to methods (processes) and systems. Any patent that may issue from our pending patent application related to Fluency is expected to expire in February, 2039, excluding any possible patent term adjustments or extensions and assuming payment of all appropriate maintenance, renewal, annuity or other governmental fees, as applicable.</w:t>
      </w:r>
    </w:p>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We cannot be sure that our pending patent applications that we have filed or may file in the future will result in issued patents, and we can give no assurance that any patents that have issued or might issue in the future will protect our current or future products, will provide us with any competitive advantage, and will not be challenged, invalidated, or circumvented.</w:t>
      </w:r>
    </w:p>
    <w:p>
      <w:pPr>
        <w:spacing w:after="0" w:line="18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the United States, the patent term of a patent that claims an FDA-approved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that the drug or biologic is under regulatory review. Patent term extension cannot extend the remaining term of a patent beyond a total of 14 years from the date of product approval and only one patent applicable to an approved drug or biologic may be extended. Similar provisions are available in the EU and certain other foreign jurisdictions to extend the term of a patent that covers an approved drug or biologic. In the future, if any drug candidates that we may develop receive FDA approval, we expect to apply for patent term extensions where applicable on patents covering those drugs. We plan to seek patent term extensions to any of our future issued patents in any jurisdiction where these are available. However, there is no guarantee that the applicable authorities, including the FDA in the United States, will agree with our assessment of whether these extensions should be granted, and if granted, the length of these extensions.</w:t>
      </w:r>
    </w:p>
    <w:p>
      <w:pPr>
        <w:spacing w:after="0" w:line="17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cost-effective. Our ability to stop third parties from making, using or commercializing any of our patented inventions will depend in part on our success in obtaining, defending and enforcing patent claims that cover our technology, inventions, and improvements. With respect to our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w:t>
      </w:r>
    </w:p>
    <w:p>
      <w:pPr>
        <w:spacing w:after="0" w:line="17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addition to our reliance on patent protection for our inventions, products, and technologies, we also seek to protect our brand through the procurement of trademark rights. As of March 3, 2022, we have certain trademark registrations and pending applications for trademark registration, for the marks DISEASE CANCELLING and IMMUNEERING in the United States and/or certain foreign jurisdictions. Furthermore, we rely on trade secrets, know-how, unpatented technology and other proprietary information, to strengthen our competitive position. We have determined that certain technologies, including some of our software, are better protected as trade secrets. To mitigate the possibility of trade secret misappropriation, we enter into non-disclosure and confidentiality agreements with parties who have access to our trade secrets, such as our employees, consultants, advisors and other third parties. We also enter into invention assignment agreements with our employees and consultants that obligate them to assign to us any inventions they have developed while working for us. We generally control access to our proprietary and confidential information through the use of internal and external controls that are subject to periodic review. Although we take steps to protect our proprietary information and trade secrets,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“Risk Factors—Risks Related to Our Intellectual Property.”</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Among others, the FDA, U.S. Department of Health and Human Services Office of Inspector General, the Centers for Medicare and Medicaid Services and comparable regulatory authorities in state and local jurisdictions and in other countries impose substantial and burdensome requirements upon companies involved in the preclinical and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packaging, storage, record keeping, approval, sales, commercialization, marketing, advertising and promotion, distribution, post-approval monitoring and reporting, sampling and export and import of our product candidates. Any drug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that is similar in nature and scope as that imposed in the United States, although there can be important differences. Additionally, some significant aspects of regulation in the European Union, or EU, are addressed in a centralized way, but country-specific regulation remains essential in many respects.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the United States, the FDA regulates drugs under the federal Food, Drug, and Cosmetic Act, or the FDCA, and its implementing regulations. The process required by the FDA before a drug may be marketed in the United States generally involves the following:</w:t>
      </w:r>
    </w:p>
    <w:p>
      <w:pPr>
        <w:spacing w:after="0" w:line="184" w:lineRule="exact"/>
        <w:rPr>
          <w:sz w:val="20"/>
          <w:szCs w:val="20"/>
          <w:color w:val="auto"/>
        </w:rPr>
      </w:pPr>
    </w:p>
    <w:p>
      <w:pPr>
        <w:ind w:left="720" w:right="7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completion of preclinical laboratory tests, animal studies and formulation studies in accordance with FDA’s good laboratory practice requirements and other applicable regulations;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approval by an independent institutional review board, or IRB, or ethics committee at each clinical site before each trial may be initiated;</w:t>
      </w:r>
    </w:p>
    <w:p>
      <w:pPr>
        <w:spacing w:after="0" w:line="170"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231F20"/>
        </w:rPr>
        <w:t>performance of adequate and well-controlled human clinical trials in accordance with good clinical practice, or GCP, requirements to establish the safety and efficacy of the proposed drug for its intended use;</w:t>
      </w:r>
    </w:p>
    <w:p>
      <w:pPr>
        <w:spacing w:after="0" w:line="146" w:lineRule="exact"/>
        <w:rPr>
          <w:rFonts w:ascii="Arial" w:cs="Arial" w:eastAsia="Arial" w:hAnsi="Arial"/>
          <w:sz w:val="17"/>
          <w:szCs w:val="17"/>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submission to the FDA of a New Drug Application, or NDA, after completion of all pivotal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payment of user fees associated with an NDA;</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a determination by the FDA within 60 days of its receipt of an NDA to file the NDA for review;</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satisfactory completion of an FDA advisory committee review, if applicable;</w:t>
      </w:r>
    </w:p>
    <w:p>
      <w:pPr>
        <w:spacing w:after="0" w:line="225"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satisfactory completion of an FDA inspection of the manufacturing facility or facilities at which the drug is produced to assess compliance with current good manufacturing practice, or cGMP, requirements to assure that the facilities, methods and controls are adequate to preserve the drug’s identity, strength, quality and purity, and of selected clinical investigation sites to assess compliance with GCPs;</w:t>
      </w:r>
    </w:p>
    <w:p>
      <w:pPr>
        <w:spacing w:after="0" w:line="186"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231F20"/>
        </w:rPr>
        <w:t>potential FDA audit of the preclinical and/or clinical trial sites that generated the data in support of the NDA; and</w:t>
      </w:r>
    </w:p>
    <w:p>
      <w:pPr>
        <w:spacing w:after="0" w:line="248"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FDA review and approval of the NDA to permit commercial marketing of the product for particular indications for use in the United States.</w:t>
      </w:r>
    </w:p>
    <w:p>
      <w:pPr>
        <w:spacing w:after="0" w:line="170"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Prior to beginning the first clinical trial with a product candidate in the United States, we must submit an IND to the FDA. An IND is a request for authorization from the FDA to administer an investigational new drug product to humans.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central focus of an IND submission is on the general investigational plan and the protocol(s) for clinical studies. Some preclinical testing may continue even after the IND is submitted. The IND also includes results of animal and in vitro studies assessing the toxicology, PK, pharmacology, and 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under certain timelines, of ongoing clinical studies and clinical study results to public registries, specifically the clinicaltrials.gov website managed by the National Institutes of Health.</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25" w:lineRule="exact"/>
        <w:rPr>
          <w:sz w:val="20"/>
          <w:szCs w:val="20"/>
          <w:color w:val="auto"/>
        </w:rPr>
      </w:pPr>
    </w:p>
    <w:p>
      <w:pPr>
        <w:jc w:val="both"/>
        <w:ind w:left="720" w:right="79" w:hanging="319"/>
        <w:spacing w:after="0" w:line="273"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177"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Phase 2: The product candidate is administered to a limited patient population with a specified disease or condition to evaluate the preliminary efficacy, optimal dosages, dose tolerance and dosing schedule and to identify possible adverse side effects and safety risks.</w:t>
      </w:r>
    </w:p>
    <w:p>
      <w:pPr>
        <w:spacing w:after="0" w:line="183" w:lineRule="exact"/>
        <w:rPr>
          <w:rFonts w:ascii="Arial" w:cs="Arial" w:eastAsia="Arial" w:hAnsi="Arial"/>
          <w:sz w:val="18"/>
          <w:szCs w:val="18"/>
          <w:color w:val="auto"/>
        </w:rPr>
      </w:pPr>
    </w:p>
    <w:p>
      <w:pPr>
        <w:jc w:val="both"/>
        <w:ind w:left="720" w:right="79" w:hanging="319"/>
        <w:spacing w:after="0" w:line="279"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gain additional experience from the treatment of patients in the approved indication. In certain instances, such as with accelerated approval drugs, the FDA may mandate the performance of Phase 4 trials as a condition of approval of an NDA.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7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Specifically, the FDA has promulgated regulations governing the acceptance of foreign clinical trials not conducted under an IND, establishing that such studies will be accepted as support for an IND or application for marketing approval if the study was conducted in accordance with GCP, including review and approval by an independent ethics committee, or IEC,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studies are conducted in a manner comparable to that required for IND studies. If a marketing application is based solely on foreign clinical data, the FDA requires that the foreign data be applicable to the U.S. population and U.S. medical practice; the studies must have been performed by clinical investigators of recognized competence; and the FDA must be able to validate the data through an on-site inspection or other appropriate means, if the FDA deems such an inspection to be necessary.</w:t>
      </w:r>
    </w:p>
    <w:p>
      <w:pPr>
        <w:spacing w:after="0" w:line="18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During the development of a new drug, sponsors are given opportunities to meet with the FDA at certain points. These points are generally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to obtain the FDA’s feedback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6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95"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Review and Approval Process</w:t>
      </w:r>
    </w:p>
    <w:p>
      <w:pPr>
        <w:spacing w:after="0" w:line="225"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 of a use of a product, or from a number of</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 Additionally, no user fees are assessed on NDAs for products designated as orphan drugs, unless the product application also includes a non-orphan indication.</w:t>
      </w:r>
    </w:p>
    <w:p>
      <w:pPr>
        <w:spacing w:after="0" w:line="1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8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w:t>
      </w:r>
    </w:p>
    <w:p>
      <w:pPr>
        <w:spacing w:after="0" w:line="15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6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contain limitations on the indicated uses for which such product may be marketed. For example, the FDA may approve the NDA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6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product is safe and effective. The sponsor or the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jc w:val="both"/>
        <w:ind w:left="60" w:right="79"/>
        <w:spacing w:after="0" w:line="291" w:lineRule="auto"/>
        <w:rPr>
          <w:sz w:val="20"/>
          <w:szCs w:val="20"/>
          <w:color w:val="auto"/>
        </w:rPr>
      </w:pPr>
      <w:r>
        <w:rPr>
          <w:rFonts w:ascii="Arial" w:cs="Arial" w:eastAsia="Arial" w:hAnsi="Arial"/>
          <w:sz w:val="16"/>
          <w:szCs w:val="16"/>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6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(i.e., greater safety, greater efficacy, or a major contribution to patient care)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If an orphan designated product receives marketing approval for an indication broader than what is designated, it may not be entitled to orphan exclusivity.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FDA has a number of programs intended to expedite the development or review of products that meet certain criteria. Sponsors may request that FDA allow the use of one or more of these programs. For example, product candidates are eligible for fast track designation if they are intended to treat a serious or life- 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review team during product development, and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Any product candidate submitted to the FDA for approval, including a product candidate with a fast track designation or breakthrough therapy designation, may also be eligible for other types of FDA programs intended to expedite development and review, such as priority review and accelerated approval. An NDA for a product candidate is eligible for priority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review if it has the potential to provide significant improvement in treatment, diagnosis or prevention of a serious disease or condition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In addition, a product candidate may be eligible for accelerated approval. Drug products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The FDA may withdraw accelerated approval if, among other things, the confirmatory study fails to verify clinical benefit; the applicant fails to perform required confirmatory studies with due diligence; postmarketing use demonstrates that postmarketing restrictions are inadequate to assure safe use; the applicant fails to adhere to agreed-upon postmarketing restrictions; promotional materials are false or misleading; or, other evidence demonstrates that the product is not shown to be safe or effective under its conditions of use. In addition, the FDA currently requires pre-approval of promotional materials as a condition for accelerated approval, which could adversely impact the timing of the commercial launch of the product.</w:t>
      </w:r>
    </w:p>
    <w:p>
      <w:pPr>
        <w:spacing w:after="0" w:line="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Drug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6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78" w:lineRule="exact"/>
        <w:rPr>
          <w:sz w:val="20"/>
          <w:szCs w:val="20"/>
          <w:color w:val="auto"/>
        </w:rPr>
      </w:pPr>
    </w:p>
    <w:p>
      <w:pPr>
        <w:ind w:left="720" w:right="7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00" w:val="left"/>
        </w:tabs>
        <w:rPr>
          <w:sz w:val="20"/>
          <w:szCs w:val="20"/>
          <w:color w:val="auto"/>
        </w:rPr>
      </w:pPr>
      <w:r>
        <w:rPr>
          <w:rFonts w:ascii="Arial" w:cs="Arial" w:eastAsia="Arial" w:hAnsi="Arial"/>
          <w:sz w:val="18"/>
          <w:szCs w:val="18"/>
          <w:color w:val="auto"/>
        </w:rPr>
        <w:t>●</w:t>
        <w:tab/>
        <w:t>refusal of the FDA to approve pending applications or supplements to approved applications, or suspension or revocation of product approvals;</w:t>
      </w:r>
    </w:p>
    <w:p>
      <w:pPr>
        <w:spacing w:after="0" w:line="170"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sz w:val="20"/>
          <w:szCs w:val="20"/>
          <w:color w:val="auto"/>
        </w:rPr>
      </w:pPr>
    </w:p>
    <w:p>
      <w:pPr>
        <w:ind w:left="400"/>
        <w:spacing w:after="0"/>
        <w:tabs>
          <w:tab w:leader="none" w:pos="700" w:val="left"/>
        </w:tabs>
        <w:rPr>
          <w:sz w:val="20"/>
          <w:szCs w:val="20"/>
          <w:color w:val="auto"/>
        </w:rPr>
      </w:pPr>
      <w:r>
        <w:rPr>
          <w:rFonts w:ascii="Arial" w:cs="Arial" w:eastAsia="Arial" w:hAnsi="Arial"/>
          <w:sz w:val="17"/>
          <w:szCs w:val="17"/>
          <w:color w:val="auto"/>
        </w:rPr>
        <w:t>●</w:t>
        <w:tab/>
        <w:t>consent decrees, corporate integrity agreements, debarment or exclusion from federal healthcare programs;</w:t>
      </w:r>
    </w:p>
    <w:p>
      <w:pPr>
        <w:spacing w:after="0" w:line="237" w:lineRule="exact"/>
        <w:rPr>
          <w:sz w:val="20"/>
          <w:szCs w:val="20"/>
          <w:color w:val="auto"/>
        </w:rPr>
      </w:pPr>
    </w:p>
    <w:p>
      <w:pPr>
        <w:ind w:left="400"/>
        <w:spacing w:after="0"/>
        <w:tabs>
          <w:tab w:leader="none" w:pos="700" w:val="left"/>
        </w:tabs>
        <w:rPr>
          <w:sz w:val="20"/>
          <w:szCs w:val="20"/>
          <w:color w:val="auto"/>
        </w:rPr>
      </w:pPr>
      <w:r>
        <w:rPr>
          <w:rFonts w:ascii="Arial" w:cs="Arial" w:eastAsia="Arial" w:hAnsi="Arial"/>
          <w:sz w:val="18"/>
          <w:szCs w:val="18"/>
          <w:color w:val="auto"/>
        </w:rPr>
        <w:t>●</w:t>
        <w:tab/>
        <w:t>mandated modification of promotional materials and labeling and the issuance of corrective information;</w:t>
      </w:r>
    </w:p>
    <w:p>
      <w:pPr>
        <w:spacing w:after="0" w:line="225" w:lineRule="exact"/>
        <w:rPr>
          <w:sz w:val="20"/>
          <w:szCs w:val="20"/>
          <w:color w:val="auto"/>
        </w:rPr>
      </w:pPr>
    </w:p>
    <w:p>
      <w:pPr>
        <w:ind w:left="720" w:right="7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Market 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ANDAm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clinical trials in children in response to a written request from the FDA. The issuance of a written request does not require the sponsor to undertake the described clinical trials.</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Pharmaceutical companies like us are subject to additional healthcare regulation and enforcement by the federal government and by authorities in the states and foreign jurisdictions in which they conduct their business. Such regulation may constrain the financial arrangements and relationships through which we research, develop, and ultimately, sell, market and distribute any products for which we obtain marketing approval. Such laws include, without limitation, federal and state anti-kickback, fraud and abuse, and false claims laws, such as the federal Anti-Kickback Statute and the federal Civil False Claims Act, as well as federal and state data privacy and security laws and regulations, and transparency laws and regulations addressing drug pricing and payments and other transfers of value made by pharmaceutical manufacturers to physicians and other healthcare providers, such as the federal Physician Payment Sunshine Act. Violations of any of such laws or any other governmental regulations that apply may result in significant penalties, including, without limitation, administrative, civil and criminal penalties, damages, fines, disgorgement, the curtailment or restructuring of operations, integrity oversight and reporting obligations to resolve allegations of noncompliance, exclusion from participation in federal and state healthcare programs, such as Medicare and Medicaid, and imprisonment.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coverage and reimbursement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18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Moreover, as a condition of participating in, and having products covered under, certain federal healthcare programs, such as Medicare and Medicaid, we may become subject to federal laws and regulations that require pharmaceutical manufacturers to calculate and report certain price reporting metrics to the government, such as Medicaid Average Manufacturer Price, or AMP, and Best Price, Medicare Average Sales Price, the 340B Ceiling Price, and Non-Federal Average Manufacturer Price reported to the Department of Veteran Affairs, and with respect to Medicaid, pay statutory rebates on utilization of manufacturers’ products by Medicaid beneficiaries. Compliance with such laws and regulations will require significant resources and may have a material adverse effect on our revenues.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the United States, 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176" w:lineRule="exact"/>
        <w:rPr>
          <w:sz w:val="20"/>
          <w:szCs w:val="20"/>
          <w:color w:val="auto"/>
        </w:rPr>
      </w:pPr>
    </w:p>
    <w:p>
      <w:pPr>
        <w:ind w:left="860" w:right="79" w:hanging="436"/>
        <w:spacing w:after="0" w:line="27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the minimum level of Medicaid rebates payable by manufacturers of brand name drugs from 15.1% to 23.1% of the average manufacturer price;</w:t>
      </w:r>
    </w:p>
    <w:p>
      <w:pPr>
        <w:spacing w:after="0" w:line="183" w:lineRule="exact"/>
        <w:rPr>
          <w:rFonts w:ascii="Arial" w:cs="Arial" w:eastAsia="Arial" w:hAnsi="Arial"/>
          <w:sz w:val="18"/>
          <w:szCs w:val="18"/>
          <w:color w:val="auto"/>
        </w:rPr>
      </w:pPr>
    </w:p>
    <w:p>
      <w:pPr>
        <w:ind w:left="860" w:hanging="43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required collection of rebates for drugs paid by Medicaid managed care organizations;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860" w:right="79" w:hanging="436"/>
        <w:spacing w:after="0" w:line="263"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expanded beneficiary eligibility criteria for Medicaid programs by, among other things, allowing states to offer Medicaid coverage to certain individuals with income at or below 138% of the federal poverty level, thereby potentially increasing manufacturers’ Medicaid rebate liability;</w:t>
      </w:r>
    </w:p>
    <w:p>
      <w:pPr>
        <w:spacing w:after="0" w:line="183" w:lineRule="exact"/>
        <w:rPr>
          <w:rFonts w:ascii="Arial" w:cs="Arial" w:eastAsia="Arial" w:hAnsi="Arial"/>
          <w:sz w:val="18"/>
          <w:szCs w:val="18"/>
          <w:color w:val="auto"/>
        </w:rPr>
      </w:pPr>
    </w:p>
    <w:p>
      <w:pPr>
        <w:ind w:left="860" w:hanging="43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Pricing Program;</w:t>
      </w:r>
    </w:p>
    <w:p>
      <w:pPr>
        <w:spacing w:after="0" w:line="225" w:lineRule="exact"/>
        <w:rPr>
          <w:rFonts w:ascii="Arial" w:cs="Arial" w:eastAsia="Arial" w:hAnsi="Arial"/>
          <w:sz w:val="18"/>
          <w:szCs w:val="18"/>
          <w:color w:val="auto"/>
        </w:rPr>
      </w:pPr>
    </w:p>
    <w:p>
      <w:pPr>
        <w:jc w:val="both"/>
        <w:ind w:left="860" w:right="79" w:hanging="436"/>
        <w:spacing w:after="0" w:line="254"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required manufacturers to participate in a coverage gap discount program, under which they must agree to offer 70 percent point-of-sale discounts off negotiated prices of applicable brand drugs to eligible beneficiaries during their coverage gap period, as a condition for the manufacturer’s outpatient drugs to be covered under Medicare Part D;</w:t>
      </w:r>
    </w:p>
    <w:p>
      <w:pPr>
        <w:spacing w:after="0" w:line="2" w:lineRule="exact"/>
        <w:rPr>
          <w:rFonts w:ascii="Arial" w:cs="Arial" w:eastAsia="Arial" w:hAnsi="Arial"/>
          <w:sz w:val="18"/>
          <w:szCs w:val="18"/>
          <w:color w:val="auto"/>
        </w:rPr>
      </w:pPr>
    </w:p>
    <w:p>
      <w:pPr>
        <w:jc w:val="both"/>
        <w:ind w:left="860" w:right="79" w:hanging="436"/>
        <w:spacing w:after="0" w:line="250"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imposed a non-deductible annual fee on pharmaceutical manufacturers or importers who sell “branded prescription drugs” and biologic agents apportioned among these entities according to their market share in certain federal government programs;</w:t>
      </w:r>
    </w:p>
    <w:p>
      <w:pPr>
        <w:spacing w:after="0" w:line="1" w:lineRule="exact"/>
        <w:rPr>
          <w:rFonts w:ascii="Arial" w:cs="Arial" w:eastAsia="Arial" w:hAnsi="Arial"/>
          <w:sz w:val="18"/>
          <w:szCs w:val="18"/>
          <w:color w:val="auto"/>
        </w:rPr>
      </w:pPr>
    </w:p>
    <w:p>
      <w:pPr>
        <w:jc w:val="both"/>
        <w:ind w:left="860" w:right="79" w:hanging="436"/>
        <w:spacing w:after="0" w:line="255"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established the Center for Medicare and Medicaid Innovation within the Centers for Medicare and Medicaid Services (“CMS”) to test innovative payment and service delivery models to lower Medicare and Medicaid spending, potentially including prescription drug spending;</w:t>
      </w:r>
    </w:p>
    <w:p>
      <w:pPr>
        <w:spacing w:after="0" w:line="189" w:lineRule="exact"/>
        <w:rPr>
          <w:rFonts w:ascii="Arial" w:cs="Arial" w:eastAsia="Arial" w:hAnsi="Arial"/>
          <w:sz w:val="18"/>
          <w:szCs w:val="18"/>
          <w:color w:val="auto"/>
        </w:rPr>
      </w:pPr>
    </w:p>
    <w:p>
      <w:pPr>
        <w:ind w:left="860" w:right="79" w:hanging="436"/>
        <w:spacing w:after="0" w:line="277"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created the Patient-Centered Outcomes Research Institute to oversee, identify priorities in, and conduct comparative clinical effectiveness research, along with funding for such research; and</w:t>
      </w:r>
    </w:p>
    <w:p>
      <w:pPr>
        <w:spacing w:after="0" w:line="170" w:lineRule="exact"/>
        <w:rPr>
          <w:rFonts w:ascii="Arial" w:cs="Arial" w:eastAsia="Arial" w:hAnsi="Arial"/>
          <w:sz w:val="18"/>
          <w:szCs w:val="18"/>
          <w:color w:val="auto"/>
        </w:rPr>
      </w:pPr>
    </w:p>
    <w:p>
      <w:pPr>
        <w:ind w:left="860" w:right="79" w:hanging="436"/>
        <w:spacing w:after="0" w:line="277"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required annual reporting of certain information regarding drug samples that manufacturers and distributors provide to licensed practitioners.</w:t>
      </w:r>
    </w:p>
    <w:p>
      <w:pPr>
        <w:spacing w:after="0" w:line="38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6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of Medicare payments to providers of 2% per fiscal year, which went into effect on April 1, 2013 and, due to subsequent legislative amendments to the statute, will stay in effect through 2030, with the exception of a temporary suspension from May 1, 2020 through March 31, 2022 unless additional action is taken by Congress. In addition, the American Taxpayer Relief Act of 2021, effective January 1, 2024, would eliminate the statutory cap on rebate amounts owed by drug manufacturers under the Medicaid Drug Rebate Program, or MDRP, which is currently capped at 100% of the AMP for a covered outpatient drug. In the future, there may be additional challenges and/or amendments to the ACA.</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Moreover,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also possible that governmental action will be taken in response to the COVID-19 pandemic.</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impact the amounts that federal and state governments and other third-party payors will pay for healthcare products and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GDPR imposes strict requirements for processing the personal data of individuals within the European Economic Area, or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UK GDPR, which, together with the amended UK Data Protection Act 2018, retains the GDPR in UK national law. The UK GDPR mirrors the fines under the GDPR, </w:t>
      </w:r>
      <w:r>
        <w:rPr>
          <w:rFonts w:ascii="Arial" w:cs="Arial" w:eastAsia="Arial" w:hAnsi="Arial"/>
          <w:sz w:val="16"/>
          <w:szCs w:val="16"/>
          <w:i w:val="1"/>
          <w:iCs w:val="1"/>
          <w:color w:val="auto"/>
        </w:rPr>
        <w:t>i.e.</w:t>
      </w:r>
      <w:r>
        <w:rPr>
          <w:rFonts w:ascii="Arial" w:cs="Arial" w:eastAsia="Arial" w:hAnsi="Arial"/>
          <w:sz w:val="16"/>
          <w:szCs w:val="16"/>
          <w:color w:val="auto"/>
        </w:rPr>
        <w:t>, fines up to the greater of €20 million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As of December 31, 2021 we had 64 full-time employees, 54 of whom are dedicated to research and development. 31 of our employees hold doctorate degrees (i.e., Ph.D. or M.D.). None of our employees are represented by labor unions or covered by collective bargaining agreements. We consider our relationship with our employees to be good.</w:t>
      </w:r>
    </w:p>
    <w:p>
      <w:pPr>
        <w:spacing w:after="0" w:line="16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p>
    <w:p>
      <w:pPr>
        <w:spacing w:after="0" w:line="17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believe that much of our success is rooted in the diversity of our teams and our commitment to inclusion. We value diversity at all levels and focus on extending our diversity and inclusion initiatives across our entire workforce.</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333333"/>
        </w:rPr>
        <w:t>Our Corporate Information</w:t>
      </w:r>
    </w:p>
    <w:p>
      <w:pPr>
        <w:spacing w:after="0" w:line="117"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333333"/>
        </w:rPr>
        <w:t>We were incorporated under the laws of the state of Delaware in February 2008. Our principal executive offices are located at 245 Main Street, Second Floor, Cambridge, MA 02142 and our telephone number is (617) 500-8080.</w:t>
      </w:r>
    </w:p>
    <w:p>
      <w:pPr>
        <w:spacing w:after="0" w:line="38"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333333"/>
        </w:rPr>
        <w:t xml:space="preserve">Our corporate website address is </w:t>
      </w:r>
      <w:r>
        <w:rPr>
          <w:rFonts w:ascii="Arial" w:cs="Arial" w:eastAsia="Arial" w:hAnsi="Arial"/>
          <w:sz w:val="18"/>
          <w:szCs w:val="18"/>
          <w:i w:val="1"/>
          <w:iCs w:val="1"/>
          <w:color w:val="333333"/>
        </w:rPr>
        <w:t>www.immuneering.com</w:t>
      </w:r>
      <w:r>
        <w:rPr>
          <w:rFonts w:ascii="Arial" w:cs="Arial" w:eastAsia="Arial" w:hAnsi="Arial"/>
          <w:sz w:val="18"/>
          <w:szCs w:val="18"/>
          <w:color w:val="333333"/>
        </w:rPr>
        <w:t>. The information contained in, or accessible through, our website is not incorporated by reference into this Annual Report and you should not consider information on our website to be a part of this Annual Report. We have included our website address in this Annual Report solely as an inactive textual reference.</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333333"/>
        </w:rPr>
        <w:t>Where you can find more information</w:t>
      </w:r>
    </w:p>
    <w:p>
      <w:pPr>
        <w:spacing w:after="0" w:line="117"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333333"/>
        </w:rPr>
        <w:t xml:space="preserve">We are subject to the information requirements of the Securities Exchange Act of 1934, as amended. The SEC maintains an internet site that contains reports, proxy and information statements, and other information regarding issuers that file electronically, such as ourselves, with the SEC at </w:t>
      </w:r>
      <w:r>
        <w:rPr>
          <w:rFonts w:ascii="Arial" w:cs="Arial" w:eastAsia="Arial" w:hAnsi="Arial"/>
          <w:sz w:val="18"/>
          <w:szCs w:val="18"/>
          <w:u w:val="single" w:color="auto"/>
          <w:color w:val="000000"/>
        </w:rPr>
        <w:t>http://www.sec.gov</w:t>
      </w:r>
      <w:r>
        <w:rPr>
          <w:rFonts w:ascii="Arial" w:cs="Arial" w:eastAsia="Arial" w:hAnsi="Arial"/>
          <w:sz w:val="18"/>
          <w:szCs w:val="18"/>
          <w:color w:val="333333"/>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 Looking Statements” for a discussion of some of the forward-looking statements that are qualified by these risk factors. Factors that could cause or contribute to such differences include those factors discussed below.</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Pharmaceutical product development is a highly speculative undertaking and involves a substantial degree of risk. We are a biopharmaceutical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of our product candidates, including the anticipated Phase 1 clinical trial of IMM-1-104 for the treatment of advanced solid tumors in patients harboring RAS mutant tumors. We have not yet demonstrated our ability to successfully initiate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17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focus to a company capable of supporting commercial activities. If we do not adequately address these risks and difficulties or successfully make such a transition, our business will suffer.</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have incurred net losses in each reporting period for the past several years, have not generated any revenue from product sales to date and have financed our operations principally through our computational biology services to pharmaceutical and biotechnology companies, the issuance of convertible debt and the sale of our convertible preferred stock and Class A common stock. We have incurred net losses of approximately $33.5 million and $17 million for the years ended December 31, 2021 and 2020 respectively. As of December 31, 2021, we had an accumulated deficit of approximately $59.3 million. Our losses have resulted principally from expenses incurred in research and development of our product candidates, from management and administrative costs and other expenses that we have incurred while building our business infrastructure. Our lead product candidate, IMM-1-104, is undergoing IND-enabling studies and we expect to submit an IND to the FDA in the third quarter of 2022. Subject to the FDA’s allowing us to proceed with clinical studies under an IND, we intend to enroll the first patient in a Phase 1 clinical trial of IMM-1-104 in the fourth quarter of 2022 for the treatment of advanced solid tumors in patients harboring RAS mutant tumors, if our IND for IMM-1-104 is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accepted.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substantially if and as we:</w:t>
      </w:r>
    </w:p>
    <w:p>
      <w:pPr>
        <w:spacing w:after="0" w:line="170" w:lineRule="exact"/>
        <w:rPr>
          <w:sz w:val="20"/>
          <w:szCs w:val="20"/>
          <w:color w:val="auto"/>
        </w:rPr>
      </w:pPr>
    </w:p>
    <w:p>
      <w:pPr>
        <w:jc w:val="both"/>
        <w:ind w:left="60" w:right="59" w:hanging="10"/>
        <w:spacing w:after="0" w:line="263" w:lineRule="auto"/>
        <w:tabs>
          <w:tab w:leader="none" w:pos="1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 the development of our lead product candidate, IMM-1-104, and our other product candidates, including IMM-6-415, through preclinical and clinical development, and, if approved by the FDA or other comparable foreign regulatory authorities, commercialization;</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manufacturing costs for our product candidates;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research and development activities to identify and develop new product candidates;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 in measures to protect and expand our intellectual property;</w:t>
      </w:r>
    </w:p>
    <w:p>
      <w:pPr>
        <w:spacing w:after="0" w:line="252" w:lineRule="exact"/>
        <w:rPr>
          <w:rFonts w:ascii="Arial" w:cs="Arial" w:eastAsia="Arial" w:hAnsi="Arial"/>
          <w:sz w:val="18"/>
          <w:szCs w:val="18"/>
          <w:color w:val="auto"/>
        </w:rPr>
      </w:pPr>
    </w:p>
    <w:p>
      <w:pPr>
        <w:ind w:left="60" w:right="79" w:hanging="10"/>
        <w:spacing w:after="0" w:line="277" w:lineRule="auto"/>
        <w:tabs>
          <w:tab w:leader="none" w:pos="1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manufacturing and develop our commercialization efforts;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3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18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to drug sales, marketing, manufacturing and distribution. Because the design and outcome of our anticipated clinical trials are highly uncertain, we cannot reasonably estimate the actual amounts necessary to successfully complete the development and commercialization of any product candidate we develop. We also expect to incur additional costs associated with operating as a public company. Accordingly, it is likely that we will need to obtain substantial additional funding in order to maintain our continuing operations in the future.</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As of December 31, 2021, we had approximately $150.2 million in cash and cash equivalents and marketable securities. Based on our current business plans, we believe that our existing cash and cash equivalents and marketable securities will be sufficient to fund our operating expenses and capital expenditures requirements into the third quarter of 2024. Our estimate as to how long we expect our existing cash and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25" w:lineRule="exact"/>
        <w:rPr>
          <w:sz w:val="20"/>
          <w:szCs w:val="20"/>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progress, timeline, cost and results of our clinical trials for our product candidates;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2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progress, timeline, cost and results of additional research and preclinical studies related to pipeline development and other research programs we initiate in the future;</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timing of manufacturing activities as we advance our product candidates through preclinical and clinical development, and commercialization;</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expansion of our current development programs to seek new indications;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negative impact of the COVID-19 pandemic or future pandemics on our business;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comparable foreign regulatory authorities;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patent claims and other intellectual property rights, in-licensed or otherwise;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payment of licensing fees, potential royalty payments and potential milestone payments;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general operating expenses;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operating as a public company.</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Advancing the development of our product candidates will require a significant amount of capital. Our existing cash and cash equivalents will not be sufficient to fund all of the activities that are necessary to complete the development of our product candidates.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Additionally, the impact of the pandemic related to COVID-19 and its variants on the capital markets may affect the availability, amount and type of financing available to us in the future.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offering,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our net operating losses and other tax attributes may be limited.</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As of December 31, 2021, we had approximately $56.5 million of federal and $51.3 million of state net operating loss carryforwards, or NOLs, available to offset future taxable income. Under Sections 382 and 383 of the U.S. Internal Revenue Code of 1986, as amended, or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6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184" w:lineRule="exact"/>
        <w:rPr>
          <w:sz w:val="20"/>
          <w:szCs w:val="20"/>
          <w:color w:val="auto"/>
        </w:rPr>
      </w:pPr>
    </w:p>
    <w:p>
      <w:pPr>
        <w:jc w:val="both"/>
        <w:ind w:left="60" w:right="59" w:hanging="10"/>
        <w:spacing w:after="0" w:line="263" w:lineRule="auto"/>
        <w:tabs>
          <w:tab w:leader="none" w:pos="1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preclinical studies or clinical trials;</w:t>
      </w:r>
    </w:p>
    <w:p>
      <w:pPr>
        <w:spacing w:after="0" w:line="183" w:lineRule="exact"/>
        <w:rPr>
          <w:rFonts w:ascii="Arial" w:cs="Arial" w:eastAsia="Arial" w:hAnsi="Arial"/>
          <w:sz w:val="18"/>
          <w:szCs w:val="18"/>
          <w:color w:val="auto"/>
        </w:rPr>
      </w:pPr>
    </w:p>
    <w:p>
      <w:pPr>
        <w:ind w:left="60" w:right="59" w:hanging="10"/>
        <w:spacing w:after="0" w:line="308" w:lineRule="auto"/>
        <w:tabs>
          <w:tab w:leader="none" w:pos="17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New Drug Application, or NDA, or other submission or to obtain regulatory approval in the United States or elsewhere;</w:t>
      </w:r>
    </w:p>
    <w:p>
      <w:pPr>
        <w:spacing w:after="0" w:line="159" w:lineRule="exact"/>
        <w:rPr>
          <w:rFonts w:ascii="Arial" w:cs="Arial" w:eastAsia="Arial" w:hAnsi="Arial"/>
          <w:sz w:val="17"/>
          <w:szCs w:val="17"/>
          <w:color w:val="auto"/>
        </w:rPr>
      </w:pPr>
    </w:p>
    <w:p>
      <w:pPr>
        <w:ind w:left="60" w:right="79" w:hanging="10"/>
        <w:spacing w:after="0" w:line="277"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a product candidate’s risk-benefit ratio for its proposed indication is acceptable;</w:t>
      </w:r>
    </w:p>
    <w:p>
      <w:pPr>
        <w:spacing w:after="0" w:line="183" w:lineRule="exact"/>
        <w:rPr>
          <w:rFonts w:ascii="Arial" w:cs="Arial" w:eastAsia="Arial" w:hAnsi="Arial"/>
          <w:sz w:val="18"/>
          <w:szCs w:val="18"/>
          <w:color w:val="auto"/>
        </w:rPr>
      </w:pPr>
    </w:p>
    <w:p>
      <w:pPr>
        <w:jc w:val="both"/>
        <w:ind w:left="60" w:right="79" w:hanging="10"/>
        <w:spacing w:after="0" w:line="263" w:lineRule="auto"/>
        <w:tabs>
          <w:tab w:leader="none" w:pos="2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7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may not be able to submit INDs or IND amendments or comparable documents in foreign jurisdictions to commence additional clinical trials on the timelines we expect, and even if we are able to, the FDA may not permit us to proceed.</w:t>
      </w:r>
    </w:p>
    <w:p>
      <w:pPr>
        <w:spacing w:after="0" w:line="10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While we plan to submit INDs or comparable documents for our potential product candidates, we may not be able to submit such INDs or comparable documents on the timeline we expect. For example, due to supply chain constraints and the impact of follow-on effects due to such constraints, we have had to move our planned submission of the IND for IMM-1-104 to the FDA from the first quarter of 2022 to the third quarter of 2022.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7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company has limited experience in designing clinical trials and may experience delays or unexpected difficulties in obtaining regulatory approval for our current and future product candidates.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have limited experience in designing clinical trials and may be unable to design and execute a clinical trial to support marketing approval. We cannot be certain that our planned clinical trials or any future clinical trials will be successful.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completing, or ultimately be unable to complete, the development and commercialization of our product candidates.</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spacing w:after="0" w:line="18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184" w:lineRule="exact"/>
        <w:rPr>
          <w:sz w:val="20"/>
          <w:szCs w:val="20"/>
          <w:color w:val="auto"/>
        </w:rPr>
      </w:pPr>
    </w:p>
    <w:p>
      <w:pPr>
        <w:ind w:left="60" w:right="79" w:hanging="10"/>
        <w:spacing w:after="0" w:line="277" w:lineRule="auto"/>
        <w:tabs>
          <w:tab w:leader="none" w:pos="1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2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w:t>
      </w:r>
    </w:p>
    <w:p>
      <w:pPr>
        <w:spacing w:after="0" w:line="21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•IRBs refusing to approve, suspending or terminating the trial at an investigational site, precluding enrollment of additional subjects, or withdrawing their approval of the trial;</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•delays in enrollment due to travel or quarantine policies, or other factors related to COVID-19 and its variants, other pandemics or other events outside our control;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to clinical trial protocol;</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•clinical sites deviating from trial protocol or dropping out of a trial;</w:t>
      </w:r>
    </w:p>
    <w:p>
      <w:pPr>
        <w:spacing w:after="0" w:line="23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•manufacturing sufficient quantities of product candidates or obtaining sufficient quantities of combination therapies for use in clinical trials;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color w:val="auto"/>
        </w:rPr>
        <w:t>•subjects failing to enroll or remain in our trial at the rate we expect, or failing to return for post-treatment follow-up;</w:t>
      </w:r>
    </w:p>
    <w:p>
      <w:pPr>
        <w:spacing w:after="0" w:line="25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•subjects choosing an alternative treatment for the indication for which we are developing our product candidates, or participating in competing clinical trials;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•lack of adequate funding to continue the clinical trial;</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•subjects experiencing severe or unexpected drug-related adverse effects;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•selection of clinical end points that require prolonged periods of clinical observation or analysis of the resulting data;</w:t>
      </w:r>
    </w:p>
    <w:p>
      <w:pPr>
        <w:spacing w:after="0" w:line="25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•any changes to our manufacturing process that may be necessary or desired;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contractors not performing data collection or analysis in a timely or accurate manner; or</w:t>
      </w:r>
    </w:p>
    <w:p>
      <w:pPr>
        <w:spacing w:after="0" w:line="23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For instance, due to supply chain constraints and the impact of follow-on effects due to such constraints, we have had to move our previously announced planned enrollment of the first patient in our first-in-human Phase 1 clinical trial of IMM-1-104 for the treatment of advanced solid tumors in patients harboring RAS mutant tumors in the fourth quarter of 2022 from the first half of 2022 as previously expected, assuming our IND for IMM-1-104 is accepted. In addition, the ongoing pandemic related to COVID-19 and its variants and the measures taken by the governmental authorities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3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170" w:lineRule="exact"/>
        <w:rPr>
          <w:sz w:val="20"/>
          <w:szCs w:val="20"/>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77" w:lineRule="auto"/>
        <w:tabs>
          <w:tab w:leader="none" w:pos="1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REMS;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3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 The FDA has substantial discretion in the review and approval process and may disagree that our data support the claims we propose.</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comparable foreign regulatory authorities despite having progressed through preclinical studies and early-stage clinical trials.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Most product candidates that begin clinical trials are never approved by regulatory authorities for commercialization.</w:t>
      </w:r>
    </w:p>
    <w:p>
      <w:pPr>
        <w:spacing w:after="0" w:line="18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18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or interim data and final data could significantly harm our business prospects. Further, disclosure of interim data by us or by our competitors could result in volatility in the trading price of our Class A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Moreover, such disclosure could adversely affect the trading price of our Class A common stock.</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8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181" w:lineRule="exact"/>
        <w:rPr>
          <w:sz w:val="20"/>
          <w:szCs w:val="20"/>
          <w:color w:val="auto"/>
        </w:rPr>
      </w:pPr>
    </w:p>
    <w:p>
      <w:pPr>
        <w:ind w:left="60" w:right="79" w:hanging="10"/>
        <w:spacing w:after="0" w:line="277" w:lineRule="auto"/>
        <w:tabs>
          <w:tab w:leader="none" w:pos="1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be forced to or decide to remove the product form the marketplace;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or change their approvals of that product in one or more countries;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limit access of that product to selective</w:t>
      </w:r>
    </w:p>
    <w:p>
      <w:pPr>
        <w:spacing w:after="0" w:line="23" w:lineRule="exact"/>
        <w:rPr>
          <w:sz w:val="20"/>
          <w:szCs w:val="20"/>
          <w:color w:val="auto"/>
        </w:rPr>
      </w:pPr>
    </w:p>
    <w:p>
      <w:pPr>
        <w:ind w:left="60" w:right="59"/>
        <w:spacing w:after="0" w:line="260" w:lineRule="auto"/>
        <w:rPr>
          <w:sz w:val="20"/>
          <w:szCs w:val="20"/>
          <w:color w:val="auto"/>
        </w:rPr>
      </w:pPr>
      <w:r>
        <w:rPr>
          <w:rFonts w:ascii="Arial" w:cs="Arial" w:eastAsia="Arial" w:hAnsi="Arial"/>
          <w:sz w:val="18"/>
          <w:szCs w:val="18"/>
          <w:color w:val="auto"/>
        </w:rPr>
        <w:t>specialized centers with additional safety reporting and with requirements that patients be geographically close to these centers for all or part of their treatment;</w:t>
      </w:r>
    </w:p>
    <w:p>
      <w:pPr>
        <w:spacing w:after="0" w:line="199" w:lineRule="exact"/>
        <w:rPr>
          <w:sz w:val="20"/>
          <w:szCs w:val="20"/>
          <w:color w:val="auto"/>
        </w:rPr>
      </w:pPr>
    </w:p>
    <w:p>
      <w:pPr>
        <w:ind w:left="60" w:right="59" w:hanging="10"/>
        <w:spacing w:after="0" w:line="277" w:lineRule="auto"/>
        <w:tabs>
          <w:tab w:leader="none" w:pos="1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the product for patients, or to conduct post-marketing studies;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be sued and held liable for harm caused to subjects or patients;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evaluating patients harboring RAS mutant tumors)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size and nature of the patient population;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38" w:lineRule="exact"/>
        <w:rPr>
          <w:rFonts w:ascii="Arial" w:cs="Arial" w:eastAsia="Arial" w:hAnsi="Arial"/>
          <w:sz w:val="18"/>
          <w:szCs w:val="18"/>
          <w:color w:val="auto"/>
        </w:rPr>
      </w:pPr>
    </w:p>
    <w:p>
      <w:pPr>
        <w:ind w:left="60" w:right="79" w:hanging="10"/>
        <w:spacing w:after="0" w:line="308" w:lineRule="auto"/>
        <w:tabs>
          <w:tab w:leader="none" w:pos="183" w:val="left"/>
        </w:tabs>
        <w:numPr>
          <w:ilvl w:val="0"/>
          <w:numId w:val="33"/>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59" w:lineRule="exact"/>
        <w:rPr>
          <w:rFonts w:ascii="Arial" w:cs="Arial" w:eastAsia="Arial" w:hAnsi="Arial"/>
          <w:sz w:val="17"/>
          <w:szCs w:val="17"/>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enrollment of prospective patients by clinical trial sites;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or difficulties in enrollment and completion of studies due to the pandemic related to COVID-19 and its variants or any future pandemic.</w:t>
      </w:r>
    </w:p>
    <w:p>
      <w:pPr>
        <w:spacing w:after="0" w:line="184"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18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84" w:lineRule="exact"/>
        <w:rPr>
          <w:sz w:val="20"/>
          <w:szCs w:val="20"/>
          <w:color w:val="auto"/>
        </w:rPr>
      </w:pPr>
    </w:p>
    <w:p>
      <w:pPr>
        <w:ind w:left="160" w:hanging="110"/>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hanging="110"/>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as well as pricing, by third-party payors, including government authorities;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65" w:lineRule="exact"/>
        <w:rPr>
          <w:rFonts w:ascii="Arial" w:cs="Arial" w:eastAsia="Arial" w:hAnsi="Arial"/>
          <w:sz w:val="18"/>
          <w:szCs w:val="18"/>
          <w:color w:val="auto"/>
        </w:rPr>
      </w:pPr>
    </w:p>
    <w:p>
      <w:pPr>
        <w:ind w:left="60" w:right="79" w:hanging="10"/>
        <w:spacing w:after="0" w:line="277" w:lineRule="auto"/>
        <w:tabs>
          <w:tab w:leader="none" w:pos="1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3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our product candidates.</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17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4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12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and preclinical development of IMM-1-104,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19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have not commenced clinical trials for any product candidates developed with our DCT platform. 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not tested any of the product candidates being developed using our DCT platform in humans, and our current data is limited to animal models and preclinical cell lines, the results of which may not translate into humans. As a result, it is possible that safety events or concerns could negatively affect the development of our product candidates, including adversely affecting patient enrollment among the patient populations that we intend to treat.</w:t>
      </w:r>
    </w:p>
    <w:p>
      <w:pPr>
        <w:spacing w:after="0" w:line="19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pacing w:after="0" w:line="18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develop our current and future product candidates in combination with other therapies, which exposes us to additional risks.</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may also develop certain product candidates as biologic/drug combination products. Additional time may be required to obtain regulatory approval for our product candidates if they are combination products.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addition,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product candidates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17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14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8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7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2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are early in our development efforts and we have not yet completed our IND-enabling studies for our lead product candidate, IMM-1-104. Our other product candidates are in earlier stages of drug development. We have invested substantially all of our efforts and financial resources in the identification of targets and preclinical development of small molecules targeting the MAPK and mTOR pathways in cancer therapy and small molecules targeting central nervous system disorders, including AD.</w:t>
      </w:r>
    </w:p>
    <w:p>
      <w:pPr>
        <w:spacing w:after="0" w:line="18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success of our current and future product candidates will depend on several factors, including the following:</w:t>
      </w:r>
    </w:p>
    <w:p>
      <w:pPr>
        <w:spacing w:after="0" w:line="225" w:lineRule="exact"/>
        <w:rPr>
          <w:sz w:val="20"/>
          <w:szCs w:val="20"/>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successful and timely completion of additional preclinical studies;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successful initiation, patient enrollment and completion of our anticipated clinical trials on a timely basis, including any delays arising out of the pandemic related to COVID-19 and its variants or any future pandemic;</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and establishing relationships with CROs and clinical sites for clinical development, both in the United States and internationally;</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frequency and severity of adverse events in the clinical trials;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2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efficacy, safety and tolerability profiles that are satisfactory to the FDA or any comparable foreign regulatory authority for marketing approval;</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timely receipt of marketing approvals from applicable regulatory authorities;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extent of any required post-marketing approval commitments to applicable regulatory authorities;</w:t>
      </w:r>
    </w:p>
    <w:p>
      <w:pPr>
        <w:spacing w:after="0" w:line="239" w:lineRule="exact"/>
        <w:rPr>
          <w:sz w:val="20"/>
          <w:szCs w:val="20"/>
          <w:color w:val="auto"/>
        </w:rPr>
      </w:pPr>
    </w:p>
    <w:p>
      <w:pPr>
        <w:ind w:left="60" w:right="59" w:hanging="10"/>
        <w:spacing w:after="0" w:line="277" w:lineRule="auto"/>
        <w:tabs>
          <w:tab w:leader="none" w:pos="1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w:t>
      </w:r>
    </w:p>
    <w:p>
      <w:pPr>
        <w:spacing w:after="0" w:line="183" w:lineRule="exact"/>
        <w:rPr>
          <w:rFonts w:ascii="Arial" w:cs="Arial" w:eastAsia="Arial" w:hAnsi="Arial"/>
          <w:sz w:val="18"/>
          <w:szCs w:val="18"/>
          <w:color w:val="auto"/>
        </w:rPr>
      </w:pPr>
    </w:p>
    <w:p>
      <w:pPr>
        <w:ind w:left="60" w:right="79" w:hanging="10"/>
        <w:spacing w:after="0" w:line="342" w:lineRule="auto"/>
        <w:tabs>
          <w:tab w:leader="none" w:pos="17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137" w:lineRule="exact"/>
        <w:rPr>
          <w:rFonts w:ascii="Arial" w:cs="Arial" w:eastAsia="Arial" w:hAnsi="Arial"/>
          <w:sz w:val="16"/>
          <w:szCs w:val="16"/>
          <w:color w:val="auto"/>
        </w:rPr>
      </w:pPr>
    </w:p>
    <w:p>
      <w:pPr>
        <w:ind w:left="60" w:right="59" w:hanging="10"/>
        <w:spacing w:after="0" w:line="277" w:lineRule="auto"/>
        <w:tabs>
          <w:tab w:leader="none" w:pos="17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protection of our rights in our intellectual property portfolio;</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3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IMM-1-104, or any other product candidate we develop, we may not be able to continue our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8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4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future results of operations are dependent on our ability to successfully discover, develop, obtain regulatory approval for and commercialize product candidates beyond those we currently have in preclinical studies and early stage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success of the product candidates we have or may develop will depend on many factors, including the following:</w:t>
      </w:r>
    </w:p>
    <w:p>
      <w:pPr>
        <w:spacing w:after="0" w:line="237" w:lineRule="exact"/>
        <w:rPr>
          <w:sz w:val="20"/>
          <w:szCs w:val="20"/>
          <w:color w:val="auto"/>
        </w:rPr>
      </w:pPr>
    </w:p>
    <w:p>
      <w:pPr>
        <w:ind w:left="160" w:hanging="110"/>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our research methodology in identifying potential indications or product candidates;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events in the clinical trials; and</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potential interruptions or delays resulting from factors related to the pandemic related to COVID-19 and its variants or any future pandemic.</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2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We will have to develop our own sales, marketing and supply organization or outsource these activities to a third party to commercialize our products. If we decide to license our product candidate to others, we may need to rely on the marketing assistance and guidance of those collaborators.</w:t>
      </w:r>
    </w:p>
    <w:p>
      <w:pPr>
        <w:spacing w:after="0" w:line="18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spacing w:after="0" w:line="16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For example, our product candidates and programs for oncology and neuroscience will compete with products or programs being advanced by certain pharmaceutical and biotechnology companies.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FDA or other comparable foreign regulatory authorities or in discovering, developing and commercializing products in our field before we do.</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6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have never obtained marketing approval for a product candidate and we may be unable to obtain, or may be delayed in obtaining, marketing approval for any product candidate.</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We believe our approach of treating conditions or diseases through neuroregeneration is novel and, as a result, the process for, and the outcome of, FDA approval is especially uncertain. If the FDA does not accept or approve our NDAs for our product candidates, it may require that we conduct additional clinical,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spacing w:after="0" w:line="16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and potential future pandemics could continue to adversely impact our business, including our anticipated clinical trials, supply chain and business development activities.</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December 2019, SARS-CoV-2, a novel strain of coronavirus, was first reported in Wuhan, China and has since become a global pandemic. The President of the United States declared the COVID-19 pandemic a national emergency and many states and municipalities in the United States have announced aggressive actions to reduce the spread of the disease, including limiting non-essential gatherings of people, ceasing all non-essential travel, ordering certain businesses and government agencies to cease non-essential operations at physical locations and issuing “shelter-in-place” orders which direct individuals to shelter at their places of residence (subject to limited exceptions). We may experience limitations 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employee resources in the future, including because of sickness of employees or their families. The effects of government actions and our own policies and those of third parties to reduce the spread of COVID-19 and its variants may negatively impact productivity and slow down or delay our future clinical trials, preclinical studies and research and development activities, and may cause disruptions to our supply chain and impair our ability to execute our business development strategy. In the event that government authorities were to enhance current restrictions, our employees who currently are not telecommuting may no longer be able to access our facilities, and our operations may be further limited or curtailed.</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COVID-19 and its variants continues to spread, we may experience ongoing disruptions that could severely impact our business, preclinical studies and clinical trials, including:</w:t>
      </w:r>
    </w:p>
    <w:p>
      <w:pPr>
        <w:spacing w:after="0" w:line="170" w:lineRule="exact"/>
        <w:rPr>
          <w:sz w:val="20"/>
          <w:szCs w:val="20"/>
          <w:color w:val="auto"/>
        </w:rPr>
      </w:pPr>
    </w:p>
    <w:p>
      <w:pPr>
        <w:ind w:left="60" w:right="59" w:hanging="10"/>
        <w:spacing w:after="0" w:line="277" w:lineRule="auto"/>
        <w:tabs>
          <w:tab w:leader="none" w:pos="1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or delays in our operations, which may impact our ability to conduct and produce preclinical results required for submission of an IND;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170" w:lineRule="exact"/>
        <w:rPr>
          <w:rFonts w:ascii="Arial" w:cs="Arial" w:eastAsia="Arial" w:hAnsi="Arial"/>
          <w:sz w:val="18"/>
          <w:szCs w:val="18"/>
          <w:color w:val="auto"/>
        </w:rPr>
      </w:pPr>
    </w:p>
    <w:p>
      <w:pPr>
        <w:jc w:val="both"/>
        <w:ind w:left="60" w:right="59" w:hanging="10"/>
        <w:spacing w:after="0" w:line="263" w:lineRule="auto"/>
        <w:tabs>
          <w:tab w:leader="none" w:pos="1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pandemic related to COVID-19 and its variants which may require us to change the ways in which our clinical trials are conducted, which may result in unexpected costs, or to discontinue such clinical trials altogether;</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1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83" w:lineRule="exact"/>
        <w:rPr>
          <w:rFonts w:ascii="Arial" w:cs="Arial" w:eastAsia="Arial" w:hAnsi="Arial"/>
          <w:sz w:val="18"/>
          <w:szCs w:val="18"/>
          <w:color w:val="auto"/>
        </w:rPr>
      </w:pPr>
    </w:p>
    <w:p>
      <w:pPr>
        <w:ind w:left="60" w:right="79" w:hanging="10"/>
        <w:spacing w:after="0" w:line="308" w:lineRule="auto"/>
        <w:tabs>
          <w:tab w:leader="none" w:pos="17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risk that participants enrolled in our clinical trials will contract COVID-19 while the clinical trial is ongoing, which could impact the results of the clinical trial, including by increasing the number of observed adverse events; and</w:t>
      </w:r>
    </w:p>
    <w:p>
      <w:pPr>
        <w:spacing w:after="0" w:line="159" w:lineRule="exact"/>
        <w:rPr>
          <w:rFonts w:ascii="Arial" w:cs="Arial" w:eastAsia="Arial" w:hAnsi="Arial"/>
          <w:sz w:val="17"/>
          <w:szCs w:val="17"/>
          <w:color w:val="auto"/>
        </w:rPr>
      </w:pPr>
    </w:p>
    <w:p>
      <w:pPr>
        <w:ind w:left="160" w:hanging="110"/>
        <w:spacing w:after="0"/>
        <w:tabs>
          <w:tab w:leader="none" w:pos="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w:t>
      </w:r>
    </w:p>
    <w:p>
      <w:pPr>
        <w:spacing w:after="0" w:line="23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These and other disruptions in our operations and the global economy could negatively impact our business, results of operations and financial condition. For example, due to supply chain constraints and the impact of follow-on effects due to such constraints, we had to move the timing of our recently announced plans to submit an IND for IMM-1-104 to the FDA, which are now expected to be in the third quarter of 2022, as well as the timing of our enrollment of the first patient in our first-in-human Phase 1 clinical trial of IMM-1-104 for the treatment of advanced solid tumors in patients harboring RAS mutant tumors in the fourth quarter of 2022, assuming our IND for IMM-1-104 is accepted.</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future clinical trials may be affected by the pandemic related to COVID-19 and its variants or any future pandemic. For example, some clinical trial sites have slowed down or stopped further enrollment of new patients in clinical trials, denied access to site monitors and otherwise curtailed certain operations. Similarly, our ability to recruit and retain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principal investigators and site staff who, as healthcare providers, may have heightened exposure to COVID-19 and its variants, may be adversely impacted. Our planned clinical trials may also be impacted by interruptions or delays in the operations of the FDA and comparable foreign regulatory agencies. We and our CROs will act in accordance with the guidance issued by the FDA in our future clinical trials to ensure the monitoring and safety of patients and minimize risks to trial integrity during the pandemic related to COVID-19 and its variants. This may have unforeseen effects on the enrollment, progress and completion of these trials and the findings. These events could delay our clinical trials, increase the cost of completing our clinical trials and negatively impact the integrity, reliability or robustness of the data from our clinical trials.</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quarantines, shelter-in-place and similar government orders, or the perception that such orders, shutdowns or other restrictions on the conduct of business operations could occur, related to COVID-19 and its variants or other infectious diseases could impact personnel at third-party manufacturing facilities upon which we may rely in the future, or the availability or cost of materials, which could disrupt the supply chain for our product candidates. To the extent our future suppliers and service providers are unable to comply with their obligations under our future agreements with them or they are otherwise unable to deliver or are delayed in delivering goods and services to us due to the pandemic related to COVID-19 and its variants, our future ability to continue meeting clinical supply demand for our product candidates or otherwise advancing development of our product candidates may become impaired.</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spread of COVID-19 and its variants and actions taken to reduce its spread may also materially affect us economically. While the potential economic impact brought by, and the duration of, the pandemic related to COVID-19 and its variants may be difficult to assess or predict, there could be a significant disruption of global financial markets, reducing our ability to access capital, which could in the future negatively affect our liquidity and financial position. In addition, the trading prices for other biopharmaceutical companies have been highly volatile as a result of the pandemic related to COVID-19 and its variants. As a result, we may face difficulties raising capital through sales of our Class A common stock or such sales may be on unfavorable terms. COVID-19 and its variants and actions taken to reduce their spread continue to rapidly evolve. The extent to which COVID-19 and its variants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 To the extent the pandemic related to COVID-19 and its variants adversely affects our business and financial results, it may also have the effect of heightening many of the other risks described in this “Risk Factors” section, such as those relating to the timing and results of our clinical trials and our financing needs</w:t>
      </w:r>
    </w:p>
    <w:p>
      <w:pPr>
        <w:spacing w:after="0" w:line="17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may fail to adequately meet the requirements under our computational biology service contracts to pharmaceutical and biotechnology companies, which may harm our reputation, possibly resulting in related losses.</w:t>
      </w:r>
    </w:p>
    <w:p>
      <w:pPr>
        <w:spacing w:after="0" w:line="12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Over a decade ago, we began to offer computational biology services to pharmaceutical and biotechnology companies. We have deprioritized this business and plan to gradually wind down our computational biology services to pharmaceutical and biotechnology companies in the future. However, we are currently servicing several companies and in doing so, we must:</w:t>
      </w:r>
    </w:p>
    <w:p>
      <w:pPr>
        <w:spacing w:after="0" w:line="149" w:lineRule="exact"/>
        <w:rPr>
          <w:sz w:val="20"/>
          <w:szCs w:val="20"/>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accurately assess and meet the customer’s needs;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ensure our computational biology services meet industry standards and practices for performance of similar services;</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retain the proper personnel to fulfill these service contracts;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compete effectively with other computational biology service providers performing similar services.</w:t>
      </w:r>
    </w:p>
    <w:p>
      <w:pPr>
        <w:spacing w:after="0" w:line="23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we fail to adequately meet the requirements under our computational biology service contracts to our typical high standards, our reputation, growth opportunities and prospects could be adversely affected, possibly resulting in related losses. In addition, as is typical for contracts of this nature, there are inherent legal risks and potential liabilities associated with our work under each of our past, present and future contracts.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We substantially rely, and expect to continue to rely, on third parties, including independent clinical investigators and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76"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substantially rely, and expect to continue to rely, on third parties, including independent clinical investigators and third-party CROs, to conduct certain aspects of our preclinical studies and to monitor and manage data for our ongoing preclinical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9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and its variants,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8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4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6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decide to establish new collaborations in the future, but are not able to establish those collaborations on commercially reasonable terms, we may have to alter our development and commercialization plans.</w:t>
      </w:r>
    </w:p>
    <w:p>
      <w:pPr>
        <w:spacing w:after="0" w:line="14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w:t>
      </w:r>
    </w:p>
    <w:p>
      <w:pPr>
        <w:jc w:val="both"/>
        <w:ind w:left="60" w:right="59"/>
        <w:spacing w:after="0" w:line="295" w:lineRule="auto"/>
        <w:rPr>
          <w:sz w:val="20"/>
          <w:szCs w:val="20"/>
          <w:color w:val="auto"/>
        </w:rPr>
      </w:pPr>
      <w:r>
        <w:rPr>
          <w:rFonts w:ascii="Arial" w:cs="Arial" w:eastAsia="Arial" w:hAnsi="Arial"/>
          <w:sz w:val="16"/>
          <w:szCs w:val="16"/>
          <w:color w:val="auto"/>
        </w:rPr>
        <w:t>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161" w:lineRule="exact"/>
        <w:rPr>
          <w:sz w:val="20"/>
          <w:szCs w:val="20"/>
          <w:color w:val="auto"/>
        </w:rPr>
      </w:pPr>
    </w:p>
    <w:p>
      <w:pPr>
        <w:ind w:left="60" w:right="59" w:hanging="10"/>
        <w:spacing w:after="0" w:line="277" w:lineRule="auto"/>
        <w:tabs>
          <w:tab w:leader="none" w:pos="229"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183" w:lineRule="exact"/>
        <w:rPr>
          <w:rFonts w:ascii="Arial" w:cs="Arial" w:eastAsia="Arial" w:hAnsi="Arial"/>
          <w:sz w:val="18"/>
          <w:szCs w:val="18"/>
          <w:color w:val="auto"/>
        </w:rPr>
      </w:pPr>
    </w:p>
    <w:p>
      <w:pPr>
        <w:jc w:val="both"/>
        <w:ind w:left="60" w:right="59" w:hanging="10"/>
        <w:spacing w:after="0" w:line="301" w:lineRule="auto"/>
        <w:tabs>
          <w:tab w:leader="none" w:pos="1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70" w:lineRule="exact"/>
        <w:rPr>
          <w:rFonts w:ascii="Arial" w:cs="Arial" w:eastAsia="Arial" w:hAnsi="Arial"/>
          <w:sz w:val="16"/>
          <w:szCs w:val="16"/>
          <w:color w:val="auto"/>
        </w:rPr>
      </w:pPr>
    </w:p>
    <w:p>
      <w:pPr>
        <w:jc w:val="both"/>
        <w:ind w:left="60" w:right="59" w:hanging="10"/>
        <w:spacing w:after="0" w:line="263" w:lineRule="auto"/>
        <w:tabs>
          <w:tab w:leader="none" w:pos="191"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7" w:lineRule="exact"/>
        <w:rPr>
          <w:rFonts w:ascii="Arial" w:cs="Arial" w:eastAsia="Arial" w:hAnsi="Arial"/>
          <w:sz w:val="18"/>
          <w:szCs w:val="18"/>
          <w:color w:val="auto"/>
        </w:rPr>
      </w:pPr>
    </w:p>
    <w:p>
      <w:pPr>
        <w:jc w:val="both"/>
        <w:ind w:left="60" w:right="79" w:hanging="10"/>
        <w:spacing w:after="0" w:line="263" w:lineRule="auto"/>
        <w:tabs>
          <w:tab w:leader="none" w:pos="1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183" w:lineRule="exact"/>
        <w:rPr>
          <w:rFonts w:ascii="Arial" w:cs="Arial" w:eastAsia="Arial" w:hAnsi="Arial"/>
          <w:sz w:val="18"/>
          <w:szCs w:val="18"/>
          <w:color w:val="auto"/>
        </w:rPr>
      </w:pPr>
    </w:p>
    <w:p>
      <w:pPr>
        <w:jc w:val="both"/>
        <w:ind w:left="60" w:right="59" w:hanging="10"/>
        <w:spacing w:after="0" w:line="259" w:lineRule="auto"/>
        <w:tabs>
          <w:tab w:leader="none" w:pos="2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00" w:lineRule="exact"/>
        <w:rPr>
          <w:rFonts w:ascii="Arial" w:cs="Arial" w:eastAsia="Arial" w:hAnsi="Arial"/>
          <w:sz w:val="18"/>
          <w:szCs w:val="18"/>
          <w:color w:val="auto"/>
        </w:rPr>
      </w:pPr>
    </w:p>
    <w:p>
      <w:pPr>
        <w:jc w:val="both"/>
        <w:ind w:left="60" w:right="79" w:hanging="10"/>
        <w:spacing w:after="0" w:line="263" w:lineRule="auto"/>
        <w:tabs>
          <w:tab w:leader="none" w:pos="1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2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77" w:lineRule="auto"/>
        <w:tabs>
          <w:tab w:leader="none" w:pos="1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 collaborator of ours were to be involved in a business combination, the continued pursuit and emphasis on our drug development or commercialization program could be delayed, diminished or terminated.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84"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4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studies, and expect to continue to do so for clinical trials and ultimately,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71" w:lineRule="exact"/>
        <w:rPr>
          <w:sz w:val="20"/>
          <w:szCs w:val="20"/>
          <w:color w:val="auto"/>
        </w:rPr>
      </w:pPr>
    </w:p>
    <w:p>
      <w:pPr>
        <w:jc w:val="both"/>
        <w:ind w:left="60" w:right="59" w:hanging="10"/>
        <w:spacing w:after="0" w:line="286" w:lineRule="auto"/>
        <w:tabs>
          <w:tab w:leader="none" w:pos="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78" w:lineRule="exact"/>
        <w:rPr>
          <w:rFonts w:ascii="Arial" w:cs="Arial" w:eastAsia="Arial" w:hAnsi="Arial"/>
          <w:sz w:val="17"/>
          <w:szCs w:val="17"/>
          <w:color w:val="auto"/>
        </w:rPr>
      </w:pPr>
    </w:p>
    <w:p>
      <w:pPr>
        <w:ind w:left="160" w:hanging="110"/>
        <w:spacing w:after="0"/>
        <w:tabs>
          <w:tab w:leader="none" w:pos="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reduction or termination of production or deliveries by suppliers, or the raising of prices or renegotiation of terms;</w:t>
      </w:r>
    </w:p>
    <w:p>
      <w:pPr>
        <w:spacing w:after="0" w:line="250" w:lineRule="exact"/>
        <w:rPr>
          <w:rFonts w:ascii="Arial" w:cs="Arial" w:eastAsia="Arial" w:hAnsi="Arial"/>
          <w:sz w:val="17"/>
          <w:szCs w:val="17"/>
          <w:color w:val="auto"/>
        </w:rPr>
      </w:pPr>
    </w:p>
    <w:p>
      <w:pPr>
        <w:ind w:left="60" w:right="79" w:hanging="10"/>
        <w:spacing w:after="0" w:line="277" w:lineRule="auto"/>
        <w:tabs>
          <w:tab w:leader="none" w:pos="18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278" w:lineRule="exact"/>
        <w:rPr>
          <w:rFonts w:ascii="Arial" w:cs="Arial" w:eastAsia="Arial" w:hAnsi="Arial"/>
          <w:sz w:val="18"/>
          <w:szCs w:val="18"/>
          <w:color w:val="auto"/>
        </w:rPr>
      </w:pPr>
    </w:p>
    <w:p>
      <w:pPr>
        <w:ind w:left="60" w:right="159" w:hanging="10"/>
        <w:spacing w:after="0" w:line="277" w:lineRule="auto"/>
        <w:tabs>
          <w:tab w:leader="none" w:pos="1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75" w:lineRule="exact"/>
        <w:rPr>
          <w:rFonts w:ascii="Arial" w:cs="Arial" w:eastAsia="Arial" w:hAnsi="Arial"/>
          <w:sz w:val="18"/>
          <w:szCs w:val="18"/>
          <w:color w:val="auto"/>
        </w:rPr>
      </w:pPr>
    </w:p>
    <w:p>
      <w:pPr>
        <w:ind w:left="160" w:hanging="110"/>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3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9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pandemic related to COVID-19 and its variants,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19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Our or a third-party’s failure to execute on our manufacturing requirements, do so on commercially reasonable terms and timelines and comply with cGMP requirements could adversely affect our business in a number of ways, including:</w:t>
      </w:r>
    </w:p>
    <w:p>
      <w:pPr>
        <w:spacing w:after="0" w:line="124" w:lineRule="exact"/>
        <w:rPr>
          <w:sz w:val="20"/>
          <w:szCs w:val="20"/>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meet our product specifications and quality requirements consistently;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initiate or continue clinical trials of our product candidates under development;</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delays in submitting regulatory applications, or receiving marketing approvals, for our product candidates, if at all;</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commercialize any product candidates that receive marketing approval on a timely basis;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the cooperation of future collaborators;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201"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70"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or any other future product candidates;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future profit margins.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24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spacing w:after="0" w:line="16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spacing w:after="0" w:line="178" w:lineRule="exact"/>
        <w:rPr>
          <w:sz w:val="20"/>
          <w:szCs w:val="20"/>
          <w:color w:val="auto"/>
        </w:rPr>
      </w:pPr>
    </w:p>
    <w:p>
      <w:pPr>
        <w:jc w:val="both"/>
        <w:ind w:left="60" w:right="59" w:hanging="10"/>
        <w:spacing w:after="0" w:line="293" w:lineRule="auto"/>
        <w:tabs>
          <w:tab w:leader="none" w:pos="21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177" w:lineRule="exact"/>
        <w:rPr>
          <w:rFonts w:ascii="Arial" w:cs="Arial" w:eastAsia="Arial" w:hAnsi="Arial"/>
          <w:sz w:val="16"/>
          <w:szCs w:val="16"/>
          <w:color w:val="auto"/>
        </w:rPr>
      </w:pPr>
    </w:p>
    <w:p>
      <w:pPr>
        <w:jc w:val="both"/>
        <w:ind w:left="60" w:right="59" w:hanging="10"/>
        <w:spacing w:after="0" w:line="291" w:lineRule="auto"/>
        <w:tabs>
          <w:tab w:leader="none" w:pos="16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179" w:lineRule="exact"/>
        <w:rPr>
          <w:rFonts w:ascii="Arial" w:cs="Arial" w:eastAsia="Arial" w:hAnsi="Arial"/>
          <w:sz w:val="16"/>
          <w:szCs w:val="16"/>
          <w:color w:val="auto"/>
        </w:rPr>
      </w:pPr>
    </w:p>
    <w:p>
      <w:pPr>
        <w:jc w:val="both"/>
        <w:ind w:left="60" w:right="59" w:hanging="10"/>
        <w:spacing w:after="0" w:line="257" w:lineRule="auto"/>
        <w:tabs>
          <w:tab w:leader="none" w:pos="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87" w:lineRule="exact"/>
        <w:rPr>
          <w:rFonts w:ascii="Arial" w:cs="Arial" w:eastAsia="Arial" w:hAnsi="Arial"/>
          <w:sz w:val="18"/>
          <w:szCs w:val="18"/>
          <w:color w:val="auto"/>
        </w:rPr>
      </w:pPr>
    </w:p>
    <w:p>
      <w:pPr>
        <w:jc w:val="both"/>
        <w:ind w:left="60" w:right="59" w:hanging="10"/>
        <w:spacing w:after="0" w:line="301" w:lineRule="auto"/>
        <w:tabs>
          <w:tab w:leader="none" w:pos="17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healthcare programs to provide items or services reimbursable by a federal healthcare program; (3) violations of the federal Anti-Kickback Statute; or (4) failing to report and return a known overpayment;</w:t>
      </w:r>
    </w:p>
    <w:p>
      <w:pPr>
        <w:spacing w:after="0" w:line="184" w:lineRule="exact"/>
        <w:rPr>
          <w:sz w:val="20"/>
          <w:szCs w:val="20"/>
          <w:color w:val="auto"/>
        </w:rPr>
      </w:pPr>
    </w:p>
    <w:p>
      <w:pPr>
        <w:jc w:val="both"/>
        <w:ind w:left="60" w:right="79" w:hanging="10"/>
        <w:spacing w:after="0" w:line="279" w:lineRule="auto"/>
        <w:tabs>
          <w:tab w:leader="none" w:pos="20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98" w:lineRule="exact"/>
        <w:rPr>
          <w:rFonts w:ascii="Arial" w:cs="Arial" w:eastAsia="Arial" w:hAnsi="Arial"/>
          <w:sz w:val="17"/>
          <w:szCs w:val="17"/>
          <w:color w:val="auto"/>
        </w:rPr>
      </w:pPr>
    </w:p>
    <w:p>
      <w:pPr>
        <w:jc w:val="both"/>
        <w:ind w:left="60" w:right="59" w:hanging="10"/>
        <w:spacing w:after="0" w:line="272" w:lineRule="auto"/>
        <w:tabs>
          <w:tab w:leader="none" w:pos="17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or CMS, information regarding payments and other transfers of value to physicians (as defined by statute), certain other healthcare providers starting in 2022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190" w:lineRule="exact"/>
        <w:rPr>
          <w:rFonts w:ascii="Arial" w:cs="Arial" w:eastAsia="Arial" w:hAnsi="Arial"/>
          <w:sz w:val="17"/>
          <w:szCs w:val="17"/>
          <w:color w:val="auto"/>
        </w:rPr>
      </w:pPr>
    </w:p>
    <w:p>
      <w:pPr>
        <w:jc w:val="both"/>
        <w:ind w:left="60" w:right="59" w:hanging="10"/>
        <w:spacing w:after="0" w:line="273" w:lineRule="auto"/>
        <w:tabs>
          <w:tab w:leader="none" w:pos="172"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191" w:lineRule="exact"/>
        <w:rPr>
          <w:rFonts w:ascii="Arial" w:cs="Arial" w:eastAsia="Arial" w:hAnsi="Arial"/>
          <w:sz w:val="17"/>
          <w:szCs w:val="17"/>
          <w:color w:val="auto"/>
        </w:rPr>
      </w:pPr>
    </w:p>
    <w:p>
      <w:pPr>
        <w:jc w:val="both"/>
        <w:ind w:left="60" w:right="59" w:hanging="10"/>
        <w:spacing w:after="0" w:line="257" w:lineRule="auto"/>
        <w:tabs>
          <w:tab w:leader="none" w:pos="1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88"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1"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9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We are not currently acting as a covered entity or business associate under HIPAA and thus are not subject to its requirements.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81"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are also or may become subject to rapidly evolving data protection laws, rules and regulations in foreign jurisdictions. For example, the European Union General Data Protection Regulation, or the GDPR, governs certain collection and other processing activities involving personal data about individuals in the EEA. Among other things, the GDPR imposes requirements regarding the security of personal data, the rights of data subjects to access and delete personal data, requires having lawful bases on which personal data can be processed, includes requirements relating to the consent of individuals to whom the personal data relates, requires detailed notices for clinical trial participants and investigators and regulates transfers of personal data from the EEA to third countries that have not been found to provide adequate protection to such personal data, including the United States. In addition, the GDPR imposes substantial fines for breaches and violations (up to the greater of €20 million or 4% of our annual global revenue). The GDPR also confers a private right of action on data subjects and consumer associations to lodge complaints with supervisory authorities, seek judicial remedies and obtain compensation for damages resulting from violations of the GDPR. 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may lead to additional costs and increase our overall risk exposure.</w:t>
      </w:r>
    </w:p>
    <w:p>
      <w:pPr>
        <w:spacing w:after="0" w:line="18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we or third-party contract manufacturing organizations, or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4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6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 the future may involve the use of hazardous and flammable materials, including chemicals and biological materials. Our operations in the future may also produce hazardous waste products. In the future,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FDA or other comparable foreign regulatory authorities may not accept data from trials conducted in locations outside of their jurisdiction.</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may choose to conduct international clinical trials in the future.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If the FDA or any other comparable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6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4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will be subject to significant post-marketing regulatory requirements and oversight.</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the market or suspension of manufacturing. In addition, failure to comply with FDA and other comparable foreign regulatory authority requirements may subject our company to administrative or judicially imposed sanctions, including:</w:t>
      </w:r>
    </w:p>
    <w:p>
      <w:pPr>
        <w:spacing w:after="0" w:line="124" w:lineRule="exact"/>
        <w:rPr>
          <w:sz w:val="20"/>
          <w:szCs w:val="20"/>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9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16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pandemic related to COVID-19 and its variants.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Existing regulatory policies may change and additional government regulations may be enacted that could prevent, limit or delay regulatory approval of our product candidates. We cannot predict the likelihood, nature or extent of government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required reporting of certain financial arrangements between manufacturers of biologics, physicians and teaching hospitals under the federal Physician Payments Sunshine Act;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16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6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with the exception of a temporary suspension from May 1, 2020 through March 31, 2022 due to the coronavirus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pandemic related to COVID-19 and its variants.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181"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As of March 3, 2022, we owned one issued patent and pending patent applications, in the United States only, related to our platform technologies, as well as pending patent applications related to our product candidates. We currently do not have any issued patents related to our product candidates. Further, patent prosecution with respect to our pending patent applications related to our product candidates is in the early stages and, as such, no patent examiner has yet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issued patent and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38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184" w:lineRule="exact"/>
        <w:rPr>
          <w:sz w:val="20"/>
          <w:szCs w:val="20"/>
          <w:color w:val="auto"/>
        </w:rPr>
      </w:pPr>
    </w:p>
    <w:p>
      <w:pPr>
        <w:jc w:val="both"/>
        <w:ind w:left="60" w:right="59" w:hanging="10"/>
        <w:spacing w:after="0" w:line="259" w:lineRule="auto"/>
        <w:tabs>
          <w:tab w:leader="none" w:pos="2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0" w:lineRule="exact"/>
        <w:rPr>
          <w:rFonts w:ascii="Arial" w:cs="Arial" w:eastAsia="Arial" w:hAnsi="Arial"/>
          <w:sz w:val="18"/>
          <w:szCs w:val="18"/>
          <w:color w:val="auto"/>
        </w:rPr>
      </w:pPr>
    </w:p>
    <w:p>
      <w:pPr>
        <w:ind w:left="160" w:hanging="110"/>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65" w:lineRule="exact"/>
        <w:rPr>
          <w:rFonts w:ascii="Arial" w:cs="Arial" w:eastAsia="Arial" w:hAnsi="Arial"/>
          <w:sz w:val="18"/>
          <w:szCs w:val="18"/>
          <w:color w:val="auto"/>
        </w:rPr>
      </w:pPr>
    </w:p>
    <w:p>
      <w:pPr>
        <w:ind w:left="160" w:hanging="110"/>
        <w:spacing w:after="0"/>
        <w:tabs>
          <w:tab w:leader="none" w:pos="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patents may be challenged, invalidated, modified, revoked, circumvented, found to be unenforceable or otherwise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not provide any competitive advantage;</w:t>
      </w:r>
    </w:p>
    <w:p>
      <w:pPr>
        <w:spacing w:after="0" w:line="224" w:lineRule="exact"/>
        <w:rPr>
          <w:sz w:val="20"/>
          <w:szCs w:val="20"/>
          <w:color w:val="auto"/>
        </w:rPr>
      </w:pPr>
    </w:p>
    <w:p>
      <w:pPr>
        <w:jc w:val="both"/>
        <w:ind w:left="60" w:right="59" w:hanging="10"/>
        <w:spacing w:after="0" w:line="263" w:lineRule="auto"/>
        <w:tabs>
          <w:tab w:leader="none" w:pos="1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197" w:lineRule="exact"/>
        <w:rPr>
          <w:rFonts w:ascii="Arial" w:cs="Arial" w:eastAsia="Arial" w:hAnsi="Arial"/>
          <w:sz w:val="18"/>
          <w:szCs w:val="18"/>
          <w:color w:val="auto"/>
        </w:rPr>
      </w:pPr>
    </w:p>
    <w:p>
      <w:pPr>
        <w:jc w:val="both"/>
        <w:ind w:left="60" w:right="59" w:hanging="10"/>
        <w:spacing w:after="0" w:line="263" w:lineRule="auto"/>
        <w:tabs>
          <w:tab w:leader="none" w:pos="1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97" w:lineRule="exact"/>
        <w:rPr>
          <w:rFonts w:ascii="Arial" w:cs="Arial" w:eastAsia="Arial" w:hAnsi="Arial"/>
          <w:sz w:val="18"/>
          <w:szCs w:val="18"/>
          <w:color w:val="auto"/>
        </w:rPr>
      </w:pPr>
    </w:p>
    <w:p>
      <w:pPr>
        <w:jc w:val="both"/>
        <w:ind w:left="60" w:right="59" w:hanging="10"/>
        <w:spacing w:after="0" w:line="263" w:lineRule="auto"/>
        <w:tabs>
          <w:tab w:leader="none" w:pos="1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9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6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It is also possible that we may not identify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177"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4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royalties and other obligations. If we fail to comply with our obligations under these agreements (including as a result of COVID-19 and its variants impacting our operations),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 addition, disputes may arise between us and any future licensors regarding intellectual property subject to a license agreement, including:</w:t>
      </w:r>
    </w:p>
    <w:p>
      <w:pPr>
        <w:spacing w:after="0" w:line="170" w:lineRule="exact"/>
        <w:rPr>
          <w:sz w:val="20"/>
          <w:szCs w:val="20"/>
          <w:color w:val="auto"/>
        </w:rPr>
      </w:pPr>
    </w:p>
    <w:p>
      <w:pPr>
        <w:ind w:left="160" w:hanging="110"/>
        <w:spacing w:after="0"/>
        <w:tabs>
          <w:tab w:leader="none" w:pos="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scope of rights granted and obligations imposed under the license agreement and other interpretation-related issues;</w:t>
      </w:r>
    </w:p>
    <w:p>
      <w:pPr>
        <w:spacing w:after="0" w:line="261" w:lineRule="exact"/>
        <w:rPr>
          <w:rFonts w:ascii="Arial" w:cs="Arial" w:eastAsia="Arial" w:hAnsi="Arial"/>
          <w:sz w:val="16"/>
          <w:szCs w:val="16"/>
          <w:color w:val="auto"/>
        </w:rPr>
      </w:pPr>
    </w:p>
    <w:p>
      <w:pPr>
        <w:ind w:left="60" w:right="59" w:hanging="10"/>
        <w:spacing w:after="0" w:line="277" w:lineRule="auto"/>
        <w:tabs>
          <w:tab w:leader="none" w:pos="1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intellectual property of the licensor that is not subject to the licensing agreement;</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217"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amounts, if any, we owe to a potential licensor in respect of sublicense fees or income or in respect of backup product;</w:t>
      </w:r>
    </w:p>
    <w:p>
      <w:pPr>
        <w:spacing w:after="0" w:line="261" w:lineRule="exact"/>
        <w:rPr>
          <w:rFonts w:ascii="Arial" w:cs="Arial" w:eastAsia="Arial" w:hAnsi="Arial"/>
          <w:sz w:val="16"/>
          <w:szCs w:val="16"/>
          <w:color w:val="auto"/>
        </w:rPr>
      </w:pPr>
    </w:p>
    <w:p>
      <w:pPr>
        <w:ind w:left="160" w:hanging="110"/>
        <w:spacing w:after="0"/>
        <w:tabs>
          <w:tab w:leader="none" w:pos="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2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its affiliates and sublicensees and by us and our partners and sublicensees.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9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our future licensors and third parties.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7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7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14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4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7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8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Further, third parties may obtain patents in the future and claim that use of our technologies infringes upon these patents.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Any claims of patent infringement asserted by third parties would be time-consuming and could:</w:t>
      </w:r>
    </w:p>
    <w:p>
      <w:pPr>
        <w:spacing w:after="0" w:line="211" w:lineRule="exact"/>
        <w:rPr>
          <w:sz w:val="20"/>
          <w:szCs w:val="20"/>
          <w:color w:val="auto"/>
        </w:rPr>
      </w:pPr>
    </w:p>
    <w:p>
      <w:pPr>
        <w:ind w:left="160" w:hanging="110"/>
        <w:spacing w:after="0"/>
        <w:tabs>
          <w:tab w:leader="none" w:pos="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cause development delays;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77" w:lineRule="auto"/>
        <w:tabs>
          <w:tab w:leader="none" w:pos="1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unenforceable or not infringed in a court of law;</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238" w:lineRule="exact"/>
        <w:rPr>
          <w:rFonts w:ascii="Arial" w:cs="Arial" w:eastAsia="Arial" w:hAnsi="Arial"/>
          <w:sz w:val="18"/>
          <w:szCs w:val="18"/>
          <w:color w:val="auto"/>
        </w:rPr>
      </w:pPr>
    </w:p>
    <w:p>
      <w:pPr>
        <w:ind w:left="60" w:right="59" w:hanging="10"/>
        <w:spacing w:after="0" w:line="308" w:lineRule="auto"/>
        <w:tabs>
          <w:tab w:leader="none" w:pos="169"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6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Although no third party has asserted a claim of patent infringement against us as of the date of this Annual Report on Form 10-K,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17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6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92" w:lineRule="exact"/>
        <w:rPr>
          <w:sz w:val="20"/>
          <w:szCs w:val="20"/>
          <w:color w:val="auto"/>
        </w:rPr>
      </w:pPr>
    </w:p>
    <w:p>
      <w:pPr>
        <w:jc w:val="both"/>
        <w:ind w:left="60" w:right="79"/>
        <w:spacing w:after="0" w:line="381" w:lineRule="auto"/>
        <w:rPr>
          <w:sz w:val="20"/>
          <w:szCs w:val="20"/>
          <w:color w:val="auto"/>
        </w:rPr>
      </w:pPr>
      <w:r>
        <w:rPr>
          <w:rFonts w:ascii="Arial" w:cs="Arial" w:eastAsia="Arial" w:hAnsi="Arial"/>
          <w:sz w:val="15"/>
          <w:szCs w:val="15"/>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0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6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6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16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In addition, Congress or other foreign legislative bodies may pass patent reform legislation that is unfavorable to us. For example, the U.S. Supreme Court has ruled on several patent cases in recent years, either narrowing the scope of patent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or our future licensors may be subject to claims challenging the inventorship or ownership of our or our future in-licensed patents and other intellectual property.</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6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6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Although we have pending patent applications in the United States and we seek to file patent applications in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172"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In addition, many countries limit the enforceability of patents against government agencies or</w:t>
      </w:r>
    </w:p>
    <w:p>
      <w:pPr>
        <w:jc w:val="both"/>
        <w:ind w:left="60" w:right="59"/>
        <w:spacing w:after="0" w:line="253" w:lineRule="auto"/>
        <w:rPr>
          <w:sz w:val="20"/>
          <w:szCs w:val="20"/>
          <w:color w:val="auto"/>
        </w:rPr>
      </w:pPr>
      <w:r>
        <w:rPr>
          <w:rFonts w:ascii="Arial" w:cs="Arial" w:eastAsia="Arial" w:hAnsi="Arial"/>
          <w:sz w:val="18"/>
          <w:szCs w:val="18"/>
          <w:color w:val="auto"/>
        </w:rPr>
        <w:t>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93"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including due to the effect of the pandemic related to COVID-19 and its variants,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Although 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6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use third-party open source software, which could negatively affect our ability to offer our solutions and subject us to litigation or other actions.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make our systems more vulnerable to data breaches. In addition, the public availability of such software may make it easier for others to compromise our platform.</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6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that such policies will be effective and that we have not incorporated open source software in our platform and solutions in a manner that is inconsistent with such policies.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23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degree of future protection afforded by intellectual property rights is uncertain because intellectual property rights have limitations, and may not adequately protect our business or permit us to maintain our competitive advantage. For example:</w:t>
      </w:r>
    </w:p>
    <w:p>
      <w:pPr>
        <w:spacing w:after="0" w:line="184" w:lineRule="exact"/>
        <w:rPr>
          <w:sz w:val="20"/>
          <w:szCs w:val="20"/>
          <w:color w:val="auto"/>
        </w:rPr>
      </w:pPr>
    </w:p>
    <w:p>
      <w:pPr>
        <w:ind w:left="60" w:right="59" w:hanging="10"/>
        <w:spacing w:after="0" w:line="277" w:lineRule="auto"/>
        <w:tabs>
          <w:tab w:leader="none" w:pos="1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may own or license;</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4"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or our potential future licensors might not have been the first to make the inventions covered by the issued patents or patent application that we may own or license;</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or our potential future licensors might not have been the first to file patent applications covering certain of our inventions;</w:t>
      </w:r>
    </w:p>
    <w:p>
      <w:pPr>
        <w:spacing w:after="0" w:line="170" w:lineRule="exact"/>
        <w:rPr>
          <w:rFonts w:ascii="Arial" w:cs="Arial" w:eastAsia="Arial" w:hAnsi="Arial"/>
          <w:sz w:val="18"/>
          <w:szCs w:val="18"/>
          <w:color w:val="auto"/>
        </w:rPr>
      </w:pPr>
    </w:p>
    <w:p>
      <w:pPr>
        <w:ind w:left="60" w:right="659" w:hanging="10"/>
        <w:spacing w:after="0" w:line="277" w:lineRule="auto"/>
        <w:tabs>
          <w:tab w:leader="none" w:pos="1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is possible that our or our future licensors’ pending patent applications will not lead to issued patents;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issued patents that we own or license may be held invalid or unenforceable, as a result of legal challenges by our competitors;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63" w:lineRule="auto"/>
        <w:tabs>
          <w:tab w:leader="none" w:pos="179"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7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success is highly dependent on our ability to attract and retain highly skilled executive officers and employees.</w:t>
      </w:r>
    </w:p>
    <w:p>
      <w:pPr>
        <w:spacing w:after="0" w:line="24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w:t>
      </w:r>
    </w:p>
    <w:p>
      <w:pPr>
        <w:spacing w:after="0" w:line="18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rate and success at which we can discover, develop and commercialize our product candidates will be limited and the potential for successfully growing our business will be harmed.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of December 31, 2021, we had 64 full-time employees, including 54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w:t>
      </w:r>
    </w:p>
    <w:p>
      <w:pPr>
        <w:spacing w:after="0" w:line="157" w:lineRule="exact"/>
        <w:rPr>
          <w:sz w:val="20"/>
          <w:szCs w:val="20"/>
          <w:color w:val="auto"/>
        </w:rPr>
      </w:pPr>
    </w:p>
    <w:p>
      <w:pPr>
        <w:ind w:left="160" w:hanging="110"/>
        <w:spacing w:after="0"/>
        <w:tabs>
          <w:tab w:leader="none" w:pos="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8" w:lineRule="exact"/>
        <w:rPr>
          <w:rFonts w:ascii="Arial" w:cs="Arial" w:eastAsia="Arial" w:hAnsi="Arial"/>
          <w:sz w:val="18"/>
          <w:szCs w:val="18"/>
          <w:color w:val="auto"/>
        </w:rPr>
      </w:pPr>
    </w:p>
    <w:p>
      <w:pPr>
        <w:jc w:val="both"/>
        <w:ind w:left="60" w:right="59" w:hanging="10"/>
        <w:spacing w:after="0" w:line="286" w:lineRule="auto"/>
        <w:tabs>
          <w:tab w:leader="none" w:pos="217" w:val="left"/>
        </w:tabs>
        <w:numPr>
          <w:ilvl w:val="0"/>
          <w:numId w:val="55"/>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FDA and other comparable foreign regulatory agencies’ review process of IMM-1-104, IMM-6-415, and any other product candidate we develop, while complying with any contractual obligations to contractors and other third parties we may have; and</w:t>
      </w:r>
    </w:p>
    <w:p>
      <w:pPr>
        <w:spacing w:after="0" w:line="178" w:lineRule="exact"/>
        <w:rPr>
          <w:rFonts w:ascii="Arial" w:cs="Arial" w:eastAsia="Arial" w:hAnsi="Arial"/>
          <w:sz w:val="17"/>
          <w:szCs w:val="17"/>
          <w:color w:val="auto"/>
        </w:rPr>
      </w:pPr>
    </w:p>
    <w:p>
      <w:pPr>
        <w:ind w:left="160" w:hanging="110"/>
        <w:spacing w:after="0"/>
        <w:tabs>
          <w:tab w:leader="none" w:pos="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3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IMM-1-104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 party service providers or find other competent outside contractors and consultants on economically reasonable terms, or at all.</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 party service providers, we may not be able to successfully implement the tasks necessary to further develop and commercialize IMM-1-104, IMM-6-415 and any other current or future product candidates and, accordingly, may not achieve our research, development and commercialization goals.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unable to maintain an active, liquid and orderly trading market for our Class A common stock and, as a result, it may be difficult for you to sell your shares of our Class A common stock.</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market value of our Class A common stock may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trading price of our Class A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The trading prices for common stock of other pharmaceutical and biotechnology companies have also been highly volatile as a result of the pandemic related to COVID-19 and its variants.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Broad market and industry factors may negatively affect the market price of our Class A common stock, regardless of our actual operating performance. In addition to the factors discussed in this “Risk Factors” section and elsewhere in this Annual Report on Form 10-K, these factors include:</w:t>
      </w:r>
    </w:p>
    <w:p>
      <w:pPr>
        <w:spacing w:after="0" w:line="184" w:lineRule="exact"/>
        <w:rPr>
          <w:sz w:val="20"/>
          <w:szCs w:val="20"/>
          <w:color w:val="auto"/>
        </w:rPr>
      </w:pPr>
    </w:p>
    <w:p>
      <w:pPr>
        <w:ind w:left="160" w:hanging="110"/>
        <w:spacing w:after="0"/>
        <w:tabs>
          <w:tab w:leader="none" w:pos="1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timing and results of preclinical studies and clinical trials of our product candidates or those of our competitors;</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success of competitive products or announcements by potential competitors of their product development efforts;</w:t>
      </w:r>
    </w:p>
    <w:p>
      <w:pPr>
        <w:spacing w:after="0" w:line="250" w:lineRule="exact"/>
        <w:rPr>
          <w:rFonts w:ascii="Arial" w:cs="Arial" w:eastAsia="Arial" w:hAnsi="Arial"/>
          <w:sz w:val="17"/>
          <w:szCs w:val="17"/>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our Class A common stock by us, our insiders or our other stockholders;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ongoing and future impact of the pandemic related to COVID-19 and its variants, or any future pandemics, and actions taken to slow their spread;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hanging="10"/>
        <w:spacing w:after="0" w:line="259" w:lineRule="auto"/>
        <w:tabs>
          <w:tab w:leader="none" w:pos="1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the effects of recession or slow economic growth in the U.S. and abroad, interest rates, fuel prices, international currency fluctuations, corruption, political instability, acts of war, including the Russian Federation’s invasion of Ukraine in February 2022, acts of terrorism, and the ongoing COVID-19 pandemic or other public health crises.</w:t>
      </w:r>
    </w:p>
    <w:p>
      <w:pPr>
        <w:spacing w:after="0" w:line="18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4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2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December 31, 2021, our executive officers, directors, holders of 5% or more of our capital stock and their respective affiliates beneficially owned approximately 60.4% of our voting stock and these stockholders will be able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200" w:lineRule="exact"/>
        <w:rPr>
          <w:sz w:val="20"/>
          <w:szCs w:val="20"/>
          <w:color w:val="auto"/>
        </w:rPr>
      </w:pPr>
    </w:p>
    <w:p>
      <w:pPr>
        <w:spacing w:after="0" w:line="20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in the public market could cause our stock price to fall.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of our Class A common stock are freely transferable without restrictions or further registration under the Securities Act of 1933, as amended, or the Securities Act,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spacing w:after="0" w:line="18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As of December 31, 2021, the holders of approximately 11,939,281 shares, or approximately 45.4% of our outstanding shares of our common stock have rights, subject to some conditions, to require us to file registration statements covering the sale of their shares or to include their shares in registration statements that we may file for ourselves or our other stockholders. Once we register the offer and sale of shares for the holders of registration rights, these shares will be able to be sold in the public market upon issuance, subject to the lock-up agreements described above.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8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65" w:lineRule="exact"/>
        <w:rPr>
          <w:sz w:val="20"/>
          <w:szCs w:val="20"/>
          <w:color w:val="auto"/>
        </w:rPr>
      </w:pPr>
    </w:p>
    <w:p>
      <w:pPr>
        <w:ind w:left="160" w:hanging="110"/>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that directors may only be removed “for cause” and only with the approval of two-thirds of our stockholders;</w:t>
      </w:r>
    </w:p>
    <w:p>
      <w:pPr>
        <w:spacing w:after="0" w:line="250" w:lineRule="exact"/>
        <w:rPr>
          <w:rFonts w:ascii="Arial" w:cs="Arial" w:eastAsia="Arial" w:hAnsi="Arial"/>
          <w:sz w:val="17"/>
          <w:szCs w:val="17"/>
          <w:color w:val="auto"/>
        </w:rPr>
      </w:pPr>
    </w:p>
    <w:p>
      <w:pPr>
        <w:ind w:left="60" w:right="79" w:hanging="10"/>
        <w:spacing w:after="0" w:line="277" w:lineRule="auto"/>
        <w:tabs>
          <w:tab w:leader="none" w:pos="17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3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is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Annual Report on Form 10-K. Nothing in our amended and restated certificate of incorporation or amended and restated bylaws preclude stockholders that assert claims under the Exchange Act from bringing such claims in state or federal court, subject to applicable law.</w:t>
      </w:r>
    </w:p>
    <w:p>
      <w:pPr>
        <w:spacing w:after="0" w:line="39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8"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any future CROs and other contractors, consultants, collaborators and third-party service providers, are vulnerable to damage from computer viruses, cybersecurity threats, unauthorized access, natural disasters, terrorism, war and telecommunication and electrical failure. If such an event were to occur and cause interruptions in our operations or result in the unauthorized acquisition of or access to health-related or other personal information (violating certain privacy laws such), it could result in a material disruption of our drug discovery and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5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Our operations are vulnerable to interruption by fire, severe weather conditions, power loss, telecommunications failure, terrorist activity, future pandemics and other events beyond our control, which could harm our business.</w:t>
      </w:r>
    </w:p>
    <w:p>
      <w:pPr>
        <w:spacing w:after="0" w:line="12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future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6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84" w:lineRule="exact"/>
        <w:rPr>
          <w:sz w:val="20"/>
          <w:szCs w:val="20"/>
          <w:color w:val="auto"/>
        </w:rPr>
      </w:pPr>
    </w:p>
    <w:p>
      <w:pPr>
        <w:jc w:val="both"/>
        <w:ind w:left="60" w:right="59" w:hanging="10"/>
        <w:spacing w:after="0" w:line="263" w:lineRule="auto"/>
        <w:tabs>
          <w:tab w:leader="none" w:pos="171"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financial statements, with correspondingly reduced “Management’s Discussion and Analysis of Financial Condition and Results of Operations” disclosure in this Annual Report on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w:t>
      </w:r>
    </w:p>
    <w:p>
      <w:pPr>
        <w:spacing w:after="0" w:line="250" w:lineRule="exact"/>
        <w:rPr>
          <w:rFonts w:ascii="Arial" w:cs="Arial" w:eastAsia="Arial" w:hAnsi="Arial"/>
          <w:sz w:val="17"/>
          <w:szCs w:val="17"/>
          <w:color w:val="auto"/>
        </w:rPr>
      </w:pPr>
    </w:p>
    <w:p>
      <w:pPr>
        <w:ind w:left="60" w:right="59" w:hanging="10"/>
        <w:spacing w:after="0" w:line="308" w:lineRule="auto"/>
        <w:tabs>
          <w:tab w:leader="none" w:pos="182"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59" w:lineRule="exact"/>
        <w:rPr>
          <w:rFonts w:ascii="Arial" w:cs="Arial" w:eastAsia="Arial" w:hAnsi="Arial"/>
          <w:sz w:val="17"/>
          <w:szCs w:val="17"/>
          <w:color w:val="auto"/>
        </w:rPr>
      </w:pPr>
    </w:p>
    <w:p>
      <w:pPr>
        <w:ind w:left="160" w:hanging="110"/>
        <w:spacing w:after="0"/>
        <w:tabs>
          <w:tab w:leader="none" w:pos="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proxy statements; and</w:t>
      </w:r>
    </w:p>
    <w:p>
      <w:pPr>
        <w:spacing w:after="0" w:line="250" w:lineRule="exact"/>
        <w:rPr>
          <w:rFonts w:ascii="Arial" w:cs="Arial" w:eastAsia="Arial" w:hAnsi="Arial"/>
          <w:sz w:val="17"/>
          <w:szCs w:val="17"/>
          <w:color w:val="auto"/>
        </w:rPr>
      </w:pPr>
    </w:p>
    <w:p>
      <w:pPr>
        <w:ind w:left="60" w:right="79" w:hanging="10"/>
        <w:spacing w:after="0" w:line="277" w:lineRule="auto"/>
        <w:tabs>
          <w:tab w:leader="none" w:pos="1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8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bodies due to ambiguities related to their application and practice, regulatory authorities may initiate legal proceedings against us and our business may be adversely affected.</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By disclosing information in this Annual Report on Form 10-K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8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4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6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will be required to disclose changes made in our internal controls and procedures on a quarterly basis and our management will be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tax legislation may impact our results of operations and financial condition.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The likelihood of these changes being enacted or implemented is unclear. We are currently unable to predict whether such changes will occur. If such changes are enacted or implemented, we are currently unable to predict the ultimate impact on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principal office is located at 245 Main Street, Second Floor Cambridge, Massachusetts 02142, where we lease</w:t>
      </w:r>
    </w:p>
    <w:p>
      <w:pPr>
        <w:spacing w:after="0" w:line="21" w:lineRule="exact"/>
        <w:rPr>
          <w:sz w:val="20"/>
          <w:szCs w:val="20"/>
          <w:color w:val="auto"/>
        </w:rPr>
      </w:pPr>
    </w:p>
    <w:p>
      <w:pPr>
        <w:jc w:val="both"/>
        <w:ind w:left="60" w:right="79"/>
        <w:spacing w:after="0" w:line="265" w:lineRule="auto"/>
        <w:rPr>
          <w:sz w:val="20"/>
          <w:szCs w:val="20"/>
          <w:color w:val="auto"/>
        </w:rPr>
      </w:pPr>
      <w:r>
        <w:rPr>
          <w:rFonts w:ascii="Arial" w:cs="Arial" w:eastAsia="Arial" w:hAnsi="Arial"/>
          <w:sz w:val="18"/>
          <w:szCs w:val="18"/>
          <w:color w:val="auto"/>
        </w:rPr>
        <w:t>approximately 586 square feet of office space under a service agreement that can be terminated by either party upon 30 days written notice</w:t>
      </w:r>
      <w:r>
        <w:rPr>
          <w:rFonts w:ascii="Arial" w:cs="Arial" w:eastAsia="Arial" w:hAnsi="Arial"/>
          <w:sz w:val="17"/>
          <w:szCs w:val="17"/>
          <w:color w:val="auto"/>
        </w:rPr>
        <w:t>.</w:t>
      </w:r>
    </w:p>
    <w:p>
      <w:pPr>
        <w:spacing w:after="0" w:line="18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also lease the following properties in San Diego, California: (i) approximately 3,657 square feet of office space; under a lease that terminates on October 1, 2023 and is currently being subleased to a third-party through the remainder of the term of the lease; (ii) approximately 38,613 square feet of office and laboratory space under a lease that terminates on April 30, 2032; (iii) approximately 6,100 square feet of office and laboratory space under a lease that terminates on December 31, 2022 and currently being subleased to a third-party through the remainder of the term of the lease; and (iv) 4,760 square feet of office and laboratory space under a lease that terminates on March 31, 2024.</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Additionally, we lease approximately 190 square feet of office space in New York, New York under a service agreement that currently runs through March 31, 2022 and automatically renews unless we provide 30 days advance notice to terminate; and approximately 66 square feet of office space in San Francisco, California under an agreement that can be terminated by either party upon 60 days’ notice</w:t>
      </w:r>
    </w:p>
    <w:p>
      <w:pPr>
        <w:spacing w:after="0" w:line="183"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color w:val="auto"/>
        </w:rPr>
        <w:t>We believe that our facilities are sufficient to meet our current needs and that suitable additional space will be available as and when needed.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trades under the symbol “IMRX” on the Nasdaq Global Market.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of March 3, 2022, there were approximately 83 registered holders of record of our common stock. The actual number of holders of our common stock is greater than this number of record holders and includes stockholders who are beneficial owners, but whose shares are held in “street name” by brokers or held by other “nominees”. The number of holders of record also does not include stockholders whose shares may be held in trust by other entities.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have never declared or paid any cash dividends on our common shares. We currently anticipate that we will retain all available funds and future earnings for the development, operation and expansion of our business and do not anticipate declaring or paying any cash dividends for the foreseeable future.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Item 12, Part III of this Form 10-K.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color w:val="auto"/>
        </w:rPr>
        <w:t>In December 2021, we acquired BioArkive, Inc. (“BioArkive”) and in exchange issued to BioArkive and its shareholders 379,635 shares of Immuneering’s Class A common stock, which was calculated using a value of $8.75 million divided by the average of the daily volume weighted average prices of the Class A common stock on the Nasdaq Stock Exchange for the 30-trading day period ending on and including the trading day immediately prior to the closing. These shares were offered and sold in a private placement exempt from registration under Section 4(a)(2) of the Securities Act.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did not purchase any of our registered equity securities during the quarterly period ended December 31, 2021.</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Information about our equity compensation plans will be included in our definitive proxy statement to be filed with the SEC with respect to our 2022 Annual Meeting of Stockholders and is incorporated herein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w:t>
      </w:r>
    </w:p>
    <w:p>
      <w:pPr>
        <w:spacing w:after="0" w:line="225"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appearing in Part II, Item 8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IA. ‘‘Risk Factors’’ of this Annual Report on Form 10-K, our actual results could differ materially from the results described in, or implied by, the forward-looking statements contained in the following discussion and analysis.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aim to improve patient outcomes by advancing a unique pipeline of oncology and neuroscience product candidates developed using our translational bioinformatics platform. We have more than a decade of experience applying translational bioinformatics to generate insights into drug mechanism of action and patient treatment response. Building on this experience, our disease-agnostic discovery platform enables us to create product candidates based on 1) biological insights that are both counterintuitive and deeply rooted in data, and 2) novel chemistry. Our lead product candidate IMM-1-104 is designed to be a highly selective dual-MEK inhibitor that further disrupts KSR to modulate the signaling dynamics of the MAPK pathway. Specifically, it is designed to drive deep cyclic inhibition that deprives tumor cells of the sustained proliferative signaling required for rapid growth, while providing a cadenced, moderate level of signaling sufficient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spare healthy cells. IMM-1-104 is being developed to treat advanced solid tumors in patients harboring RAS mutations, and is translationally guided by our proprietary, human-aligned 3D tumor modeling platform combined with patient-aligned bioinformatics. In addition to IMM-1-104, we have six other oncology programs in the discovery stage that are designed to target components of the MAPK or mTOR pathway, as well as two discovery stage neuroscience programs.</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plan to submit an Investigational New Drug application, or IND, for IMM-1-104 to the U.S. Food and Drug Administration, or the FDA, in the third quarter of 2022. In addition, we plan to submit an IND for IMM-6-415 to the FDA in 2023. We anticipate filing at least one additional IND for our other oncology programs in 2024.</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the period from inception through 2017, we devoted substantially all of our efforts to business planning, service revenue generation, developing tools to aid in drug discovery, and recruiting management and technical staff. Since 2018, we have also focused significant effort on our own internal research and development programs. We have financed our operations through service revenues, the issuance of convertible debt and the sale of convertible preferred stock and common stock.</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 December 22, 2021, the Company completed the acquisition of all outstanding shares of capital stock of BioArkive, Inc., a California corporation (“BioArkive”) for a market value of $8.75 million.</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BioArkive is a San Diego based contract research organization that has previously provided preclinical research services and biosample storage to the Company and other biotechnology companies. BioArkive is in the process of being fully integrated into the Company to exclusively support the Company's internal preclinical research activities for its oncology pipeline. In connection with the acquisition, the Company has assumed the obligations under BioArkive’s three lease agreements.</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purchase price was paid by Immuneering through the issuance of an aggregate of 379,635 shares of Immuneering’s Class A common stock. The number of shares of common stock issued was calculated using a value based on the average of the daily volume weighted average prices of the common stock on the Nasdaq Stock Exchange for the 30-trading day period ending on and including the trading day immediately prior to the closing date. The sellers of BioArkive are restricted from selling these shares for a 6 month period from the date of the acquisition. As such, we estimated that there was an approximate 10% discount for the lack of marketability of the shares. The fair value of the purchase price in the acquisition has been preliminarily estimated to be $7.88 million.</w:t>
      </w:r>
    </w:p>
    <w:p>
      <w:pPr>
        <w:spacing w:after="0" w:line="17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Our operations have been financed primarily by service revenues and aggregate net proceeds of approximately $81.4 million from the issuance of convertible notes payable, convertible preferred stock (Series A and B) including gross proceeds of approximately $24.8 million from the issuance of shares in the second tranche of Series B Preferred in April and May 2021, common stock, exercise of stock options. On August 3, 2021, we completed our IPO pursuant to which we issued and sold 8,625,000 shares of Class A common stock, inclusive of 1,125,000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were $2.1 million.</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Since inception, we have had significant annual operating losses. Our net loss was approximately $33.5 million, for the year ended December 31, 2021 and $17.0 million for the year ended December 31, 2020. As of December 31, 2021, we had an accumulated deficit of approximately $59.3 million and approximately $150.2 million in cash and cash equivalents and marketable securities.</w:t>
      </w:r>
    </w:p>
    <w:p>
      <w:pPr>
        <w:spacing w:after="0" w:line="18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Our net losses may fluctuate significantly from quarter-to-quarter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and year-to-year, depending on the timing of our clinical trials and our expenditures on other research and development activities.</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Based upon our current business plans, we believe that our existing cash and cash equivalents and marketable securities will be sufficient to fund our development activities and other operations into the third quarter of 2024.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5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have not had any internally developed products approved for sale. We do not expect to generate any product sales unless and until we successfully complete development and obtain regulatory approval for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service revenue,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6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March 2020, the World Health Organization declared the COVID-19 outbreak a pandemic. In particular, the ongoing pandemic related to COVID-19 and its variants has resulted in federal, state and local governments and private entities mandating various restrictions, including travel restrictions, access restrictions, restrictions on public gatherings, and stay at home orders. The effect of these orders, government imposed quarantines and measures we have taken, such as implementing work-at-home policies, may negatively impact productivity, disrupt our business and/or could adversely affect our development plans and results. We cannot presently predict the scope and severity of any potential business shutdowns or disruptions, but if we or any of the third parties with whom we engage, including personnel at third-party manufacturing facilities and other third parties with whom we conduct business, were to experience shutdowns or other business disruptions, our ability to conduct our business in the manner and on the timeline presently planned could be materially and adversely impacted. It is unknown how long these conditions will last and what the complete effect will be on us. While to date we have been able to continue to execute our overall business plan, some of our business activities have been slowed and taken longer to complete, particularly with respect to our process for recruiting new employees, and we continue to adjust to the challenges of operating in a largely remote setting with our employees. Overall, we recognize the challenges the pandemic may pose to our business, will continue to closely monitor events as they develop and plan for alternative and mitigating measures that we can implement if needed.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Our revenue is generated by providing computational biology professional services to pharmaceutical and biotechnology companies. We charge an agreed upon rate per hour based on the aggregate level of personnel assigned to work on the project or a fixed fee for a defined scope of work. Our contracts specify the period of time over which these professional services will be provided. We recognize revenue over time by measuring the progress toward complete satisfaction of the performance obligation using a single method of measuring progress, which depicts the performance in transferring control of the associated services to the customer. We use input methods to measure the progress toward the complete satisfaction of performance obligations and evaluate the measure of progress each reporting period and, if necessary, adjust the measure of performance and related revenue recognition. Any such adjustments are recorded on a cumulative catch-up basis, which would affect revenue and net loss in the period of adjustment.</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expect revenue to continue to decrease as we have deprioritized new services work in order to focus on developing our wholly owned pipeline. We expect that, by the end of 2022, revenue associated with this computational biology professional services business will be eliminated.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are in the process of discontinuing biosample storage, which was acquired through the BioArkive transaction, to external parties and expect it to complete in the second half of 2022. The revenue earned associated with this is immaterial to the financial statements and is expected to continue decrease until these external services are discontinued.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cost of revenue expenses consists primarily of costs related to providing professional services to our customers. These costs include salaries, bonuses, benefits, and stock-based compensation expense, depreciation, facilities, and other outside services.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operating expenses consist of (i) research and development expenses and (ii) general and administrative expenses.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Research and development expenses account for a significant portion of our operating expenses. Our research and development expenses consist primarily of direct and indirect costs incurred in connection with the development of our research platform, product candidates, discovery efforts and preclinical studies related to our program pipeline.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direct costs include:</w:t>
      </w:r>
    </w:p>
    <w:p>
      <w:pPr>
        <w:spacing w:after="0" w:line="225" w:lineRule="exact"/>
        <w:rPr>
          <w:sz w:val="20"/>
          <w:szCs w:val="20"/>
          <w:color w:val="auto"/>
        </w:rPr>
      </w:pPr>
    </w:p>
    <w:p>
      <w:pPr>
        <w:ind w:left="1040" w:right="79" w:hanging="315"/>
        <w:spacing w:after="0" w:line="274" w:lineRule="auto"/>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expenses incurred under agreements with CROs and other vendors that conduct our preclinical activities on our behalf; including laboratory expenses related to the execution of preclinical studies on our behalf;</w:t>
      </w:r>
    </w:p>
    <w:p>
      <w:pPr>
        <w:ind w:left="1040" w:right="79" w:hanging="315"/>
        <w:spacing w:after="0" w:line="250"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associated with the manufacturing of our product candidates and preclinical material, including fees paid to contract manufacturers; and</w:t>
      </w:r>
    </w:p>
    <w:p>
      <w:pPr>
        <w:ind w:left="1040" w:hanging="315"/>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consulting fees and expenses related to preparation of initiation of clinical trials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indirect costs include:</w:t>
      </w:r>
    </w:p>
    <w:p>
      <w:pPr>
        <w:spacing w:after="0" w:line="225" w:lineRule="exact"/>
        <w:rPr>
          <w:sz w:val="20"/>
          <w:szCs w:val="20"/>
          <w:color w:val="auto"/>
        </w:rPr>
      </w:pPr>
    </w:p>
    <w:p>
      <w:pPr>
        <w:ind w:left="1040" w:right="79" w:hanging="315"/>
        <w:spacing w:after="0" w:line="291" w:lineRule="auto"/>
        <w:tabs>
          <w:tab w:leader="none" w:pos="10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personnel-related expenses, consisting of employee salaries, bonuses, benefits and stock-based compensation expense and recruiting costs for personnel engaged in research and development activities; and</w:t>
      </w:r>
    </w:p>
    <w:p>
      <w:pPr>
        <w:ind w:left="1040" w:right="79" w:hanging="315"/>
        <w:spacing w:after="0" w:line="260"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facility and equipment related expenses, consisting of indirect and allocated expenses for rent, depreciation, maintenance of facilities, insurance, and other supplies.</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expense research and development costs as incurred. Our direct research and development expenses are not currently tracked on a program-by-program basis, but we anticipate tracking costs on a program-by-program basis at the time IMM-1-104 enters clinical trials, which we expect to occur in the fourth quarter of 2022, assuming our IND application is accepted. We use our personnel and infrastructure resources across multiple research and development programs directed toward identifying and developing product candidates.</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duration, costs and timing of preclinical studies and clinical trials and development of our product candidates will depend on a variety of factors, such as:</w:t>
      </w:r>
    </w:p>
    <w:p>
      <w:pPr>
        <w:spacing w:after="0" w:line="170" w:lineRule="exact"/>
        <w:rPr>
          <w:sz w:val="20"/>
          <w:szCs w:val="20"/>
          <w:color w:val="auto"/>
        </w:rPr>
      </w:pPr>
    </w:p>
    <w:p>
      <w:pPr>
        <w:ind w:left="1040" w:hanging="315"/>
        <w:spacing w:after="0"/>
        <w:tabs>
          <w:tab w:leader="none" w:pos="10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successful completion of preclinical studies and initiation of clinical trials for future product candidates;</w:t>
      </w:r>
    </w:p>
    <w:p>
      <w:pPr>
        <w:spacing w:after="0" w:line="34" w:lineRule="exact"/>
        <w:rPr>
          <w:rFonts w:ascii="Arial" w:cs="Arial" w:eastAsia="Arial" w:hAnsi="Arial"/>
          <w:sz w:val="17"/>
          <w:szCs w:val="17"/>
          <w:color w:val="auto"/>
        </w:rPr>
      </w:pPr>
    </w:p>
    <w:p>
      <w:pPr>
        <w:ind w:left="1040" w:hanging="315"/>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for our current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8"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data from our clinical programs that support an acceptable risk-benefit profile of our product candidates in the intended patient populations;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acceptance by the FDA or other applicable regulatory agencies of IND applications, clinical trial applications and/or other regulatory filings for our product candidates;</w:t>
      </w:r>
    </w:p>
    <w:p>
      <w:pPr>
        <w:ind w:left="1040" w:right="79" w:hanging="315"/>
        <w:spacing w:after="0" w:line="250"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expansion and maintenance of a workforce of experienced scientists and others to continue to develop our product candidates;</w:t>
      </w:r>
    </w:p>
    <w:p>
      <w:pPr>
        <w:ind w:left="1040" w:hanging="315"/>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successful application for and receipt of marketing approvals from applicable regulatory authorities;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obtainment and maintenance of intellectual property protection and regulatory exclusivity for our product candidates;</w:t>
      </w:r>
    </w:p>
    <w:p>
      <w:pPr>
        <w:ind w:left="1040" w:right="79" w:hanging="315"/>
        <w:spacing w:after="0" w:line="250"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making of arrangements with contract manufacturing organizations for, or establishment of, commercial manufacturing capabilities;</w:t>
      </w:r>
    </w:p>
    <w:p>
      <w:pPr>
        <w:ind w:left="1040" w:right="79" w:hanging="315"/>
        <w:spacing w:after="0" w:line="265" w:lineRule="auto"/>
        <w:tabs>
          <w:tab w:leader="none" w:pos="10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establishment of sales, marketing and distribution capabilities and successful launch of commercial sales of our product candidates, if and when approved, whether alone or in collaboration with others;</w:t>
      </w:r>
    </w:p>
    <w:p>
      <w:pPr>
        <w:ind w:left="1040" w:right="79" w:hanging="315"/>
        <w:spacing w:after="0" w:line="250"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ind w:left="1040" w:hanging="315"/>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obtainment and maintenance of coverage, adequate pricing and adequate reimbursement from third-party payors, including government payors;</w:t>
      </w:r>
    </w:p>
    <w:p>
      <w:pPr>
        <w:ind w:left="1040" w:hanging="315"/>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maintenance, enforcement, defense and protection of our rights in our intellectual property portfolio;</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avoidance of infringement, misappropriation or other violations with respect to others’ intellectual property or proprietary rights; and</w:t>
      </w:r>
    </w:p>
    <w:p>
      <w:pPr>
        <w:ind w:left="1040" w:right="79" w:hanging="315"/>
        <w:spacing w:after="0" w:line="260"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products following receipt of any marketing approvals.</w:t>
      </w:r>
    </w:p>
    <w:p>
      <w:pPr>
        <w:spacing w:after="0" w:line="18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4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4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6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Annual Report on Form 10-K, we cannot reasonably determine or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1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expect our general and administrative expenses will substantially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 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 Sarbanes-Oxley Act, director and officer insurance costs, and investor and public relations costs.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23" w:lineRule="exact"/>
        <w:rPr>
          <w:sz w:val="20"/>
          <w:szCs w:val="20"/>
          <w:color w:val="auto"/>
        </w:rPr>
      </w:pPr>
    </w:p>
    <w:p>
      <w:pPr>
        <w:ind w:left="60" w:right="339"/>
        <w:spacing w:after="0" w:line="260" w:lineRule="auto"/>
        <w:rPr>
          <w:sz w:val="20"/>
          <w:szCs w:val="20"/>
          <w:color w:val="auto"/>
        </w:rPr>
      </w:pPr>
      <w:r>
        <w:rPr>
          <w:rFonts w:ascii="Arial" w:cs="Arial" w:eastAsia="Arial" w:hAnsi="Arial"/>
          <w:sz w:val="18"/>
          <w:szCs w:val="18"/>
          <w:color w:val="auto"/>
        </w:rPr>
        <w:t>Interest income consists of interest earned on our cash and cash equivalents balances and our marketable securities. The primary objective of our investment policy is capital preservation.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expense consists of the amortization of premiums or accretion of discounts related to our marketable securities.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benefit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Income tax benefit is due to a release of a valuation reserve during 2021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Comparison of the Years Ended December 31, 2021 and 2020</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w w:val="95"/>
              </w:rPr>
              <w:t>Year Ended December 31,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2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73"/>
              </w:rPr>
              <w:t>thousands, except</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percentages)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Cost of revenue</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5,162</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87"/>
              </w:rPr>
              <w:t>166.0 %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(33,886)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(17,083)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(16,803)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98.4 %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295.3 %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(33,843)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(33,536)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(17,040)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revenue recognized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Year Ended December 31,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80" w:type="dxa"/>
            <w:vAlign w:val="bottom"/>
            <w:gridSpan w:val="7"/>
          </w:tcPr>
          <w:p>
            <w:pPr>
              <w:ind w:left="20"/>
              <w:spacing w:after="0"/>
              <w:rPr>
                <w:sz w:val="20"/>
                <w:szCs w:val="20"/>
                <w:color w:val="auto"/>
              </w:rPr>
            </w:pPr>
            <w:r>
              <w:rPr>
                <w:rFonts w:ascii="Arial" w:cs="Arial" w:eastAsia="Arial" w:hAnsi="Arial"/>
                <w:sz w:val="14"/>
                <w:szCs w:val="14"/>
                <w:b w:val="1"/>
                <w:bCs w:val="1"/>
                <w:color w:val="auto"/>
                <w:w w:val="82"/>
              </w:rPr>
              <w:t>(in thousands, except percentages)</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0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  2,080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2,311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5"/>
              </w:rPr>
              <w:t>(231)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Revenue decreased by approximately $0.2 million, or 10% to approximately $2.1 million for the year ended December 31, 2021 compared to approximately $2.3 million for the year ended December 31, 2020. The decrease in revenue was due to approximately $0.3 million related to customer agreements that were completed in 2020, offset by a $0.1 million increase in new customers in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components of cost of revenue expenses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0" w:type="dxa"/>
            <w:vAlign w:val="bottom"/>
            <w:gridSpan w:val="7"/>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ind w:left="320"/>
              <w:spacing w:after="0"/>
              <w:rPr>
                <w:sz w:val="20"/>
                <w:szCs w:val="20"/>
                <w:color w:val="auto"/>
              </w:rPr>
            </w:pPr>
            <w:r>
              <w:rPr>
                <w:rFonts w:ascii="Arial" w:cs="Arial" w:eastAsia="Arial" w:hAnsi="Arial"/>
                <w:sz w:val="14"/>
                <w:szCs w:val="14"/>
                <w:b w:val="1"/>
                <w:bCs w:val="1"/>
                <w:color w:val="auto"/>
                <w:w w:val="89"/>
              </w:rPr>
              <w:t>Change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0" w:type="dxa"/>
            <w:vAlign w:val="bottom"/>
            <w:gridSpan w:val="9"/>
          </w:tcPr>
          <w:p>
            <w:pPr>
              <w:ind w:left="20"/>
              <w:spacing w:after="0"/>
              <w:rPr>
                <w:sz w:val="20"/>
                <w:szCs w:val="20"/>
                <w:color w:val="auto"/>
              </w:rPr>
            </w:pPr>
            <w:r>
              <w:rPr>
                <w:rFonts w:ascii="Arial" w:cs="Arial" w:eastAsia="Arial" w:hAnsi="Arial"/>
                <w:sz w:val="14"/>
                <w:szCs w:val="14"/>
                <w:b w:val="1"/>
                <w:bCs w:val="1"/>
                <w:color w:val="auto"/>
                <w:w w:val="83"/>
              </w:rPr>
              <w:t>(in thousands, except percentages)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Outside contract research services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cost of revenue</w:t>
            </w:r>
          </w:p>
        </w:tc>
        <w:tc>
          <w:tcPr>
            <w:tcW w:w="13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Cost of revenue decreased by approximately $0.1 million, or 9.9%, to approximately $1.2 million for the year ended December 31, 2021 compared to approximately $1.3 million for the year ended December 31, 2020. The decrease was primarily due to decreased employee-related costs of approximately $0.2 million offset by an increase in facilities and other allocated expenses.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our research and development expenses for the periods indicated:</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0" w:type="dxa"/>
            <w:vAlign w:val="bottom"/>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ind w:left="380"/>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Outside contract research services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color w:val="auto"/>
              </w:rPr>
              <w:t>Total research and development</w:t>
            </w: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26,541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15,004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11,537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Research and development expenses increased by approximately $11.5 million, or 76.9%, to approximately $26.5 million for the year ended December 31, 2021 compared to approximately $15.0 million for the year ended December 31, 2020. The increase of approximately $11.5 million was primarily due to approximately $8.7 million of outside contract research services for our preclinical candidates resulting from an increased number of discovery programs and increased spending on later stage preclinical efforts. The increase also includes approximately $2.5 million of additional employee-related costs, primarily due to an increase in headcount, approximately $0.3 million increase for stock-based compensation expense and $0.1 million increase for facilities and other allocated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our general and administrative expenses for the periods indicated:</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80" w:type="dxa"/>
            <w:vAlign w:val="bottom"/>
            <w:gridSpan w:val="7"/>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0" w:type="dxa"/>
            <w:vAlign w:val="bottom"/>
            <w:gridSpan w:val="9"/>
          </w:tcPr>
          <w:p>
            <w:pPr>
              <w:ind w:left="20"/>
              <w:spacing w:after="0"/>
              <w:rPr>
                <w:sz w:val="20"/>
                <w:szCs w:val="20"/>
                <w:color w:val="auto"/>
              </w:rPr>
            </w:pPr>
            <w:r>
              <w:rPr>
                <w:rFonts w:ascii="Arial" w:cs="Arial" w:eastAsia="Arial" w:hAnsi="Arial"/>
                <w:sz w:val="14"/>
                <w:szCs w:val="14"/>
                <w:b w:val="1"/>
                <w:bCs w:val="1"/>
                <w:color w:val="auto"/>
                <w:w w:val="83"/>
              </w:rPr>
              <w:t>(in thousands, except percentages)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38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95.6 %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Public relations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Outside consultants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228.9 %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2,011.1 %</w:t>
            </w:r>
          </w:p>
        </w:tc>
        <w:tc>
          <w:tcPr>
            <w:tcW w:w="0" w:type="dxa"/>
            <w:vAlign w:val="bottom"/>
          </w:tcPr>
          <w:p>
            <w:pPr>
              <w:spacing w:after="0"/>
              <w:rPr>
                <w:sz w:val="1"/>
                <w:szCs w:val="1"/>
                <w:color w:val="auto"/>
              </w:rPr>
            </w:pPr>
          </w:p>
        </w:tc>
      </w:tr>
      <w:tr>
        <w:trPr>
          <w:trHeight w:val="209"/>
        </w:trPr>
        <w:tc>
          <w:tcPr>
            <w:tcW w:w="4060" w:type="dxa"/>
            <w:vAlign w:val="bottom"/>
            <w:gridSpan w:val="2"/>
          </w:tcPr>
          <w:p>
            <w:pPr>
              <w:spacing w:after="0"/>
              <w:rPr>
                <w:sz w:val="20"/>
                <w:szCs w:val="20"/>
                <w:color w:val="auto"/>
              </w:rPr>
            </w:pPr>
            <w:r>
              <w:rPr>
                <w:rFonts w:ascii="Arial" w:cs="Arial" w:eastAsia="Arial" w:hAnsi="Arial"/>
                <w:sz w:val="18"/>
                <w:szCs w:val="18"/>
                <w:color w:val="auto"/>
              </w:rPr>
              <w:t>Total general and administrative</w:t>
            </w:r>
          </w:p>
        </w:tc>
        <w:tc>
          <w:tcPr>
            <w:tcW w:w="1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166.0 %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General and administrative expenses increased by approximately $5.2 million, or 166.0%, to approximately $8.3 million for the year ended December 31, 2021 compared to approximately $3.1 million for the year ended December 31, 2020. The increase of approximately $5.2 million was primarily due to increased employee-related costs of approximately $3.1 million as a result of increased headcount, increased professional fees incurred for accounting, auditing, legal, public relations and tax services of approximately $1.0 million, increased facilities expenses of approximately $0.1 million, approximately $0.5 million increase in stock-based compensation expense and $0.5 million increase in other, which is primarily related to franchise tax expense.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Interest income increased by approximately $0.1 million due to the interest earned on our cash and cash equivalents and marketable securities balances due to the higher balances as a result of the IPO proceeds.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expense increased by $0.1 million as a result of the amortization of premiums related to our marketable securities.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Since our inception, we have financed our operations through service revenues, the issuance of convertible notes payable, convertible preferred stock, common stock, and the exercise of stock options. As of December 31, 2021, we had an accumulated deficit of $59.3 million and $150.2 million in cash and cash equivalents and marketable securities. Cash and cash equivalents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17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and aggregate net proceeds of approximately $81.4 million from the issuance of convertible notes payable, convertible preferred stock including gross proceeds of approximately $24.8 million from the issuance of shares in the second tranche of Series B Preferred in April and May 2021, common stock, the exercise of stock options. In August 2021, we completed our IPO pursuant to which we issued and sold 8,625,000 shares of Class A common stock, inclusive of 1,150,000 shares sold by us pursuant to the full exercise of the underwriters’ option to purchase additional shares. We received aggregate net proceeds of approximately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$120.3 million from the IPO, after deducting underwriting discounts and commissions, but before deducting offering costs payable by us, which were $2.1 million.</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As of December 31, 2021, we have contractual obligations related to various leases of $0.7 million for 2022, $0.9 million for 2023, $0.9 million for 2024, $0.9 million for 2025, $0.8 million for 2026 and $4.5 million for the periods thereafter.</w:t>
      </w:r>
    </w:p>
    <w:p>
      <w:pPr>
        <w:spacing w:after="0" w:line="1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sources and uses of cash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4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r>
      <w:tr>
        <w:trPr>
          <w:trHeight w:val="128"/>
        </w:trPr>
        <w:tc>
          <w:tcPr>
            <w:tcW w:w="49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4"/>
          </w:tcPr>
          <w:p>
            <w:pPr>
              <w:jc w:val="right"/>
              <w:ind w:right="514"/>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activities</w:t>
            </w:r>
          </w:p>
        </w:tc>
        <w:tc>
          <w:tcPr>
            <w:tcW w:w="20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(30,851)</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(14,621)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144,265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37,982</w:t>
            </w:r>
          </w:p>
        </w:tc>
      </w:tr>
      <w:tr>
        <w:trPr>
          <w:trHeight w:val="209"/>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w:t>
            </w:r>
          </w:p>
        </w:tc>
      </w:tr>
      <w:tr>
        <w:trPr>
          <w:trHeight w:val="20"/>
        </w:trPr>
        <w:tc>
          <w:tcPr>
            <w:tcW w:w="4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During the year ended December 31, 2021, operating activities used approximately $30.9 million of cash, primarily resulting from our net loss of approximately $33.5 million, deferred tax benefit of $0.3 million, and cash provided by changes in our operating assets and liabilities of approximately $0.9 million, partially offset by stock-based compensation expense of approximately $1.8 million, net amortization of premium (accretion of discount) on marketable securities of $0.1 million, and $0.2 million right of use amortization and depreciation.</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year ended December 31, 2020, operating activities used approximately $14.6 million of cash, primarily resulting from our net loss of approximately $17.0 million, partially offset by stock-based compensation expense of approximately $1.1 million and cash provided by changes in our operating assets and liabilities of approximately $1.3 million.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During the year ended December 31, 2021 and 2020, investing activities used approximately $75.6 million, and approximately $0.1 million respectively. For the year 2021, cash used from investing was primarily related to purchases of marketable securities of approximately $75.6 million, approximately $0.1 million for the purchases of property and equipment, and cash acquired in business combination of approximately $0.1 million. For 2020 cash used in investing was a result of purchases of property and equipment of approximately $0.1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During the year ended December 31, 2021, net cash provided by financing activities was approximately $144.3 million, consisting primarily of approximately $24.8 million in net proceeds received from the issuance of Series B preferred stock, approximately $118.2 million from the net proceeds from our initial public offering, approximately $0.9 million in net proceeds from the exercise of warrants and approximately $0.4 million from the exercise of stock options.</w:t>
      </w:r>
    </w:p>
    <w:p>
      <w:pPr>
        <w:spacing w:after="0" w:line="15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During the year ended December 31, 2020, net cash provided by financing activities was approximately $38.0 million, consisting primarily of approximately $37.0 million in net proceeds received from the issuance of Series B preferred stock and approximately $1.0 million in net proceeds from the issuance of Series A preferred stock.</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Funding Requirements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84" w:lineRule="exact"/>
        <w:rPr>
          <w:sz w:val="20"/>
          <w:szCs w:val="20"/>
          <w:color w:val="auto"/>
        </w:rPr>
      </w:pP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impacts of the pandemic related to COVID-19 and its variants and potential future pandemics;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and results of our potential future clinical trials for our other product candidates;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other product candidates;</w:t>
      </w: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9" w:lineRule="exact"/>
        <w:rPr>
          <w:rFonts w:ascii="Arial" w:cs="Arial" w:eastAsia="Arial" w:hAnsi="Arial"/>
          <w:sz w:val="18"/>
          <w:szCs w:val="18"/>
          <w:color w:val="auto"/>
        </w:rPr>
      </w:pPr>
    </w:p>
    <w:p>
      <w:pPr>
        <w:ind w:left="1040" w:right="79" w:hanging="315"/>
        <w:spacing w:after="0" w:line="265" w:lineRule="auto"/>
        <w:tabs>
          <w:tab w:leader="none" w:pos="10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ability to enter into contract manufacturing arrangements for supply of active pharmaceutical ingredient, or API, and manufacture of our product candidates and the terms of such arrangements;</w:t>
      </w: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9" w:lineRule="exact"/>
        <w:rPr>
          <w:rFonts w:ascii="Arial" w:cs="Arial" w:eastAsia="Arial" w:hAnsi="Arial"/>
          <w:sz w:val="18"/>
          <w:szCs w:val="18"/>
          <w:color w:val="auto"/>
        </w:rPr>
      </w:pPr>
    </w:p>
    <w:p>
      <w:pPr>
        <w:ind w:left="1040" w:right="79" w:hanging="315"/>
        <w:spacing w:after="0" w:line="281" w:lineRule="auto"/>
        <w:tabs>
          <w:tab w:leader="none" w:pos="1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costs and timing of any future commercialization activities, including product manufacturing, sales, marketing and distribution, for any of our product candidates for which we may receive marketing approval;</w:t>
      </w:r>
    </w:p>
    <w:p>
      <w:pPr>
        <w:spacing w:after="0" w:line="1" w:lineRule="exact"/>
        <w:rPr>
          <w:rFonts w:ascii="Arial" w:cs="Arial" w:eastAsia="Arial" w:hAnsi="Arial"/>
          <w:sz w:val="16"/>
          <w:szCs w:val="16"/>
          <w:color w:val="auto"/>
        </w:rPr>
      </w:pPr>
    </w:p>
    <w:p>
      <w:pPr>
        <w:ind w:left="1040" w:right="79" w:hanging="315"/>
        <w:spacing w:after="0" w:line="250"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and timing of revenue, if any, received from commercial sales of our product candidates for which we receive marketing approval;</w:t>
      </w:r>
    </w:p>
    <w:p>
      <w:pPr>
        <w:ind w:left="1040" w:right="79" w:hanging="315"/>
        <w:spacing w:after="0" w:line="265" w:lineRule="auto"/>
        <w:tabs>
          <w:tab w:leader="none" w:pos="10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and proprietary rights and defending any intellectual property related claims;</w:t>
      </w:r>
    </w:p>
    <w:p>
      <w:pPr>
        <w:ind w:left="1040" w:right="79" w:hanging="315"/>
        <w:spacing w:after="0" w:line="250"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ind w:left="1040" w:right="79" w:hanging="315"/>
        <w:spacing w:after="0" w:line="250"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such arrangements;</w:t>
      </w:r>
    </w:p>
    <w:p>
      <w:pPr>
        <w:ind w:left="1040" w:right="79" w:hanging="315"/>
        <w:spacing w:after="0" w:line="250"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access the private and public capital markets or to obtain financing at commercially reasonable rate;</w:t>
      </w:r>
    </w:p>
    <w:p>
      <w:pPr>
        <w:ind w:left="1040" w:right="79" w:hanging="315"/>
        <w:spacing w:after="0" w:line="250"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 and</w:t>
      </w: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believe that our existing cash, cash equivalents and marketable securities, will enable us to fund our operating expenses and capital expenditure requirements into the third quarter of 2024. We have based this estimate on assumptions that may prove to be wrong, and we could utilize our available capital resources sooner than we expect.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or GAAP.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While our significant accounting policies are described in more detail in Note 2 to our consolidated financial statements appearing at the end of this Annual Report on Form 10-K, we believe that the following accounting policies are those most critical to the judgments and estimates used in the preparation of our financial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incur substantial expenses associated with manufacturing and clinical trials. Accounting for clinical trials relating to activities performed by contract research organizations, or CROs, and other external vendors requires management to</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exercise significant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CROs and other arrangements, the different compensation arrangements that exist for each type of service and the lack of timely information related to certain clinical activities complicates the estimation of accruals for services rendered by CROs and other vendors in connection with clinical trials. Because payments of research and development activities do not always line up with the provision of such services, the balance sheet may reflect either an accrued or prepaid position. In estimating the duration of a clinical study, we evaluate the start-up, treatment and wrap up periods, compensation arrangements and services rendered attributable to each clinical trial and fluctuations are regularly tested against payment plans and trial completion assumptions.</w:t>
      </w:r>
    </w:p>
    <w:p>
      <w:pPr>
        <w:spacing w:after="0" w:line="18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estimate these costs based on factors such as estimates of the work completed and budget provided and in accordance with agreements established with our collaboration partners and third-party service providers. We make significant judgments and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spacing w:after="0" w:line="1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expenses related to clinical trials will be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will accrue expenses related to clinical trials based on contracted amounts applied to the level of patient enrollment and activity. If timelines or contracts are modified based upon changes in the clinical trial protocol or scope of work to be performed, we will modify our estimates of accrued expenses accordingly on a prospective basis.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measure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 Compensation expense for those awards is recognized over the requisite service period, which is generally the vesting period of the award for employees and directors and the period during which services are performed for non-employees. We use the straight-line method to record the expense of awards with service-based vesting conditions.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consolidated financial statements appearing at the end of this Annual Report on Form 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an exemption from the requirement to provide an auditor’s report on internal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may remain classified as an EGC until the end of the fiscal year following the fifth anniversary of our IPO, although if the market value of our common stock that is held by non-affiliates exceeds $700 million as of June 30 of any year before that time, or if we have annual gross revenues of $1.07 billion or more in any fiscal year, we would cease to be an EGC as of December 31 of the applicable year. We also would cease to be an EGC if we issue more than $1.0 billion of non-convertible debt over a three-year period.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a smaller reporting company, as defined by Rule 12b-2 of the Securities Exchange Act of 1934, as amended, we are not required to provide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Immuneering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8080" w:type="dxa"/>
            <w:vAlign w:val="bottom"/>
            <w:tcBorders>
              <w:top w:val="single" w:sz="8" w:color="CCEEFF"/>
            </w:tcBorders>
            <w:gridSpan w:val="7"/>
            <w:shd w:val="clear" w:color="auto" w:fill="CCEEFF"/>
          </w:tcPr>
          <w:p>
            <w:pPr>
              <w:spacing w:after="0" w:line="136" w:lineRule="exact"/>
              <w:rPr>
                <w:rFonts w:ascii="Arial" w:cs="Arial" w:eastAsia="Arial" w:hAnsi="Arial"/>
                <w:sz w:val="15"/>
                <w:szCs w:val="15"/>
                <w:color w:val="0000EE"/>
              </w:rPr>
            </w:pPr>
            <w:hyperlink w:anchor="page131">
              <w:r>
                <w:rPr>
                  <w:rFonts w:ascii="Arial" w:cs="Arial" w:eastAsia="Arial" w:hAnsi="Arial"/>
                  <w:sz w:val="15"/>
                  <w:szCs w:val="15"/>
                  <w:color w:val="0000EE"/>
                </w:rPr>
                <w:t xml:space="preserve">Report of Independent Registered Public Accounting Firm </w:t>
              </w:r>
            </w:hyperlink>
            <w:r>
              <w:rPr>
                <w:rFonts w:ascii="Arial" w:cs="Arial" w:eastAsia="Arial" w:hAnsi="Arial"/>
                <w:sz w:val="15"/>
                <w:szCs w:val="15"/>
                <w:color w:val="000000"/>
              </w:rPr>
              <w:t>(PCAOB</w:t>
            </w:r>
            <w:r>
              <w:rPr>
                <w:rFonts w:ascii="Arial" w:cs="Arial" w:eastAsia="Arial" w:hAnsi="Arial"/>
                <w:sz w:val="15"/>
                <w:szCs w:val="15"/>
                <w:color w:val="0000EE"/>
              </w:rPr>
              <w:t xml:space="preserve"> </w:t>
            </w:r>
            <w:r>
              <w:rPr>
                <w:rFonts w:ascii="Arial" w:cs="Arial" w:eastAsia="Arial" w:hAnsi="Arial"/>
                <w:sz w:val="15"/>
                <w:szCs w:val="15"/>
                <w:color w:val="000000"/>
              </w:rPr>
              <w:t>ID: 49)</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420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32">
              <w:r>
                <w:rPr>
                  <w:rFonts w:ascii="Arial" w:cs="Arial" w:eastAsia="Arial" w:hAnsi="Arial"/>
                  <w:sz w:val="18"/>
                  <w:szCs w:val="18"/>
                  <w:color w:val="0000EE"/>
                </w:rPr>
                <w:t>Consolidated Balance Sheets</w:t>
              </w:r>
            </w:hyperlink>
          </w:p>
        </w:tc>
        <w:tc>
          <w:tcPr>
            <w:tcW w:w="3880" w:type="dxa"/>
            <w:vAlign w:val="bottom"/>
            <w:tcBorders>
              <w:top w:val="single" w:sz="8" w:color="CCEEFF"/>
            </w:tcBorders>
            <w:gridSpan w:val="3"/>
          </w:tcPr>
          <w:p>
            <w:pPr>
              <w:spacing w:after="0"/>
              <w:rPr>
                <w:sz w:val="15"/>
                <w:szCs w:val="15"/>
                <w:color w:val="auto"/>
              </w:rPr>
            </w:pPr>
          </w:p>
        </w:tc>
        <w:tc>
          <w:tcPr>
            <w:tcW w:w="8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080" w:type="dxa"/>
            <w:vAlign w:val="bottom"/>
            <w:gridSpan w:val="7"/>
            <w:shd w:val="clear" w:color="auto" w:fill="CCEEFF"/>
          </w:tcPr>
          <w:p>
            <w:pPr>
              <w:spacing w:after="0" w:line="176" w:lineRule="exact"/>
              <w:rPr>
                <w:rFonts w:ascii="Arial" w:cs="Arial" w:eastAsia="Arial" w:hAnsi="Arial"/>
                <w:sz w:val="18"/>
                <w:szCs w:val="18"/>
                <w:color w:val="0000EE"/>
              </w:rPr>
            </w:pPr>
            <w:hyperlink w:anchor="page133">
              <w:r>
                <w:rPr>
                  <w:rFonts w:ascii="Arial" w:cs="Arial" w:eastAsia="Arial" w:hAnsi="Arial"/>
                  <w:sz w:val="18"/>
                  <w:szCs w:val="18"/>
                  <w:color w:val="0000EE"/>
                </w:rPr>
                <w:t>Consolidated Statements of Operations and Comprehensive Loss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080" w:type="dxa"/>
            <w:vAlign w:val="bottom"/>
            <w:gridSpan w:val="7"/>
          </w:tcPr>
          <w:p>
            <w:pPr>
              <w:spacing w:after="0" w:line="176" w:lineRule="exact"/>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Convertible Preferred Stock and Stockholders’ Equity (Deficit)</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Consolidated Statements of Cash Flows</w:t>
              </w:r>
            </w:hyperlink>
          </w:p>
        </w:tc>
        <w:tc>
          <w:tcPr>
            <w:tcW w:w="522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Borders>
              <w:bottom w:val="single" w:sz="8" w:color="0000EE"/>
            </w:tcBorders>
            <w:gridSpan w:val="3"/>
          </w:tcPr>
          <w:p>
            <w:pPr>
              <w:spacing w:after="0" w:line="17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Notes to Consolidated Financial Statements</w:t>
              </w:r>
            </w:hyperlink>
          </w:p>
        </w:tc>
        <w:tc>
          <w:tcPr>
            <w:tcW w:w="4940" w:type="dxa"/>
            <w:vAlign w:val="bottom"/>
            <w:gridSpan w:val="4"/>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Immuneering Corporation</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We have audited the accompanying consolidated balance sheets of Immuneering Corporation and its subsidiaries (the Company) as of December 31, 2021 and 2020, and the related consolidated statements of operations and comprehensive loss, convertible preferred stock and stockholders’ equity (deficit)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1"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2021</w:t>
            </w:r>
          </w:p>
        </w:tc>
        <w:tc>
          <w:tcPr>
            <w:tcW w:w="1040" w:type="dxa"/>
            <w:vAlign w:val="bottom"/>
            <w:gridSpan w:val="3"/>
          </w:tcPr>
          <w:p>
            <w:pPr>
              <w:jc w:val="right"/>
              <w:spacing w:after="0"/>
              <w:rPr>
                <w:sz w:val="20"/>
                <w:szCs w:val="20"/>
                <w:color w:val="auto"/>
              </w:rPr>
            </w:pPr>
            <w:r>
              <w:rPr>
                <w:rFonts w:ascii="Arial" w:cs="Arial" w:eastAsia="Arial" w:hAnsi="Arial"/>
                <w:sz w:val="13"/>
                <w:szCs w:val="13"/>
                <w:b w:val="1"/>
                <w:bCs w:val="1"/>
                <w:color w:val="auto"/>
                <w:w w:val="85"/>
              </w:rPr>
              <w:t>December 31, 2020</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5" w:lineRule="exact"/>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w:t>
            </w: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74,888,145</w:t>
            </w:r>
          </w:p>
        </w:tc>
        <w:tc>
          <w:tcPr>
            <w:tcW w:w="1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34"/>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37,090,151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5" w:lineRule="exact"/>
              <w:rPr>
                <w:sz w:val="20"/>
                <w:szCs w:val="20"/>
                <w:color w:val="auto"/>
              </w:rPr>
            </w:pPr>
            <w:r>
              <w:rPr>
                <w:rFonts w:ascii="Arial" w:cs="Arial" w:eastAsia="Arial" w:hAnsi="Arial"/>
                <w:sz w:val="13"/>
                <w:szCs w:val="13"/>
                <w:color w:val="auto"/>
              </w:rPr>
              <w:t>Marketable securities, current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74,311,203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246,040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500,110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Prepaids and other current assets</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2,888,608</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140,958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Total current assets</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152,333,996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37,731,219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Marketable securities, non-current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996,560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5" w:lineRule="exact"/>
              <w:rPr>
                <w:sz w:val="20"/>
                <w:szCs w:val="20"/>
                <w:color w:val="auto"/>
              </w:rPr>
            </w:pPr>
            <w:r>
              <w:rPr>
                <w:rFonts w:ascii="Arial" w:cs="Arial" w:eastAsia="Arial" w:hAnsi="Arial"/>
                <w:sz w:val="13"/>
                <w:szCs w:val="13"/>
                <w:color w:val="auto"/>
              </w:rPr>
              <w:t>Property and equipment, net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807,223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64,363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Goodwill</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6,701,726</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5" w:lineRule="exact"/>
              <w:rPr>
                <w:sz w:val="20"/>
                <w:szCs w:val="20"/>
                <w:color w:val="auto"/>
              </w:rPr>
            </w:pPr>
            <w:r>
              <w:rPr>
                <w:rFonts w:ascii="Arial" w:cs="Arial" w:eastAsia="Arial" w:hAnsi="Arial"/>
                <w:sz w:val="13"/>
                <w:szCs w:val="13"/>
                <w:color w:val="auto"/>
              </w:rPr>
              <w:t>Intangible asset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439,000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Right-of-use assets, net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5,324,198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613,103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Other assets</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102,129</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14,333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assets</w:t>
            </w: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166,704,832</w:t>
            </w: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38,423,018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6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 convertible preferred stock and stockholders' equity (deficit)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5" w:lineRule="exact"/>
              <w:rPr>
                <w:sz w:val="20"/>
                <w:szCs w:val="20"/>
                <w:color w:val="auto"/>
              </w:rPr>
            </w:pPr>
            <w:r>
              <w:rPr>
                <w:rFonts w:ascii="Arial" w:cs="Arial" w:eastAsia="Arial" w:hAnsi="Arial"/>
                <w:sz w:val="13"/>
                <w:szCs w:val="13"/>
                <w:color w:val="auto"/>
              </w:rPr>
              <w:t>Current liabilities: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payable</w:t>
            </w: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1,394,340</w:t>
            </w:r>
          </w:p>
        </w:tc>
        <w:tc>
          <w:tcPr>
            <w:tcW w:w="1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34"/>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1,480,537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5" w:lineRule="exact"/>
              <w:rPr>
                <w:sz w:val="20"/>
                <w:szCs w:val="20"/>
                <w:color w:val="auto"/>
              </w:rPr>
            </w:pPr>
            <w:r>
              <w:rPr>
                <w:rFonts w:ascii="Arial" w:cs="Arial" w:eastAsia="Arial" w:hAnsi="Arial"/>
                <w:sz w:val="13"/>
                <w:szCs w:val="13"/>
                <w:color w:val="auto"/>
              </w:rPr>
              <w:t>Accrued expenses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3,965,447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698,992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Lease liabilities, current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274,039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76,322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line="129" w:lineRule="exact"/>
              <w:rPr>
                <w:sz w:val="20"/>
                <w:szCs w:val="20"/>
                <w:color w:val="auto"/>
              </w:rPr>
            </w:pPr>
            <w:r>
              <w:rPr>
                <w:rFonts w:ascii="Arial" w:cs="Arial" w:eastAsia="Arial" w:hAnsi="Arial"/>
                <w:sz w:val="13"/>
                <w:szCs w:val="13"/>
                <w:color w:val="auto"/>
              </w:rPr>
              <w:t>Total current liabilities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3"/>
                <w:szCs w:val="13"/>
                <w:color w:val="auto"/>
              </w:rPr>
              <w:t>5,633,826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2,255,851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80" w:type="dxa"/>
            <w:vAlign w:val="bottom"/>
          </w:tcPr>
          <w:p>
            <w:pPr>
              <w:spacing w:after="0" w:line="135" w:lineRule="exact"/>
              <w:rPr>
                <w:sz w:val="20"/>
                <w:szCs w:val="20"/>
                <w:color w:val="auto"/>
              </w:rPr>
            </w:pPr>
            <w:r>
              <w:rPr>
                <w:rFonts w:ascii="Arial" w:cs="Arial" w:eastAsia="Arial" w:hAnsi="Arial"/>
                <w:sz w:val="13"/>
                <w:szCs w:val="13"/>
                <w:color w:val="auto"/>
              </w:rPr>
              <w:t>Long-term liabilities: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Lease liabilities, non-current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5,090,897</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544,767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10,724,723</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2,800,618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Commitments and contingencies (Note 13)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5" w:lineRule="exact"/>
              <w:rPr>
                <w:sz w:val="20"/>
                <w:szCs w:val="20"/>
                <w:color w:val="auto"/>
              </w:rPr>
            </w:pPr>
            <w:r>
              <w:rPr>
                <w:rFonts w:ascii="Arial" w:cs="Arial" w:eastAsia="Arial" w:hAnsi="Arial"/>
                <w:sz w:val="13"/>
                <w:szCs w:val="13"/>
                <w:color w:val="auto"/>
              </w:rPr>
              <w:t>Convertible preferred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1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8"/>
              </w:rPr>
              <w:t>Series B preferred stock, $0.001 par value, 0 and 6,032,183 shares authorized at December 31, 2021 and December 31,</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2020, 0 and 3,619,292 shares issued and outstanding at December 31, 2021 and December 31, 2020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36,983,910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180" w:type="dxa"/>
            <w:vAlign w:val="bottom"/>
          </w:tcPr>
          <w:p>
            <w:pPr>
              <w:spacing w:after="0" w:line="121" w:lineRule="exact"/>
              <w:rPr>
                <w:sz w:val="20"/>
                <w:szCs w:val="20"/>
                <w:color w:val="auto"/>
              </w:rPr>
            </w:pPr>
            <w:r>
              <w:rPr>
                <w:rFonts w:ascii="Arial" w:cs="Arial" w:eastAsia="Arial" w:hAnsi="Arial"/>
                <w:sz w:val="13"/>
                <w:szCs w:val="13"/>
                <w:color w:val="auto"/>
                <w:w w:val="88"/>
              </w:rPr>
              <w:t>Series A preferred stock, $0.001 par value, 0 and 2,495,933 shares authorized at December 31, 2021 and 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0" w:type="dxa"/>
            <w:vAlign w:val="bottom"/>
            <w:gridSpan w:val="2"/>
          </w:tcPr>
          <w:p>
            <w:pPr>
              <w:spacing w:after="0"/>
              <w:rPr>
                <w:sz w:val="20"/>
                <w:szCs w:val="20"/>
                <w:color w:val="auto"/>
              </w:rPr>
            </w:pPr>
            <w:r>
              <w:rPr>
                <w:rFonts w:ascii="Arial" w:cs="Arial" w:eastAsia="Arial" w:hAnsi="Arial"/>
                <w:sz w:val="13"/>
                <w:szCs w:val="13"/>
                <w:color w:val="auto"/>
              </w:rPr>
              <w:t>2020, 0 and 2,495,933 shares issued and outstanding at December 31, 2021 and December 31, 2020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21,119,940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convertible preferred stock</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58,103,850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80" w:type="dxa"/>
            <w:vAlign w:val="bottom"/>
          </w:tcPr>
          <w:p>
            <w:pPr>
              <w:spacing w:after="0" w:line="129" w:lineRule="exact"/>
              <w:rPr>
                <w:sz w:val="20"/>
                <w:szCs w:val="20"/>
                <w:color w:val="auto"/>
              </w:rPr>
            </w:pPr>
            <w:r>
              <w:rPr>
                <w:rFonts w:ascii="Arial" w:cs="Arial" w:eastAsia="Arial" w:hAnsi="Arial"/>
                <w:sz w:val="13"/>
                <w:szCs w:val="13"/>
                <w:color w:val="auto"/>
              </w:rPr>
              <w:t>Stockholders’ deficit: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1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Preferred stock, $0.001 par value; 10,000,000 and 0 shares authorized at December 31, 2021 and December 31, 2020,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respectively; No shares issued or outstanding</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180" w:type="dxa"/>
            <w:vAlign w:val="bottom"/>
          </w:tcPr>
          <w:p>
            <w:pPr>
              <w:spacing w:after="0" w:line="121" w:lineRule="exact"/>
              <w:rPr>
                <w:sz w:val="20"/>
                <w:szCs w:val="20"/>
                <w:color w:val="auto"/>
              </w:rPr>
            </w:pPr>
            <w:r>
              <w:rPr>
                <w:rFonts w:ascii="Arial" w:cs="Arial" w:eastAsia="Arial" w:hAnsi="Arial"/>
                <w:sz w:val="13"/>
                <w:szCs w:val="13"/>
                <w:color w:val="auto"/>
                <w:w w:val="91"/>
              </w:rPr>
              <w:t>Class A common stock, $0.001 par value, 200,000,000 and 22,026,200 shares authorized at December 31, 2021 and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0" w:type="dxa"/>
            <w:vAlign w:val="bottom"/>
            <w:gridSpan w:val="2"/>
          </w:tcPr>
          <w:p>
            <w:pPr>
              <w:spacing w:after="0" w:line="135" w:lineRule="exact"/>
              <w:rPr>
                <w:sz w:val="20"/>
                <w:szCs w:val="20"/>
                <w:color w:val="auto"/>
              </w:rPr>
            </w:pPr>
            <w:r>
              <w:rPr>
                <w:rFonts w:ascii="Arial" w:cs="Arial" w:eastAsia="Arial" w:hAnsi="Arial"/>
                <w:sz w:val="13"/>
                <w:szCs w:val="13"/>
                <w:color w:val="auto"/>
                <w:w w:val="90"/>
              </w:rPr>
              <w:t>December 31, 2020 respectively; 26,320,199 and 4,950,129 shares issued and outstanding at December 31, 2021 and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0" w:type="dxa"/>
            <w:vAlign w:val="bottom"/>
            <w:gridSpan w:val="2"/>
          </w:tcPr>
          <w:p>
            <w:pPr>
              <w:spacing w:after="0"/>
              <w:rPr>
                <w:sz w:val="20"/>
                <w:szCs w:val="20"/>
                <w:color w:val="auto"/>
              </w:rPr>
            </w:pPr>
            <w:r>
              <w:rPr>
                <w:rFonts w:ascii="Arial" w:cs="Arial" w:eastAsia="Arial" w:hAnsi="Arial"/>
                <w:sz w:val="13"/>
                <w:szCs w:val="13"/>
                <w:color w:val="auto"/>
              </w:rPr>
              <w:t>December 31, 2020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26,320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4,950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1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Class B common stock, $0.001 par value, 20,000,000 and 6,032,183 shares authorized at December 31, 2021 and</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w w:val="93"/>
              </w:rPr>
              <w:t>December 31, 2020 respectively; 0 shares issued and outstanding at December 31, 2021 and December 31, 2020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5" w:lineRule="exact"/>
              <w:rPr>
                <w:sz w:val="20"/>
                <w:szCs w:val="20"/>
                <w:color w:val="auto"/>
              </w:rPr>
            </w:pPr>
            <w:r>
              <w:rPr>
                <w:rFonts w:ascii="Arial" w:cs="Arial" w:eastAsia="Arial" w:hAnsi="Arial"/>
                <w:sz w:val="13"/>
                <w:szCs w:val="13"/>
                <w:color w:val="auto"/>
              </w:rPr>
              <w:t>Additional paid-in capital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215,276,186</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3,251,240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Accumulated other comprehensive loss</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(49,009)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Accumulated deficit</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(59,273,388)</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(25,737,640)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Total stockholders' equity (deficit)</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155,980,109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(22,481,450)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80" w:type="dxa"/>
            <w:vAlign w:val="bottom"/>
          </w:tcPr>
          <w:p>
            <w:pPr>
              <w:spacing w:after="0" w:line="129" w:lineRule="exact"/>
              <w:rPr>
                <w:sz w:val="20"/>
                <w:szCs w:val="20"/>
                <w:color w:val="auto"/>
              </w:rPr>
            </w:pPr>
            <w:r>
              <w:rPr>
                <w:rFonts w:ascii="Arial" w:cs="Arial" w:eastAsia="Arial" w:hAnsi="Arial"/>
                <w:sz w:val="13"/>
                <w:szCs w:val="13"/>
                <w:b w:val="1"/>
                <w:bCs w:val="1"/>
                <w:color w:val="auto"/>
              </w:rPr>
              <w:t>Total liabilities, convertible preferred stock and stockholders' equity (deficit)</w:t>
            </w:r>
          </w:p>
        </w:tc>
        <w:tc>
          <w:tcPr>
            <w:tcW w:w="2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166,704,832</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38,423,018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AND 2020</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2,079,961</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2,311,535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Cost of revenue</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1,153,073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1,280,325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Gross profit</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926,888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1,031,210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26,540,959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15,003,786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8,271,998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3,109,978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34,812,957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18,113,764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(33,886,069)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4"/>
              </w:rPr>
              <w:t>(17,082,554)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(127,063)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(33,843,233)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(17,039,898)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tax benefit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307,485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(33,535,748)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(17,039,898)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Net loss per share attributable to common stockholders, basic and diluted</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13,612,677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4,950,129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from marketable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(33,584,757)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(17,039,898)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IMMUNEERING CORPORATION</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FOR THE YEAR ENDED DECEMBER 31, 2021 AND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6"/>
          </w:tcPr>
          <w:p>
            <w:pPr>
              <w:jc w:val="right"/>
              <w:ind w:right="166"/>
              <w:spacing w:after="0"/>
              <w:rPr>
                <w:sz w:val="20"/>
                <w:szCs w:val="20"/>
                <w:color w:val="auto"/>
              </w:rPr>
            </w:pPr>
            <w:r>
              <w:rPr>
                <w:rFonts w:ascii="Arial" w:cs="Arial" w:eastAsia="Arial" w:hAnsi="Arial"/>
                <w:sz w:val="11"/>
                <w:szCs w:val="11"/>
                <w:b w:val="1"/>
                <w:bCs w:val="1"/>
                <w:color w:val="auto"/>
              </w:rPr>
              <w:t>Convertible Preferred Stock</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9"/>
          </w:tcPr>
          <w:p>
            <w:pPr>
              <w:ind w:left="100"/>
              <w:spacing w:after="0"/>
              <w:rPr>
                <w:sz w:val="20"/>
                <w:szCs w:val="20"/>
                <w:color w:val="auto"/>
              </w:rPr>
            </w:pPr>
            <w:r>
              <w:rPr>
                <w:rFonts w:ascii="Arial" w:cs="Arial" w:eastAsia="Arial" w:hAnsi="Arial"/>
                <w:sz w:val="11"/>
                <w:szCs w:val="11"/>
                <w:b w:val="1"/>
                <w:bCs w:val="1"/>
                <w:color w:val="auto"/>
              </w:rPr>
              <w:t>Stockholders' Equity (Deficit)</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ind w:right="106"/>
              <w:spacing w:after="0" w:line="102" w:lineRule="exact"/>
              <w:rPr>
                <w:sz w:val="20"/>
                <w:szCs w:val="20"/>
                <w:color w:val="auto"/>
              </w:rPr>
            </w:pPr>
            <w:r>
              <w:rPr>
                <w:rFonts w:ascii="Arial" w:cs="Arial" w:eastAsia="Arial" w:hAnsi="Arial"/>
                <w:sz w:val="11"/>
                <w:szCs w:val="11"/>
                <w:b w:val="1"/>
                <w:bCs w:val="1"/>
                <w:color w:val="auto"/>
                <w:w w:val="83"/>
              </w:rPr>
              <w:t>Total</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ind w:right="26"/>
              <w:spacing w:after="0" w:line="102" w:lineRule="exact"/>
              <w:rPr>
                <w:sz w:val="20"/>
                <w:szCs w:val="20"/>
                <w:color w:val="auto"/>
              </w:rPr>
            </w:pPr>
            <w:r>
              <w:rPr>
                <w:rFonts w:ascii="Arial" w:cs="Arial" w:eastAsia="Arial" w:hAnsi="Arial"/>
                <w:sz w:val="11"/>
                <w:szCs w:val="11"/>
                <w:b w:val="1"/>
                <w:bCs w:val="1"/>
                <w:color w:val="auto"/>
                <w:w w:val="89"/>
              </w:rPr>
              <w:t>Additional</w:t>
            </w:r>
          </w:p>
        </w:tc>
        <w:tc>
          <w:tcPr>
            <w:tcW w:w="980" w:type="dxa"/>
            <w:vAlign w:val="bottom"/>
            <w:gridSpan w:val="4"/>
          </w:tcPr>
          <w:p>
            <w:pPr>
              <w:ind w:left="60"/>
              <w:spacing w:after="0" w:line="102" w:lineRule="exact"/>
              <w:rPr>
                <w:sz w:val="20"/>
                <w:szCs w:val="20"/>
                <w:color w:val="auto"/>
              </w:rPr>
            </w:pPr>
            <w:r>
              <w:rPr>
                <w:rFonts w:ascii="Arial" w:cs="Arial" w:eastAsia="Arial" w:hAnsi="Arial"/>
                <w:sz w:val="11"/>
                <w:szCs w:val="11"/>
                <w:b w:val="1"/>
                <w:bCs w:val="1"/>
                <w:color w:val="auto"/>
                <w:w w:val="90"/>
              </w:rPr>
              <w:t>Accumulated other</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186"/>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8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6"/>
              </w:rPr>
              <w:t>Series B</w:t>
            </w:r>
          </w:p>
        </w:tc>
        <w:tc>
          <w:tcPr>
            <w:tcW w:w="1260" w:type="dxa"/>
            <w:vAlign w:val="bottom"/>
            <w:gridSpan w:val="4"/>
          </w:tcPr>
          <w:p>
            <w:pPr>
              <w:jc w:val="right"/>
              <w:ind w:right="386"/>
              <w:spacing w:after="0"/>
              <w:rPr>
                <w:sz w:val="20"/>
                <w:szCs w:val="20"/>
                <w:color w:val="auto"/>
              </w:rPr>
            </w:pPr>
            <w:r>
              <w:rPr>
                <w:rFonts w:ascii="Arial" w:cs="Arial" w:eastAsia="Arial" w:hAnsi="Arial"/>
                <w:sz w:val="11"/>
                <w:szCs w:val="11"/>
                <w:b w:val="1"/>
                <w:bCs w:val="1"/>
                <w:color w:val="auto"/>
              </w:rPr>
              <w:t>Series A</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Convertible</w:t>
            </w:r>
          </w:p>
        </w:tc>
        <w:tc>
          <w:tcPr>
            <w:tcW w:w="1160" w:type="dxa"/>
            <w:vAlign w:val="bottom"/>
            <w:gridSpan w:val="4"/>
          </w:tcPr>
          <w:p>
            <w:pPr>
              <w:jc w:val="right"/>
              <w:spacing w:after="0"/>
              <w:rPr>
                <w:sz w:val="20"/>
                <w:szCs w:val="20"/>
                <w:color w:val="auto"/>
              </w:rPr>
            </w:pPr>
            <w:r>
              <w:rPr>
                <w:rFonts w:ascii="Arial" w:cs="Arial" w:eastAsia="Arial" w:hAnsi="Arial"/>
                <w:sz w:val="11"/>
                <w:szCs w:val="11"/>
                <w:b w:val="1"/>
                <w:bCs w:val="1"/>
                <w:color w:val="auto"/>
                <w:w w:val="88"/>
              </w:rPr>
              <w:t>Class A Common Stock</w:t>
            </w:r>
          </w:p>
        </w:tc>
        <w:tc>
          <w:tcPr>
            <w:tcW w:w="1180" w:type="dxa"/>
            <w:vAlign w:val="bottom"/>
            <w:gridSpan w:val="6"/>
          </w:tcPr>
          <w:p>
            <w:pPr>
              <w:jc w:val="center"/>
              <w:ind w:left="6"/>
              <w:spacing w:after="0"/>
              <w:rPr>
                <w:sz w:val="20"/>
                <w:szCs w:val="20"/>
                <w:color w:val="auto"/>
              </w:rPr>
            </w:pPr>
            <w:r>
              <w:rPr>
                <w:rFonts w:ascii="Arial" w:cs="Arial" w:eastAsia="Arial" w:hAnsi="Arial"/>
                <w:sz w:val="11"/>
                <w:szCs w:val="11"/>
                <w:b w:val="1"/>
                <w:bCs w:val="1"/>
                <w:color w:val="auto"/>
                <w:w w:val="86"/>
              </w:rPr>
              <w:t>Class B 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comprehensive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b w:val="1"/>
                <w:bCs w:val="1"/>
                <w:color w:val="auto"/>
                <w:w w:val="88"/>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6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Shares</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Amount</w:t>
            </w:r>
          </w:p>
        </w:tc>
        <w:tc>
          <w:tcPr>
            <w:tcW w:w="940" w:type="dxa"/>
            <w:vAlign w:val="bottom"/>
            <w:gridSpan w:val="4"/>
          </w:tcPr>
          <w:p>
            <w:pPr>
              <w:ind w:left="60"/>
              <w:spacing w:after="0" w:line="115" w:lineRule="exact"/>
              <w:rPr>
                <w:sz w:val="20"/>
                <w:szCs w:val="20"/>
                <w:color w:val="auto"/>
              </w:rPr>
            </w:pPr>
            <w:r>
              <w:rPr>
                <w:rFonts w:ascii="Arial" w:cs="Arial" w:eastAsia="Arial" w:hAnsi="Arial"/>
                <w:sz w:val="11"/>
                <w:szCs w:val="11"/>
                <w:b w:val="1"/>
                <w:bCs w:val="1"/>
                <w:color w:val="auto"/>
              </w:rPr>
              <w:t>Preferred Stock</w:t>
            </w:r>
          </w:p>
        </w:tc>
        <w:tc>
          <w:tcPr>
            <w:tcW w:w="58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Par Value</w:t>
            </w:r>
          </w:p>
        </w:tc>
        <w:tc>
          <w:tcPr>
            <w:tcW w:w="80" w:type="dxa"/>
            <w:vAlign w:val="bottom"/>
          </w:tcPr>
          <w:p>
            <w:pPr>
              <w:spacing w:after="0"/>
              <w:rPr>
                <w:sz w:val="10"/>
                <w:szCs w:val="10"/>
                <w:color w:val="auto"/>
              </w:rPr>
            </w:pPr>
          </w:p>
        </w:tc>
        <w:tc>
          <w:tcPr>
            <w:tcW w:w="440" w:type="dxa"/>
            <w:vAlign w:val="bottom"/>
            <w:tcBorders>
              <w:top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w w:val="97"/>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Par Value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ind w:right="106"/>
              <w:spacing w:after="0" w:line="115" w:lineRule="exact"/>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81"/>
              </w:rPr>
              <w:t>loss</w:t>
            </w:r>
          </w:p>
        </w:tc>
        <w:tc>
          <w:tcPr>
            <w:tcW w:w="80" w:type="dxa"/>
            <w:vAlign w:val="bottom"/>
          </w:tcPr>
          <w:p>
            <w:pPr>
              <w:spacing w:after="0"/>
              <w:rPr>
                <w:sz w:val="10"/>
                <w:szCs w:val="10"/>
                <w:color w:val="auto"/>
              </w:rPr>
            </w:pPr>
          </w:p>
        </w:tc>
        <w:tc>
          <w:tcPr>
            <w:tcW w:w="560" w:type="dxa"/>
            <w:vAlign w:val="bottom"/>
          </w:tcPr>
          <w:p>
            <w:pPr>
              <w:jc w:val="right"/>
              <w:ind w:right="106"/>
              <w:spacing w:after="0" w:line="115" w:lineRule="exact"/>
              <w:rPr>
                <w:sz w:val="20"/>
                <w:szCs w:val="20"/>
                <w:color w:val="auto"/>
              </w:rPr>
            </w:pPr>
            <w:r>
              <w:rPr>
                <w:rFonts w:ascii="Arial" w:cs="Arial" w:eastAsia="Arial" w:hAnsi="Arial"/>
                <w:sz w:val="11"/>
                <w:szCs w:val="11"/>
                <w:b w:val="1"/>
                <w:bCs w:val="1"/>
                <w:color w:val="auto"/>
              </w:rPr>
              <w:t>Deficit</w:t>
            </w:r>
          </w:p>
        </w:tc>
        <w:tc>
          <w:tcPr>
            <w:tcW w:w="780" w:type="dxa"/>
            <w:vAlign w:val="bottom"/>
            <w:gridSpan w:val="3"/>
          </w:tcPr>
          <w:p>
            <w:pPr>
              <w:ind w:left="60"/>
              <w:spacing w:after="0" w:line="115" w:lineRule="exact"/>
              <w:rPr>
                <w:sz w:val="20"/>
                <w:szCs w:val="20"/>
                <w:color w:val="auto"/>
              </w:rPr>
            </w:pPr>
            <w:r>
              <w:rPr>
                <w:rFonts w:ascii="Arial" w:cs="Arial" w:eastAsia="Arial" w:hAnsi="Arial"/>
                <w:sz w:val="11"/>
                <w:szCs w:val="11"/>
                <w:b w:val="1"/>
                <w:bCs w:val="1"/>
                <w:color w:val="auto"/>
                <w:w w:val="90"/>
              </w:rPr>
              <w:t>Equity (Deficit)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Balance at</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December 31, 2019</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1,966,043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16,611,832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w w:val="97"/>
              </w:rPr>
              <w:t>$</w:t>
            </w:r>
          </w:p>
        </w:tc>
        <w:tc>
          <w:tcPr>
            <w:tcW w:w="74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16,611,832</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4,950,129</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4,950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2,164,471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w w:val="97"/>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(8,697,742)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(6,528,321)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Issuance of Series A</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6"/>
              </w:rPr>
              <w:t>convertible preferred stock,</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net of issuance costs</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529,890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4,508,108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4,508,108</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Issuance of Series B</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6"/>
              </w:rPr>
              <w:t>convertible preferred stock,</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net of issuance costs</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3,619,292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36,983,910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36,983,910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6"/>
              </w:rPr>
              <w:t>Stock-based compensation</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1,086,769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1,086,769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6"/>
              </w:rPr>
              <w:t>(17,039,898)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6"/>
              </w:rPr>
              <w:t>(17,039,898)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300" w:type="dxa"/>
            <w:vAlign w:val="bottom"/>
            <w:shd w:val="clear" w:color="auto" w:fill="CCEEFF"/>
          </w:tcPr>
          <w:p>
            <w:pPr>
              <w:spacing w:after="0" w:line="88" w:lineRule="exact"/>
              <w:rPr>
                <w:sz w:val="20"/>
                <w:szCs w:val="20"/>
                <w:color w:val="auto"/>
              </w:rPr>
            </w:pPr>
            <w:r>
              <w:rPr>
                <w:rFonts w:ascii="Arial" w:cs="Arial" w:eastAsia="Arial" w:hAnsi="Arial"/>
                <w:sz w:val="10"/>
                <w:szCs w:val="10"/>
                <w:b w:val="1"/>
                <w:bCs w:val="1"/>
                <w:color w:val="auto"/>
              </w:rPr>
              <w:t>Balance at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3,619,292</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36,983,910</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2,495,933</w:t>
            </w: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21,119,940</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w w:val="97"/>
              </w:rPr>
              <w:t>$</w:t>
            </w:r>
          </w:p>
        </w:tc>
        <w:tc>
          <w:tcPr>
            <w:tcW w:w="740" w:type="dxa"/>
            <w:vAlign w:val="bottom"/>
            <w:tcBorders>
              <w:right w:val="single" w:sz="8" w:color="auto"/>
            </w:tcBorders>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58,103,850</w:t>
            </w:r>
          </w:p>
        </w:tc>
        <w:tc>
          <w:tcPr>
            <w:tcW w:w="6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4,950,129</w:t>
            </w:r>
          </w:p>
        </w:tc>
        <w:tc>
          <w:tcPr>
            <w:tcW w:w="1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4,950</w:t>
            </w:r>
          </w:p>
        </w:tc>
        <w:tc>
          <w:tcPr>
            <w:tcW w:w="8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40" w:type="dxa"/>
            <w:vAlign w:val="bottom"/>
            <w:gridSpan w:val="2"/>
            <w:vMerge w:val="restart"/>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3,251,240</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w w:val="97"/>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6"/>
              </w:rPr>
              <w:t>(25,737,640)</w:t>
            </w: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6"/>
              </w:rPr>
              <w:t>(22,481,450)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December 31, 2020</w:t>
            </w:r>
          </w:p>
        </w:tc>
        <w:tc>
          <w:tcPr>
            <w:tcW w:w="500" w:type="dxa"/>
            <w:vAlign w:val="bottom"/>
            <w:vMerge w:val="continue"/>
            <w:shd w:val="clear" w:color="auto" w:fill="CCEEFF"/>
          </w:tcPr>
          <w:p>
            <w:pPr>
              <w:spacing w:after="0"/>
              <w:rPr>
                <w:sz w:val="10"/>
                <w:szCs w:val="10"/>
                <w:color w:val="auto"/>
              </w:rPr>
            </w:pPr>
          </w:p>
        </w:tc>
        <w:tc>
          <w:tcPr>
            <w:tcW w:w="140" w:type="dxa"/>
            <w:vAlign w:val="bottom"/>
            <w:gridSpan w:val="2"/>
            <w:shd w:val="clear" w:color="auto" w:fill="CCEEFF"/>
          </w:tcPr>
          <w:p>
            <w:pPr>
              <w:jc w:val="center"/>
              <w:spacing w:after="0" w:line="122" w:lineRule="exact"/>
              <w:rPr>
                <w:sz w:val="20"/>
                <w:szCs w:val="20"/>
                <w:color w:val="auto"/>
              </w:rPr>
            </w:pPr>
            <w:r>
              <w:rPr>
                <w:rFonts w:ascii="Arial" w:cs="Arial" w:eastAsia="Arial" w:hAnsi="Arial"/>
                <w:sz w:val="11"/>
                <w:szCs w:val="11"/>
                <w:color w:val="auto"/>
                <w:w w:val="97"/>
              </w:rPr>
              <w:t>$</w:t>
            </w:r>
          </w:p>
        </w:tc>
        <w:tc>
          <w:tcPr>
            <w:tcW w:w="5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740" w:type="dxa"/>
            <w:vAlign w:val="bottom"/>
            <w:tcBorders>
              <w:right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8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Issuance of Series B</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6"/>
              </w:rPr>
              <w:t>convertible preferred stock,</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net of issuance costs</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2,412,853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24,788,851</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24,788,851</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8"/>
              </w:rPr>
              <w:t>Issuance of common stock</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upon exercise of stock</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117,846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354,316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354,434</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8"/>
              </w:rPr>
              <w:t>Issuance of common stock</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upon exercise of warrants</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308,308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926,817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927,125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Conversion of Preferred</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Stock into 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(6,032,145)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6"/>
              </w:rPr>
              <w:t>(61,772,761)</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(2,495,933)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6"/>
              </w:rPr>
              <w:t>(21,119,940)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(82,892,701)</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11,939,281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11,939</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82,880,762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82,892,701</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8"/>
              </w:rPr>
              <w:t>Issuance of common stock</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upon initial public offering,</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of issuance costs</w:t>
            </w: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($2,124,317)</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8,625,000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8,625</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4"/>
              </w:rPr>
              <w:t>118,185,808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118,194,433</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8"/>
              </w:rPr>
              <w:t>Issuance of common stock</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for acquisition</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379,635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7,874,620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7,875,000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6"/>
              </w:rPr>
              <w:t>Stock-based compensation</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1"/>
                <w:szCs w:val="11"/>
                <w:color w:val="auto"/>
              </w:rPr>
              <w:t>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1,802,623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1,802,623</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6"/>
              </w:rPr>
              <w:t>(33,535,748)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6"/>
              </w:rPr>
              <w:t>(33,535,748)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comprehensive loss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(49,009)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(49,009)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300" w:type="dxa"/>
            <w:vAlign w:val="bottom"/>
            <w:shd w:val="clear" w:color="auto" w:fill="CCEEFF"/>
          </w:tcPr>
          <w:p>
            <w:pPr>
              <w:spacing w:after="0" w:line="88" w:lineRule="exact"/>
              <w:rPr>
                <w:sz w:val="20"/>
                <w:szCs w:val="20"/>
                <w:color w:val="auto"/>
              </w:rPr>
            </w:pPr>
            <w:r>
              <w:rPr>
                <w:rFonts w:ascii="Arial" w:cs="Arial" w:eastAsia="Arial" w:hAnsi="Arial"/>
                <w:sz w:val="10"/>
                <w:szCs w:val="10"/>
                <w:b w:val="1"/>
                <w:bCs w:val="1"/>
                <w:color w:val="auto"/>
              </w:rPr>
              <w:t>Balance at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w w:val="97"/>
              </w:rPr>
              <w:t>$</w:t>
            </w:r>
          </w:p>
        </w:tc>
        <w:tc>
          <w:tcPr>
            <w:tcW w:w="740" w:type="dxa"/>
            <w:vAlign w:val="bottom"/>
            <w:tcBorders>
              <w:right w:val="single" w:sz="8" w:color="auto"/>
            </w:tcBorders>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26,320,199</w:t>
            </w:r>
          </w:p>
        </w:tc>
        <w:tc>
          <w:tcPr>
            <w:tcW w:w="18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26,320</w:t>
            </w:r>
          </w:p>
        </w:tc>
        <w:tc>
          <w:tcPr>
            <w:tcW w:w="8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40" w:type="dxa"/>
            <w:vAlign w:val="bottom"/>
            <w:gridSpan w:val="2"/>
            <w:vMerge w:val="restart"/>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4"/>
              </w:rPr>
              <w:t>215,276,186</w:t>
            </w: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w w:val="97"/>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(49,009)</w:t>
            </w:r>
          </w:p>
        </w:tc>
        <w:tc>
          <w:tcPr>
            <w:tcW w:w="4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6"/>
              </w:rPr>
              <w:t>(59,273,388)</w:t>
            </w: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1"/>
              </w:rPr>
              <w:t>155,980,109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December 31, 2021</w:t>
            </w:r>
          </w:p>
        </w:tc>
        <w:tc>
          <w:tcPr>
            <w:tcW w:w="500" w:type="dxa"/>
            <w:vAlign w:val="bottom"/>
            <w:vMerge w:val="continue"/>
            <w:shd w:val="clear" w:color="auto" w:fill="CCEEFF"/>
          </w:tcPr>
          <w:p>
            <w:pPr>
              <w:spacing w:after="0"/>
              <w:rPr>
                <w:sz w:val="10"/>
                <w:szCs w:val="10"/>
                <w:color w:val="auto"/>
              </w:rPr>
            </w:pPr>
          </w:p>
        </w:tc>
        <w:tc>
          <w:tcPr>
            <w:tcW w:w="140" w:type="dxa"/>
            <w:vAlign w:val="bottom"/>
            <w:gridSpan w:val="2"/>
            <w:shd w:val="clear" w:color="auto" w:fill="CCEEFF"/>
          </w:tcPr>
          <w:p>
            <w:pPr>
              <w:jc w:val="center"/>
              <w:spacing w:after="0" w:line="122" w:lineRule="exact"/>
              <w:rPr>
                <w:sz w:val="20"/>
                <w:szCs w:val="20"/>
                <w:color w:val="auto"/>
              </w:rPr>
            </w:pPr>
            <w:r>
              <w:rPr>
                <w:rFonts w:ascii="Arial" w:cs="Arial" w:eastAsia="Arial" w:hAnsi="Arial"/>
                <w:sz w:val="11"/>
                <w:szCs w:val="11"/>
                <w:color w:val="auto"/>
                <w:w w:val="97"/>
              </w:rPr>
              <w:t>$</w:t>
            </w:r>
          </w:p>
        </w:tc>
        <w:tc>
          <w:tcPr>
            <w:tcW w:w="640" w:type="dxa"/>
            <w:vAlign w:val="bottom"/>
            <w:gridSpan w:val="2"/>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740" w:type="dxa"/>
            <w:vAlign w:val="bottom"/>
            <w:tcBorders>
              <w:right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8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4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FOR THE YEAR ENDED DECEMBER 31, 2021 and 2020</w:t>
      </w:r>
    </w:p>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(33,535,748)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(17,039,898)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Adjustment to reconcile to net loss to net cash used in operating activities: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expense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amortization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1,802,623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1,086,769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9"/>
              </w:rPr>
              <w:t>Net amortization of premium (accretion of discount) on marketable securities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tax benefit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(307,485)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 in assets and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(Increase) decrease in: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(2,408,986)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Increase (decrease) in: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3,240,940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liability</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(30,850,882)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(14,620,825)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(60,786)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(75,625,529)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acquired in business combination</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70,348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(75,615,967)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from the issuance of Series A preferred stock, net of issuance costs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7"/>
              </w:rPr>
              <w:t>Proceeds from the issuance of Series B preferred stock, net of issuance costs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24,788,851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36,983,910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Proceeds from initial public offering of common stock, net of commissions and</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underwriting</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120,318,750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Payment of initial public offering costs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(2,124,317)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exercise of warrants</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927,125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144,264,843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37,982,216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37,797,994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23,307,976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37,090,151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13,782,175</w:t>
            </w:r>
          </w:p>
        </w:tc>
        <w:tc>
          <w:tcPr>
            <w:tcW w:w="0" w:type="dxa"/>
            <w:vAlign w:val="bottom"/>
          </w:tcPr>
          <w:p>
            <w:pPr>
              <w:spacing w:after="0"/>
              <w:rPr>
                <w:sz w:val="1"/>
                <w:szCs w:val="1"/>
                <w:color w:val="auto"/>
              </w:rPr>
            </w:pPr>
          </w:p>
        </w:tc>
      </w:tr>
      <w:tr>
        <w:trPr>
          <w:trHeight w:val="25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74,888,145</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37,090,151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Supplemental disclosures of noncash investing and financing information:</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9"/>
              </w:rPr>
              <w:t>Conversion of convertible Series A and B preferred stock into common stock</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82,892,701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 non cash</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7,804,652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Class A common stock issued for business combination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7,875,000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 of liability for Series A preferred stock</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Immuneering Corporation, a Delaware corporation, (“Immuneering” or the “Company”) was incorporated in 2008. The Company aims to improve patient outcomes by advancing a unique pipeline of oncology and neuroscience product candidates developed using the Company’s translational bioinformatics platform. The Company has more than a decade of experience applying translational bioinformatics to generate insights into drug mechanism of action and patient treatment response. Building on this experience, the Company’s disease-agnostic discovery platform enables the Company to create product candidates based on 1) biological insights that are both counterintuitive and deeply rooted in data, and 2) novel chemistry.</w:t>
      </w:r>
    </w:p>
    <w:p>
      <w:pPr>
        <w:spacing w:after="0" w:line="19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October 30, 2019, Immuneering formed a wholly owned subsidiary, Immuneering Securities Corporation (“ISC”), a Massachusetts securities corporation, for the sole purpose of buying, selling and holding securities on the Company’s behalf.</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 December 22, 2021, the Company acquired all outstanding shares of capital stock of BioArkive, Inc. (“BioArkive”), a California corporation, which as a result became a wholly owned subsidiary.</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Immuneering, ISC and BioArkive are collectively referred to as “the Company” throughout these consolidated financial statements.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 will be successful. In addition, the Company operates in an environment of rapid technological change and is largely dependent on the services of its employees, advisors, and consultants.</w:t>
      </w:r>
    </w:p>
    <w:p>
      <w:pPr>
        <w:spacing w:after="0" w:line="16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August 3, 2021, the Company completed its initial public offering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 (see Note 8).</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To date, the Company has funded its operations through service revenues, and with proceeds from the sale of its capital stock and convertible notes and, most recently, with proceeds from the IPO. The Company has incurred recurring losses over the past several years and as of December 31, 2021, the Company had an accumulated deficit of $59,273,388.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considers that there are no conditions or events, in the aggregate, that raise substantial doubt about the entity’s ability to continue as a going concern and estimates that its cash and cash equivalents will be sufficient to fund its operating expenses and capital expenditure requirements for at least 12 months from the issuance date of the consolidated financial statements. The full extent to which coronavirus (“COVID-19”) pandemic will directly or indirectly impact the Company’s business, results of operations and financial</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condition, including expenses and research and development costs,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markets. The Company has considered potential impacts arising from the pandemic related to COVID-19 and its variants and is not presently aware of any events or circumstances that would require the Company to update its estimates, judgements or revise the carrying values of its assets or liabilities.</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consolidated financial statements have been prepared in accordance with accounting standards set by the Financial Accounting Standards Board (“FASB”). The FASB sets generally accepted accounting principles (“GAAP”) to ensure the consolidated financial statements are consistently reported. References to GAAP issued by the FASB in these footnotes are to the FASB Accounting Standards Codifications (“ASC”). The consolidated financial statements include the accounts of the Company and its wholly owned subsidiaries. All intercompany balances and transactions have been eliminated in consolidation.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color w:val="auto"/>
        </w:rPr>
        <w:t>On July 23, 2021, the Company approved a one-for-1.4 stock split which was consummated in connection with the Company’s IPO. All information in the accompanying financial statements and notes thereto regarding share amounts of common stock, price per share of common stock and the conversion factor for Series A and Series B Preferred Stock into common stock have been adjusted to reflect the application of the stock split on a retroactive basis.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 to be reasonable under the circumstances, the results of which form the basis for making judgements about the carrying values of assets, liabilities and the recording of expenses that are not readily apparent from other sources. Significant estimates reflected in these consolidated financial statements included but are not limited to, the research and development expenses, determination of fair value of stock-based awards, the valuation of common stock prior to the IPO, business combination, and the right-to-use assets and operating lease liability. Actual results may differ materially and adversely from these estimates.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Company’s chief executive officer is the CODM, and he uses consolidated financial information in determining how to allocate resources and assess performance. The Company has determined that it operates in one segment.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w:t>
      </w:r>
    </w:p>
    <w:p>
      <w:pPr>
        <w:spacing w:after="0" w:line="29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Results of operations of acquired companies are included in the Company’s results of operations as of the respective acquisition dates. Acquired businesses are accounted for using the acquisition method of accounting, which requires that assets acquired and liabilities assumed be recorded at fair value, with limited exceptions. Any excess of the purchase price over the fair value of the net assets acquired is recorded as goodwill. Transaction costs and costs to restructure the acquired Company are expensed as incurred. The operating results of the acquired business are reflected in the consolidated financial statements after the date of acquisition.</w:t>
      </w:r>
    </w:p>
    <w:p>
      <w:pPr>
        <w:spacing w:after="0" w:line="24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the acquired net assets do not constitute a business under the acquisition method of accounting, the transaction is accounted for as an asset acquisition and no goodwill is recognized. Refer to Note 6, Business Combination for more information.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Cash and cash equivalents are comprised of deposits at major financial banking institutions and highly liquid investments with an original maturity of three months or less at the date of purchase. Cash is maintained at Federal Deposit Insurance Company (“FDIC”) insured financial institutions. At times, the Company has maintained cash in excess of FDIC limits, however it has not experienced any losses with respect to its cash balances. The Company regularly monitors the financial condition of the institutions in which it has depository accounts and believes the risk of loss is minimal.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marketable securities are classified as available-for-sale pursuant to ASC 320, Investments – Debt and Equity Securities and are recorded at fair value. Unrealized gains/(losses) are included as a component of accumulated other comprehensive loss in the consolidated balance sheets and statements of convertible preferred stock and stockholders’ equity (deficit) and a component of total comprehensive loss in the consolidated statements of comprehensive loss, until realized. The Company assesses its available-for-sale marketable securities for impairment on a quarterly basis. There were no impairments of the Company’s available-for-sale marketable securities measured and carried at fair value during the year ended December 31, 2021. Realized gains and losses are included in other expense on a specific-identification basis. There were no realized gains or losses on marketable securities for the year ended December 31,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00" w:lineRule="exact"/>
        <w:rPr>
          <w:sz w:val="20"/>
          <w:szCs w:val="20"/>
          <w:color w:val="auto"/>
        </w:rPr>
      </w:pPr>
    </w:p>
    <w:p>
      <w:pPr>
        <w:spacing w:after="0" w:line="24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assets and liabilities in active markets, quoted prices in markets that are not active, or</w:t>
      </w:r>
      <w:r>
        <w:rPr>
          <w:rFonts w:ascii="Arial" w:cs="Arial" w:eastAsia="Arial" w:hAnsi="Arial"/>
          <w:sz w:val="18"/>
          <w:szCs w:val="18"/>
          <w:i w:val="1"/>
          <w:iCs w:val="1"/>
          <w:color w:val="auto"/>
        </w:rPr>
        <w:t xml:space="preserve"> </w:t>
      </w:r>
      <w:r>
        <w:rPr>
          <w:rFonts w:ascii="Arial" w:cs="Arial" w:eastAsia="Arial" w:hAnsi="Arial"/>
          <w:sz w:val="18"/>
          <w:szCs w:val="18"/>
          <w:color w:val="auto"/>
        </w:rPr>
        <w:t>inputs which are observable, directly or indirectly, for substantially the full term of the asset or liability.</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reflect our own assumptions about the assumptions market participants would use in</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the asset or liability in which there is little, if any, market activity for the asset or liability at the measurement date.</w:t>
      </w:r>
    </w:p>
    <w:p>
      <w:pPr>
        <w:spacing w:after="0" w:line="12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financial assets, which include cash equivalents and marketable securities, have been initially valued at the transaction price, and subsequently revalued at the end of each reporting period, utilizing third-party pricing services or other observable market data. The pricing services utilize industry standard valuation models, including both income and market based approaches, and observable market inputs to determine value. After completing our validation procedures, we did not adjust or override any fair value measurements provided by the pricing services as of December 31, 2021. Fair value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information for these assets, including their classification in the fair value hierarchy is included in Note 4 Fair Value Measurements</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have been no changes to the valuation methods during the year ended December 31, 2021. We evaluate transfers between levels at the end of each reporting period.</w:t>
      </w:r>
    </w:p>
    <w:p>
      <w:pPr>
        <w:spacing w:after="0" w:line="23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carrying amounts reflected in the consolidated balance sheets for cash, accounts receivable, accounts payable and accrued expenses approximate their respective fair values because of the short-term maturity of those financial instruments.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Accounts receivable are stated at the amount management expects to collect from outstanding balances. An allowance for doubtful accounts is estimated for those accounts receivable considered to be uncollectible based upon historical experience and management’s evaluation of outstanding accounts receivable. Bad debts are written off against the allowance when identified. At December 31, 2021 and 2020 there was no allowance for doubtful accounts.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 of credit risk consist primarily of accounts receivable and revenue. To manage accounts receivable credit risk, the Company continuously evaluates the creditworthiness of its customers and the need for an allowance for potential credit losses. The Company has not experienced any losses in such accounts.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customers comprised 10% or more of the Company’s total accounts receivable or revenues as of or for the period ended December 31, 2021 (customers with an asterisk are less than 10%):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231F20"/>
              </w:rPr>
              <w:t>Year Ended December 31, 2021</w:t>
            </w:r>
          </w:p>
        </w:tc>
        <w:tc>
          <w:tcPr>
            <w:tcW w:w="200" w:type="dxa"/>
            <w:vAlign w:val="bottom"/>
          </w:tcPr>
          <w:p>
            <w:pPr>
              <w:spacing w:after="0"/>
              <w:rPr>
                <w:sz w:val="14"/>
                <w:szCs w:val="14"/>
                <w:color w:val="auto"/>
              </w:rPr>
            </w:pPr>
          </w:p>
        </w:tc>
        <w:tc>
          <w:tcPr>
            <w:tcW w:w="208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231F20"/>
                <w:w w:val="96"/>
              </w:rPr>
              <w:t>As of December 31, 2021</w:t>
            </w:r>
          </w:p>
        </w:tc>
      </w:tr>
      <w:tr>
        <w:trPr>
          <w:trHeight w:val="142"/>
        </w:trPr>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Revenue</w:t>
            </w:r>
          </w:p>
        </w:tc>
        <w:tc>
          <w:tcPr>
            <w:tcW w:w="8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12"/>
                <w:szCs w:val="12"/>
                <w:color w:val="auto"/>
              </w:rPr>
            </w:pPr>
          </w:p>
        </w:tc>
        <w:tc>
          <w:tcPr>
            <w:tcW w:w="14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9"/>
              </w:rPr>
              <w:t>Accounts Receivable</w:t>
            </w:r>
          </w:p>
        </w:tc>
        <w:tc>
          <w:tcPr>
            <w:tcW w:w="6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 of Total</w:t>
            </w:r>
          </w:p>
        </w:tc>
        <w:tc>
          <w:tcPr>
            <w:tcW w:w="16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745,030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Customer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594"/>
        </w:trPr>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6"/>
          </w:tcPr>
          <w:p>
            <w:pPr>
              <w:spacing w:after="0"/>
              <w:rPr>
                <w:sz w:val="20"/>
                <w:szCs w:val="20"/>
                <w:color w:val="auto"/>
              </w:rPr>
            </w:pPr>
            <w:r>
              <w:rPr>
                <w:rFonts w:ascii="Arial" w:cs="Arial" w:eastAsia="Arial" w:hAnsi="Arial"/>
                <w:sz w:val="14"/>
                <w:szCs w:val="14"/>
                <w:b w:val="1"/>
                <w:bCs w:val="1"/>
                <w:color w:val="231F20"/>
              </w:rPr>
              <w:t>Year Ended December 31, 2020</w:t>
            </w:r>
          </w:p>
        </w:tc>
        <w:tc>
          <w:tcPr>
            <w:tcW w:w="200" w:type="dxa"/>
            <w:vAlign w:val="bottom"/>
          </w:tcPr>
          <w:p>
            <w:pPr>
              <w:spacing w:after="0"/>
              <w:rPr>
                <w:sz w:val="24"/>
                <w:szCs w:val="24"/>
                <w:color w:val="auto"/>
              </w:rPr>
            </w:pPr>
          </w:p>
        </w:tc>
        <w:tc>
          <w:tcPr>
            <w:tcW w:w="208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231F20"/>
                <w:w w:val="96"/>
              </w:rPr>
              <w:t>As of December 31, 2020</w:t>
            </w:r>
          </w:p>
        </w:tc>
      </w:tr>
      <w:tr>
        <w:trPr>
          <w:trHeight w:val="142"/>
        </w:trPr>
        <w:tc>
          <w:tcPr>
            <w:tcW w:w="44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Revenue</w:t>
            </w:r>
          </w:p>
        </w:tc>
        <w:tc>
          <w:tcPr>
            <w:tcW w:w="8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12"/>
                <w:szCs w:val="12"/>
                <w:color w:val="auto"/>
              </w:rPr>
            </w:pPr>
          </w:p>
        </w:tc>
        <w:tc>
          <w:tcPr>
            <w:tcW w:w="14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9"/>
              </w:rPr>
              <w:t>Accounts Receivable</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180" w:type="dxa"/>
            <w:vAlign w:val="bottom"/>
            <w:gridSpan w:val="2"/>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#1</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676,710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214,345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Customer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71,250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Customer #4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250,880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63,000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Property and equipment are recorded at cost, net of accumulated depreciation. Expenditures for major replacements and improvements are capitalized, while expenditures for general repairs and maintenance are expensed as incurred. Upon retirements or disposition of property and equipment, the related cost and accumulated depreciation are removed from the consolidated balance sheet and any resulting gain or loss is recorded in the consolidated statement of operations. Depreciation is calculated using the straight-line method once assets are placed in service.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 Class</w:t>
            </w:r>
          </w:p>
        </w:tc>
        <w:tc>
          <w:tcPr>
            <w:tcW w:w="960" w:type="dxa"/>
            <w:vAlign w:val="bottom"/>
          </w:tcPr>
          <w:p>
            <w:pPr>
              <w:jc w:val="right"/>
              <w:ind w:right="76"/>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7940" w:type="dxa"/>
            <w:vAlign w:val="bottom"/>
            <w:gridSpan w:val="2"/>
            <w:vMerge w:val="continue"/>
          </w:tcPr>
          <w:p>
            <w:pPr>
              <w:spacing w:after="0"/>
              <w:rPr>
                <w:sz w:val="14"/>
                <w:szCs w:val="14"/>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209"/>
        </w:trPr>
        <w:tc>
          <w:tcPr>
            <w:tcW w:w="7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96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960" w:type="dxa"/>
            <w:vAlign w:val="bottom"/>
          </w:tcPr>
          <w:p>
            <w:pPr>
              <w:jc w:val="right"/>
              <w:spacing w:after="0"/>
              <w:rPr>
                <w:sz w:val="20"/>
                <w:szCs w:val="20"/>
                <w:color w:val="auto"/>
              </w:rPr>
            </w:pPr>
            <w:r>
              <w:rPr>
                <w:rFonts w:ascii="Arial" w:cs="Arial" w:eastAsia="Arial" w:hAnsi="Arial"/>
                <w:sz w:val="18"/>
                <w:szCs w:val="18"/>
                <w:color w:val="auto"/>
              </w:rPr>
              <w:t>1-10 years</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Periodically, the Company evaluates its long-lived assets, which consist primarily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occurred.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February 2016 the FASB issued Accounting Standards Update (“ASU”) No. 2016-02, Leases (Topic 842) (“ASC 842”), a standard issued to increase transparency and comparability among organizations related to their leasing activities. This standard established a right-of-use model that requires the recognition of right-of-use assets and lease liabilities for most leases as well as provides disclosure with respect to certain qualitative and quantitative information related to a company’s leasing arrangements to meet the objective of allowing users of financial statements to assess the amount, timing and uncertainty of cash flows arising from leases.</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adopted the leasing standard using the modified retrospective transition approach as of January 1, 2020, with no restatement of prior periods or cumulative adjustment to retained earnings. Upon adoption, the Company elected the package of transition practical expedients, which allowed the Company to carry forward prior conclusions related to whether any expired or existing contracts are or contain leases, the lease classification for any expired or existing leases, and initial direct costs for existing leases. The Company also made an accounting policy election to not recognize leases with an initial term of 12 months or less within its consolidated balance sheets, and to recognize those lease payments on a straight-line basis in its consolidated statements of operations over the lease term. The adoption of the leasing standard did not have an impact on the consolidated statement of operations.</w:t>
      </w:r>
    </w:p>
    <w:p>
      <w:pPr>
        <w:spacing w:after="0" w:line="17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determines if an arrangement is a lease at contract inception. Right-of-use assets represent the Company’s right to use an underlying asset for the lease term and lease liabilities represent its obligation to make lease payments arising from the lease. Right-of-use assets and lease liabilities are recognized at the commencement date of the lease based upon the present value of future lease payments over the expected lease term. When determining the lease term, the Company includes options to extend or terminate the lease when it is reasonably certain that the Company will exercise that option. As most of the Company’s leases do not provide an implicit interest rate, the Company uses its incremental borrowing rate, which is based on rates that would be incurred to borrow on a collateralized basis over a term equal to the lease payments in a similar economic environment, in determining the present value of lease payments.</w:t>
      </w:r>
    </w:p>
    <w:p>
      <w:pPr>
        <w:spacing w:after="0" w:line="16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Company has elected not to separate lease and non-lease components as a single lease component. The Company’s lease are reflected in right-of-use assets and lease liabilities (current and non-current) in the consolidated balance sheets.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In accordance with ASC 606, revenue is recognized when a customer obtains control of promised goods and services. The core principle of the standard is to recognize revenue to depict the transfer of promised goods or services to customers 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an amount that reflects the consideration to which the Company expects to be entitled in exchange for those goods or services. To achieve that core principle, the Company applies the following five-step model:</w:t>
      </w:r>
    </w:p>
    <w:p>
      <w:pPr>
        <w:spacing w:after="0" w:line="170" w:lineRule="exact"/>
        <w:rPr>
          <w:sz w:val="20"/>
          <w:szCs w:val="20"/>
          <w:color w:val="auto"/>
        </w:rPr>
      </w:pPr>
    </w:p>
    <w:p>
      <w:pPr>
        <w:ind w:left="480" w:hanging="106"/>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480" w:hanging="106"/>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 w:lineRule="exact"/>
        <w:rPr>
          <w:rFonts w:ascii="Arial" w:cs="Arial" w:eastAsia="Arial" w:hAnsi="Arial"/>
          <w:sz w:val="18"/>
          <w:szCs w:val="18"/>
          <w:color w:val="auto"/>
        </w:rPr>
      </w:pPr>
    </w:p>
    <w:p>
      <w:pPr>
        <w:ind w:left="480" w:hanging="106"/>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 w:lineRule="exact"/>
        <w:rPr>
          <w:rFonts w:ascii="Arial" w:cs="Arial" w:eastAsia="Arial" w:hAnsi="Arial"/>
          <w:sz w:val="18"/>
          <w:szCs w:val="18"/>
          <w:color w:val="auto"/>
        </w:rPr>
      </w:pPr>
    </w:p>
    <w:p>
      <w:pPr>
        <w:ind w:left="480" w:hanging="106"/>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22" w:lineRule="exact"/>
        <w:rPr>
          <w:rFonts w:ascii="Arial" w:cs="Arial" w:eastAsia="Arial" w:hAnsi="Arial"/>
          <w:sz w:val="18"/>
          <w:szCs w:val="18"/>
          <w:color w:val="auto"/>
        </w:rPr>
      </w:pPr>
    </w:p>
    <w:p>
      <w:pPr>
        <w:ind w:left="480" w:hanging="106"/>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3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Company’s contracts generally consist of the promise to provide computational biology professional services to pharmaceutical and biotechnology companies, which the Company has concluded constitutes one performance obligation that is delivered over time. The transaction price is the amount of consideration to which the Company expects to be entitled in exchange for transferring the services to the customer. The Company’s contracts provide for either agreed upon rates per hour based on the level of the professional working on the project or a fixed fee for a defined scope of work. The Company recognizes revenue over time by measuring the progress toward complete satisfaction of the performance obligation using a single method of measuring progress, which depicts the performance in transferring control of the associated services to the customer. The Company uses input methods to measure the progress toward the complete satisfaction of performance obligations and evaluates the measure of progress each reporting period and, if necessary, adjusts the measure of performance and related revenue recognition. Any such adjustments are recorded on a cumulative catch-up basis, which would affect revenue and net loss in the period of adjustment.</w:t>
      </w:r>
    </w:p>
    <w:p>
      <w:pPr>
        <w:spacing w:after="0" w:line="17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contract terms do not allow for a right of return or refund and do not contain significant financing components. Receivables associated with the contract will generally be collected within thirty to sixty days, in accordance with the underlying payment terms.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provides for income taxes in accordance with ASC Topic 740, Income Taxes. Deferred tax assets and liabilities are determined based on the difference between the financial reporting and tax bases of assets and liabilities using enacted tax rates and laws in effect in the years in which the differences are expected to reverse. A valuation allowance is provided if, based upon the weighted available evidence, it is more likely than not that some or all of the deferred tax assets will not be realized.</w:t>
      </w:r>
    </w:p>
    <w:p>
      <w:pPr>
        <w:spacing w:after="0" w:line="18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 xml:space="preserve">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(i.e., unrecognized tax benefits) that are considered appropriate as well as the related net interest. </w:t>
      </w:r>
      <w:r>
        <w:rPr>
          <w:rFonts w:ascii="Arial" w:cs="Arial" w:eastAsia="Arial" w:hAnsi="Arial"/>
          <w:sz w:val="16"/>
          <w:szCs w:val="16"/>
          <w:color w:val="222222"/>
        </w:rPr>
        <w:t>As of December 31, 2021 and 2020, the Company had uncertain tax positions of $380,902 and</w:t>
      </w:r>
      <w:r>
        <w:rPr>
          <w:rFonts w:ascii="Arial" w:cs="Arial" w:eastAsia="Arial" w:hAnsi="Arial"/>
          <w:sz w:val="16"/>
          <w:szCs w:val="16"/>
          <w:color w:val="auto"/>
        </w:rPr>
        <w:t xml:space="preserve"> </w:t>
      </w:r>
      <w:r>
        <w:rPr>
          <w:rFonts w:ascii="Arial" w:cs="Arial" w:eastAsia="Arial" w:hAnsi="Arial"/>
          <w:sz w:val="16"/>
          <w:szCs w:val="16"/>
          <w:color w:val="222222"/>
        </w:rPr>
        <w:t>$174,950. The Company has classified the unrecognized tax benefits as reductions of its tax credit carryforwards.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Research and development costs are expensed as incurred. Research and development costs consist of expenses incurred in performing research and development activities, including salaries and benefits, materials and supplies, preclinical expenses, stock-based compensation expense, depreciation of equipment, contract services, and other outside expenses. The Company also incurs costs to develop software programs for internal use in identifying potential human drug targets which may then lead to the development of human drug candidates. To date the software programs have primarily been used for internal research and development activities and the costs incurred have been expensed as research and development.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Manufacturing Contract Costs and Accruals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has entered into various research, development and manufacturing contracts with research institutions and other companies in the United States. These agreements are generally cancelable, and related costs are recorded as research and development expenses as incurred. The Company records accruals for estimated ongoing research, development and manufacturing costs.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 xml:space="preserve">Patent </w:t>
      </w:r>
      <w:r>
        <w:rPr>
          <w:rFonts w:ascii="Arial" w:cs="Arial" w:eastAsia="Arial" w:hAnsi="Arial"/>
          <w:sz w:val="18"/>
          <w:szCs w:val="18"/>
          <w:b w:val="1"/>
          <w:bCs w:val="1"/>
          <w:color w:val="000000"/>
        </w:rPr>
        <w:t>Costs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Com</w:t>
      </w:r>
      <w:r>
        <w:rPr>
          <w:rFonts w:ascii="Arial" w:cs="Arial" w:eastAsia="Arial" w:hAnsi="Arial"/>
          <w:sz w:val="18"/>
          <w:szCs w:val="18"/>
          <w:b w:val="1"/>
          <w:bCs w:val="1"/>
          <w:color w:val="000000"/>
        </w:rPr>
        <w:t>prehensive Loss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of the carrying value of the preferred stock or in stockholder’s equity (deficit) as a reduction of additional paid-in capital generated as a result of the offering. Should the in-process equity financing be abandoned, the deferred offering costs would be expensed immediately as a charge to operating expenses in the statements of operations and comprehensive loss. There were no deferred offering costs as of December 31,2021 or December 31, 2020.</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Net Income (Loss) per Share</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Prior to the closing of the IPO, the Company followed the two-class method when computing net income (loss) per share, as the Company had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shares assuming the dilutive effect of common stock equivalents.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convertible preferred stock contractually entitled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7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Subsequent to the closing of its IPO, the Company only has one class of shares outstanding and basic net income (loss) per common share is computed by dividing the net income (loss) by the weighted average number of shares of common stock outstanding for the period. Diluted net income (loss) per common share is computed by dividing net income (loss) by the weighted average number of shares of common stock outstanding for the period, including potential dilutive common shares assuming the dilutive effect of outstanding stock awards. For periods in which the Company reports a net loss, diluted net loss per common share is the same as basic net loss per common share, since dilutive common shares are not assumed to have been issued if their effect is anti-dilutive. The Company reported a net loss attributable to common stockholders for each of the years ended December 31, 2021 and 2020.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issues stock-based awards to employees and nonemployees in the form of stock options. The Company accounts for stock-based awards in accordance with ASC 718, Compensation — Stock Compensation (“ASC 718”), which requires all stock-based payments to employees and nonemployees, including grants of employee stock options and modifications to existing stock options, to be recognized in the consolidated statement of operations based on their fair values.</w:t>
      </w:r>
    </w:p>
    <w:p>
      <w:pPr>
        <w:spacing w:after="0" w:line="18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fair value of options is estimated on the grant date using the Black-Scholes option-pricing model (“Black-Scholes”). Black-Scholes requires the Company to make assumptions and judgments about the variables used in the calculation including the expected term of its stock option, the volatility of the Company’s common stock, and an assumed risk-free interest rate. The Company uses the simplified calculation of expected life and volatility is based on an average of the historical volatility of a group of publicly traded companies in a similar industry that the Company believes would be considered a peer group had it been a publicly held company for the duration of the expected life of the award. The risk-free rate is based on the U.S. Treasury yield curve in effect at the time of grant for periods corresponding with the expected life of the option. Forfeitures are recognized as they occur. No dividend yield was assumed as the Company does not pay, and does not expect to pay, dividends on its common stock. The assumptions underlying these valuations represent management’s best estimates, which involve inherent uncertainties and the application of management’s judgement.</w:t>
      </w:r>
    </w:p>
    <w:p>
      <w:pPr>
        <w:spacing w:after="0" w:line="16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accordance with ASU No. 2018-07, Compensation-Stock Compensation (Topic 718): Improvements to Nonemployee Share-Based Payment Accounting, compensation expense for stock-based awards granted to nonemployees is recognized over the period during which services are rendered by such nonemployees. The new standard largely aligns the accounting for share-based payment awards issued to employees and nonemployees by expanding the scope of ASC 718 to apply to nonemployee share-based transactions, as long as the transaction is not effectively a form of financing. There was no adjustment to the financial statements upon adoption of this standard as of January 1, 2020.</w:t>
      </w:r>
    </w:p>
    <w:p>
      <w:pPr>
        <w:spacing w:after="0" w:line="16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As there had been no public market for the Company’s common stock prior to the IPO, the estimated fair value of its common stock has been determined by its board of directors as of the date of each option grant, with input from management, considering the Company’s most recently available third-party valuations of common stock and its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Each valuation methodology includes estimates and assumptions that require the Company’s judgment. These estimates and assumptions include a number of objective and subjective factors, including external market conditions, the prices at which the Company sold shares of preferred stock, the superior rights and preferences of securities senior to the Company’s common stock at the time of, and the likelihood of, achieving a liquidity event, such as an initial public offering or sale.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assumptions underlying these valuations represent management’s best estimates, which involve inherent uncertainties and the application of management’s judgment. As a result, if the Company had used different assumptions or estimates, the fair value of its common stock and its stock-based compensation expense could be materially different.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Goodwill represents the excess of the fair value of the acquiree over the recognized bases of the net identifiable assets acquired and includes the future economic benefits from other assets that could not be individually identified and separately recognized. Goodwill is not amortized, but instead is periodically reviewed for impairment and an impairment charge is recorded in the periods in which the recorded carrying value of goodwill exceeds its fair value.</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 quarterly basis, the Company performs a review of its business to determine if events or changes in circumstances have occurred which could have a material adverse effect on the fair value of the Company and its goodwill. If such events or changes in circumstances were deemed to have occurred, the Company would perform an impairment test of goodwill as of the end of the quarter and record any noted impairment loss.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goodwill test is performed at least annually, or more frequently if events or changes in circumstances indicate that the asset might be impaired.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performs its annual impairment test during the fourth quarter of each fiscal year. There were no impairments in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Intangible assets are recognized at fair value, as an asset apart from goodwill if the asset (i) arises from contractual or other legal rights, or (ii) is separable. Intangible assets, principally representing technology acquired, are capitalized and amortized on the straight-line method over their expected useful lives.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reviews the recoverability of its long-lived assets (including amortizable intangible assets), other than goodwill, when events or changes in circumstances occur that indicate that the carrying value of the asset may not be recoverable.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17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2016, the FASB issued ASU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 Instruments-Overall, applied on an instrument-by-instrument basis for eligible instruments. ASU No. 2016-13, Financial Instruments - Credit Losses (Topic 326) will become effective for the Company on January 1, 2023. The Company is currently assessing the impact of the adoption of this guidance on its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The adoption of this standard did not have a material impact to the financial statements.</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January 2017, the FASB issued ASU No. ASU 2017-04, Intangibles—Goodwill and Other (Topic 350</w:t>
      </w:r>
      <w:r>
        <w:rPr>
          <w:rFonts w:ascii="Arial" w:cs="Arial" w:eastAsia="Arial" w:hAnsi="Arial"/>
          <w:sz w:val="17"/>
          <w:szCs w:val="17"/>
          <w:i w:val="1"/>
          <w:iCs w:val="1"/>
          <w:color w:val="auto"/>
        </w:rPr>
        <w:t>)</w:t>
      </w:r>
      <w:r>
        <w:rPr>
          <w:rFonts w:ascii="Arial" w:cs="Arial" w:eastAsia="Arial" w:hAnsi="Arial"/>
          <w:sz w:val="17"/>
          <w:szCs w:val="17"/>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Early adoption of the standard is permitted. The Company is currently evaluating the new guidance and assessing the potential impact on its consolidated financial statements.</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Marketable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Marketable securities as of December 31, 2021 consisted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140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12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10"/>
                <w:szCs w:val="10"/>
                <w:color w:val="auto"/>
              </w:rPr>
            </w:pPr>
          </w:p>
        </w:tc>
        <w:tc>
          <w:tcPr>
            <w:tcW w:w="134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7"/>
              </w:rPr>
              <w:t>Gains</w:t>
            </w:r>
          </w:p>
        </w:tc>
        <w:tc>
          <w:tcPr>
            <w:tcW w:w="160" w:type="dxa"/>
            <w:vAlign w:val="bottom"/>
          </w:tcPr>
          <w:p>
            <w:pPr>
              <w:spacing w:after="0"/>
              <w:rPr>
                <w:sz w:val="10"/>
                <w:szCs w:val="10"/>
                <w:color w:val="auto"/>
              </w:rPr>
            </w:pPr>
          </w:p>
        </w:tc>
        <w:tc>
          <w:tcPr>
            <w:tcW w:w="140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jc w:val="right"/>
              <w:ind w:right="2270"/>
              <w:spacing w:after="0"/>
              <w:rPr>
                <w:sz w:val="20"/>
                <w:szCs w:val="20"/>
                <w:color w:val="auto"/>
              </w:rPr>
            </w:pPr>
            <w:r>
              <w:rPr>
                <w:rFonts w:ascii="Arial" w:cs="Arial" w:eastAsia="Arial" w:hAnsi="Arial"/>
                <w:sz w:val="18"/>
                <w:szCs w:val="18"/>
                <w:b w:val="1"/>
                <w:bCs w:val="1"/>
                <w:color w:val="auto"/>
                <w:w w:val="82"/>
              </w:rPr>
              <w:t>Assets:</w:t>
            </w:r>
          </w:p>
        </w:tc>
        <w:tc>
          <w:tcPr>
            <w:tcW w:w="1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9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Pr>
          <w:p>
            <w:pPr>
              <w:jc w:val="right"/>
              <w:ind w:right="155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U.S. Treasuries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42,147,385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(28,575)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42,118,810</w:t>
            </w:r>
          </w:p>
        </w:tc>
        <w:tc>
          <w:tcPr>
            <w:tcW w:w="0" w:type="dxa"/>
            <w:vAlign w:val="bottom"/>
          </w:tcPr>
          <w:p>
            <w:pPr>
              <w:spacing w:after="0"/>
              <w:rPr>
                <w:sz w:val="1"/>
                <w:szCs w:val="1"/>
                <w:color w:val="auto"/>
              </w:rPr>
            </w:pPr>
          </w:p>
        </w:tc>
      </w:tr>
      <w:tr>
        <w:trPr>
          <w:trHeight w:val="216"/>
        </w:trPr>
        <w:tc>
          <w:tcPr>
            <w:tcW w:w="2920" w:type="dxa"/>
            <w:vAlign w:val="bottom"/>
          </w:tcPr>
          <w:p>
            <w:pPr>
              <w:jc w:val="right"/>
              <w:ind w:right="21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19,218,057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(13,689)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19,204,368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12,992,165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(4,197)</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12,988,025</w:t>
            </w:r>
          </w:p>
        </w:tc>
        <w:tc>
          <w:tcPr>
            <w:tcW w:w="0" w:type="dxa"/>
            <w:vAlign w:val="bottom"/>
          </w:tcPr>
          <w:p>
            <w:pPr>
              <w:spacing w:after="0"/>
              <w:rPr>
                <w:sz w:val="1"/>
                <w:szCs w:val="1"/>
                <w:color w:val="auto"/>
              </w:rPr>
            </w:pPr>
          </w:p>
        </w:tc>
      </w:tr>
      <w:tr>
        <w:trPr>
          <w:trHeight w:val="210"/>
        </w:trPr>
        <w:tc>
          <w:tcPr>
            <w:tcW w:w="29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Current</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74,357,607</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(46,461)</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74,311,203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jc w:val="right"/>
              <w:ind w:right="1310"/>
              <w:spacing w:after="0"/>
              <w:rPr>
                <w:sz w:val="20"/>
                <w:szCs w:val="20"/>
                <w:color w:val="auto"/>
              </w:rPr>
            </w:pPr>
            <w:r>
              <w:rPr>
                <w:rFonts w:ascii="Arial" w:cs="Arial" w:eastAsia="Arial" w:hAnsi="Arial"/>
                <w:sz w:val="18"/>
                <w:szCs w:val="18"/>
                <w:b w:val="1"/>
                <w:bCs w:val="1"/>
                <w:color w:val="auto"/>
              </w:rPr>
              <w:t>Non-current: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U.S. Treasuries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(2,626)</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996,560</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tcPr>
          <w:p>
            <w:pPr>
              <w:jc w:val="right"/>
              <w:ind w:right="210"/>
              <w:spacing w:after="0"/>
              <w:rPr>
                <w:sz w:val="20"/>
                <w:szCs w:val="20"/>
                <w:color w:val="auto"/>
              </w:rPr>
            </w:pPr>
            <w:r>
              <w:rPr>
                <w:rFonts w:ascii="Arial" w:cs="Arial" w:eastAsia="Arial" w:hAnsi="Arial"/>
                <w:sz w:val="18"/>
                <w:szCs w:val="18"/>
                <w:color w:val="auto"/>
              </w:rPr>
              <w:t>Government securities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Total Non-current</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999,186</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996,560</w:t>
            </w:r>
          </w:p>
        </w:tc>
        <w:tc>
          <w:tcPr>
            <w:tcW w:w="0" w:type="dxa"/>
            <w:vAlign w:val="bottom"/>
          </w:tcPr>
          <w:p>
            <w:pPr>
              <w:spacing w:after="0"/>
              <w:rPr>
                <w:sz w:val="1"/>
                <w:szCs w:val="1"/>
                <w:color w:val="auto"/>
              </w:rPr>
            </w:pPr>
          </w:p>
        </w:tc>
      </w:tr>
      <w:tr>
        <w:trPr>
          <w:trHeight w:val="210"/>
        </w:trPr>
        <w:tc>
          <w:tcPr>
            <w:tcW w:w="29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marketable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75,356,793</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(49,087)</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75,307,763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marketable securities as of December 31, 2020.</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There were no impairments of the Company’s available-for-sale marketable securities measured and carried at fair value during the year ended December 31, 2021. Realized gains and losses are included in other expense on a specific-identification basis. There were no realized gains or losses on marketable securities for the year ended December 31, 2021.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summarizes our cash equivalents and marketable securities measured at fair value on a recurring basis as of December 31, 2021:</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Money market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33,961,344</w:t>
            </w:r>
          </w:p>
        </w:tc>
        <w:tc>
          <w:tcPr>
            <w:tcW w:w="4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33,961,344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33,961,344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35,961,344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Treasuries</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43,115,370</w:t>
            </w:r>
          </w:p>
        </w:tc>
        <w:tc>
          <w:tcPr>
            <w:tcW w:w="4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19,204,368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19,204,368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12,988,025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43,115,370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32,192,393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75,307,763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Total cash equivalents and marketable securities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77,076,714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34,192,393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111,269,107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were no transfers between Level 1 and Level 2 and we had no financial assets or liabilities that were classified as Level 3 at any point during the year ended December 31, 2021. There were no marketable securities as of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Property and Equipment,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174,317</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18,798</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152,117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193,115</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(174,219)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(128,752)</w:t>
            </w:r>
          </w:p>
        </w:tc>
      </w:tr>
      <w:tr>
        <w:trPr>
          <w:trHeight w:val="209"/>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64,363</w:t>
            </w: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Depreciation expense totaled $45,467 and $24,328 for the year ended December 31, 2021 and 2020, respectively.</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Business Combination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BioArkive Acquisition</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 December 22, 2021, the Company completed the acquisition of all outstanding shares of capital stock of BioArkive, Inc., a California corporation (“BioArkive”), for a market value of $8.75 million.</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BioArkive is a San Diego based contract research organization that has previously provided preclinical research services and biosample storage to the Company and other biotechnology companies. BioArkive is in the process of being fully integrated into the Company to exclusively support the Company's internal preclinical research activities for its oncology pipeline.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connection with the acquisition, the Company has assumed the obligations under BioArkive’s three lease agreements.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purchase price was paid by Immuneering through the issuance of an aggregate of 379,635 shares of Immuneering’s Class A common stock. The number of shares of common stock issued was calculated using a value based on the average of the daily volume weighted average prices of the common stock on the Nasdaq Stock Exchange for the 30-trading day period ending on and including the trading day immediately prior to the closing date. The sellers of BioArkive are restricted from selling these shares for a 6 month period from the date of the acquisition. As such, we estimated that there was an approximate 10% discount for the lack of marketability of the shares. The fair value of the purchase price in the acquisition has been preliminarily estimated to be $7,875,000.</w:t>
      </w:r>
    </w:p>
    <w:p>
      <w:pPr>
        <w:spacing w:after="0" w:line="17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Prior to the acquistion, Brett Hall, Chief Scientific Officer of Immuneering and the Founder and Chairman of the board of directors of BioArkive, held the majority of the outstanding shares of BioArkive capital stock. BioArkive provided contract services to the Company. Research and development expenses in the consolidated statement of operations include the cost of services provided by BioArkive to the Company which amounted to $4,548,780 in 2021 through date of the acquisition and $2,744,051 in 2020. As of December 31, 2020, $279,153 was owed to BioArkive and is included in accounts payable or accrued contract research expenses in the consolidated balance sheets.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Assets Acquired and Liabilities Assumed at Fair Value</w:t>
      </w:r>
    </w:p>
    <w:p>
      <w:pPr>
        <w:spacing w:after="0" w:line="22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The BioArkive Acquisition has been accounted for using the acquisition method of accounting. This method requires that assets acquired and liabilities assumed in a business combination to be recognized at their fair values as of the acquisition date. As of December 31, 2021, certain amounts relating to working capital have not been finalized. The finalization of these matters could result in changes to goodwill.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estimated fair value of the intangible assets was determined using the relief from royalty approach.</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Goodwill is the excess of the consideration transferred over the net assets recognized and represents the expected cost savings of the combined company and assembled workforce. One of the key factors that contributes to the recognition of goodwill, and a driver for the Company's acquisition of BioArkive, is the planned investment in the internal preclinical research activities for our oncology pipeline. Goodwill recognized as a result of this acquisition is non-deductible for income tax purposes.</w:t>
      </w:r>
    </w:p>
    <w:p>
      <w:pPr>
        <w:spacing w:after="0" w:line="188"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Pro forma results are not presented for this acquisition as they are not material to the consolidated results of the Company’s operations.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Preliminary Valuation</w:t>
            </w:r>
          </w:p>
        </w:tc>
        <w:tc>
          <w:tcPr>
            <w:tcW w:w="1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Weighted Average Life</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70,348</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Other currents assets</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225,790</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87,796</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727,539</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4,824,700</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Intangible asset</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439,000</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15 years</w:t>
            </w: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6,701,726</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13,076,899</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69,714</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307,485</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4,824,700</w:t>
            </w:r>
          </w:p>
        </w:tc>
        <w:tc>
          <w:tcPr>
            <w:tcW w:w="18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r>
      <w:tr>
        <w:trPr>
          <w:trHeight w:val="209"/>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7,875,000</w:t>
            </w:r>
          </w:p>
        </w:tc>
        <w:tc>
          <w:tcPr>
            <w:tcW w:w="1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Accrued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consisted of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250,977</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Accrued employee expenses</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2,917,282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contract research expenses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2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211,772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3,965,447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Convertible Preferred Stock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Series A Preferred Stock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September 2019, the Company authorized the sale and issuance of up to 1,987,979 shares of Series A Preferred Stock, $0.001 par value per share, at an original issuance price of $8.5514 per share. In January 2020, the number of shares authorized for the Series A Preferred Stock was increased to 2,495,933 shares. The Series A Preferred Stock financing was structured to be issued in rolling closes during 2019 and 2020.</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September 20, 2019, the Company issued an additional 1,122,458 shares of Series A Preferred Stock for gross cash proceeds of $9,598,847 and issued 785,706 shares of Series A Preferred Stock in conjunction with the conversion of the outstanding amount of the Convertible Notes. In 2019, the Company incurred issuance costs of $200,587 in connection with this offering.</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received funds for issuance of an additional 468,315 shares of Series A Preferred Stock for gross cash proceeds of $4,004,975 through December 31, 2019. Of these shares, 410,436 shares of Series A Preferred Stock for gross cash proceeds of $3,509,802 exceeded the authorized amount allowed by the articles of incorporation, resulting in a liability of $3,509,802 and a total of 1,966,043 shares of Series A Preferred Stock outstanding at December 31, 2019. In January 2020, the shares that were previously classified as a liability as of December 31, 2019 were reclassified to temporary equity upon the approved increase to authorized shares of Series A Preferred Stock.</w:t>
      </w:r>
    </w:p>
    <w:p>
      <w:pPr>
        <w:spacing w:after="0" w:line="17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 January 2020, the Company issued 119,454 additional shares of Series A Preferred Stock for gross cash proceeds of $1,021,413. The Company incurred issuance costs of $23,610 in connection with the financing in January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Series B Preferred Stock</w:t>
      </w:r>
    </w:p>
    <w:p>
      <w:pPr>
        <w:spacing w:after="0" w:line="229"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In December 2020, the Company authorized the sale and issuance of up to 6,032,183 shares of Series B Preferred Stock, $0.001 par value per share, at an original issuance price of $10.2782 per share. The Series B Preferred Stock financing was structured to close in two tranches. The first tranche closed in December 2020 and the Company issued 3,619,292 shares of Series B Preferred Stock for gross cash proceeds of $37,199,929. The Company incurred issuance costs of $216,019 in connection with the financing in December 2020.</w:t>
      </w:r>
    </w:p>
    <w:p>
      <w:pPr>
        <w:spacing w:after="0" w:line="1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determined the right of the investors to purchase 2,412,853 shares of Series B Preferred Stock in the second tranche does not meet the definition of a freestanding financial instrument as it is not separable from the Series B Preferred Stock issued in the first tranche. The issuance of the second tranche is subject to the Company meeting certain development milestones or at the election of the holders of at least a majority of the then outstanding shares of Series B Preferred Stock which must include one specific shareholder (the “Requisite Holders”). Each holder of Series B Preferred Stock may elect to purchase their requisite shares of the second tranche at any time. As of March 31, 2021, the Company had not met these development milestones nor did the Requisite Holders elect to purchase the second tranche prior to meeting these milestones and therefore no shares of the second tranche were issued.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April and May 2021, all 2,412,853 shares of the second tranche of Series B Preferred Stock were issued based on the voluntary election of substantially all of the holders of Series B Preferred Stock. The Company received gross proceeds of $24,799,786. The Company incurred issuance costs of $10,935 in connection with the second tranche of Series B Preferred Stock.</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rights and preferences of the Series A Preferred Stock and Series B Preferred Stock (“Preferred Stock”) were as described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Conversion</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Each share of Preferred Stock may be converted at any time, at the option of the holder, into shares of Class A common stock, subject to the applicable conversion rate as determined by dividing the original issue price by the conversion price. The conversion price for the Series A Preferred Stock and Series B Preferred Stock (as may be adjusted for certain customary dilutive events) is $6.1081 and $7.3416, respectively. The Preferred Stock automatically convert into shares of Class A common stock at the then effective conversion rate upon the closing of a public offering of the Company’s securities with gross proceeds to the Company of at least $75,000,000 and a share price of at least $7.3416 or at the election of the holders of the Requisite Holders.</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Holders of Series B Preferred Stock that would beneficially own at least 9.9% of any then outstanding class of equity securities may elect to receive a portion of their converted Series B Preferred Stock as Class B common stock upon conversion.</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Upon the closing of the IPO on August 3, 2021, all 8,528,078 shares of the Company’s convertible preferred stock then outstanding automatically converted into 11,939,281 shares of Class A common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Preferred Stockholders are entitled to receive per annum dividends of 7% of the original issue price share, payable only when, as and if declared by the Board of Directors. The right to receive these dividends is not cumulative, and therefore, if not declared in any year, the right to receive such dividends shall terminate and not carry forward into the next year. As of December 31, 2021 and December 31, 2020, no dividends had been declared.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Voting Rights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Preferred Stock and common stock vote together as one class on an as converted basis. Common stock voting rights on certain matters are subject to the powers, preferences, and rights of the Preferred Stock. Preferred Stockholders are entitled to vote on all matters and shall have the number of votes equal to the number of shares of common stock into which the shares of Preferred Stock held by such holder are then convertible. As long as 2,132,029 shares of Preferred Stock are outstanding, certain actions such as mergers, acquisition, liquidation, dissolution, wind up of business, and deemed liquidation events, must be approved by the holders of at least a majority of the then-outstanding shares of Preferred Stock.</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Liquidation Preference</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Upon liquidation, dissolution, or winding up of business, holders of Preferred Stock are entitled to receive a liquidation preference in priority to holders of common stock at the original respective Preferred Stock issue price for such series. If assets available for distribution are insufficient to satisfy the liquidation payment to holders of Preferred Stock in full, assets available for distribution will be allocated among holders of Preferred Stock on a pari passu basis at an amount per share equal to the greater of the respective original Preferred Stock issue price for such series plus any declared but unpaid dividends or such amount had all shares been converted to common stock.</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When holders of Preferred Stock are satisfied in full, any excess assets available for distribution will be allocated ratably among common stock holders based on their pro rata shareholdings. Upon a deemed liquidation event, as defined in the articles of incorporation, holders have the option to redeem their shares at the liquidation payment amounts summarized above.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Redemption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than described above, the shares of Preferred Stock are not redeemable.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Common Stock</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had 200,000,000 authorized shares of Class A common stock, $0.001 par value per share as of December 31, 2021 and 22,026,200 authorized shares of Class A common stock, $0.001 par value per share as of December 31, 2020, respectively, of which 26,320,199 and 4,950,129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December 31, 2021 and December 31, 2020, the following number of shares of Class A common stock have been reserved: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940" w:type="dxa"/>
            <w:vAlign w:val="bottom"/>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r>
      <w:tr>
        <w:trPr>
          <w:trHeight w:val="209"/>
        </w:trPr>
        <w:tc>
          <w:tcPr>
            <w:tcW w:w="6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Series A Preferred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3,494,306</w:t>
            </w: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Conversion of Series B Preferred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5,066,995</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common stock warrants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308,308</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 of common stock options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2,859,544</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1,801,263</w:t>
            </w:r>
          </w:p>
        </w:tc>
      </w:tr>
      <w:tr>
        <w:trPr>
          <w:trHeight w:val="210"/>
        </w:trPr>
        <w:tc>
          <w:tcPr>
            <w:tcW w:w="69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2,859,544</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10,670,872</w:t>
            </w:r>
          </w:p>
        </w:tc>
      </w:tr>
      <w:tr>
        <w:trPr>
          <w:trHeight w:val="20"/>
        </w:trPr>
        <w:tc>
          <w:tcPr>
            <w:tcW w:w="6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had 20,000,000 authorized shares of Class B common stock, $0.001 par value per share as of December 31, 2021 and 6,032,183 authorized shares of Class B common stock, $0.001 par value per share as of December 31, 2020,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During 2019, the Company issued warrants to purchase an aggregate of 308,308 shares of Class A common stock at an exercise price of $3.01 per share to several advisors, including 200,984 shares to entities related to members of the Board of Directors of the Company, in lieu of cash payments. These warrants vested immediately upon issuance, became exercisable on January 9, 2021 and have a 10-year term set to expire on January 9, 2030. The Company evaluated the terms of these warrants and determined that equity classification was appropriate. As of December 31, 2020, no warrants had been exercised. During June 2021, all warrant holders exercised their warrants to purchase an aggregate of 308,308 shares of common stock. As of December 31, 2021, there were no warrants outstanding.</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August 3, 2021, the Company completed its initial public offering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17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August 3, 2021 in connection with the closing of the IPO, the Company filed a restated certificate of incorporation, which amended and restated the Company’s certificate of incorporation to, among other things: (i) increase the number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authorized shares of common stock to 200,000,000 shares of Class A common stock, 20,000,000 shares of Class B common stock, par value $0.001 per share, and (ii) authorize 10,000,000 shares of Preferred Stock; and (iii) authorize the Board of Directors to establish the rights, preferences and restrictions on any unissued series of Preferred Stock.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Net Loss Per Share Attributable to Common Stockholders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at December 31, 2021 and 2020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(33,535,748)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(17,039,898)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Denominator - basic and diluted: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13,612,677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4,950,129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following table sets forth the potentially dilutive securities that have been excluded from the calculation of diluted net loss per share because to include them would be anti-dilutive (in common stock equivalent shares) at December 31, 2021 and 2020:</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Series B Preferred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to purchase common stock</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2,859,544</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of common stock equivalents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2,859,544</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10,670,872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As of December 31, 2021, the maximum number of shares available for issuance under the Incentive Plan was 2,825,173 shares. Upon the effectiveness of the Company’s 2021 Incentive Award Plan, the Company ceased granting awards under the Incentive Plan. However, the Incentive Plan continues to goven awards outstanding thereunder.</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On July 23, 2021, the Company’s Board of Directors adopted, and on July 23, 2021 its stockholders approved, the 2021 Incentive Award Plan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otherwise terminated. As of December 31, 2021, there were 2,298,432 shares available for future issuance under the 2021 Plan.</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December 31, 2021, no shares had been issued under the 2021 ESPP.</w:t>
      </w:r>
    </w:p>
    <w:p>
      <w:pPr>
        <w:spacing w:after="0" w:line="18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During the year ended December 31, 2021 and 2020, the Company recognized stock-based compensation expense of $1,802,623 and $1,086,769, respectively. As of December 31, 2021, compensation expense remaining to be recognized for outstanding stock options was $8,403,600 and to be recognized over a weighted-average period of 2.93 years.</w:t>
      </w:r>
    </w:p>
    <w:p>
      <w:pPr>
        <w:spacing w:after="0" w:line="14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fair value of options granted is calculated on the grant date using the Black-Scholes option valuation model. The Company historically has been a private company and lacks company-specific historical and implied volatility information. Therefore, it estimates its expected stock volatility based on the historical volatility of a publicly traded set of peer public companies and expects to continue to do so until such time as it has adequate historical data regarding the volatility of its own traded stock price. For the year ended December 31, 2021, the Company granted 1,452,462 shares of stock options at a weighted-average grant date fair value of $6.29. For the year ended December 31, 2020, the Company granted 343,169 shares at a weighted-average grant date fair value of $3.06.</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used the following assumptions in its application of the Black-Scholes option pricing model for grants during the year ended December 31, 2021 and 2020:</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7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0.89% - 1.71%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0.36% - 1.45%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5.83 - 10 years</w:t>
            </w:r>
          </w:p>
        </w:tc>
        <w:tc>
          <w:tcPr>
            <w:tcW w:w="1280" w:type="dxa"/>
            <w:vAlign w:val="bottom"/>
          </w:tcPr>
          <w:p>
            <w:pPr>
              <w:ind w:left="100"/>
              <w:spacing w:after="0"/>
              <w:rPr>
                <w:sz w:val="20"/>
                <w:szCs w:val="20"/>
                <w:color w:val="auto"/>
              </w:rPr>
            </w:pPr>
            <w:r>
              <w:rPr>
                <w:rFonts w:ascii="Arial" w:cs="Arial" w:eastAsia="Arial" w:hAnsi="Arial"/>
                <w:sz w:val="18"/>
                <w:szCs w:val="18"/>
                <w:color w:val="auto"/>
                <w:w w:val="96"/>
              </w:rPr>
              <w:t>5.92 - 10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66.76% - 80.99%</w:t>
            </w:r>
          </w:p>
        </w:tc>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67.30% - 80.85%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stock option activity during the year ended December 31, 2021 under the Plan:</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9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18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Exercise Price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right"/>
              <w:ind w:right="102"/>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Outstanding at of December 31, 2020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1,801,263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1,452,462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(117,847)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Outstanding at December 31, 2021</w:t>
            </w:r>
          </w:p>
        </w:tc>
        <w:tc>
          <w:tcPr>
            <w:tcW w:w="7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2,859,544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27,615,466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Vested and exercisable at December 31, 2021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1,102,543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14,507,723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6"/>
              </w:rPr>
              <w:t>Vested and expected to vest at December 31, 2021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2,859,544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27,615,466</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For the year ended December 31, 2021 and 2020, the Company recognized share-based compensation expense recognized on the accompanying consolidated statements of operations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103,329</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768,679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503,111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930,615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1,802,623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1,086,769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 reconciliation of the effect of applying the federal statutory rate to the net loss and the effective income tax rate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840" w:type="dxa"/>
            <w:vAlign w:val="bottom"/>
          </w:tcPr>
          <w:p>
            <w:pPr>
              <w:ind w:left="20"/>
              <w:spacing w:after="0"/>
              <w:rPr>
                <w:sz w:val="20"/>
                <w:szCs w:val="20"/>
                <w:color w:val="auto"/>
              </w:rPr>
            </w:pPr>
            <w:r>
              <w:rPr>
                <w:rFonts w:ascii="Arial" w:cs="Arial" w:eastAsia="Arial" w:hAnsi="Arial"/>
                <w:sz w:val="18"/>
                <w:szCs w:val="18"/>
                <w:color w:val="auto"/>
              </w:rPr>
              <w:t>State tax, net of federal benefit</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5.5 %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6.3 %</w:t>
            </w: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840" w:type="dxa"/>
            <w:vAlign w:val="bottom"/>
          </w:tcPr>
          <w:p>
            <w:pPr>
              <w:ind w:left="20"/>
              <w:spacing w:after="0"/>
              <w:rPr>
                <w:sz w:val="20"/>
                <w:szCs w:val="20"/>
                <w:color w:val="auto"/>
              </w:rPr>
            </w:pPr>
            <w:r>
              <w:rPr>
                <w:rFonts w:ascii="Arial" w:cs="Arial" w:eastAsia="Arial" w:hAnsi="Arial"/>
                <w:sz w:val="18"/>
                <w:szCs w:val="18"/>
                <w:color w:val="auto"/>
              </w:rPr>
              <w:t>Federal research and development credits</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5.6 %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research and development credits</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16"/>
        </w:trPr>
        <w:tc>
          <w:tcPr>
            <w:tcW w:w="684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differences</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84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(31.1)%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(27.3)%</w:t>
            </w:r>
          </w:p>
        </w:tc>
      </w:tr>
      <w:tr>
        <w:trPr>
          <w:trHeight w:val="210"/>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December 31, 2021 and 2020, the components and tax effects of each type of item that gave rise to the net deferred tax assets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r>
      <w:tr>
        <w:trPr>
          <w:trHeight w:val="20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373,602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73,984</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R&amp;D credit carryforward</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3,346,097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1,574,596</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NOL carryforward</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14,699,524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5,525,123</w:t>
            </w:r>
          </w:p>
        </w:tc>
      </w:tr>
      <w:tr>
        <w:trPr>
          <w:trHeight w:val="210"/>
        </w:trPr>
        <w:tc>
          <w:tcPr>
            <w:tcW w:w="668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18,432,213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7,173,703</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(17,677,899)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(7,127,448)</w:t>
            </w:r>
          </w:p>
        </w:tc>
      </w:tr>
      <w:tr>
        <w:trPr>
          <w:trHeight w:val="210"/>
        </w:trPr>
        <w:tc>
          <w:tcPr>
            <w:tcW w:w="668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754,314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46,255</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Prepaid expenses deducted for tax</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(425,755)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(28,671)</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depreciation in excess of book</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(328,559)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(17,584)</w:t>
            </w:r>
          </w:p>
        </w:tc>
      </w:tr>
      <w:tr>
        <w:trPr>
          <w:trHeight w:val="20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(754,314)</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(46,255)</w:t>
            </w:r>
          </w:p>
        </w:tc>
      </w:tr>
      <w:tr>
        <w:trPr>
          <w:trHeight w:val="21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Federal net operating losses (“NOL”) generated in tax years ended after December 31, 2017 are limited to 80% of taxable income, only carried forward and carried forward indefinitely under the Internal Revenue Code (“IRC”). The Company recorded a deferred tax liability of $304,485 on the acquisition of BioArkive. It had pre-existing deferred tax assets for which there was a fuill valuation allowance. As a result of the taxable temporary differences recognized in the business combination, the Company released $304,485 of its valuation allowance and recognized the income tax benefit in the income statement at the acquisition date in accordance with ASC 740 There was no income tax expense or benefit in 2020. The Company has provided a valuation allowance for the full amount of the net deferred tax assets as, based on all available evidence, it is considered more likely than not that all the recorded deferred tax assets will not be realized in a future period. At December 31, 2021, the Company has federal and state NOLs of $56,544,731 and $51,310,112,</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respectively all generated after the tax year ended December 31, 2017. At December 31, 2021, the Company has federal and state research and development credit carryforwards, $3,034,827 and $394,013, respectively, that start to expire beginning in 2025.</w:t>
      </w:r>
    </w:p>
    <w:p>
      <w:pPr>
        <w:spacing w:after="0" w:line="184" w:lineRule="exact"/>
        <w:rPr>
          <w:sz w:val="20"/>
          <w:szCs w:val="20"/>
          <w:color w:val="auto"/>
        </w:rPr>
      </w:pPr>
    </w:p>
    <w:p>
      <w:pPr>
        <w:ind w:left="60" w:right="379"/>
        <w:spacing w:after="0" w:line="257" w:lineRule="auto"/>
        <w:rPr>
          <w:sz w:val="20"/>
          <w:szCs w:val="20"/>
          <w:color w:val="auto"/>
        </w:rPr>
      </w:pPr>
      <w:r>
        <w:rPr>
          <w:rFonts w:ascii="Arial" w:cs="Arial" w:eastAsia="Arial" w:hAnsi="Arial"/>
          <w:sz w:val="18"/>
          <w:szCs w:val="18"/>
          <w:color w:val="auto"/>
        </w:rPr>
        <w:t>As the Company has not yet achieved profitable operations, management believes the tax benefits as of December 31, 2021 did not satisfy the realization criteria set forth in ASC Topic 740, Income Taxes and, therefore, has recorded a full valuation allowance for the entire deferred tax asset. The valuation allowance increased in 2021 by $10,550,451 due to the increase in the deferred tax assets by the same amount, primarily due to NOL and research and development credit carryforwards.</w:t>
      </w:r>
    </w:p>
    <w:p>
      <w:pPr>
        <w:spacing w:after="0" w:line="188" w:lineRule="exact"/>
        <w:rPr>
          <w:sz w:val="20"/>
          <w:szCs w:val="20"/>
          <w:color w:val="auto"/>
        </w:rPr>
      </w:pPr>
    </w:p>
    <w:p>
      <w:pPr>
        <w:jc w:val="both"/>
        <w:ind w:left="60" w:right="219"/>
        <w:spacing w:after="0" w:line="286" w:lineRule="auto"/>
        <w:rPr>
          <w:sz w:val="20"/>
          <w:szCs w:val="20"/>
          <w:color w:val="auto"/>
        </w:rPr>
      </w:pPr>
      <w:r>
        <w:rPr>
          <w:rFonts w:ascii="Arial" w:cs="Arial" w:eastAsia="Arial" w:hAnsi="Arial"/>
          <w:sz w:val="16"/>
          <w:szCs w:val="16"/>
          <w:color w:val="auto"/>
        </w:rPr>
        <w:t>Utilization of the U.S. net operating loss carryforwards and research and development tax credit carryforwards may be subject to a substantial annual limitation under Section 382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by the Company and any limitation is known, some amounts are being presented as an uncertain tax position.</w:t>
      </w:r>
    </w:p>
    <w:p>
      <w:pPr>
        <w:spacing w:after="0" w:line="167"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As of December 31, 2021 and 2020, the Company had uncertain tax positions of $380,902 and $174,950 which have been classified as reductions of its tax carrforwards. The Company has elected to recognize interest and penalties related to income tax matters as a component of income tax expense, of which no interest or penalties were recorded for the years ended December 31, 2021 and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2021 and 2020, unrecognized tax benefits were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96,952</w:t>
            </w:r>
          </w:p>
        </w:tc>
      </w:tr>
      <w:tr>
        <w:trPr>
          <w:trHeight w:val="21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due to current year tax position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205,952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77,998</w:t>
            </w:r>
          </w:p>
        </w:tc>
      </w:tr>
      <w:tr>
        <w:trPr>
          <w:trHeight w:val="21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380,902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174,950</w:t>
            </w: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The Company files tax returns in the United States including California, New York, Pennsylvania, Massachusetts and Texas. All tax years from 2017 to 2021 remain open to examination by the major taxing jurisdictions to which the Company is subject, as carryforward attributes generated in years past may still be adjusted upon examination by the Internal Revenue Service (“IRS”) or other authorities if they have or will be used in a future period. The Company is not currently under examination by the IRS or any other jurisdictions for any tax years.</w:t>
      </w:r>
    </w:p>
    <w:p>
      <w:pPr>
        <w:spacing w:after="0" w:line="1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March 27, 2020, the Coronavirus Aid, Relief, and Economic Security Act (the “CARES Act”) was enacted in response to the COVID-19 pandemic. The CARES Act, among other things, permits NOL carryovers and carrybacks to offset 100% of taxable income for taxable years beginning before 2021. In addition, the CARES Act allows NOLs incurred in 2019, 2020, and 2021 to be carried back to each of the five preceding taxable years to generate a refund of previously paid income taxes. The enactment of the CARES Act resulted in increased federal and state research and development carryforwards from 2013 through 2018 of $93,437 and decreased federal NOL of $759,794 from 2018.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Operating Leases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leases office space in Cambridge, Massachusetts, New York, New York and as of July 2021, San Francisco, California, pursuant to short-term arrangements. The Cambridge and San Francisco leases are on a month-to-month basis, requiring one month’s notice before termination. The New York lease is renewable on a quarterly basis and the last renewal extended the lease term until March 31, 2022. These lease agreements include payments for lease and non-lease components and the Company has elected to not separate such components and these payments were recognized as rent expense.</w:t>
      </w:r>
    </w:p>
    <w:p>
      <w:pPr>
        <w:spacing w:after="0" w:line="1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of December 31, 2021, total future minimum lease payments for its short-term leases in Cambridge, Massachusetts, New York, New York and San Francisco, California was $30,840 due in 2022. The Company leases storage space for its electronic data equipment in Somerville, Massachusetts. This lease is renewable on an annual basis effective every March 1st. Prior to December 31, 2021, the Company renewed the lease through March 31, 2022. As of December 31, 2021, total future minimum lease payments for this lease were $3,569 due in 2022.</w:t>
      </w:r>
    </w:p>
    <w:p>
      <w:pPr>
        <w:spacing w:after="0" w:line="1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In October 2020, the Company entered into an office lease in San Diego, California with a lease term of 67 months. At the lease commencement date, a right-to-use asset and lease liability was recognized by the Company for $637,863.</w:t>
      </w:r>
    </w:p>
    <w:p>
      <w:pPr>
        <w:spacing w:after="0" w:line="14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As part of the BioArkive acquisition, the Company assumed the obligations of three leases in San Diego, California, one is for 38,613 square feet of office and laboratory space, under a lease that terminates on April 30, 2032, a second is a 6,100 square feet of office and laboratory space under a lease that terminates on December 31, 2022, and third is a lease for 4,760 square feet of office and laboratory space under a lease that terminates on March 31, 2024. As a result, we recorded right-to-use assets and lease liabilities of $4,824,700 on the acquisition date of December 22, 2021.</w:t>
      </w:r>
    </w:p>
    <w:p>
      <w:pPr>
        <w:spacing w:after="0" w:line="158" w:lineRule="exact"/>
        <w:rPr>
          <w:sz w:val="20"/>
          <w:szCs w:val="20"/>
          <w:color w:val="auto"/>
        </w:rPr>
      </w:pPr>
    </w:p>
    <w:p>
      <w:pPr>
        <w:jc w:val="both"/>
        <w:ind w:left="60" w:right="79"/>
        <w:spacing w:after="0" w:line="274" w:lineRule="auto"/>
        <w:rPr>
          <w:sz w:val="20"/>
          <w:szCs w:val="20"/>
          <w:color w:val="auto"/>
        </w:rPr>
      </w:pPr>
      <w:r>
        <w:rPr>
          <w:rFonts w:ascii="Arial" w:cs="Arial" w:eastAsia="Arial" w:hAnsi="Arial"/>
          <w:sz w:val="17"/>
          <w:szCs w:val="17"/>
          <w:color w:val="auto"/>
        </w:rPr>
        <w:t>Future minimum lease payments for operating leases with initial or remaining terms in excess of one year at December 31, 2021 were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2023</w:t>
            </w: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2025</w:t>
            </w: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906,839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5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20"/>
              <w:spacing w:after="0"/>
              <w:rPr>
                <w:sz w:val="20"/>
                <w:szCs w:val="20"/>
                <w:color w:val="auto"/>
              </w:rPr>
            </w:pPr>
            <w:r>
              <w:rPr>
                <w:rFonts w:ascii="Arial" w:cs="Arial" w:eastAsia="Arial" w:hAnsi="Arial"/>
                <w:sz w:val="18"/>
                <w:szCs w:val="18"/>
                <w:color w:val="auto"/>
              </w:rPr>
              <w:t>Current portion lease liabilities</w:t>
            </w:r>
          </w:p>
        </w:tc>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274,039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4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45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5,364,936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540" w:type="dxa"/>
            <w:vAlign w:val="bottom"/>
            <w:vMerge w:val="restart"/>
          </w:tcPr>
          <w:p>
            <w:pPr>
              <w:jc w:val="right"/>
              <w:ind w:right="3130"/>
              <w:spacing w:after="0"/>
              <w:rPr>
                <w:sz w:val="20"/>
                <w:szCs w:val="20"/>
                <w:color w:val="auto"/>
              </w:rPr>
            </w:pPr>
            <w:r>
              <w:rPr>
                <w:rFonts w:ascii="Arial" w:cs="Arial" w:eastAsia="Arial" w:hAnsi="Arial"/>
                <w:sz w:val="18"/>
                <w:szCs w:val="18"/>
                <w:color w:val="auto"/>
              </w:rPr>
              <w:t>155</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28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5" w:name="page156"/>
    <w:bookmarkEnd w:id="1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Quantitative information regarding the Company’s leases for the year ended December 31, 2021 and 2020 is as follows: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9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Lease costs: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lease cost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160,872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66,652</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258,357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252,796</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cost</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14,700</w:t>
            </w:r>
          </w:p>
        </w:tc>
        <w:tc>
          <w:tcPr>
            <w:tcW w:w="0" w:type="dxa"/>
            <w:vAlign w:val="bottom"/>
          </w:tcPr>
          <w:p>
            <w:pPr>
              <w:spacing w:after="0"/>
              <w:rPr>
                <w:sz w:val="1"/>
                <w:szCs w:val="1"/>
                <w:color w:val="auto"/>
              </w:rPr>
            </w:pPr>
          </w:p>
        </w:tc>
      </w:tr>
      <w:tr>
        <w:trPr>
          <w:trHeight w:val="209"/>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419,229</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334,148</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operating leases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58,666</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cash flows from short-term leases</w:t>
            </w: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236,700</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252,796</w:t>
            </w:r>
          </w:p>
        </w:tc>
        <w:tc>
          <w:tcPr>
            <w:tcW w:w="0" w:type="dxa"/>
            <w:vAlign w:val="bottom"/>
          </w:tcPr>
          <w:p>
            <w:pPr>
              <w:spacing w:after="0"/>
              <w:rPr>
                <w:sz w:val="1"/>
                <w:szCs w:val="1"/>
                <w:color w:val="auto"/>
              </w:rPr>
            </w:pPr>
          </w:p>
        </w:tc>
      </w:tr>
      <w:tr>
        <w:trPr>
          <w:trHeight w:val="209"/>
        </w:trPr>
        <w:tc>
          <w:tcPr>
            <w:tcW w:w="59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348,227</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311,462</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85"/>
              </w:rPr>
              <w:t>9.62 years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0"/>
              </w:rPr>
              <w:t>5.33 years</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operating leases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and may be exposed to litigation in connection with its products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Clinical Research Contracts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may enter into contracts in the normal course of business with clinical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6" w:name="page157"/>
    <w:bookmarkEnd w:id="1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Our management, with the participation of our President and Chief Executive Officer and our Chief Financial Officer (our principal executive officer and principal financial and accounting officer, respectively),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President and Chief Executive Officer and our Chief Financial Officer concluded that, as of such date, our disclosure controls and procedures were effective at the reasonable assurance level. As permitted by related SEC staff interpretive guidance for newly acquired businesses, the internal control over financial reporting of BioArkive, Inc. was excluded from the evaluation of the effectiveness of our disclosure controls and procedures as of December 31, 2021. BioArkive, Inc., which we acquired in December 2021, represented less than 1% of our consolidated total assets, as of December 31, 2021.</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for so long as we remain an “emerging growth company” as defined in the JOBS Act.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fourth quarter of 2021 that have materially affected, or are reasonably likely to materially affect, our internal control over financial reporting. As noted above, we acquired BioArkive, Inc. in December 2021, We are in the process of reviewing the internal control structure of BioArkive, Inc. and, if necessary, will make appropriate changes as we continue to integrate BioArkive, Inc. into our overall internal control over financial reporting process.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7" w:name="page158"/>
    <w:bookmarkEnd w:id="1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2022 Annual Meeting of Stockholders and is incorporated herein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2022 Annual Meeting of Stockholders and is incorporated herein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information required by this Item 12, including information regarding securities authorized for issuance under equity compensation plans pursuant to Item5(a), Part II of Form 10-K, will be included in our Definitive Proxy Statement to be filed with the SEC with respect to our 2022 Annual Meeting of Stockholders and is incorporated herein by reference.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2022 Annual Meeting of Stockholders and is incorporated herein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2022 Annual Meeting of Stockholders and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1. Financial Statements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a list of the financial statements included herein, see Index to Consolidated Financial Statements in this Annual Report on Form 10-K, incorporated into this Item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Financial Statement Schedules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the Exhibit Index in Item 15(b)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8" w:name="page159"/>
    <w:bookmarkEnd w:id="1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 EXHIBIT INDEX</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Incorporated by Reference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Filed/</w:t>
            </w:r>
          </w:p>
        </w:tc>
      </w:tr>
      <w:tr>
        <w:trPr>
          <w:trHeight w:val="188"/>
        </w:trPr>
        <w:tc>
          <w:tcPr>
            <w:tcW w:w="8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8"/>
              </w:rPr>
              <w:t>Filing</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Furnished</w:t>
            </w:r>
          </w:p>
        </w:tc>
      </w:tr>
      <w:tr>
        <w:trPr>
          <w:trHeight w:val="213"/>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37"/>
          </w:tcPr>
          <w:p>
            <w:pPr>
              <w:ind w:left="220"/>
              <w:spacing w:after="0"/>
              <w:rPr>
                <w:sz w:val="20"/>
                <w:szCs w:val="20"/>
                <w:color w:val="auto"/>
              </w:rPr>
            </w:pPr>
            <w:r>
              <w:rPr>
                <w:rFonts w:ascii="Arial" w:cs="Arial" w:eastAsia="Arial" w:hAnsi="Arial"/>
                <w:sz w:val="16"/>
                <w:szCs w:val="16"/>
                <w:b w:val="1"/>
                <w:bCs w:val="1"/>
                <w:color w:val="auto"/>
              </w:rPr>
              <w:t>Exhibit Description</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File No.</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Exhibit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r>
      <w:tr>
        <w:trPr>
          <w:trHeight w:val="361"/>
        </w:trPr>
        <w:tc>
          <w:tcPr>
            <w:tcW w:w="800" w:type="dxa"/>
            <w:vAlign w:val="bottom"/>
          </w:tcPr>
          <w:p>
            <w:pPr>
              <w:spacing w:after="0"/>
              <w:rPr>
                <w:sz w:val="20"/>
                <w:szCs w:val="20"/>
                <w:color w:val="auto"/>
              </w:rPr>
            </w:pPr>
            <w:r>
              <w:rPr>
                <w:rFonts w:ascii="Arial" w:cs="Arial" w:eastAsia="Arial" w:hAnsi="Arial"/>
                <w:sz w:val="16"/>
                <w:szCs w:val="16"/>
                <w:color w:val="auto"/>
              </w:rPr>
              <w:t>2.1</w:t>
            </w:r>
          </w:p>
        </w:tc>
        <w:tc>
          <w:tcPr>
            <w:tcW w:w="3640" w:type="dxa"/>
            <w:vAlign w:val="bottom"/>
            <w:tcBorders>
              <w:bottom w:val="single" w:sz="8" w:color="0000EE"/>
            </w:tcBorders>
            <w:gridSpan w:val="27"/>
          </w:tcPr>
          <w:p>
            <w:pPr>
              <w:spacing w:after="0"/>
              <w:rPr>
                <w:rFonts w:ascii="Arial" w:cs="Arial" w:eastAsia="Arial" w:hAnsi="Arial"/>
                <w:sz w:val="16"/>
                <w:szCs w:val="16"/>
                <w:color w:val="0000EE"/>
                <w:w w:val="90"/>
              </w:rPr>
            </w:pPr>
            <w:hyperlink r:id="rId199">
              <w:r>
                <w:rPr>
                  <w:rFonts w:ascii="Arial" w:cs="Arial" w:eastAsia="Arial" w:hAnsi="Arial"/>
                  <w:sz w:val="16"/>
                  <w:szCs w:val="16"/>
                  <w:color w:val="0000EE"/>
                  <w:w w:val="90"/>
                </w:rPr>
                <w:t>Share Purchase Agreement by and among Immuneering</w:t>
              </w:r>
            </w:hyperlink>
          </w:p>
        </w:tc>
        <w:tc>
          <w:tcPr>
            <w:tcW w:w="4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rPr>
              <w:t>8-K</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001-40675</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12/22/2021</w:t>
            </w:r>
          </w:p>
        </w:tc>
        <w:tc>
          <w:tcPr>
            <w:tcW w:w="900" w:type="dxa"/>
            <w:vAlign w:val="bottom"/>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4040" w:type="dxa"/>
            <w:vAlign w:val="bottom"/>
            <w:gridSpan w:val="42"/>
          </w:tcPr>
          <w:p>
            <w:pPr>
              <w:spacing w:after="0" w:line="183" w:lineRule="exact"/>
              <w:rPr>
                <w:rFonts w:ascii="Arial" w:cs="Arial" w:eastAsia="Arial" w:hAnsi="Arial"/>
                <w:sz w:val="16"/>
                <w:szCs w:val="16"/>
                <w:color w:val="0000EE"/>
                <w:w w:val="97"/>
              </w:rPr>
            </w:pPr>
            <w:hyperlink r:id="rId199">
              <w:r>
                <w:rPr>
                  <w:rFonts w:ascii="Arial" w:cs="Arial" w:eastAsia="Arial" w:hAnsi="Arial"/>
                  <w:sz w:val="16"/>
                  <w:szCs w:val="16"/>
                  <w:color w:val="0000EE"/>
                  <w:w w:val="97"/>
                </w:rPr>
                <w:t>Corporation, BioArkive, Inc. and BioArkive’s shareholders,</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880" w:type="dxa"/>
            <w:vAlign w:val="bottom"/>
            <w:tcBorders>
              <w:top w:val="single" w:sz="8" w:color="0000EE"/>
            </w:tcBorders>
            <w:gridSpan w:val="37"/>
          </w:tcPr>
          <w:p>
            <w:pPr>
              <w:spacing w:after="0" w:line="183" w:lineRule="exact"/>
              <w:rPr>
                <w:rFonts w:ascii="Arial" w:cs="Arial" w:eastAsia="Arial" w:hAnsi="Arial"/>
                <w:sz w:val="16"/>
                <w:szCs w:val="16"/>
                <w:color w:val="0000EE"/>
              </w:rPr>
            </w:pPr>
            <w:hyperlink r:id="rId199">
              <w:r>
                <w:rPr>
                  <w:rFonts w:ascii="Arial" w:cs="Arial" w:eastAsia="Arial" w:hAnsi="Arial"/>
                  <w:sz w:val="16"/>
                  <w:szCs w:val="16"/>
                  <w:color w:val="0000EE"/>
                </w:rPr>
                <w:t>dated as of December 22, 2021</w:t>
              </w:r>
            </w:hyperlink>
          </w:p>
        </w:tc>
        <w:tc>
          <w:tcPr>
            <w:tcW w:w="160" w:type="dxa"/>
            <w:vAlign w:val="bottom"/>
            <w:gridSpan w:val="5"/>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3.1</w:t>
            </w:r>
          </w:p>
        </w:tc>
        <w:tc>
          <w:tcPr>
            <w:tcW w:w="4040" w:type="dxa"/>
            <w:vAlign w:val="bottom"/>
            <w:gridSpan w:val="42"/>
          </w:tcPr>
          <w:p>
            <w:pPr>
              <w:spacing w:after="0" w:line="183" w:lineRule="exact"/>
              <w:rPr>
                <w:rFonts w:ascii="Arial" w:cs="Arial" w:eastAsia="Arial" w:hAnsi="Arial"/>
                <w:sz w:val="16"/>
                <w:szCs w:val="16"/>
                <w:color w:val="0000EE"/>
              </w:rPr>
            </w:pPr>
            <w:hyperlink r:id="rId200">
              <w:r>
                <w:rPr>
                  <w:rFonts w:ascii="Arial" w:cs="Arial" w:eastAsia="Arial" w:hAnsi="Arial"/>
                  <w:sz w:val="16"/>
                  <w:szCs w:val="16"/>
                  <w:color w:val="0000EE"/>
                </w:rPr>
                <w:t>Amended and Restated Certificate of Incorporation of</w:t>
              </w:r>
            </w:hyperlink>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001-40675</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3.1</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09/09/2021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500" w:type="dxa"/>
            <w:vAlign w:val="bottom"/>
            <w:tcBorders>
              <w:top w:val="single" w:sz="8" w:color="0000EE"/>
            </w:tcBorders>
            <w:gridSpan w:val="24"/>
          </w:tcPr>
          <w:p>
            <w:pPr>
              <w:spacing w:after="0" w:line="183" w:lineRule="exact"/>
              <w:rPr>
                <w:rFonts w:ascii="Arial" w:cs="Arial" w:eastAsia="Arial" w:hAnsi="Arial"/>
                <w:sz w:val="16"/>
                <w:szCs w:val="16"/>
                <w:color w:val="0000EE"/>
              </w:rPr>
            </w:pPr>
            <w:hyperlink r:id="rId200">
              <w:r>
                <w:rPr>
                  <w:rFonts w:ascii="Arial" w:cs="Arial" w:eastAsia="Arial" w:hAnsi="Arial"/>
                  <w:sz w:val="16"/>
                  <w:szCs w:val="16"/>
                  <w:color w:val="0000EE"/>
                </w:rPr>
                <w:t>Immuneering Corporation</w:t>
              </w:r>
            </w:hyperlink>
          </w:p>
        </w:tc>
        <w:tc>
          <w:tcPr>
            <w:tcW w:w="540" w:type="dxa"/>
            <w:vAlign w:val="bottom"/>
            <w:gridSpan w:val="18"/>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3.2</w:t>
            </w:r>
          </w:p>
        </w:tc>
        <w:tc>
          <w:tcPr>
            <w:tcW w:w="4040" w:type="dxa"/>
            <w:vAlign w:val="bottom"/>
            <w:gridSpan w:val="42"/>
          </w:tcPr>
          <w:p>
            <w:pPr>
              <w:spacing w:after="0" w:line="183" w:lineRule="exact"/>
              <w:rPr>
                <w:rFonts w:ascii="Arial" w:cs="Arial" w:eastAsia="Arial" w:hAnsi="Arial"/>
                <w:sz w:val="16"/>
                <w:szCs w:val="16"/>
                <w:color w:val="0000EE"/>
                <w:w w:val="94"/>
              </w:rPr>
            </w:pPr>
            <w:hyperlink r:id="rId201">
              <w:r>
                <w:rPr>
                  <w:rFonts w:ascii="Arial" w:cs="Arial" w:eastAsia="Arial" w:hAnsi="Arial"/>
                  <w:sz w:val="16"/>
                  <w:szCs w:val="16"/>
                  <w:color w:val="0000EE"/>
                  <w:w w:val="94"/>
                </w:rPr>
                <w:t>Amended and Restated Bylaws of Immuneering Corporation</w:t>
              </w:r>
            </w:hyperlink>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5"/>
              </w:rPr>
              <w:t>10-Q</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001-40675</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3.2</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09/09/2021</w:t>
            </w: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4.1</w:t>
            </w:r>
          </w:p>
        </w:tc>
        <w:tc>
          <w:tcPr>
            <w:tcW w:w="3940" w:type="dxa"/>
            <w:vAlign w:val="bottom"/>
            <w:tcBorders>
              <w:top w:val="single" w:sz="8" w:color="0000EE"/>
            </w:tcBorders>
            <w:gridSpan w:val="38"/>
          </w:tcPr>
          <w:p>
            <w:pPr>
              <w:spacing w:after="0" w:line="183" w:lineRule="exact"/>
              <w:rPr>
                <w:rFonts w:ascii="Arial" w:cs="Arial" w:eastAsia="Arial" w:hAnsi="Arial"/>
                <w:sz w:val="16"/>
                <w:szCs w:val="16"/>
                <w:color w:val="0000EE"/>
              </w:rPr>
            </w:pPr>
            <w:hyperlink r:id="rId202">
              <w:r>
                <w:rPr>
                  <w:rFonts w:ascii="Arial" w:cs="Arial" w:eastAsia="Arial" w:hAnsi="Arial"/>
                  <w:sz w:val="16"/>
                  <w:szCs w:val="16"/>
                  <w:color w:val="0000EE"/>
                </w:rPr>
                <w:t>Form of Specimen Stock Certificate</w:t>
              </w:r>
            </w:hyperlink>
          </w:p>
        </w:tc>
        <w:tc>
          <w:tcPr>
            <w:tcW w:w="100" w:type="dxa"/>
            <w:vAlign w:val="bottom"/>
            <w:gridSpan w:val="4"/>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4"/>
              </w:rPr>
              <w:t>S-1/A</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4.1</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07/26/2021</w:t>
            </w: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4.2</w:t>
            </w:r>
          </w:p>
        </w:tc>
        <w:tc>
          <w:tcPr>
            <w:tcW w:w="3860" w:type="dxa"/>
            <w:vAlign w:val="bottom"/>
            <w:tcBorders>
              <w:bottom w:val="single" w:sz="8" w:color="0000EE"/>
            </w:tcBorders>
            <w:gridSpan w:val="36"/>
          </w:tcPr>
          <w:p>
            <w:pPr>
              <w:spacing w:after="0" w:line="183" w:lineRule="exact"/>
              <w:rPr>
                <w:rFonts w:ascii="Arial" w:cs="Arial" w:eastAsia="Arial" w:hAnsi="Arial"/>
                <w:sz w:val="16"/>
                <w:szCs w:val="16"/>
                <w:color w:val="0000EE"/>
                <w:w w:val="90"/>
              </w:rPr>
            </w:pPr>
            <w:hyperlink r:id="rId203">
              <w:r>
                <w:rPr>
                  <w:rFonts w:ascii="Arial" w:cs="Arial" w:eastAsia="Arial" w:hAnsi="Arial"/>
                  <w:sz w:val="16"/>
                  <w:szCs w:val="16"/>
                  <w:color w:val="0000EE"/>
                  <w:w w:val="90"/>
                </w:rPr>
                <w:t>Amended and Restated Investors’ Rights Agreement, dated</w:t>
              </w:r>
            </w:hyperlink>
          </w:p>
        </w:tc>
        <w:tc>
          <w:tcPr>
            <w:tcW w:w="180" w:type="dxa"/>
            <w:vAlign w:val="bottom"/>
            <w:gridSpan w:val="6"/>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4"/>
              </w:rPr>
              <w:t>S-1/A</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4.2</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760" w:type="dxa"/>
            <w:vAlign w:val="bottom"/>
            <w:tcBorders>
              <w:bottom w:val="single" w:sz="8" w:color="0000EE"/>
            </w:tcBorders>
            <w:gridSpan w:val="32"/>
          </w:tcPr>
          <w:p>
            <w:pPr>
              <w:spacing w:after="0" w:line="183" w:lineRule="exact"/>
              <w:rPr>
                <w:rFonts w:ascii="Arial" w:cs="Arial" w:eastAsia="Arial" w:hAnsi="Arial"/>
                <w:sz w:val="16"/>
                <w:szCs w:val="16"/>
                <w:color w:val="0000EE"/>
                <w:w w:val="90"/>
              </w:rPr>
            </w:pPr>
            <w:hyperlink r:id="rId203">
              <w:r>
                <w:rPr>
                  <w:rFonts w:ascii="Arial" w:cs="Arial" w:eastAsia="Arial" w:hAnsi="Arial"/>
                  <w:sz w:val="16"/>
                  <w:szCs w:val="16"/>
                  <w:color w:val="0000EE"/>
                  <w:w w:val="90"/>
                </w:rPr>
                <w:t>December 21, 2020, by and among the Registrant and the</w:t>
              </w:r>
            </w:hyperlink>
          </w:p>
        </w:tc>
        <w:tc>
          <w:tcPr>
            <w:tcW w:w="280" w:type="dxa"/>
            <w:vAlign w:val="bottom"/>
            <w:gridSpan w:val="10"/>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40" w:type="dxa"/>
            <w:vAlign w:val="bottom"/>
            <w:gridSpan w:val="42"/>
          </w:tcPr>
          <w:p>
            <w:pPr>
              <w:spacing w:after="0" w:line="183" w:lineRule="exact"/>
              <w:rPr>
                <w:rFonts w:ascii="Arial" w:cs="Arial" w:eastAsia="Arial" w:hAnsi="Arial"/>
                <w:sz w:val="16"/>
                <w:szCs w:val="16"/>
                <w:color w:val="0000EE"/>
              </w:rPr>
            </w:pPr>
            <w:hyperlink r:id="rId203">
              <w:r>
                <w:rPr>
                  <w:rFonts w:ascii="Arial" w:cs="Arial" w:eastAsia="Arial" w:hAnsi="Arial"/>
                  <w:sz w:val="16"/>
                  <w:szCs w:val="16"/>
                  <w:color w:val="0000EE"/>
                </w:rPr>
                <w:t>other parties thereto.</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4.3</w:t>
            </w:r>
          </w:p>
        </w:tc>
        <w:tc>
          <w:tcPr>
            <w:tcW w:w="1620" w:type="dxa"/>
            <w:vAlign w:val="bottom"/>
            <w:tcBorders>
              <w:bottom w:val="single" w:sz="8" w:color="0000EE"/>
            </w:tcBorders>
            <w:gridSpan w:val="10"/>
          </w:tcPr>
          <w:p>
            <w:pPr>
              <w:spacing w:after="0" w:line="183" w:lineRule="exact"/>
              <w:rPr>
                <w:rFonts w:ascii="Arial" w:cs="Arial" w:eastAsia="Arial" w:hAnsi="Arial"/>
                <w:sz w:val="16"/>
                <w:szCs w:val="16"/>
                <w:color w:val="0000EE"/>
                <w:w w:val="92"/>
              </w:rPr>
            </w:pPr>
            <w:hyperlink w:anchor="page163">
              <w:r>
                <w:rPr>
                  <w:rFonts w:ascii="Arial" w:cs="Arial" w:eastAsia="Arial" w:hAnsi="Arial"/>
                  <w:sz w:val="16"/>
                  <w:szCs w:val="16"/>
                  <w:color w:val="0000EE"/>
                  <w:w w:val="92"/>
                </w:rPr>
                <w:t>Description of Securities</w:t>
              </w:r>
            </w:hyperlink>
          </w:p>
        </w:tc>
        <w:tc>
          <w:tcPr>
            <w:tcW w:w="2420" w:type="dxa"/>
            <w:vAlign w:val="bottom"/>
            <w:gridSpan w:val="32"/>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10.1†</w:t>
            </w:r>
          </w:p>
        </w:tc>
        <w:tc>
          <w:tcPr>
            <w:tcW w:w="4040" w:type="dxa"/>
            <w:vAlign w:val="bottom"/>
            <w:gridSpan w:val="42"/>
          </w:tcPr>
          <w:p>
            <w:pPr>
              <w:spacing w:after="0" w:line="183" w:lineRule="exact"/>
              <w:rPr>
                <w:rFonts w:ascii="Arial" w:cs="Arial" w:eastAsia="Arial" w:hAnsi="Arial"/>
                <w:sz w:val="16"/>
                <w:szCs w:val="16"/>
                <w:color w:val="0000EE"/>
              </w:rPr>
            </w:pPr>
            <w:hyperlink r:id="rId204">
              <w:r>
                <w:rPr>
                  <w:rFonts w:ascii="Arial" w:cs="Arial" w:eastAsia="Arial" w:hAnsi="Arial"/>
                  <w:sz w:val="16"/>
                  <w:szCs w:val="16"/>
                  <w:color w:val="0000EE"/>
                </w:rPr>
                <w:t>Employment Agreement, dated July 23, 2021, by and</w:t>
              </w:r>
            </w:hyperlink>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4"/>
              </w:rPr>
              <w:t>S-1/A</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10.5</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460" w:type="dxa"/>
            <w:vAlign w:val="bottom"/>
            <w:tcBorders>
              <w:top w:val="single" w:sz="8" w:color="0000EE"/>
            </w:tcBorders>
            <w:gridSpan w:val="22"/>
          </w:tcPr>
          <w:p>
            <w:pPr>
              <w:spacing w:after="0" w:line="183" w:lineRule="exact"/>
              <w:rPr>
                <w:rFonts w:ascii="Arial" w:cs="Arial" w:eastAsia="Arial" w:hAnsi="Arial"/>
                <w:sz w:val="16"/>
                <w:szCs w:val="16"/>
                <w:color w:val="0000EE"/>
                <w:w w:val="95"/>
              </w:rPr>
            </w:pPr>
            <w:hyperlink r:id="rId204">
              <w:r>
                <w:rPr>
                  <w:rFonts w:ascii="Arial" w:cs="Arial" w:eastAsia="Arial" w:hAnsi="Arial"/>
                  <w:sz w:val="16"/>
                  <w:szCs w:val="16"/>
                  <w:color w:val="0000EE"/>
                  <w:w w:val="95"/>
                </w:rPr>
                <w:t>between Biren Amin and Immuneering Corporation</w:t>
              </w:r>
            </w:hyperlink>
          </w:p>
        </w:tc>
        <w:tc>
          <w:tcPr>
            <w:tcW w:w="580" w:type="dxa"/>
            <w:vAlign w:val="bottom"/>
            <w:gridSpan w:val="20"/>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10.2†</w:t>
            </w:r>
          </w:p>
        </w:tc>
        <w:tc>
          <w:tcPr>
            <w:tcW w:w="3480" w:type="dxa"/>
            <w:vAlign w:val="bottom"/>
            <w:tcBorders>
              <w:bottom w:val="single" w:sz="8" w:color="0000EE"/>
            </w:tcBorders>
            <w:gridSpan w:val="23"/>
          </w:tcPr>
          <w:p>
            <w:pPr>
              <w:spacing w:after="0" w:line="183" w:lineRule="exact"/>
              <w:rPr>
                <w:rFonts w:ascii="Arial" w:cs="Arial" w:eastAsia="Arial" w:hAnsi="Arial"/>
                <w:sz w:val="16"/>
                <w:szCs w:val="16"/>
                <w:color w:val="0000EE"/>
                <w:w w:val="91"/>
              </w:rPr>
            </w:pPr>
            <w:hyperlink r:id="rId205">
              <w:r>
                <w:rPr>
                  <w:rFonts w:ascii="Arial" w:cs="Arial" w:eastAsia="Arial" w:hAnsi="Arial"/>
                  <w:sz w:val="16"/>
                  <w:szCs w:val="16"/>
                  <w:color w:val="0000EE"/>
                  <w:w w:val="91"/>
                </w:rPr>
                <w:t>Employment Agreement, dated July 23, 2021, by and</w:t>
              </w:r>
            </w:hyperlink>
          </w:p>
        </w:tc>
        <w:tc>
          <w:tcPr>
            <w:tcW w:w="560" w:type="dxa"/>
            <w:vAlign w:val="bottom"/>
            <w:gridSpan w:val="19"/>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4"/>
              </w:rPr>
              <w:t>S-1/A</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10.6</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700" w:type="dxa"/>
            <w:vAlign w:val="bottom"/>
            <w:tcBorders>
              <w:bottom w:val="single" w:sz="8" w:color="0000EE"/>
            </w:tcBorders>
            <w:gridSpan w:val="29"/>
          </w:tcPr>
          <w:p>
            <w:pPr>
              <w:spacing w:after="0" w:line="183" w:lineRule="exact"/>
              <w:rPr>
                <w:rFonts w:ascii="Arial" w:cs="Arial" w:eastAsia="Arial" w:hAnsi="Arial"/>
                <w:sz w:val="16"/>
                <w:szCs w:val="16"/>
                <w:color w:val="0000EE"/>
                <w:w w:val="92"/>
              </w:rPr>
            </w:pPr>
            <w:hyperlink r:id="rId205">
              <w:r>
                <w:rPr>
                  <w:rFonts w:ascii="Arial" w:cs="Arial" w:eastAsia="Arial" w:hAnsi="Arial"/>
                  <w:sz w:val="16"/>
                  <w:szCs w:val="16"/>
                  <w:color w:val="0000EE"/>
                  <w:w w:val="92"/>
                </w:rPr>
                <w:t>between Brett Hall, Ph.D. and Immuneering Corporation</w:t>
              </w:r>
            </w:hyperlink>
          </w:p>
        </w:tc>
        <w:tc>
          <w:tcPr>
            <w:tcW w:w="340" w:type="dxa"/>
            <w:vAlign w:val="bottom"/>
            <w:gridSpan w:val="13"/>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10.3†</w:t>
            </w:r>
          </w:p>
        </w:tc>
        <w:tc>
          <w:tcPr>
            <w:tcW w:w="3480" w:type="dxa"/>
            <w:vAlign w:val="bottom"/>
            <w:tcBorders>
              <w:bottom w:val="single" w:sz="8" w:color="0000EE"/>
            </w:tcBorders>
            <w:gridSpan w:val="23"/>
          </w:tcPr>
          <w:p>
            <w:pPr>
              <w:spacing w:after="0" w:line="183" w:lineRule="exact"/>
              <w:rPr>
                <w:rFonts w:ascii="Arial" w:cs="Arial" w:eastAsia="Arial" w:hAnsi="Arial"/>
                <w:sz w:val="16"/>
                <w:szCs w:val="16"/>
                <w:color w:val="0000EE"/>
                <w:w w:val="91"/>
              </w:rPr>
            </w:pPr>
            <w:hyperlink r:id="rId206">
              <w:r>
                <w:rPr>
                  <w:rFonts w:ascii="Arial" w:cs="Arial" w:eastAsia="Arial" w:hAnsi="Arial"/>
                  <w:sz w:val="16"/>
                  <w:szCs w:val="16"/>
                  <w:color w:val="0000EE"/>
                  <w:w w:val="91"/>
                </w:rPr>
                <w:t>Employment Agreement, dated July 23, 2021, by and</w:t>
              </w:r>
            </w:hyperlink>
          </w:p>
        </w:tc>
        <w:tc>
          <w:tcPr>
            <w:tcW w:w="560" w:type="dxa"/>
            <w:vAlign w:val="bottom"/>
            <w:gridSpan w:val="19"/>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4"/>
              </w:rPr>
              <w:t>S-1/A</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10.7</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40" w:type="dxa"/>
            <w:vAlign w:val="bottom"/>
            <w:gridSpan w:val="42"/>
          </w:tcPr>
          <w:p>
            <w:pPr>
              <w:spacing w:after="0" w:line="183" w:lineRule="exact"/>
              <w:rPr>
                <w:rFonts w:ascii="Arial" w:cs="Arial" w:eastAsia="Arial" w:hAnsi="Arial"/>
                <w:sz w:val="16"/>
                <w:szCs w:val="16"/>
                <w:color w:val="0000EE"/>
                <w:w w:val="97"/>
              </w:rPr>
            </w:pPr>
            <w:hyperlink r:id="rId206">
              <w:r>
                <w:rPr>
                  <w:rFonts w:ascii="Arial" w:cs="Arial" w:eastAsia="Arial" w:hAnsi="Arial"/>
                  <w:sz w:val="16"/>
                  <w:szCs w:val="16"/>
                  <w:color w:val="0000EE"/>
                  <w:w w:val="97"/>
                </w:rPr>
                <w:t>between Scott Barrett, M.D. and Immuneering Corporation</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10.4†</w:t>
            </w:r>
          </w:p>
        </w:tc>
        <w:tc>
          <w:tcPr>
            <w:tcW w:w="3480" w:type="dxa"/>
            <w:vAlign w:val="bottom"/>
            <w:tcBorders>
              <w:top w:val="single" w:sz="8" w:color="0000EE"/>
              <w:bottom w:val="single" w:sz="8" w:color="0000EE"/>
            </w:tcBorders>
            <w:gridSpan w:val="23"/>
          </w:tcPr>
          <w:p>
            <w:pPr>
              <w:spacing w:after="0" w:line="183" w:lineRule="exact"/>
              <w:rPr>
                <w:rFonts w:ascii="Arial" w:cs="Arial" w:eastAsia="Arial" w:hAnsi="Arial"/>
                <w:sz w:val="16"/>
                <w:szCs w:val="16"/>
                <w:color w:val="0000EE"/>
                <w:w w:val="91"/>
              </w:rPr>
            </w:pPr>
            <w:hyperlink r:id="rId207">
              <w:r>
                <w:rPr>
                  <w:rFonts w:ascii="Arial" w:cs="Arial" w:eastAsia="Arial" w:hAnsi="Arial"/>
                  <w:sz w:val="16"/>
                  <w:szCs w:val="16"/>
                  <w:color w:val="0000EE"/>
                  <w:w w:val="91"/>
                </w:rPr>
                <w:t>Employment Agreement, dated July 23, 2021, by and</w:t>
              </w:r>
            </w:hyperlink>
          </w:p>
        </w:tc>
        <w:tc>
          <w:tcPr>
            <w:tcW w:w="360" w:type="dxa"/>
            <w:vAlign w:val="bottom"/>
            <w:tcBorders>
              <w:top w:val="single" w:sz="8" w:color="0000EE"/>
            </w:tcBorders>
            <w:gridSpan w:val="12"/>
          </w:tcPr>
          <w:p>
            <w:pPr>
              <w:spacing w:after="0"/>
              <w:rPr>
                <w:sz w:val="15"/>
                <w:szCs w:val="15"/>
                <w:color w:val="auto"/>
              </w:rPr>
            </w:pPr>
          </w:p>
        </w:tc>
        <w:tc>
          <w:tcPr>
            <w:tcW w:w="200" w:type="dxa"/>
            <w:vAlign w:val="bottom"/>
            <w:gridSpan w:val="7"/>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4"/>
              </w:rPr>
              <w:t>S-1/A</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10.8</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40" w:type="dxa"/>
            <w:vAlign w:val="bottom"/>
            <w:gridSpan w:val="42"/>
          </w:tcPr>
          <w:p>
            <w:pPr>
              <w:spacing w:after="0" w:line="183" w:lineRule="exact"/>
              <w:rPr>
                <w:rFonts w:ascii="Arial" w:cs="Arial" w:eastAsia="Arial" w:hAnsi="Arial"/>
                <w:sz w:val="16"/>
                <w:szCs w:val="16"/>
                <w:color w:val="0000EE"/>
              </w:rPr>
            </w:pPr>
            <w:hyperlink r:id="rId207">
              <w:r>
                <w:rPr>
                  <w:rFonts w:ascii="Arial" w:cs="Arial" w:eastAsia="Arial" w:hAnsi="Arial"/>
                  <w:sz w:val="16"/>
                  <w:szCs w:val="16"/>
                  <w:color w:val="0000EE"/>
                </w:rPr>
                <w:t>between Benjamin J. Zeskind, Ph.D. and Immuneering</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560" w:type="dxa"/>
            <w:vAlign w:val="bottom"/>
            <w:tcBorders>
              <w:top w:val="single" w:sz="8" w:color="0000EE"/>
            </w:tcBorders>
            <w:gridSpan w:val="25"/>
          </w:tcPr>
          <w:p>
            <w:pPr>
              <w:spacing w:after="0" w:line="183" w:lineRule="exact"/>
              <w:rPr>
                <w:rFonts w:ascii="Arial" w:cs="Arial" w:eastAsia="Arial" w:hAnsi="Arial"/>
                <w:sz w:val="16"/>
                <w:szCs w:val="16"/>
                <w:color w:val="0000EE"/>
              </w:rPr>
            </w:pPr>
            <w:hyperlink r:id="rId207">
              <w:r>
                <w:rPr>
                  <w:rFonts w:ascii="Arial" w:cs="Arial" w:eastAsia="Arial" w:hAnsi="Arial"/>
                  <w:sz w:val="16"/>
                  <w:szCs w:val="16"/>
                  <w:color w:val="0000EE"/>
                </w:rPr>
                <w:t>Corporation</w:t>
              </w:r>
            </w:hyperlink>
          </w:p>
        </w:tc>
        <w:tc>
          <w:tcPr>
            <w:tcW w:w="480" w:type="dxa"/>
            <w:vAlign w:val="bottom"/>
            <w:gridSpan w:val="17"/>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10.5†</w:t>
            </w:r>
          </w:p>
        </w:tc>
        <w:tc>
          <w:tcPr>
            <w:tcW w:w="3480" w:type="dxa"/>
            <w:vAlign w:val="bottom"/>
            <w:tcBorders>
              <w:bottom w:val="single" w:sz="8" w:color="0000EE"/>
            </w:tcBorders>
            <w:gridSpan w:val="23"/>
          </w:tcPr>
          <w:p>
            <w:pPr>
              <w:spacing w:after="0" w:line="183" w:lineRule="exact"/>
              <w:rPr>
                <w:rFonts w:ascii="Arial" w:cs="Arial" w:eastAsia="Arial" w:hAnsi="Arial"/>
                <w:sz w:val="16"/>
                <w:szCs w:val="16"/>
                <w:color w:val="0000EE"/>
                <w:w w:val="91"/>
              </w:rPr>
            </w:pPr>
            <w:hyperlink r:id="rId208">
              <w:r>
                <w:rPr>
                  <w:rFonts w:ascii="Arial" w:cs="Arial" w:eastAsia="Arial" w:hAnsi="Arial"/>
                  <w:sz w:val="16"/>
                  <w:szCs w:val="16"/>
                  <w:color w:val="0000EE"/>
                  <w:w w:val="91"/>
                </w:rPr>
                <w:t>Employment Agreement, dated July 23, 2021, by and</w:t>
              </w:r>
            </w:hyperlink>
          </w:p>
        </w:tc>
        <w:tc>
          <w:tcPr>
            <w:tcW w:w="560" w:type="dxa"/>
            <w:vAlign w:val="bottom"/>
            <w:gridSpan w:val="19"/>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4"/>
              </w:rPr>
              <w:t>S-1/A</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10.9</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20" w:type="dxa"/>
            <w:vAlign w:val="bottom"/>
            <w:tcBorders>
              <w:bottom w:val="single" w:sz="8" w:color="0000EE"/>
            </w:tcBorders>
            <w:gridSpan w:val="41"/>
          </w:tcPr>
          <w:p>
            <w:pPr>
              <w:spacing w:after="0" w:line="183" w:lineRule="exact"/>
              <w:rPr>
                <w:rFonts w:ascii="Arial" w:cs="Arial" w:eastAsia="Arial" w:hAnsi="Arial"/>
                <w:sz w:val="16"/>
                <w:szCs w:val="16"/>
                <w:color w:val="0000EE"/>
                <w:w w:val="93"/>
              </w:rPr>
            </w:pPr>
            <w:hyperlink r:id="rId208">
              <w:r>
                <w:rPr>
                  <w:rFonts w:ascii="Arial" w:cs="Arial" w:eastAsia="Arial" w:hAnsi="Arial"/>
                  <w:sz w:val="16"/>
                  <w:szCs w:val="16"/>
                  <w:color w:val="0000EE"/>
                  <w:w w:val="93"/>
                </w:rPr>
                <w:t>between Michael D. Bookman and Immuneering Corporation</w:t>
              </w:r>
            </w:hyperlink>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10.6†</w:t>
            </w:r>
          </w:p>
        </w:tc>
        <w:tc>
          <w:tcPr>
            <w:tcW w:w="3740" w:type="dxa"/>
            <w:vAlign w:val="bottom"/>
            <w:tcBorders>
              <w:bottom w:val="single" w:sz="8" w:color="0000EE"/>
            </w:tcBorders>
            <w:gridSpan w:val="31"/>
          </w:tcPr>
          <w:p>
            <w:pPr>
              <w:spacing w:after="0" w:line="183" w:lineRule="exact"/>
              <w:rPr>
                <w:rFonts w:ascii="Arial" w:cs="Arial" w:eastAsia="Arial" w:hAnsi="Arial"/>
                <w:sz w:val="16"/>
                <w:szCs w:val="16"/>
                <w:color w:val="0000EE"/>
                <w:w w:val="92"/>
              </w:rPr>
            </w:pPr>
            <w:hyperlink r:id="rId209">
              <w:r>
                <w:rPr>
                  <w:rFonts w:ascii="Arial" w:cs="Arial" w:eastAsia="Arial" w:hAnsi="Arial"/>
                  <w:sz w:val="16"/>
                  <w:szCs w:val="16"/>
                  <w:color w:val="0000EE"/>
                  <w:w w:val="92"/>
                </w:rPr>
                <w:t>Immuneering Corporation 2008 Stock Incentive Plan and</w:t>
              </w:r>
            </w:hyperlink>
          </w:p>
        </w:tc>
        <w:tc>
          <w:tcPr>
            <w:tcW w:w="300" w:type="dxa"/>
            <w:vAlign w:val="bottom"/>
            <w:gridSpan w:val="11"/>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88"/>
              </w:rPr>
              <w:t>S-1</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10.4</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07/09/2021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2440" w:type="dxa"/>
            <w:vAlign w:val="bottom"/>
            <w:tcBorders>
              <w:bottom w:val="single" w:sz="8" w:color="0000EE"/>
            </w:tcBorders>
            <w:gridSpan w:val="14"/>
          </w:tcPr>
          <w:p>
            <w:pPr>
              <w:spacing w:after="0" w:line="183" w:lineRule="exact"/>
              <w:rPr>
                <w:rFonts w:ascii="Arial" w:cs="Arial" w:eastAsia="Arial" w:hAnsi="Arial"/>
                <w:sz w:val="16"/>
                <w:szCs w:val="16"/>
                <w:color w:val="0000EE"/>
                <w:w w:val="91"/>
              </w:rPr>
            </w:pPr>
            <w:hyperlink r:id="rId209">
              <w:r>
                <w:rPr>
                  <w:rFonts w:ascii="Arial" w:cs="Arial" w:eastAsia="Arial" w:hAnsi="Arial"/>
                  <w:sz w:val="16"/>
                  <w:szCs w:val="16"/>
                  <w:color w:val="0000EE"/>
                  <w:w w:val="91"/>
                </w:rPr>
                <w:t>form of option agreement thereunder.</w:t>
              </w:r>
            </w:hyperlink>
          </w:p>
        </w:tc>
        <w:tc>
          <w:tcPr>
            <w:tcW w:w="1600" w:type="dxa"/>
            <w:vAlign w:val="bottom"/>
            <w:gridSpan w:val="28"/>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10.7†</w:t>
            </w:r>
          </w:p>
        </w:tc>
        <w:tc>
          <w:tcPr>
            <w:tcW w:w="3720" w:type="dxa"/>
            <w:vAlign w:val="bottom"/>
            <w:tcBorders>
              <w:bottom w:val="single" w:sz="8" w:color="0000EE"/>
            </w:tcBorders>
            <w:gridSpan w:val="30"/>
          </w:tcPr>
          <w:p>
            <w:pPr>
              <w:spacing w:after="0" w:line="183" w:lineRule="exact"/>
              <w:rPr>
                <w:rFonts w:ascii="Arial" w:cs="Arial" w:eastAsia="Arial" w:hAnsi="Arial"/>
                <w:sz w:val="16"/>
                <w:szCs w:val="16"/>
                <w:color w:val="0000EE"/>
                <w:w w:val="92"/>
              </w:rPr>
            </w:pPr>
            <w:hyperlink r:id="rId210">
              <w:r>
                <w:rPr>
                  <w:rFonts w:ascii="Arial" w:cs="Arial" w:eastAsia="Arial" w:hAnsi="Arial"/>
                  <w:sz w:val="16"/>
                  <w:szCs w:val="16"/>
                  <w:color w:val="0000EE"/>
                  <w:w w:val="92"/>
                </w:rPr>
                <w:t>Immuneering Corporation Long Term Incentive Plan and</w:t>
              </w:r>
            </w:hyperlink>
          </w:p>
        </w:tc>
        <w:tc>
          <w:tcPr>
            <w:tcW w:w="320" w:type="dxa"/>
            <w:vAlign w:val="bottom"/>
            <w:gridSpan w:val="12"/>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88"/>
              </w:rPr>
              <w:t>S-1</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10.5</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07/09/2021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2440" w:type="dxa"/>
            <w:vAlign w:val="bottom"/>
            <w:tcBorders>
              <w:bottom w:val="single" w:sz="8" w:color="0000EE"/>
            </w:tcBorders>
            <w:gridSpan w:val="14"/>
          </w:tcPr>
          <w:p>
            <w:pPr>
              <w:spacing w:after="0" w:line="183" w:lineRule="exact"/>
              <w:rPr>
                <w:rFonts w:ascii="Arial" w:cs="Arial" w:eastAsia="Arial" w:hAnsi="Arial"/>
                <w:sz w:val="16"/>
                <w:szCs w:val="16"/>
                <w:color w:val="0000EE"/>
                <w:w w:val="91"/>
              </w:rPr>
            </w:pPr>
            <w:hyperlink r:id="rId210">
              <w:r>
                <w:rPr>
                  <w:rFonts w:ascii="Arial" w:cs="Arial" w:eastAsia="Arial" w:hAnsi="Arial"/>
                  <w:sz w:val="16"/>
                  <w:szCs w:val="16"/>
                  <w:color w:val="0000EE"/>
                  <w:w w:val="91"/>
                </w:rPr>
                <w:t>form of option agreement thereunder.</w:t>
              </w:r>
            </w:hyperlink>
          </w:p>
        </w:tc>
        <w:tc>
          <w:tcPr>
            <w:tcW w:w="1600" w:type="dxa"/>
            <w:vAlign w:val="bottom"/>
            <w:gridSpan w:val="28"/>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10.8†</w:t>
            </w:r>
          </w:p>
        </w:tc>
        <w:tc>
          <w:tcPr>
            <w:tcW w:w="3780" w:type="dxa"/>
            <w:vAlign w:val="bottom"/>
            <w:tcBorders>
              <w:bottom w:val="single" w:sz="8" w:color="0000EE"/>
            </w:tcBorders>
            <w:gridSpan w:val="33"/>
          </w:tcPr>
          <w:p>
            <w:pPr>
              <w:spacing w:after="0" w:line="183" w:lineRule="exact"/>
              <w:rPr>
                <w:rFonts w:ascii="Arial" w:cs="Arial" w:eastAsia="Arial" w:hAnsi="Arial"/>
                <w:sz w:val="16"/>
                <w:szCs w:val="16"/>
                <w:color w:val="0000EE"/>
                <w:w w:val="92"/>
              </w:rPr>
            </w:pPr>
            <w:hyperlink r:id="rId211">
              <w:r>
                <w:rPr>
                  <w:rFonts w:ascii="Arial" w:cs="Arial" w:eastAsia="Arial" w:hAnsi="Arial"/>
                  <w:sz w:val="16"/>
                  <w:szCs w:val="16"/>
                  <w:color w:val="0000EE"/>
                  <w:w w:val="92"/>
                </w:rPr>
                <w:t>Immuneering Corporation 2021 Incentive Award Plan and</w:t>
              </w:r>
            </w:hyperlink>
          </w:p>
        </w:tc>
        <w:tc>
          <w:tcPr>
            <w:tcW w:w="260" w:type="dxa"/>
            <w:vAlign w:val="bottom"/>
            <w:gridSpan w:val="9"/>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4"/>
              </w:rPr>
              <w:t>S-1/A</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10.10</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07/26/2021</w:t>
            </w:r>
          </w:p>
        </w:tc>
        <w:tc>
          <w:tcPr>
            <w:tcW w:w="90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2540" w:type="dxa"/>
            <w:vAlign w:val="bottom"/>
            <w:tcBorders>
              <w:bottom w:val="single" w:sz="8" w:color="0000EE"/>
            </w:tcBorders>
            <w:gridSpan w:val="16"/>
          </w:tcPr>
          <w:p>
            <w:pPr>
              <w:spacing w:after="0" w:line="183" w:lineRule="exact"/>
              <w:rPr>
                <w:rFonts w:ascii="Arial" w:cs="Arial" w:eastAsia="Arial" w:hAnsi="Arial"/>
                <w:sz w:val="16"/>
                <w:szCs w:val="16"/>
                <w:color w:val="0000EE"/>
                <w:w w:val="89"/>
              </w:rPr>
            </w:pPr>
            <w:hyperlink r:id="rId211">
              <w:r>
                <w:rPr>
                  <w:rFonts w:ascii="Arial" w:cs="Arial" w:eastAsia="Arial" w:hAnsi="Arial"/>
                  <w:sz w:val="16"/>
                  <w:szCs w:val="16"/>
                  <w:color w:val="0000EE"/>
                  <w:w w:val="89"/>
                </w:rPr>
                <w:t>forms of award agreements thereunder.</w:t>
              </w:r>
            </w:hyperlink>
          </w:p>
        </w:tc>
        <w:tc>
          <w:tcPr>
            <w:tcW w:w="1500" w:type="dxa"/>
            <w:vAlign w:val="bottom"/>
            <w:gridSpan w:val="26"/>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10.9†</w:t>
            </w:r>
          </w:p>
        </w:tc>
        <w:tc>
          <w:tcPr>
            <w:tcW w:w="3800" w:type="dxa"/>
            <w:vAlign w:val="bottom"/>
            <w:tcBorders>
              <w:bottom w:val="single" w:sz="8" w:color="0000EE"/>
            </w:tcBorders>
            <w:gridSpan w:val="34"/>
          </w:tcPr>
          <w:p>
            <w:pPr>
              <w:spacing w:after="0" w:line="183" w:lineRule="exact"/>
              <w:rPr>
                <w:rFonts w:ascii="Arial" w:cs="Arial" w:eastAsia="Arial" w:hAnsi="Arial"/>
                <w:sz w:val="16"/>
                <w:szCs w:val="16"/>
                <w:color w:val="0000EE"/>
                <w:w w:val="91"/>
              </w:rPr>
            </w:pPr>
            <w:hyperlink r:id="rId212">
              <w:r>
                <w:rPr>
                  <w:rFonts w:ascii="Arial" w:cs="Arial" w:eastAsia="Arial" w:hAnsi="Arial"/>
                  <w:sz w:val="16"/>
                  <w:szCs w:val="16"/>
                  <w:color w:val="0000EE"/>
                  <w:w w:val="91"/>
                </w:rPr>
                <w:t>Immuneering Corporation 2021 Employee Stock Purchase</w:t>
              </w:r>
            </w:hyperlink>
          </w:p>
        </w:tc>
        <w:tc>
          <w:tcPr>
            <w:tcW w:w="240" w:type="dxa"/>
            <w:vAlign w:val="bottom"/>
            <w:gridSpan w:val="8"/>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4"/>
              </w:rPr>
              <w:t>S-1/A</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10.11</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340" w:type="dxa"/>
            <w:vAlign w:val="bottom"/>
            <w:tcBorders>
              <w:bottom w:val="single" w:sz="8" w:color="0000EE"/>
            </w:tcBorders>
          </w:tcPr>
          <w:p>
            <w:pPr>
              <w:spacing w:after="0" w:line="183" w:lineRule="exact"/>
              <w:rPr>
                <w:rFonts w:ascii="Arial" w:cs="Arial" w:eastAsia="Arial" w:hAnsi="Arial"/>
                <w:sz w:val="16"/>
                <w:szCs w:val="16"/>
                <w:color w:val="0000EE"/>
                <w:w w:val="87"/>
              </w:rPr>
            </w:pPr>
            <w:hyperlink r:id="rId212">
              <w:r>
                <w:rPr>
                  <w:rFonts w:ascii="Arial" w:cs="Arial" w:eastAsia="Arial" w:hAnsi="Arial"/>
                  <w:sz w:val="16"/>
                  <w:szCs w:val="16"/>
                  <w:color w:val="0000EE"/>
                  <w:w w:val="87"/>
                </w:rPr>
                <w:t>Plan.</w:t>
              </w:r>
            </w:hyperlink>
          </w:p>
        </w:tc>
        <w:tc>
          <w:tcPr>
            <w:tcW w:w="3700" w:type="dxa"/>
            <w:vAlign w:val="bottom"/>
            <w:gridSpan w:val="41"/>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10.10†</w:t>
            </w:r>
          </w:p>
        </w:tc>
        <w:tc>
          <w:tcPr>
            <w:tcW w:w="3580" w:type="dxa"/>
            <w:vAlign w:val="bottom"/>
            <w:tcBorders>
              <w:bottom w:val="single" w:sz="8" w:color="0000EE"/>
            </w:tcBorders>
            <w:gridSpan w:val="26"/>
          </w:tcPr>
          <w:p>
            <w:pPr>
              <w:spacing w:after="0" w:line="183" w:lineRule="exact"/>
              <w:rPr>
                <w:rFonts w:ascii="Arial" w:cs="Arial" w:eastAsia="Arial" w:hAnsi="Arial"/>
                <w:sz w:val="16"/>
                <w:szCs w:val="16"/>
                <w:color w:val="0000EE"/>
                <w:w w:val="93"/>
              </w:rPr>
            </w:pPr>
            <w:hyperlink r:id="rId213">
              <w:r>
                <w:rPr>
                  <w:rFonts w:ascii="Arial" w:cs="Arial" w:eastAsia="Arial" w:hAnsi="Arial"/>
                  <w:sz w:val="16"/>
                  <w:szCs w:val="16"/>
                  <w:color w:val="0000EE"/>
                  <w:w w:val="93"/>
                </w:rPr>
                <w:t>Form of Indemnification Agreement by and among the</w:t>
              </w:r>
            </w:hyperlink>
          </w:p>
        </w:tc>
        <w:tc>
          <w:tcPr>
            <w:tcW w:w="460" w:type="dxa"/>
            <w:vAlign w:val="bottom"/>
            <w:gridSpan w:val="16"/>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4"/>
              </w:rPr>
              <w:t>S-1/A</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10.12</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2600" w:type="dxa"/>
            <w:vAlign w:val="bottom"/>
            <w:tcBorders>
              <w:bottom w:val="single" w:sz="8" w:color="0000EE"/>
            </w:tcBorders>
            <w:gridSpan w:val="17"/>
          </w:tcPr>
          <w:p>
            <w:pPr>
              <w:spacing w:after="0" w:line="183" w:lineRule="exact"/>
              <w:rPr>
                <w:rFonts w:ascii="Arial" w:cs="Arial" w:eastAsia="Arial" w:hAnsi="Arial"/>
                <w:sz w:val="16"/>
                <w:szCs w:val="16"/>
                <w:color w:val="0000EE"/>
                <w:w w:val="91"/>
              </w:rPr>
            </w:pPr>
            <w:hyperlink r:id="rId213">
              <w:r>
                <w:rPr>
                  <w:rFonts w:ascii="Arial" w:cs="Arial" w:eastAsia="Arial" w:hAnsi="Arial"/>
                  <w:sz w:val="16"/>
                  <w:szCs w:val="16"/>
                  <w:color w:val="0000EE"/>
                  <w:w w:val="91"/>
                </w:rPr>
                <w:t>Registrant and its directors and officers.</w:t>
              </w:r>
            </w:hyperlink>
          </w:p>
        </w:tc>
        <w:tc>
          <w:tcPr>
            <w:tcW w:w="1440" w:type="dxa"/>
            <w:vAlign w:val="bottom"/>
            <w:gridSpan w:val="25"/>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10.11†</w:t>
            </w:r>
          </w:p>
        </w:tc>
        <w:tc>
          <w:tcPr>
            <w:tcW w:w="3360" w:type="dxa"/>
            <w:vAlign w:val="bottom"/>
            <w:tcBorders>
              <w:bottom w:val="single" w:sz="8" w:color="0000EE"/>
            </w:tcBorders>
            <w:gridSpan w:val="21"/>
          </w:tcPr>
          <w:p>
            <w:pPr>
              <w:spacing w:after="0" w:line="183" w:lineRule="exact"/>
              <w:rPr>
                <w:rFonts w:ascii="Arial" w:cs="Arial" w:eastAsia="Arial" w:hAnsi="Arial"/>
                <w:sz w:val="16"/>
                <w:szCs w:val="16"/>
                <w:color w:val="0000EE"/>
                <w:w w:val="94"/>
              </w:rPr>
            </w:pPr>
            <w:hyperlink r:id="rId214">
              <w:r>
                <w:rPr>
                  <w:rFonts w:ascii="Arial" w:cs="Arial" w:eastAsia="Arial" w:hAnsi="Arial"/>
                  <w:sz w:val="16"/>
                  <w:szCs w:val="16"/>
                  <w:color w:val="0000EE"/>
                  <w:w w:val="94"/>
                </w:rPr>
                <w:t>Immuneering Corporation Non-Employee Director</w:t>
              </w:r>
            </w:hyperlink>
          </w:p>
        </w:tc>
        <w:tc>
          <w:tcPr>
            <w:tcW w:w="680" w:type="dxa"/>
            <w:vAlign w:val="bottom"/>
            <w:gridSpan w:val="21"/>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94"/>
              </w:rPr>
              <w:t>S-1/A</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10.13</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07/26/2021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40" w:type="dxa"/>
            <w:vAlign w:val="bottom"/>
            <w:gridSpan w:val="42"/>
          </w:tcPr>
          <w:p>
            <w:pPr>
              <w:spacing w:after="0" w:line="183" w:lineRule="exact"/>
              <w:rPr>
                <w:rFonts w:ascii="Arial" w:cs="Arial" w:eastAsia="Arial" w:hAnsi="Arial"/>
                <w:sz w:val="16"/>
                <w:szCs w:val="16"/>
                <w:color w:val="0000EE"/>
              </w:rPr>
            </w:pPr>
            <w:hyperlink r:id="rId214">
              <w:r>
                <w:rPr>
                  <w:rFonts w:ascii="Arial" w:cs="Arial" w:eastAsia="Arial" w:hAnsi="Arial"/>
                  <w:sz w:val="16"/>
                  <w:szCs w:val="16"/>
                  <w:color w:val="0000EE"/>
                </w:rPr>
                <w:t>Compensation Program.</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10.12</w:t>
            </w:r>
          </w:p>
        </w:tc>
        <w:tc>
          <w:tcPr>
            <w:tcW w:w="3660" w:type="dxa"/>
            <w:vAlign w:val="bottom"/>
            <w:tcBorders>
              <w:bottom w:val="single" w:sz="8" w:color="0000EE"/>
            </w:tcBorders>
            <w:gridSpan w:val="28"/>
          </w:tcPr>
          <w:p>
            <w:pPr>
              <w:spacing w:after="0" w:line="183" w:lineRule="exact"/>
              <w:rPr>
                <w:rFonts w:ascii="Arial" w:cs="Arial" w:eastAsia="Arial" w:hAnsi="Arial"/>
                <w:sz w:val="16"/>
                <w:szCs w:val="16"/>
                <w:color w:val="0000EE"/>
                <w:w w:val="91"/>
              </w:rPr>
            </w:pPr>
            <w:hyperlink r:id="rId215">
              <w:r>
                <w:rPr>
                  <w:rFonts w:ascii="Arial" w:cs="Arial" w:eastAsia="Arial" w:hAnsi="Arial"/>
                  <w:sz w:val="16"/>
                  <w:szCs w:val="16"/>
                  <w:color w:val="0000EE"/>
                  <w:w w:val="91"/>
                </w:rPr>
                <w:t>Advisory Agreement, dated September 17, 2019, by and</w:t>
              </w:r>
            </w:hyperlink>
          </w:p>
        </w:tc>
        <w:tc>
          <w:tcPr>
            <w:tcW w:w="380" w:type="dxa"/>
            <w:vAlign w:val="bottom"/>
            <w:gridSpan w:val="14"/>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88"/>
              </w:rPr>
              <w:t>S-1</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10.3</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07/09/2021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2480" w:type="dxa"/>
            <w:vAlign w:val="bottom"/>
            <w:tcBorders>
              <w:bottom w:val="single" w:sz="8" w:color="0000EE"/>
            </w:tcBorders>
            <w:gridSpan w:val="15"/>
          </w:tcPr>
          <w:p>
            <w:pPr>
              <w:spacing w:after="0" w:line="183" w:lineRule="exact"/>
              <w:rPr>
                <w:rFonts w:ascii="Arial" w:cs="Arial" w:eastAsia="Arial" w:hAnsi="Arial"/>
                <w:sz w:val="16"/>
                <w:szCs w:val="16"/>
                <w:color w:val="0000EE"/>
                <w:w w:val="91"/>
              </w:rPr>
            </w:pPr>
            <w:hyperlink r:id="rId215">
              <w:r>
                <w:rPr>
                  <w:rFonts w:ascii="Arial" w:cs="Arial" w:eastAsia="Arial" w:hAnsi="Arial"/>
                  <w:sz w:val="16"/>
                  <w:szCs w:val="16"/>
                  <w:color w:val="0000EE"/>
                  <w:w w:val="91"/>
                </w:rPr>
                <w:t>between PEF LLC and the Registrant.</w:t>
              </w:r>
            </w:hyperlink>
          </w:p>
        </w:tc>
        <w:tc>
          <w:tcPr>
            <w:tcW w:w="1560" w:type="dxa"/>
            <w:vAlign w:val="bottom"/>
            <w:gridSpan w:val="27"/>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10.13</w:t>
            </w:r>
          </w:p>
        </w:tc>
        <w:tc>
          <w:tcPr>
            <w:tcW w:w="4040" w:type="dxa"/>
            <w:vAlign w:val="bottom"/>
            <w:gridSpan w:val="42"/>
          </w:tcPr>
          <w:p>
            <w:pPr>
              <w:spacing w:after="0" w:line="183" w:lineRule="exact"/>
              <w:rPr>
                <w:rFonts w:ascii="Arial" w:cs="Arial" w:eastAsia="Arial" w:hAnsi="Arial"/>
                <w:sz w:val="16"/>
                <w:szCs w:val="16"/>
                <w:color w:val="0000EE"/>
                <w:w w:val="96"/>
              </w:rPr>
            </w:pPr>
            <w:hyperlink r:id="rId216">
              <w:r>
                <w:rPr>
                  <w:rFonts w:ascii="Arial" w:cs="Arial" w:eastAsia="Arial" w:hAnsi="Arial"/>
                  <w:sz w:val="16"/>
                  <w:szCs w:val="16"/>
                  <w:color w:val="0000EE"/>
                  <w:w w:val="96"/>
                </w:rPr>
                <w:t>Master Services Agreement, dated August 5, 2019, by and</w:t>
              </w:r>
            </w:hyperlink>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w w:val="88"/>
              </w:rPr>
              <w:t>S-1</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333-257791</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10.2</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07/09/2021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2840" w:type="dxa"/>
            <w:vAlign w:val="bottom"/>
            <w:tcBorders>
              <w:top w:val="single" w:sz="8" w:color="0000EE"/>
              <w:bottom w:val="single" w:sz="8" w:color="0000EE"/>
            </w:tcBorders>
            <w:gridSpan w:val="19"/>
          </w:tcPr>
          <w:p>
            <w:pPr>
              <w:spacing w:after="0" w:line="183" w:lineRule="exact"/>
              <w:rPr>
                <w:rFonts w:ascii="Arial" w:cs="Arial" w:eastAsia="Arial" w:hAnsi="Arial"/>
                <w:sz w:val="16"/>
                <w:szCs w:val="16"/>
                <w:color w:val="0000EE"/>
                <w:w w:val="92"/>
              </w:rPr>
            </w:pPr>
            <w:hyperlink r:id="rId216">
              <w:r>
                <w:rPr>
                  <w:rFonts w:ascii="Arial" w:cs="Arial" w:eastAsia="Arial" w:hAnsi="Arial"/>
                  <w:sz w:val="16"/>
                  <w:szCs w:val="16"/>
                  <w:color w:val="0000EE"/>
                  <w:w w:val="92"/>
                </w:rPr>
                <w:t>between Bioarkive LLC and the Registrant.</w:t>
              </w:r>
            </w:hyperlink>
          </w:p>
        </w:tc>
        <w:tc>
          <w:tcPr>
            <w:tcW w:w="940" w:type="dxa"/>
            <w:vAlign w:val="bottom"/>
            <w:tcBorders>
              <w:top w:val="single" w:sz="8" w:color="0000EE"/>
            </w:tcBorders>
            <w:gridSpan w:val="14"/>
          </w:tcPr>
          <w:p>
            <w:pPr>
              <w:spacing w:after="0"/>
              <w:rPr>
                <w:sz w:val="15"/>
                <w:szCs w:val="15"/>
                <w:color w:val="auto"/>
              </w:rPr>
            </w:pPr>
          </w:p>
        </w:tc>
        <w:tc>
          <w:tcPr>
            <w:tcW w:w="260" w:type="dxa"/>
            <w:vAlign w:val="bottom"/>
            <w:gridSpan w:val="9"/>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10.14</w:t>
            </w:r>
          </w:p>
        </w:tc>
        <w:tc>
          <w:tcPr>
            <w:tcW w:w="3580" w:type="dxa"/>
            <w:vAlign w:val="bottom"/>
            <w:tcBorders>
              <w:bottom w:val="single" w:sz="8" w:color="0000EE"/>
            </w:tcBorders>
            <w:gridSpan w:val="26"/>
          </w:tcPr>
          <w:p>
            <w:pPr>
              <w:spacing w:after="0" w:line="183" w:lineRule="exact"/>
              <w:rPr>
                <w:rFonts w:ascii="Arial" w:cs="Arial" w:eastAsia="Arial" w:hAnsi="Arial"/>
                <w:sz w:val="16"/>
                <w:szCs w:val="16"/>
                <w:color w:val="0000EE"/>
                <w:w w:val="92"/>
              </w:rPr>
            </w:pPr>
            <w:hyperlink r:id="rId217">
              <w:r>
                <w:rPr>
                  <w:rFonts w:ascii="Arial" w:cs="Arial" w:eastAsia="Arial" w:hAnsi="Arial"/>
                  <w:sz w:val="16"/>
                  <w:szCs w:val="16"/>
                  <w:color w:val="0000EE"/>
                  <w:w w:val="92"/>
                </w:rPr>
                <w:t>Lease Agreement, by and between BioArkive, Inc. and</w:t>
              </w:r>
            </w:hyperlink>
          </w:p>
        </w:tc>
        <w:tc>
          <w:tcPr>
            <w:tcW w:w="460" w:type="dxa"/>
            <w:vAlign w:val="bottom"/>
            <w:gridSpan w:val="16"/>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Arial" w:cs="Arial" w:eastAsia="Arial" w:hAnsi="Arial"/>
                <w:sz w:val="16"/>
                <w:szCs w:val="16"/>
                <w:color w:val="auto"/>
              </w:rPr>
              <w:t>8-K</w:t>
            </w:r>
          </w:p>
        </w:tc>
        <w:tc>
          <w:tcPr>
            <w:tcW w:w="940" w:type="dxa"/>
            <w:vAlign w:val="bottom"/>
          </w:tcPr>
          <w:p>
            <w:pPr>
              <w:jc w:val="center"/>
              <w:spacing w:after="0" w:line="183" w:lineRule="exact"/>
              <w:rPr>
                <w:sz w:val="20"/>
                <w:szCs w:val="20"/>
                <w:color w:val="auto"/>
              </w:rPr>
            </w:pPr>
            <w:r>
              <w:rPr>
                <w:rFonts w:ascii="Arial" w:cs="Arial" w:eastAsia="Arial" w:hAnsi="Arial"/>
                <w:sz w:val="16"/>
                <w:szCs w:val="16"/>
                <w:color w:val="auto"/>
                <w:w w:val="91"/>
              </w:rPr>
              <w:t>001-40675</w:t>
            </w:r>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1000" w:type="dxa"/>
            <w:vAlign w:val="bottom"/>
          </w:tcPr>
          <w:p>
            <w:pPr>
              <w:jc w:val="center"/>
              <w:spacing w:after="0" w:line="183" w:lineRule="exact"/>
              <w:rPr>
                <w:sz w:val="20"/>
                <w:szCs w:val="20"/>
                <w:color w:val="auto"/>
              </w:rPr>
            </w:pPr>
            <w:r>
              <w:rPr>
                <w:rFonts w:ascii="Arial" w:cs="Arial" w:eastAsia="Arial" w:hAnsi="Arial"/>
                <w:sz w:val="16"/>
                <w:szCs w:val="16"/>
                <w:color w:val="auto"/>
                <w:w w:val="92"/>
              </w:rPr>
              <w:t>12/22/2021</w:t>
            </w:r>
          </w:p>
        </w:tc>
        <w:tc>
          <w:tcPr>
            <w:tcW w:w="90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4040" w:type="dxa"/>
            <w:vAlign w:val="bottom"/>
            <w:gridSpan w:val="42"/>
          </w:tcPr>
          <w:p>
            <w:pPr>
              <w:spacing w:after="0" w:line="183" w:lineRule="exact"/>
              <w:rPr>
                <w:rFonts w:ascii="Arial" w:cs="Arial" w:eastAsia="Arial" w:hAnsi="Arial"/>
                <w:sz w:val="16"/>
                <w:szCs w:val="16"/>
                <w:color w:val="0000EE"/>
              </w:rPr>
            </w:pPr>
            <w:hyperlink r:id="rId217">
              <w:r>
                <w:rPr>
                  <w:rFonts w:ascii="Arial" w:cs="Arial" w:eastAsia="Arial" w:hAnsi="Arial"/>
                  <w:sz w:val="16"/>
                  <w:szCs w:val="16"/>
                  <w:color w:val="0000EE"/>
                </w:rPr>
                <w:t>Thornmint 13, LLC, dated as of July 22, 2021</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21.1</w:t>
            </w:r>
          </w:p>
        </w:tc>
        <w:tc>
          <w:tcPr>
            <w:tcW w:w="2720" w:type="dxa"/>
            <w:vAlign w:val="bottom"/>
            <w:tcBorders>
              <w:top w:val="single" w:sz="8" w:color="0000EE"/>
              <w:bottom w:val="single" w:sz="8" w:color="0000EE"/>
            </w:tcBorders>
            <w:gridSpan w:val="18"/>
          </w:tcPr>
          <w:p>
            <w:pPr>
              <w:spacing w:after="0" w:line="183" w:lineRule="exact"/>
              <w:rPr>
                <w:rFonts w:ascii="Arial" w:cs="Arial" w:eastAsia="Arial" w:hAnsi="Arial"/>
                <w:sz w:val="16"/>
                <w:szCs w:val="16"/>
                <w:color w:val="0000EE"/>
                <w:w w:val="92"/>
              </w:rPr>
            </w:pPr>
            <w:hyperlink w:anchor="page167">
              <w:r>
                <w:rPr>
                  <w:rFonts w:ascii="Arial" w:cs="Arial" w:eastAsia="Arial" w:hAnsi="Arial"/>
                  <w:sz w:val="16"/>
                  <w:szCs w:val="16"/>
                  <w:color w:val="0000EE"/>
                  <w:w w:val="92"/>
                </w:rPr>
                <w:t>Subsidiaries of Immuneering Corporation</w:t>
              </w:r>
            </w:hyperlink>
          </w:p>
        </w:tc>
        <w:tc>
          <w:tcPr>
            <w:tcW w:w="260" w:type="dxa"/>
            <w:vAlign w:val="bottom"/>
            <w:tcBorders>
              <w:top w:val="single" w:sz="8" w:color="0000EE"/>
            </w:tcBorders>
            <w:gridSpan w:val="2"/>
          </w:tcPr>
          <w:p>
            <w:pPr>
              <w:spacing w:after="0"/>
              <w:rPr>
                <w:sz w:val="15"/>
                <w:szCs w:val="15"/>
                <w:color w:val="auto"/>
              </w:rPr>
            </w:pPr>
          </w:p>
        </w:tc>
        <w:tc>
          <w:tcPr>
            <w:tcW w:w="1060" w:type="dxa"/>
            <w:vAlign w:val="bottom"/>
            <w:gridSpan w:val="22"/>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23.1</w:t>
            </w:r>
          </w:p>
        </w:tc>
        <w:tc>
          <w:tcPr>
            <w:tcW w:w="3720" w:type="dxa"/>
            <w:vAlign w:val="bottom"/>
            <w:tcBorders>
              <w:bottom w:val="single" w:sz="8" w:color="0000EE"/>
            </w:tcBorders>
            <w:gridSpan w:val="30"/>
          </w:tcPr>
          <w:p>
            <w:pPr>
              <w:spacing w:after="0" w:line="183" w:lineRule="exact"/>
              <w:rPr>
                <w:rFonts w:ascii="Arial" w:cs="Arial" w:eastAsia="Arial" w:hAnsi="Arial"/>
                <w:sz w:val="16"/>
                <w:szCs w:val="16"/>
                <w:color w:val="0000EE"/>
                <w:w w:val="91"/>
              </w:rPr>
            </w:pPr>
            <w:hyperlink w:anchor="page168">
              <w:r>
                <w:rPr>
                  <w:rFonts w:ascii="Arial" w:cs="Arial" w:eastAsia="Arial" w:hAnsi="Arial"/>
                  <w:sz w:val="16"/>
                  <w:szCs w:val="16"/>
                  <w:color w:val="0000EE"/>
                  <w:w w:val="91"/>
                </w:rPr>
                <w:t>Consent of RSM US, LLP, Independent Registered Pubic</w:t>
              </w:r>
            </w:hyperlink>
          </w:p>
        </w:tc>
        <w:tc>
          <w:tcPr>
            <w:tcW w:w="320" w:type="dxa"/>
            <w:vAlign w:val="bottom"/>
            <w:gridSpan w:val="12"/>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r>
      <w:tr>
        <w:trPr>
          <w:trHeight w:val="183"/>
        </w:trPr>
        <w:tc>
          <w:tcPr>
            <w:tcW w:w="800" w:type="dxa"/>
            <w:vAlign w:val="bottom"/>
          </w:tcPr>
          <w:p>
            <w:pPr>
              <w:spacing w:after="0"/>
              <w:rPr>
                <w:sz w:val="15"/>
                <w:szCs w:val="15"/>
                <w:color w:val="auto"/>
              </w:rPr>
            </w:pPr>
          </w:p>
        </w:tc>
        <w:tc>
          <w:tcPr>
            <w:tcW w:w="1120" w:type="dxa"/>
            <w:vAlign w:val="bottom"/>
            <w:tcBorders>
              <w:bottom w:val="single" w:sz="8" w:color="0000EE"/>
            </w:tcBorders>
            <w:gridSpan w:val="5"/>
          </w:tcPr>
          <w:p>
            <w:pPr>
              <w:spacing w:after="0" w:line="183" w:lineRule="exact"/>
              <w:rPr>
                <w:rFonts w:ascii="Arial" w:cs="Arial" w:eastAsia="Arial" w:hAnsi="Arial"/>
                <w:sz w:val="16"/>
                <w:szCs w:val="16"/>
                <w:color w:val="0000EE"/>
                <w:w w:val="95"/>
              </w:rPr>
            </w:pPr>
            <w:hyperlink w:anchor="page168">
              <w:r>
                <w:rPr>
                  <w:rFonts w:ascii="Arial" w:cs="Arial" w:eastAsia="Arial" w:hAnsi="Arial"/>
                  <w:sz w:val="16"/>
                  <w:szCs w:val="16"/>
                  <w:color w:val="0000EE"/>
                  <w:w w:val="95"/>
                </w:rPr>
                <w:t>Accounting Firm</w:t>
              </w:r>
            </w:hyperlink>
          </w:p>
        </w:tc>
        <w:tc>
          <w:tcPr>
            <w:tcW w:w="2920" w:type="dxa"/>
            <w:vAlign w:val="bottom"/>
            <w:gridSpan w:val="37"/>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31.1</w:t>
            </w:r>
          </w:p>
        </w:tc>
        <w:tc>
          <w:tcPr>
            <w:tcW w:w="4040" w:type="dxa"/>
            <w:vAlign w:val="bottom"/>
            <w:gridSpan w:val="42"/>
          </w:tcPr>
          <w:p>
            <w:pPr>
              <w:spacing w:after="0" w:line="183" w:lineRule="exact"/>
              <w:rPr>
                <w:rFonts w:ascii="Arial" w:cs="Arial" w:eastAsia="Arial" w:hAnsi="Arial"/>
                <w:sz w:val="16"/>
                <w:szCs w:val="16"/>
                <w:color w:val="0000EE"/>
              </w:rPr>
            </w:pPr>
            <w:hyperlink w:anchor="page169">
              <w:r>
                <w:rPr>
                  <w:rFonts w:ascii="Arial" w:cs="Arial" w:eastAsia="Arial" w:hAnsi="Arial"/>
                  <w:sz w:val="16"/>
                  <w:szCs w:val="16"/>
                  <w:color w:val="0000EE"/>
                </w:rPr>
                <w:t>Certification of Chief Executive Officer pursuant to Rule</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r>
      <w:tr>
        <w:trPr>
          <w:trHeight w:val="183"/>
        </w:trPr>
        <w:tc>
          <w:tcPr>
            <w:tcW w:w="80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7"/>
          </w:tcPr>
          <w:p>
            <w:pPr>
              <w:spacing w:after="0" w:line="183" w:lineRule="exact"/>
              <w:rPr>
                <w:rFonts w:ascii="Arial" w:cs="Arial" w:eastAsia="Arial" w:hAnsi="Arial"/>
                <w:sz w:val="16"/>
                <w:szCs w:val="16"/>
                <w:color w:val="0000EE"/>
                <w:w w:val="90"/>
              </w:rPr>
            </w:pPr>
            <w:hyperlink w:anchor="page169">
              <w:r>
                <w:rPr>
                  <w:rFonts w:ascii="Arial" w:cs="Arial" w:eastAsia="Arial" w:hAnsi="Arial"/>
                  <w:sz w:val="16"/>
                  <w:szCs w:val="16"/>
                  <w:color w:val="0000EE"/>
                  <w:w w:val="90"/>
                </w:rPr>
                <w:t>13a-14(a)/15d-14(a).</w:t>
              </w:r>
            </w:hyperlink>
          </w:p>
        </w:tc>
        <w:tc>
          <w:tcPr>
            <w:tcW w:w="2340" w:type="dxa"/>
            <w:vAlign w:val="bottom"/>
            <w:tcBorders>
              <w:top w:val="single" w:sz="8" w:color="0000EE"/>
            </w:tcBorders>
            <w:gridSpan w:val="22"/>
          </w:tcPr>
          <w:p>
            <w:pPr>
              <w:spacing w:after="0"/>
              <w:rPr>
                <w:sz w:val="15"/>
                <w:szCs w:val="15"/>
                <w:color w:val="auto"/>
              </w:rPr>
            </w:pPr>
          </w:p>
        </w:tc>
        <w:tc>
          <w:tcPr>
            <w:tcW w:w="340" w:type="dxa"/>
            <w:vAlign w:val="bottom"/>
            <w:gridSpan w:val="13"/>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31.2</w:t>
            </w:r>
          </w:p>
        </w:tc>
        <w:tc>
          <w:tcPr>
            <w:tcW w:w="4040" w:type="dxa"/>
            <w:vAlign w:val="bottom"/>
            <w:gridSpan w:val="42"/>
          </w:tcPr>
          <w:p>
            <w:pPr>
              <w:spacing w:after="0" w:line="183" w:lineRule="exact"/>
              <w:rPr>
                <w:rFonts w:ascii="Arial" w:cs="Arial" w:eastAsia="Arial" w:hAnsi="Arial"/>
                <w:sz w:val="16"/>
                <w:szCs w:val="16"/>
                <w:color w:val="0000EE"/>
                <w:w w:val="95"/>
              </w:rPr>
            </w:pPr>
            <w:hyperlink w:anchor="page170">
              <w:r>
                <w:rPr>
                  <w:rFonts w:ascii="Arial" w:cs="Arial" w:eastAsia="Arial" w:hAnsi="Arial"/>
                  <w:sz w:val="16"/>
                  <w:szCs w:val="16"/>
                  <w:color w:val="0000EE"/>
                  <w:w w:val="95"/>
                </w:rPr>
                <w:t>Certification of Chief Financial Officer pursuant to Rule 13a-</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r>
      <w:tr>
        <w:trPr>
          <w:trHeight w:val="183"/>
        </w:trPr>
        <w:tc>
          <w:tcPr>
            <w:tcW w:w="80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1"/>
              </w:rPr>
            </w:pPr>
            <w:hyperlink w:anchor="page170">
              <w:r>
                <w:rPr>
                  <w:rFonts w:ascii="Arial" w:cs="Arial" w:eastAsia="Arial" w:hAnsi="Arial"/>
                  <w:sz w:val="16"/>
                  <w:szCs w:val="16"/>
                  <w:color w:val="0000EE"/>
                  <w:w w:val="91"/>
                </w:rPr>
                <w:t>14(a)/15d-14(a).</w:t>
              </w:r>
            </w:hyperlink>
          </w:p>
        </w:tc>
        <w:tc>
          <w:tcPr>
            <w:tcW w:w="2900" w:type="dxa"/>
            <w:vAlign w:val="bottom"/>
            <w:tcBorders>
              <w:top w:val="single" w:sz="8" w:color="0000EE"/>
            </w:tcBorders>
            <w:gridSpan w:val="35"/>
          </w:tcPr>
          <w:p>
            <w:pPr>
              <w:spacing w:after="0"/>
              <w:rPr>
                <w:sz w:val="15"/>
                <w:szCs w:val="15"/>
                <w:color w:val="auto"/>
              </w:rPr>
            </w:pPr>
          </w:p>
        </w:tc>
        <w:tc>
          <w:tcPr>
            <w:tcW w:w="6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800" w:type="dxa"/>
            <w:vAlign w:val="bottom"/>
          </w:tcPr>
          <w:p>
            <w:pPr>
              <w:spacing w:after="0" w:line="183" w:lineRule="exact"/>
              <w:rPr>
                <w:sz w:val="20"/>
                <w:szCs w:val="20"/>
                <w:color w:val="auto"/>
              </w:rPr>
            </w:pPr>
            <w:r>
              <w:rPr>
                <w:rFonts w:ascii="Arial" w:cs="Arial" w:eastAsia="Arial" w:hAnsi="Arial"/>
                <w:sz w:val="16"/>
                <w:szCs w:val="16"/>
                <w:color w:val="auto"/>
              </w:rPr>
              <w:t>32.1</w:t>
            </w:r>
          </w:p>
        </w:tc>
        <w:tc>
          <w:tcPr>
            <w:tcW w:w="4040" w:type="dxa"/>
            <w:vAlign w:val="bottom"/>
            <w:gridSpan w:val="42"/>
          </w:tcPr>
          <w:p>
            <w:pPr>
              <w:spacing w:after="0" w:line="183" w:lineRule="exact"/>
              <w:rPr>
                <w:rFonts w:ascii="Arial" w:cs="Arial" w:eastAsia="Arial" w:hAnsi="Arial"/>
                <w:sz w:val="16"/>
                <w:szCs w:val="16"/>
                <w:color w:val="0000EE"/>
              </w:rPr>
            </w:pPr>
            <w:hyperlink w:anchor="page171">
              <w:r>
                <w:rPr>
                  <w:rFonts w:ascii="Arial" w:cs="Arial" w:eastAsia="Arial" w:hAnsi="Arial"/>
                  <w:sz w:val="16"/>
                  <w:szCs w:val="16"/>
                  <w:color w:val="0000EE"/>
                </w:rPr>
                <w:t>Certification of Chief Executive Officer pursuant to 18</w:t>
              </w:r>
            </w:hyperlink>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r>
      <w:tr>
        <w:trPr>
          <w:trHeight w:val="183"/>
        </w:trPr>
        <w:tc>
          <w:tcPr>
            <w:tcW w:w="80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0"/>
              </w:rPr>
            </w:pPr>
            <w:hyperlink w:anchor="page171">
              <w:r>
                <w:rPr>
                  <w:rFonts w:ascii="Arial" w:cs="Arial" w:eastAsia="Arial" w:hAnsi="Arial"/>
                  <w:sz w:val="16"/>
                  <w:szCs w:val="16"/>
                  <w:color w:val="0000EE"/>
                  <w:w w:val="90"/>
                </w:rPr>
                <w:t>U.S.C. Section 1350.</w:t>
              </w:r>
            </w:hyperlink>
          </w:p>
        </w:tc>
        <w:tc>
          <w:tcPr>
            <w:tcW w:w="2180" w:type="dxa"/>
            <w:vAlign w:val="bottom"/>
            <w:tcBorders>
              <w:top w:val="single" w:sz="8" w:color="0000EE"/>
            </w:tcBorders>
            <w:gridSpan w:val="17"/>
          </w:tcPr>
          <w:p>
            <w:pPr>
              <w:spacing w:after="0"/>
              <w:rPr>
                <w:sz w:val="15"/>
                <w:szCs w:val="15"/>
                <w:color w:val="auto"/>
              </w:rPr>
            </w:pPr>
          </w:p>
        </w:tc>
        <w:tc>
          <w:tcPr>
            <w:tcW w:w="480" w:type="dxa"/>
            <w:vAlign w:val="bottom"/>
            <w:gridSpan w:val="17"/>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800" w:type="dxa"/>
            <w:vAlign w:val="bottom"/>
          </w:tcPr>
          <w:p>
            <w:pPr>
              <w:spacing w:after="0" w:line="183" w:lineRule="exact"/>
              <w:rPr>
                <w:sz w:val="20"/>
                <w:szCs w:val="20"/>
                <w:color w:val="auto"/>
              </w:rPr>
            </w:pPr>
            <w:r>
              <w:rPr>
                <w:rFonts w:ascii="Arial" w:cs="Arial" w:eastAsia="Arial" w:hAnsi="Arial"/>
                <w:sz w:val="16"/>
                <w:szCs w:val="16"/>
                <w:color w:val="auto"/>
              </w:rPr>
              <w:t>32.2</w:t>
            </w:r>
          </w:p>
        </w:tc>
        <w:tc>
          <w:tcPr>
            <w:tcW w:w="4000" w:type="dxa"/>
            <w:vAlign w:val="bottom"/>
            <w:tcBorders>
              <w:bottom w:val="single" w:sz="8" w:color="0000EE"/>
            </w:tcBorders>
            <w:gridSpan w:val="40"/>
          </w:tcPr>
          <w:p>
            <w:pPr>
              <w:spacing w:after="0" w:line="183" w:lineRule="exact"/>
              <w:rPr>
                <w:rFonts w:ascii="Arial" w:cs="Arial" w:eastAsia="Arial" w:hAnsi="Arial"/>
                <w:sz w:val="16"/>
                <w:szCs w:val="16"/>
                <w:color w:val="0000EE"/>
                <w:w w:val="94"/>
              </w:rPr>
            </w:pPr>
            <w:hyperlink w:anchor="page172">
              <w:r>
                <w:rPr>
                  <w:rFonts w:ascii="Arial" w:cs="Arial" w:eastAsia="Arial" w:hAnsi="Arial"/>
                  <w:sz w:val="16"/>
                  <w:szCs w:val="16"/>
                  <w:color w:val="0000EE"/>
                  <w:w w:val="94"/>
                </w:rPr>
                <w:t>Certification of Chief Financial Officer pursuant to 18 U.S.C.</w:t>
              </w:r>
            </w:hyperlink>
          </w:p>
        </w:tc>
        <w:tc>
          <w:tcPr>
            <w:tcW w:w="4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r>
      <w:tr>
        <w:trPr>
          <w:trHeight w:val="183"/>
        </w:trPr>
        <w:tc>
          <w:tcPr>
            <w:tcW w:w="800" w:type="dxa"/>
            <w:vAlign w:val="bottom"/>
          </w:tcPr>
          <w:p>
            <w:pPr>
              <w:spacing w:after="0"/>
              <w:rPr>
                <w:sz w:val="15"/>
                <w:szCs w:val="15"/>
                <w:color w:val="auto"/>
              </w:rPr>
            </w:pPr>
          </w:p>
        </w:tc>
        <w:tc>
          <w:tcPr>
            <w:tcW w:w="900" w:type="dxa"/>
            <w:vAlign w:val="bottom"/>
            <w:tcBorders>
              <w:bottom w:val="single" w:sz="8" w:color="0000EE"/>
            </w:tcBorders>
            <w:gridSpan w:val="3"/>
          </w:tcPr>
          <w:p>
            <w:pPr>
              <w:spacing w:after="0" w:line="183" w:lineRule="exact"/>
              <w:rPr>
                <w:rFonts w:ascii="Arial" w:cs="Arial" w:eastAsia="Arial" w:hAnsi="Arial"/>
                <w:sz w:val="16"/>
                <w:szCs w:val="16"/>
                <w:color w:val="0000EE"/>
                <w:w w:val="89"/>
              </w:rPr>
            </w:pPr>
            <w:hyperlink w:anchor="page172">
              <w:r>
                <w:rPr>
                  <w:rFonts w:ascii="Arial" w:cs="Arial" w:eastAsia="Arial" w:hAnsi="Arial"/>
                  <w:sz w:val="16"/>
                  <w:szCs w:val="16"/>
                  <w:color w:val="0000EE"/>
                  <w:w w:val="89"/>
                </w:rPr>
                <w:t>Section 1350.</w:t>
              </w:r>
            </w:hyperlink>
          </w:p>
        </w:tc>
        <w:tc>
          <w:tcPr>
            <w:tcW w:w="3140" w:type="dxa"/>
            <w:vAlign w:val="bottom"/>
            <w:gridSpan w:val="39"/>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9" w:name="page160"/>
    <w:bookmarkEnd w:id="1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Incorporated by Reference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Filed/</w:t>
            </w:r>
          </w:p>
        </w:tc>
      </w:tr>
      <w:tr>
        <w:trPr>
          <w:trHeight w:val="188"/>
        </w:trPr>
        <w:tc>
          <w:tcPr>
            <w:tcW w:w="7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4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Filing</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Furnished</w:t>
            </w:r>
          </w:p>
        </w:tc>
      </w:tr>
      <w:tr>
        <w:trPr>
          <w:trHeight w:val="213"/>
        </w:trPr>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4140" w:type="dxa"/>
            <w:vAlign w:val="bottom"/>
            <w:tcBorders>
              <w:bottom w:val="single" w:sz="8" w:color="auto"/>
            </w:tcBorders>
          </w:tcPr>
          <w:p>
            <w:pPr>
              <w:ind w:left="1440"/>
              <w:spacing w:after="0"/>
              <w:rPr>
                <w:sz w:val="20"/>
                <w:szCs w:val="20"/>
                <w:color w:val="auto"/>
              </w:rPr>
            </w:pPr>
            <w:r>
              <w:rPr>
                <w:rFonts w:ascii="Arial" w:cs="Arial" w:eastAsia="Arial" w:hAnsi="Arial"/>
                <w:sz w:val="16"/>
                <w:szCs w:val="16"/>
                <w:b w:val="1"/>
                <w:bCs w:val="1"/>
                <w:color w:val="auto"/>
              </w:rPr>
              <w:t>Exhibit Description</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Form</w:t>
            </w:r>
          </w:p>
        </w:tc>
        <w:tc>
          <w:tcPr>
            <w:tcW w:w="16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File No.   Exhibit</w:t>
            </w: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101.INS</w:t>
            </w:r>
          </w:p>
        </w:tc>
        <w:tc>
          <w:tcPr>
            <w:tcW w:w="4140" w:type="dxa"/>
            <w:vAlign w:val="bottom"/>
          </w:tcPr>
          <w:p>
            <w:pPr>
              <w:ind w:left="100"/>
              <w:spacing w:after="0"/>
              <w:rPr>
                <w:sz w:val="20"/>
                <w:szCs w:val="20"/>
                <w:color w:val="auto"/>
              </w:rPr>
            </w:pPr>
            <w:r>
              <w:rPr>
                <w:rFonts w:ascii="Arial" w:cs="Arial" w:eastAsia="Arial" w:hAnsi="Arial"/>
                <w:sz w:val="16"/>
                <w:szCs w:val="16"/>
                <w:color w:val="auto"/>
                <w:w w:val="99"/>
              </w:rPr>
              <w:t>Inline XBRL Instance Document – the instance document</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03"/>
        </w:trPr>
        <w:tc>
          <w:tcPr>
            <w:tcW w:w="7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6"/>
                <w:szCs w:val="16"/>
                <w:color w:val="auto"/>
                <w:w w:val="91"/>
              </w:rPr>
              <w:t>does not appear in the Interactive Data File because its XBRL</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6"/>
                <w:szCs w:val="16"/>
                <w:color w:val="auto"/>
              </w:rPr>
              <w:t>tags are embedded within the Inline XBRL document.</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700" w:type="dxa"/>
            <w:vAlign w:val="bottom"/>
          </w:tcPr>
          <w:p>
            <w:pPr>
              <w:spacing w:after="0"/>
              <w:rPr>
                <w:sz w:val="20"/>
                <w:szCs w:val="20"/>
                <w:color w:val="auto"/>
              </w:rPr>
            </w:pPr>
            <w:r>
              <w:rPr>
                <w:rFonts w:ascii="Arial" w:cs="Arial" w:eastAsia="Arial" w:hAnsi="Arial"/>
                <w:sz w:val="16"/>
                <w:szCs w:val="16"/>
                <w:color w:val="auto"/>
              </w:rPr>
              <w:t>101.SCH</w:t>
            </w:r>
          </w:p>
        </w:tc>
        <w:tc>
          <w:tcPr>
            <w:tcW w:w="4140" w:type="dxa"/>
            <w:vAlign w:val="bottom"/>
          </w:tcPr>
          <w:p>
            <w:pPr>
              <w:ind w:left="100"/>
              <w:spacing w:after="0"/>
              <w:rPr>
                <w:sz w:val="20"/>
                <w:szCs w:val="20"/>
                <w:color w:val="auto"/>
              </w:rPr>
            </w:pPr>
            <w:r>
              <w:rPr>
                <w:rFonts w:ascii="Arial" w:cs="Arial" w:eastAsia="Arial" w:hAnsi="Arial"/>
                <w:sz w:val="16"/>
                <w:szCs w:val="16"/>
                <w:color w:val="auto"/>
              </w:rPr>
              <w:t>Inline XBRL Taxonomy Extension Schema Document.</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03"/>
        </w:trPr>
        <w:tc>
          <w:tcPr>
            <w:tcW w:w="700" w:type="dxa"/>
            <w:vAlign w:val="bottom"/>
          </w:tcPr>
          <w:p>
            <w:pPr>
              <w:spacing w:after="0"/>
              <w:rPr>
                <w:sz w:val="20"/>
                <w:szCs w:val="20"/>
                <w:color w:val="auto"/>
              </w:rPr>
            </w:pPr>
            <w:r>
              <w:rPr>
                <w:rFonts w:ascii="Arial" w:cs="Arial" w:eastAsia="Arial" w:hAnsi="Arial"/>
                <w:sz w:val="16"/>
                <w:szCs w:val="16"/>
                <w:color w:val="auto"/>
              </w:rPr>
              <w:t>101.CAL</w:t>
            </w:r>
          </w:p>
        </w:tc>
        <w:tc>
          <w:tcPr>
            <w:tcW w:w="4140" w:type="dxa"/>
            <w:vAlign w:val="bottom"/>
          </w:tcPr>
          <w:p>
            <w:pPr>
              <w:ind w:left="100"/>
              <w:spacing w:after="0"/>
              <w:rPr>
                <w:sz w:val="20"/>
                <w:szCs w:val="20"/>
                <w:color w:val="auto"/>
              </w:rPr>
            </w:pPr>
            <w:r>
              <w:rPr>
                <w:rFonts w:ascii="Arial" w:cs="Arial" w:eastAsia="Arial" w:hAnsi="Arial"/>
                <w:sz w:val="16"/>
                <w:szCs w:val="16"/>
                <w:color w:val="auto"/>
              </w:rPr>
              <w:t>Inline XBRL Taxonomy Extension Calculation Linkbase</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03"/>
        </w:trPr>
        <w:tc>
          <w:tcPr>
            <w:tcW w:w="7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6"/>
                <w:szCs w:val="16"/>
                <w:color w:val="auto"/>
              </w:rPr>
              <w:t>Document.</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0" w:type="dxa"/>
            <w:vAlign w:val="bottom"/>
          </w:tcPr>
          <w:p>
            <w:pPr>
              <w:spacing w:after="0"/>
              <w:rPr>
                <w:sz w:val="20"/>
                <w:szCs w:val="20"/>
                <w:color w:val="auto"/>
              </w:rPr>
            </w:pPr>
            <w:r>
              <w:rPr>
                <w:rFonts w:ascii="Arial" w:cs="Arial" w:eastAsia="Arial" w:hAnsi="Arial"/>
                <w:sz w:val="16"/>
                <w:szCs w:val="16"/>
                <w:color w:val="auto"/>
              </w:rPr>
              <w:t>101.DEF</w:t>
            </w:r>
          </w:p>
        </w:tc>
        <w:tc>
          <w:tcPr>
            <w:tcW w:w="4140" w:type="dxa"/>
            <w:vAlign w:val="bottom"/>
          </w:tcPr>
          <w:p>
            <w:pPr>
              <w:ind w:left="100"/>
              <w:spacing w:after="0"/>
              <w:rPr>
                <w:sz w:val="20"/>
                <w:szCs w:val="20"/>
                <w:color w:val="auto"/>
              </w:rPr>
            </w:pPr>
            <w:r>
              <w:rPr>
                <w:rFonts w:ascii="Arial" w:cs="Arial" w:eastAsia="Arial" w:hAnsi="Arial"/>
                <w:sz w:val="16"/>
                <w:szCs w:val="16"/>
                <w:color w:val="auto"/>
              </w:rPr>
              <w:t>Inline XBRL Taxonomy Extension Definition Linkbase</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03"/>
        </w:trPr>
        <w:tc>
          <w:tcPr>
            <w:tcW w:w="7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6"/>
                <w:szCs w:val="16"/>
                <w:color w:val="auto"/>
              </w:rPr>
              <w:t>Document.</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0" w:type="dxa"/>
            <w:vAlign w:val="bottom"/>
          </w:tcPr>
          <w:p>
            <w:pPr>
              <w:spacing w:after="0"/>
              <w:rPr>
                <w:sz w:val="20"/>
                <w:szCs w:val="20"/>
                <w:color w:val="auto"/>
              </w:rPr>
            </w:pPr>
            <w:r>
              <w:rPr>
                <w:rFonts w:ascii="Arial" w:cs="Arial" w:eastAsia="Arial" w:hAnsi="Arial"/>
                <w:sz w:val="16"/>
                <w:szCs w:val="16"/>
                <w:color w:val="auto"/>
              </w:rPr>
              <w:t>101.LAB</w:t>
            </w:r>
          </w:p>
        </w:tc>
        <w:tc>
          <w:tcPr>
            <w:tcW w:w="4140" w:type="dxa"/>
            <w:vAlign w:val="bottom"/>
          </w:tcPr>
          <w:p>
            <w:pPr>
              <w:ind w:left="100"/>
              <w:spacing w:after="0"/>
              <w:rPr>
                <w:sz w:val="20"/>
                <w:szCs w:val="20"/>
                <w:color w:val="auto"/>
              </w:rPr>
            </w:pPr>
            <w:r>
              <w:rPr>
                <w:rFonts w:ascii="Arial" w:cs="Arial" w:eastAsia="Arial" w:hAnsi="Arial"/>
                <w:sz w:val="16"/>
                <w:szCs w:val="16"/>
                <w:color w:val="auto"/>
              </w:rPr>
              <w:t>Inline XBRL Taxonomy Extension Label Linkbase</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03"/>
        </w:trPr>
        <w:tc>
          <w:tcPr>
            <w:tcW w:w="7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6"/>
                <w:szCs w:val="16"/>
                <w:color w:val="auto"/>
              </w:rPr>
              <w:t>Document.</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0" w:type="dxa"/>
            <w:vAlign w:val="bottom"/>
          </w:tcPr>
          <w:p>
            <w:pPr>
              <w:spacing w:after="0"/>
              <w:rPr>
                <w:sz w:val="20"/>
                <w:szCs w:val="20"/>
                <w:color w:val="auto"/>
              </w:rPr>
            </w:pPr>
            <w:r>
              <w:rPr>
                <w:rFonts w:ascii="Arial" w:cs="Arial" w:eastAsia="Arial" w:hAnsi="Arial"/>
                <w:sz w:val="16"/>
                <w:szCs w:val="16"/>
                <w:color w:val="auto"/>
              </w:rPr>
              <w:t>101.PRE</w:t>
            </w:r>
          </w:p>
        </w:tc>
        <w:tc>
          <w:tcPr>
            <w:tcW w:w="4140" w:type="dxa"/>
            <w:vAlign w:val="bottom"/>
          </w:tcPr>
          <w:p>
            <w:pPr>
              <w:ind w:left="100"/>
              <w:spacing w:after="0"/>
              <w:rPr>
                <w:sz w:val="20"/>
                <w:szCs w:val="20"/>
                <w:color w:val="auto"/>
              </w:rPr>
            </w:pPr>
            <w:r>
              <w:rPr>
                <w:rFonts w:ascii="Arial" w:cs="Arial" w:eastAsia="Arial" w:hAnsi="Arial"/>
                <w:sz w:val="16"/>
                <w:szCs w:val="16"/>
                <w:color w:val="auto"/>
              </w:rPr>
              <w:t>Inline XBRL Taxonomy Extension Presentation Linkbase</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03"/>
        </w:trPr>
        <w:tc>
          <w:tcPr>
            <w:tcW w:w="7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6"/>
                <w:szCs w:val="16"/>
                <w:color w:val="auto"/>
              </w:rPr>
              <w:t>Document.</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0" w:type="dxa"/>
            <w:vAlign w:val="bottom"/>
          </w:tcPr>
          <w:p>
            <w:pPr>
              <w:spacing w:after="0"/>
              <w:rPr>
                <w:sz w:val="20"/>
                <w:szCs w:val="20"/>
                <w:color w:val="auto"/>
              </w:rPr>
            </w:pPr>
            <w:r>
              <w:rPr>
                <w:rFonts w:ascii="Arial" w:cs="Arial" w:eastAsia="Arial" w:hAnsi="Arial"/>
                <w:sz w:val="16"/>
                <w:szCs w:val="16"/>
                <w:color w:val="auto"/>
              </w:rPr>
              <w:t>104</w:t>
            </w:r>
          </w:p>
        </w:tc>
        <w:tc>
          <w:tcPr>
            <w:tcW w:w="4140" w:type="dxa"/>
            <w:vAlign w:val="bottom"/>
          </w:tcPr>
          <w:p>
            <w:pPr>
              <w:ind w:left="100"/>
              <w:spacing w:after="0"/>
              <w:rPr>
                <w:sz w:val="20"/>
                <w:szCs w:val="20"/>
                <w:color w:val="auto"/>
              </w:rPr>
            </w:pPr>
            <w:r>
              <w:rPr>
                <w:rFonts w:ascii="Arial" w:cs="Arial" w:eastAsia="Arial" w:hAnsi="Arial"/>
                <w:sz w:val="16"/>
                <w:szCs w:val="16"/>
                <w:color w:val="auto"/>
                <w:w w:val="95"/>
              </w:rPr>
              <w:t>Cover Page Interactive Data File (formatted as Inline XBRL</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06"/>
        </w:trPr>
        <w:tc>
          <w:tcPr>
            <w:tcW w:w="7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6"/>
                <w:szCs w:val="16"/>
                <w:color w:val="auto"/>
              </w:rPr>
              <w:t>and contained in Exhibit 101)</w:t>
            </w: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8" w:lineRule="exact"/>
        <w:rPr>
          <w:sz w:val="20"/>
          <w:szCs w:val="20"/>
          <w:color w:val="auto"/>
        </w:rPr>
      </w:pPr>
    </w:p>
    <w:p>
      <w:pPr>
        <w:ind w:left="460" w:hanging="410"/>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10"/>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10"/>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0" w:name="page161"/>
    <w:bookmarkEnd w:id="1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6160" w:type="dxa"/>
            <w:vAlign w:val="bottom"/>
            <w:gridSpan w:val="2"/>
          </w:tcPr>
          <w:p>
            <w:pPr>
              <w:ind w:left="1160"/>
              <w:spacing w:after="0"/>
              <w:rPr>
                <w:sz w:val="20"/>
                <w:szCs w:val="20"/>
                <w:color w:val="auto"/>
              </w:rPr>
            </w:pPr>
            <w:r>
              <w:rPr>
                <w:rFonts w:ascii="Arial" w:cs="Arial" w:eastAsia="Arial" w:hAnsi="Arial"/>
                <w:sz w:val="18"/>
                <w:szCs w:val="18"/>
                <w:b w:val="1"/>
                <w:bCs w:val="1"/>
                <w:color w:val="auto"/>
              </w:rPr>
              <w:t>IMMUNEERING CORPORATION</w:t>
            </w:r>
          </w:p>
        </w:tc>
      </w:tr>
      <w:tr>
        <w:trPr>
          <w:trHeight w:val="648"/>
        </w:trPr>
        <w:tc>
          <w:tcPr>
            <w:tcW w:w="2720" w:type="dxa"/>
            <w:vAlign w:val="bottom"/>
          </w:tcPr>
          <w:p>
            <w:pPr>
              <w:spacing w:after="0"/>
              <w:rPr>
                <w:sz w:val="20"/>
                <w:szCs w:val="20"/>
                <w:color w:val="auto"/>
              </w:rPr>
            </w:pPr>
            <w:r>
              <w:rPr>
                <w:rFonts w:ascii="Arial" w:cs="Arial" w:eastAsia="Arial" w:hAnsi="Arial"/>
                <w:sz w:val="18"/>
                <w:szCs w:val="18"/>
                <w:color w:val="auto"/>
              </w:rPr>
              <w:t>Date: March 10, 2022</w:t>
            </w:r>
          </w:p>
        </w:tc>
        <w:tc>
          <w:tcPr>
            <w:tcW w:w="1740" w:type="dxa"/>
            <w:vAlign w:val="bottom"/>
          </w:tcPr>
          <w:p>
            <w:pPr>
              <w:ind w:left="116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J. Zeskind</w:t>
            </w:r>
          </w:p>
        </w:tc>
      </w:tr>
      <w:tr>
        <w:trPr>
          <w:trHeight w:val="195"/>
        </w:trPr>
        <w:tc>
          <w:tcPr>
            <w:tcW w:w="2720" w:type="dxa"/>
            <w:vAlign w:val="bottom"/>
          </w:tcPr>
          <w:p>
            <w:pPr>
              <w:spacing w:after="0"/>
              <w:rPr>
                <w:sz w:val="16"/>
                <w:szCs w:val="16"/>
                <w:color w:val="auto"/>
              </w:rPr>
            </w:pPr>
          </w:p>
        </w:tc>
        <w:tc>
          <w:tcPr>
            <w:tcW w:w="1740" w:type="dxa"/>
            <w:vAlign w:val="bottom"/>
          </w:tcPr>
          <w:p>
            <w:pPr>
              <w:ind w:left="1160"/>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Benjamin J. Zeskind, Ph.D.</w:t>
            </w:r>
          </w:p>
        </w:tc>
      </w:tr>
      <w:tr>
        <w:trPr>
          <w:trHeight w:val="216"/>
        </w:trPr>
        <w:tc>
          <w:tcPr>
            <w:tcW w:w="2720" w:type="dxa"/>
            <w:vAlign w:val="bottom"/>
          </w:tcPr>
          <w:p>
            <w:pPr>
              <w:spacing w:after="0"/>
              <w:rPr>
                <w:sz w:val="18"/>
                <w:szCs w:val="18"/>
                <w:color w:val="auto"/>
              </w:rPr>
            </w:pPr>
          </w:p>
        </w:tc>
        <w:tc>
          <w:tcPr>
            <w:tcW w:w="1740" w:type="dxa"/>
            <w:vAlign w:val="bottom"/>
          </w:tcPr>
          <w:p>
            <w:pPr>
              <w:ind w:left="1160"/>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w w:val="92"/>
              </w:rPr>
              <w:t>Co-Founder, President, Chief Executive Officer and Director</w:t>
            </w:r>
          </w:p>
        </w:tc>
      </w:tr>
      <w:tr>
        <w:trPr>
          <w:trHeight w:val="230"/>
        </w:trPr>
        <w:tc>
          <w:tcPr>
            <w:tcW w:w="2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Each person whose individual signature appears below hereby authorizes and appoints Benjamin J. Zeskind, and Biren Amin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65" w:lineRule="exact"/>
        <w:rPr>
          <w:sz w:val="20"/>
          <w:szCs w:val="20"/>
          <w:color w:val="auto"/>
        </w:rPr>
      </w:pPr>
    </w:p>
    <w:p>
      <w:pPr>
        <w:ind w:left="60" w:right="319"/>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1" w:name="page162"/>
    <w:bookmarkEnd w:id="1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2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398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Title</w:t>
            </w:r>
          </w:p>
        </w:tc>
        <w:tc>
          <w:tcPr>
            <w:tcW w:w="260" w:type="dxa"/>
            <w:vAlign w:val="bottom"/>
          </w:tcPr>
          <w:p>
            <w:pPr>
              <w:spacing w:after="0"/>
              <w:rPr>
                <w:sz w:val="20"/>
                <w:szCs w:val="20"/>
                <w:color w:val="auto"/>
              </w:rPr>
            </w:pPr>
          </w:p>
        </w:tc>
        <w:tc>
          <w:tcPr>
            <w:tcW w:w="15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Date</w:t>
            </w:r>
          </w:p>
        </w:tc>
      </w:tr>
      <w:tr>
        <w:trPr>
          <w:trHeight w:val="222"/>
        </w:trPr>
        <w:tc>
          <w:tcPr>
            <w:tcW w:w="2920" w:type="dxa"/>
            <w:vAlign w:val="bottom"/>
          </w:tcPr>
          <w:p>
            <w:pPr>
              <w:spacing w:after="0"/>
              <w:rPr>
                <w:sz w:val="19"/>
                <w:szCs w:val="19"/>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President, Chief Executive Officer and Director</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J. Zeskind</w:t>
            </w: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(Principal Executive Officer)</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March 10, 2022</w:t>
            </w:r>
          </w:p>
        </w:tc>
      </w:tr>
      <w:tr>
        <w:trPr>
          <w:trHeight w:val="228"/>
        </w:trPr>
        <w:tc>
          <w:tcPr>
            <w:tcW w:w="2920" w:type="dxa"/>
            <w:vAlign w:val="bottom"/>
          </w:tcPr>
          <w:p>
            <w:pPr>
              <w:spacing w:after="0"/>
              <w:rPr>
                <w:sz w:val="20"/>
                <w:szCs w:val="20"/>
                <w:color w:val="auto"/>
              </w:rPr>
            </w:pPr>
            <w:r>
              <w:rPr>
                <w:rFonts w:ascii="Arial" w:cs="Arial" w:eastAsia="Arial" w:hAnsi="Arial"/>
                <w:sz w:val="18"/>
                <w:szCs w:val="18"/>
                <w:b w:val="1"/>
                <w:bCs w:val="1"/>
                <w:color w:val="auto"/>
              </w:rPr>
              <w:t>Benjamin J. Zeskind, Ph.D.</w:t>
            </w:r>
          </w:p>
        </w:tc>
        <w:tc>
          <w:tcPr>
            <w:tcW w:w="1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4"/>
        </w:trPr>
        <w:tc>
          <w:tcPr>
            <w:tcW w:w="2920" w:type="dxa"/>
            <w:vAlign w:val="bottom"/>
          </w:tcPr>
          <w:p>
            <w:pPr>
              <w:spacing w:after="0"/>
              <w:rPr>
                <w:sz w:val="19"/>
                <w:szCs w:val="19"/>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(Principal Financial and</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Biren Amin</w:t>
            </w: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Accounting Officer)</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March 10, 2022</w:t>
            </w:r>
          </w:p>
        </w:tc>
      </w:tr>
      <w:tr>
        <w:trPr>
          <w:trHeight w:val="228"/>
        </w:trPr>
        <w:tc>
          <w:tcPr>
            <w:tcW w:w="2920" w:type="dxa"/>
            <w:vAlign w:val="bottom"/>
          </w:tcPr>
          <w:p>
            <w:pPr>
              <w:spacing w:after="0"/>
              <w:rPr>
                <w:sz w:val="20"/>
                <w:szCs w:val="20"/>
                <w:color w:val="auto"/>
              </w:rPr>
            </w:pPr>
            <w:r>
              <w:rPr>
                <w:rFonts w:ascii="Arial" w:cs="Arial" w:eastAsia="Arial" w:hAnsi="Arial"/>
                <w:sz w:val="18"/>
                <w:szCs w:val="18"/>
                <w:b w:val="1"/>
                <w:bCs w:val="1"/>
                <w:color w:val="auto"/>
              </w:rPr>
              <w:t>Biren Amin</w:t>
            </w:r>
          </w:p>
        </w:tc>
        <w:tc>
          <w:tcPr>
            <w:tcW w:w="1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67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E. Berman</w:t>
            </w: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March 10, 2022</w:t>
            </w:r>
          </w:p>
        </w:tc>
      </w:tr>
      <w:tr>
        <w:trPr>
          <w:trHeight w:val="228"/>
        </w:trPr>
        <w:tc>
          <w:tcPr>
            <w:tcW w:w="2920" w:type="dxa"/>
            <w:vAlign w:val="bottom"/>
          </w:tcPr>
          <w:p>
            <w:pPr>
              <w:spacing w:after="0"/>
              <w:rPr>
                <w:sz w:val="20"/>
                <w:szCs w:val="20"/>
                <w:color w:val="auto"/>
              </w:rPr>
            </w:pPr>
            <w:r>
              <w:rPr>
                <w:rFonts w:ascii="Arial" w:cs="Arial" w:eastAsia="Arial" w:hAnsi="Arial"/>
                <w:sz w:val="18"/>
                <w:szCs w:val="18"/>
                <w:b w:val="1"/>
                <w:bCs w:val="1"/>
                <w:color w:val="auto"/>
              </w:rPr>
              <w:t>Ann E. Berman</w:t>
            </w:r>
          </w:p>
        </w:tc>
        <w:tc>
          <w:tcPr>
            <w:tcW w:w="1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67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Carpenter</w:t>
            </w: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March 10, 2022</w:t>
            </w:r>
          </w:p>
        </w:tc>
      </w:tr>
      <w:tr>
        <w:trPr>
          <w:trHeight w:val="228"/>
        </w:trPr>
        <w:tc>
          <w:tcPr>
            <w:tcW w:w="2920" w:type="dxa"/>
            <w:vAlign w:val="bottom"/>
          </w:tcPr>
          <w:p>
            <w:pPr>
              <w:spacing w:after="0"/>
              <w:rPr>
                <w:sz w:val="20"/>
                <w:szCs w:val="20"/>
                <w:color w:val="auto"/>
              </w:rPr>
            </w:pPr>
            <w:r>
              <w:rPr>
                <w:rFonts w:ascii="Arial" w:cs="Arial" w:eastAsia="Arial" w:hAnsi="Arial"/>
                <w:sz w:val="18"/>
                <w:szCs w:val="18"/>
                <w:b w:val="1"/>
                <w:bCs w:val="1"/>
                <w:color w:val="auto"/>
              </w:rPr>
              <w:t>Robert J. Carpenter</w:t>
            </w:r>
          </w:p>
        </w:tc>
        <w:tc>
          <w:tcPr>
            <w:tcW w:w="1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67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Feinberg</w:t>
            </w: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March 10, 2022</w:t>
            </w:r>
          </w:p>
        </w:tc>
      </w:tr>
      <w:tr>
        <w:trPr>
          <w:trHeight w:val="228"/>
        </w:trPr>
        <w:tc>
          <w:tcPr>
            <w:tcW w:w="2920" w:type="dxa"/>
            <w:vAlign w:val="bottom"/>
          </w:tcPr>
          <w:p>
            <w:pPr>
              <w:spacing w:after="0"/>
              <w:rPr>
                <w:sz w:val="20"/>
                <w:szCs w:val="20"/>
                <w:color w:val="auto"/>
              </w:rPr>
            </w:pPr>
            <w:r>
              <w:rPr>
                <w:rFonts w:ascii="Arial" w:cs="Arial" w:eastAsia="Arial" w:hAnsi="Arial"/>
                <w:sz w:val="18"/>
                <w:szCs w:val="18"/>
                <w:b w:val="1"/>
                <w:bCs w:val="1"/>
                <w:color w:val="auto"/>
              </w:rPr>
              <w:t>Peter Feinberg</w:t>
            </w:r>
          </w:p>
        </w:tc>
        <w:tc>
          <w:tcPr>
            <w:tcW w:w="1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67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Diana F. Hausman, MD</w:t>
            </w: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March 10, 2022</w:t>
            </w:r>
          </w:p>
        </w:tc>
      </w:tr>
      <w:tr>
        <w:trPr>
          <w:trHeight w:val="228"/>
        </w:trPr>
        <w:tc>
          <w:tcPr>
            <w:tcW w:w="2920" w:type="dxa"/>
            <w:vAlign w:val="bottom"/>
          </w:tcPr>
          <w:p>
            <w:pPr>
              <w:spacing w:after="0"/>
              <w:rPr>
                <w:sz w:val="20"/>
                <w:szCs w:val="20"/>
                <w:color w:val="auto"/>
              </w:rPr>
            </w:pPr>
            <w:r>
              <w:rPr>
                <w:rFonts w:ascii="Arial" w:cs="Arial" w:eastAsia="Arial" w:hAnsi="Arial"/>
                <w:sz w:val="18"/>
                <w:szCs w:val="18"/>
                <w:b w:val="1"/>
                <w:bCs w:val="1"/>
                <w:color w:val="auto"/>
              </w:rPr>
              <w:t>Diana F. Hausman, MD</w:t>
            </w:r>
          </w:p>
        </w:tc>
        <w:tc>
          <w:tcPr>
            <w:tcW w:w="1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670"/>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B. Keating</w:t>
            </w: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gridSpan w:val="2"/>
          </w:tcPr>
          <w:p>
            <w:pPr>
              <w:ind w:left="240"/>
              <w:spacing w:after="0"/>
              <w:rPr>
                <w:sz w:val="20"/>
                <w:szCs w:val="20"/>
                <w:color w:val="auto"/>
              </w:rPr>
            </w:pPr>
            <w:r>
              <w:rPr>
                <w:rFonts w:ascii="Arial" w:cs="Arial" w:eastAsia="Arial" w:hAnsi="Arial"/>
                <w:sz w:val="18"/>
                <w:szCs w:val="18"/>
                <w:color w:val="auto"/>
              </w:rPr>
              <w:t>March 10, 2022</w:t>
            </w:r>
          </w:p>
        </w:tc>
      </w:tr>
      <w:tr>
        <w:trPr>
          <w:trHeight w:val="204"/>
        </w:trPr>
        <w:tc>
          <w:tcPr>
            <w:tcW w:w="2920" w:type="dxa"/>
            <w:vAlign w:val="bottom"/>
          </w:tcPr>
          <w:p>
            <w:pPr>
              <w:spacing w:after="0"/>
              <w:rPr>
                <w:sz w:val="20"/>
                <w:szCs w:val="20"/>
                <w:color w:val="auto"/>
              </w:rPr>
            </w:pPr>
            <w:r>
              <w:rPr>
                <w:rFonts w:ascii="Arial" w:cs="Arial" w:eastAsia="Arial" w:hAnsi="Arial"/>
                <w:sz w:val="16"/>
                <w:szCs w:val="16"/>
                <w:b w:val="1"/>
                <w:bCs w:val="1"/>
                <w:color w:val="auto"/>
              </w:rPr>
              <w:t>Laurie B. Keating</w:t>
            </w:r>
          </w:p>
        </w:tc>
        <w:tc>
          <w:tcPr>
            <w:tcW w:w="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Immuneering Corporation had one class of securities registered under Section 12 of the Securities Exchange Act of 1934, as amended (the “Exchange Act”). References herein to “we,” “us,” “our” and the “Company” refer to Immuneering Corporation and not to any of its subsidiaries.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following description of our securities and certain provisions of our Amended and Restated Certificate of Incorporation (“Certificate of Incorporation”) and Amended and Restated Bylaws (“Bylaws”) are summaries and are qualified in their entirety by reference to the full text of our Certificate of Incorporation and our Bylaws, each of which has been publicly filed with the Securities and Exchange Commission (the “SEC”). We encourage you to read our Certificate of Incorporation and our Bylaws and the applicable provisions of the Delaware General Corporation Law (the “DGCL”) for additional information.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authorized capital stock consists of 200,000,000 shares of Class A common stock, $0.001 par value per share, 20,000,000 shares of Class B common stock, $0.001 par value per share, and 10,000,000 shares of preferred stock, $0.001 par value per share.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 A Common Stock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holders of our Class A common stock are entitled to one vote for each share held on all matters submitted to a vote of the stockholders. The holders of our Class A common stock do not have any cumulative voting rights. Holders of our Class A common stock are entitled to receive ratably any dividends declared by our board of directors out of funds legally available for that purpose, subject to any preferential dividend rights of any outstanding preferred stock. Our Class A common stock has no preemptive rights, conversion rights or other subscription rights or redemption or sinking fund provisions.</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event of our liquidation, dissolution or winding up, holders of our Class A common stock will be entitled to share ratably in all assets remaining after payment of all debts and other liabilities and any liquidation preference of any outstanding preferred stock.</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 to stockholders after the payment of all of our debts and other liabilities, subject to the prior rights of any preferred stock then outstanding.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 B Common Stock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Class B common stock is identical to our Class A common stock in all respects, except that the holders of our Class B common stock are not be entitled to vote on shareholder matters except as required by law. In addition, holders of our Class B common stock do not have the right to convert each share of Class B common stock into one share of Class A common stock at the holder’s election, unless, as a result of such conversion, the holder and its affiliates would own more than 9.9% of the combined voting power of our outstanding share capital, and subject to certain additional restrictions as more particularly described in our Certificate of Incorporation. Shares of Class B common stock, once converted to shares of Class A common stock, may not be converted back into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3" w:name="page164"/>
    <w:bookmarkEnd w:id="163"/>
    <w:p>
      <w:pPr>
        <w:ind w:left="6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Class A common stock. The issuance of our preferred stock could adversely affect the voting power of holders of Class A common stock and the likelihood that such holders will receive payments upon our liquidation. In addition, the issuance of preferred stock could have the effect of delaying, deferring or preventing a change in control of our company or other corporate action.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Certificate of Incorporation and Bylaws provide that, unless we consent in writing to the selection of an alternative forum, the Court of Chancery of the State of Delaware will be the exclusive forum for the following types of actions or proceedings under Delaware statutory or common law: (i) any derivative action or proceeding brought on our behalf; (ii) any action asserting a claim of breach of fiduciary duty owed by any of our directors, officers or stockholders to us or to our stockholders; (iii) any action asserting a claim against us arising pursuant to the DGCL, our Certificate of Incorporation or our Bylaws (as either may be amended from time to time); and (iv)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and Bylaws will also provide that the federal district courts of the United States of America will be the exclusive forum for the resolution of any complaint asserting a cause or causes of action against us or any defendant arising under the Securities Act. Nothing in our Certificate of Incorporation and Bylaws preclude stockholders that assert claims under the Exchange Act from bringing such claims in state or federal court, subject to applicable law.</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any action the subject matter of which is within the scope described above is filed in a court other than a court located within the State of Delaware, or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Certificate of Incorporation and Bylaws and having service of process made upon such stockholder in any such action by service upon such stockholder’s counsel in the Foreign Action as agent for such stockholder. Although our Certificate of Incorporation and Bylaws will contain the choice of forum provision described above, it is possible that a court could find that such a provision is inapplicable for a particular claim or action or that such provision is unenforceable.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We currently intend to retain all available funds and any future earnings to fund the development and growth of our business and to repay indebtedness, and therefore do not anticipate declaring or paying any cash dividends on our common stock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4" w:name="page165"/>
    <w:bookmarkEnd w:id="164"/>
    <w:p>
      <w:pPr>
        <w:ind w:left="66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Certificate of Incorporation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Authorized but Unissued Shares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authorized but unissued shares of our common stock and our preferred stock are available for future issuance without stockholder approval, subject to any limitations imposed by the listing standards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Classified Board of Directors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Certificate of Incorporation provides that our board of directors is divided into three classes, with the classes as nearly equal in number as possible and each class serving three-year staggered terms. In all other cases and at any other time, directors may only be removed from our board of directors for cause by the affirmative vote of a majority of the shares entitled to vote. These provisions may have the effect of deferring, delaying or discouraging hostile takeovers, or changes in control of us or our management.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Stockholder Action; Special Meeting of Stockholders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Certificate of Incorporation provides that our stockholders are not able to take action by written consent for any matter and may only take action at annual or special meetings. As a result, a holder controlling a majority of our capital stock would not be able to amend our Bylaws or remove directors without holding a meeting of our stockholders called in accordance with our Bylaws, unless previously approved by our board of directors. Our Certificate of Incorporation further provides that special meetings of our stockholders may be called only by the chairman of our board of directors, our chief executive officer, our president or another officer selected by a majority of our board of directors,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our Bylaws establishes an advance notice procedure for stockholder proposals to be brought before an annual meeting of stockholders, including proposed nominations of candidates for election to our board of directors. In order for any matter to be “properly brought” before a meeting, a stockholder has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of Certificate of Incorporation or Bylaws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DGCL provides generally that the affirmative vote of the holders of a majority in voting power of the shares entitled to vote is required to amend a corporation’s certificate of incorporation, unless a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597535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5" w:name="page166"/>
    <w:bookmarkEnd w:id="165"/>
    <w:p>
      <w:pPr>
        <w:jc w:val="both"/>
        <w:ind w:right="20"/>
        <w:spacing w:after="0" w:line="263" w:lineRule="auto"/>
        <w:rPr>
          <w:sz w:val="20"/>
          <w:szCs w:val="20"/>
          <w:color w:val="auto"/>
        </w:rPr>
      </w:pPr>
      <w:r>
        <w:rPr>
          <w:rFonts w:ascii="Arial" w:cs="Arial" w:eastAsia="Arial" w:hAnsi="Arial"/>
          <w:sz w:val="18"/>
          <w:szCs w:val="18"/>
          <w:color w:val="auto"/>
        </w:rPr>
        <w:t>certificate of incorporation requires a greater percentage. Our Bylaws may be amended or repealed by a majority vote of our board of directors or by the affirmative vote of the holders a majority of the votes which all our stockholders would be eligible to cast in an election of directors.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203 of the DGCL</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Section 203 of the DGCL,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Bylaws provide indemnification for our directors and officers to the fullest extent permitted by the DGCL, along with the right to have expenses incurred in defending proceedings paid in advance of their final disposition. We entered into indemnification agreements with each of our directors and executive officers that may, in some cases, be broader than the specific indemnification and advancement provisions contained under our Bylaws and provided under Delaware law. In addition, as permitted by Delaware law, our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to recover monetary damages against a director for breach of fiduciary duties as a director.</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Immuneering Corporation. Pursuant to the DGCL, stockholders who properly demand and perfect appraisal rights in connection with such mergers or consolidations will have the right to receive payment of the fair value of their shares as determined by the Delaware Court of Chancery, subject to certain limitations.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DGCL, any of our stockholders may bring an action in our name to procure a judgment in our favor, also known as a derivative action, in certain circumstances. Among other things, either the stockholder bringing any such action must be a holder of our shares at the time of the transaction to which the action relates or such stockholder’s stock must have thereafter devolved by operation of law, and such stockholder must continuously hold shares through the resolution of such action.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transfer agent and registrar for our Class A common stock is American Stock Transfer and Trust Company, LLC.</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Trading Symbol and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A common stock is listed on the Nasdaq Global Market under the symbol “IMRX.”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6" w:name="page167"/>
    <w:bookmarkEnd w:id="166"/>
    <w:p>
      <w:pPr>
        <w:jc w:val="right"/>
        <w:spacing w:after="0"/>
        <w:rPr>
          <w:sz w:val="20"/>
          <w:szCs w:val="20"/>
          <w:color w:val="auto"/>
        </w:rPr>
      </w:pPr>
      <w:r>
        <w:rPr>
          <w:rFonts w:ascii="Arial" w:cs="Arial" w:eastAsia="Arial" w:hAnsi="Arial"/>
          <w:sz w:val="20"/>
          <w:szCs w:val="20"/>
          <w:b w:val="1"/>
          <w:bCs w:val="1"/>
          <w:color w:val="auto"/>
        </w:rPr>
        <w:t>Exhibit 21.1</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Subsidiaries of Immuneering Corporation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Immuneering Securities Corporation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BioArkive,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(No. 333-258416) on Form S-8 of Immuneering Corporation of our report dated March 10, 2022, relating to the consolidated financial statements of Immuneering Corporation and subsidiaries, appearing in this Annual Report on Form 10-K of Immuneering Corporation for the year ended December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8" w:name="page169"/>
    <w:bookmarkEnd w:id="16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Benjamin J. Zeskind, certify that:</w:t>
      </w:r>
    </w:p>
    <w:p>
      <w:pPr>
        <w:spacing w:after="0" w:line="104" w:lineRule="exact"/>
        <w:rPr>
          <w:sz w:val="20"/>
          <w:szCs w:val="20"/>
          <w:color w:val="auto"/>
        </w:rPr>
      </w:pPr>
    </w:p>
    <w:p>
      <w:pPr>
        <w:ind w:left="700" w:hanging="6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Immuneering Corporation;</w:t>
      </w:r>
    </w:p>
    <w:p>
      <w:pPr>
        <w:spacing w:after="0" w:line="103"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00" w:right="199" w:hanging="656"/>
        <w:spacing w:after="0" w:line="248"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700" w:right="219" w:hanging="656"/>
        <w:spacing w:after="0" w:line="324" w:lineRule="auto"/>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6"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340" w:hanging="648"/>
        <w:spacing w:after="0"/>
        <w:tabs>
          <w:tab w:leader="none" w:pos="13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700" w:right="379" w:hanging="656"/>
        <w:spacing w:after="0" w:line="248"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2022</w:t>
      </w:r>
    </w:p>
    <w:p>
      <w:pPr>
        <w:spacing w:after="0" w:line="23" w:lineRule="exact"/>
        <w:rPr>
          <w:sz w:val="20"/>
          <w:szCs w:val="20"/>
          <w:color w:val="auto"/>
        </w:rPr>
      </w:pPr>
    </w:p>
    <w:p>
      <w:pPr>
        <w:ind w:left="468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J. Zeskind</w:t>
      </w:r>
    </w:p>
    <w:p>
      <w:pPr>
        <w:spacing w:after="0" w:line="4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-121920</wp:posOffset>
            </wp:positionV>
            <wp:extent cx="24003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Title: Co-Founder, President, Chief Executive Officer and</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630555</wp:posOffset>
            </wp:positionV>
            <wp:extent cx="565785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9" w:name="page170"/>
    <w:bookmarkEnd w:id="16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Biren Amin, certify that:</w:t>
      </w:r>
    </w:p>
    <w:p>
      <w:pPr>
        <w:spacing w:after="0" w:line="104" w:lineRule="exact"/>
        <w:rPr>
          <w:sz w:val="20"/>
          <w:szCs w:val="20"/>
          <w:color w:val="auto"/>
        </w:rPr>
      </w:pPr>
    </w:p>
    <w:p>
      <w:pPr>
        <w:ind w:left="700" w:hanging="6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Immuneering Corporation;</w:t>
      </w:r>
    </w:p>
    <w:p>
      <w:pPr>
        <w:spacing w:after="0" w:line="103"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00" w:right="199" w:hanging="656"/>
        <w:spacing w:after="0" w:line="248"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700" w:right="219" w:hanging="656"/>
        <w:spacing w:after="0" w:line="324" w:lineRule="auto"/>
        <w:tabs>
          <w:tab w:leader="none" w:pos="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6"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340" w:hanging="648"/>
        <w:spacing w:after="0"/>
        <w:tabs>
          <w:tab w:leader="none" w:pos="1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700" w:right="379" w:hanging="656"/>
        <w:spacing w:after="0" w:line="248"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2022</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8"/>
          <w:szCs w:val="18"/>
          <w:color w:val="auto"/>
        </w:rPr>
        <w:t>By:</w:t>
        <w:tab/>
        <w:t>/s/ Biren Amin</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Biren 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-121920</wp:posOffset>
            </wp:positionV>
            <wp:extent cx="23914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ind w:left="4700"/>
        <w:spacing w:after="0" w:line="192" w:lineRule="auto"/>
        <w:rPr>
          <w:sz w:val="20"/>
          <w:szCs w:val="20"/>
          <w:color w:val="auto"/>
        </w:rPr>
      </w:pPr>
      <w:r>
        <w:rPr>
          <w:rFonts w:ascii="Arial" w:cs="Arial" w:eastAsia="Arial" w:hAnsi="Arial"/>
          <w:sz w:val="35"/>
          <w:szCs w:val="35"/>
          <w:color w:val="auto"/>
          <w:vertAlign w:val="superscript"/>
        </w:rPr>
        <w:t>Title:</w:t>
      </w:r>
      <w:r>
        <w:rPr>
          <w:rFonts w:ascii="Arial" w:cs="Arial" w:eastAsia="Arial" w:hAnsi="Arial"/>
          <w:sz w:val="18"/>
          <w:szCs w:val="18"/>
          <w:color w:val="auto"/>
        </w:rPr>
        <w:t xml:space="preserve"> Chief Financial Officer and Treasurer</w:t>
      </w:r>
    </w:p>
    <w:p>
      <w:pPr>
        <w:ind w:left="5200"/>
        <w:spacing w:after="0" w:line="234" w:lineRule="auto"/>
        <w:rPr>
          <w:sz w:val="20"/>
          <w:szCs w:val="20"/>
          <w:color w:val="auto"/>
        </w:rPr>
      </w:pPr>
      <w:r>
        <w:rPr>
          <w:rFonts w:ascii="Arial" w:cs="Arial" w:eastAsia="Arial" w:hAnsi="Arial"/>
          <w:sz w:val="18"/>
          <w:szCs w:val="18"/>
          <w:color w:val="auto"/>
        </w:rPr>
        <w:t>(Principal Financial Officer and Principal</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501650</wp:posOffset>
            </wp:positionV>
            <wp:extent cx="565785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0" w:name="page171"/>
    <w:bookmarkEnd w:id="17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ind w:left="40" w:right="59"/>
        <w:spacing w:after="0" w:line="3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73" w:lineRule="exact"/>
        <w:rPr>
          <w:sz w:val="20"/>
          <w:szCs w:val="20"/>
          <w:color w:val="auto"/>
        </w:rPr>
      </w:pPr>
    </w:p>
    <w:p>
      <w:pPr>
        <w:ind w:left="40" w:right="79"/>
        <w:spacing w:after="0" w:line="243" w:lineRule="auto"/>
        <w:rPr>
          <w:sz w:val="20"/>
          <w:szCs w:val="20"/>
          <w:color w:val="auto"/>
        </w:rPr>
      </w:pPr>
      <w:r>
        <w:rPr>
          <w:rFonts w:ascii="Arial" w:cs="Arial" w:eastAsia="Arial" w:hAnsi="Arial"/>
          <w:sz w:val="18"/>
          <w:szCs w:val="18"/>
          <w:color w:val="auto"/>
        </w:rPr>
        <w:t>In connection with the Annual Report on Form 10-K, for the fiscal period ended December 31, 2021 of Immuneering Corporation (the “Company”),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80" w:lineRule="exact"/>
        <w:rPr>
          <w:sz w:val="20"/>
          <w:szCs w:val="20"/>
          <w:color w:val="auto"/>
        </w:rPr>
      </w:pPr>
    </w:p>
    <w:p>
      <w:pPr>
        <w:ind w:left="1340" w:right="539" w:hanging="648"/>
        <w:spacing w:after="0" w:line="261" w:lineRule="auto"/>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2022</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J. Zeskind</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Co-Founder, President, Chief Executive Officer and</w:t>
      </w:r>
    </w:p>
    <w:p>
      <w:pPr>
        <w:spacing w:after="0" w:line="1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664845</wp:posOffset>
            </wp:positionV>
            <wp:extent cx="565785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71" w:name="page172"/>
    <w:bookmarkEnd w:id="171"/>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jc w:val="center"/>
        <w:ind w:left="40" w:right="59"/>
        <w:spacing w:after="0" w:line="3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73" w:lineRule="exact"/>
        <w:rPr>
          <w:sz w:val="20"/>
          <w:szCs w:val="20"/>
          <w:color w:val="auto"/>
        </w:rPr>
      </w:pPr>
    </w:p>
    <w:p>
      <w:pPr>
        <w:ind w:left="40" w:right="79"/>
        <w:spacing w:after="0" w:line="243" w:lineRule="auto"/>
        <w:rPr>
          <w:sz w:val="20"/>
          <w:szCs w:val="20"/>
          <w:color w:val="auto"/>
        </w:rPr>
      </w:pPr>
      <w:r>
        <w:rPr>
          <w:rFonts w:ascii="Arial" w:cs="Arial" w:eastAsia="Arial" w:hAnsi="Arial"/>
          <w:sz w:val="18"/>
          <w:szCs w:val="18"/>
          <w:color w:val="auto"/>
        </w:rPr>
        <w:t>In connection with the Annual Report on Form 10-K, for the fiscal period ended December 31, 2021 of Immuneering Corporation (the “Company”),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80" w:lineRule="exact"/>
        <w:rPr>
          <w:sz w:val="20"/>
          <w:szCs w:val="20"/>
          <w:color w:val="auto"/>
        </w:rPr>
      </w:pPr>
    </w:p>
    <w:p>
      <w:pPr>
        <w:ind w:left="1340" w:right="539" w:hanging="648"/>
        <w:spacing w:after="0" w:line="261" w:lineRule="auto"/>
        <w:tabs>
          <w:tab w:leader="none" w:pos="1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2022</w:t>
      </w: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40" w:type="dxa"/>
            <w:vAlign w:val="bottom"/>
          </w:tcPr>
          <w:p>
            <w:pPr>
              <w:ind w:left="4460"/>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/s/ Biren Amin</w:t>
            </w:r>
          </w:p>
        </w:tc>
        <w:tc>
          <w:tcPr>
            <w:tcW w:w="0" w:type="dxa"/>
            <w:vAlign w:val="bottom"/>
          </w:tcPr>
          <w:p>
            <w:pPr>
              <w:spacing w:after="0"/>
              <w:rPr>
                <w:sz w:val="1"/>
                <w:szCs w:val="1"/>
                <w:color w:val="auto"/>
              </w:rPr>
            </w:pPr>
          </w:p>
        </w:tc>
      </w:tr>
      <w:tr>
        <w:trPr>
          <w:trHeight w:val="41"/>
        </w:trPr>
        <w:tc>
          <w:tcPr>
            <w:tcW w:w="5040" w:type="dxa"/>
            <w:vAlign w:val="bottom"/>
            <w:vMerge w:val="restart"/>
          </w:tcPr>
          <w:p>
            <w:pPr>
              <w:ind w:left="4460"/>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Biren Amin</w:t>
            </w:r>
          </w:p>
        </w:tc>
        <w:tc>
          <w:tcPr>
            <w:tcW w:w="0" w:type="dxa"/>
            <w:vAlign w:val="bottom"/>
          </w:tcPr>
          <w:p>
            <w:pPr>
              <w:spacing w:after="0"/>
              <w:rPr>
                <w:sz w:val="1"/>
                <w:szCs w:val="1"/>
                <w:color w:val="auto"/>
              </w:rPr>
            </w:pPr>
          </w:p>
        </w:tc>
      </w:tr>
      <w:tr>
        <w:trPr>
          <w:trHeight w:val="257"/>
        </w:trPr>
        <w:tc>
          <w:tcPr>
            <w:tcW w:w="5040" w:type="dxa"/>
            <w:vAlign w:val="bottom"/>
          </w:tcPr>
          <w:p>
            <w:pPr>
              <w:ind w:left="446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w w:val="93"/>
              </w:rPr>
              <w:t>(Principal Financial Officer and Principal Accounting</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03"/>
        </w:trPr>
        <w:tc>
          <w:tcPr>
            <w:tcW w:w="50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1."/>
      <w:numFmt w:val="decimal"/>
      <w:start w:val="104"/>
    </w:lvl>
  </w:abstractNum>
  <w:abstractNum w:abstractNumId="10">
    <w:nsid w:val="70A64E2A"/>
    <w:multiLevelType w:val="hybridMultilevel"/>
    <w:lvl w:ilvl="0">
      <w:lvlJc w:val="left"/>
      <w:lvlText w:val="β"/>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199" Type="http://schemas.openxmlformats.org/officeDocument/2006/relationships/hyperlink" Target="https://www.sec.gov/Archives/edgar/data/1790340/000110465921152368/tm2136034d1_ex2-1.htm" TargetMode="External"/><Relationship Id="rId200" Type="http://schemas.openxmlformats.org/officeDocument/2006/relationships/hyperlink" Target="https://www.sec.gov/Archives/edgar/data/1790340/000155837021012336/imrx-20210630xex3d1.htm" TargetMode="External"/><Relationship Id="rId201" Type="http://schemas.openxmlformats.org/officeDocument/2006/relationships/hyperlink" Target="https://www.sec.gov/Archives/edgar/data/1790340/000155837021012336/imrx-20210630xex3d2.htm" TargetMode="External"/><Relationship Id="rId202" Type="http://schemas.openxmlformats.org/officeDocument/2006/relationships/hyperlink" Target="https://www.sec.gov/Archives/edgar/data/0001790340/000110465921095557/tm2115679d11_ex4-1.htm" TargetMode="External"/><Relationship Id="rId203" Type="http://schemas.openxmlformats.org/officeDocument/2006/relationships/hyperlink" Target="https://www.sec.gov/Archives/edgar/data/1790340/000110465921090635/tm2115679d7_ex10-1.htm" TargetMode="External"/><Relationship Id="rId204" Type="http://schemas.openxmlformats.org/officeDocument/2006/relationships/hyperlink" Target="https://www.sec.gov/Archives/edgar/data/1790340/000110465921095557/tm2115679d11_ex10-5.htm" TargetMode="External"/><Relationship Id="rId205" Type="http://schemas.openxmlformats.org/officeDocument/2006/relationships/hyperlink" Target="https://www.sec.gov/Archives/edgar/data/1790340/000110465921095557/tm2115679d11_ex10-6.htm" TargetMode="External"/><Relationship Id="rId206" Type="http://schemas.openxmlformats.org/officeDocument/2006/relationships/hyperlink" Target="https://www.sec.gov/Archives/edgar/data/1790340/000110465921095557/tm2115679d11_ex10-7.htm" TargetMode="External"/><Relationship Id="rId207" Type="http://schemas.openxmlformats.org/officeDocument/2006/relationships/hyperlink" Target="https://www.sec.gov/Archives/edgar/data/1790340/000110465921095557/tm2115679d11_ex10-8.htm" TargetMode="External"/><Relationship Id="rId208" Type="http://schemas.openxmlformats.org/officeDocument/2006/relationships/hyperlink" Target="https://www.sec.gov/Archives/edgar/data/1790340/000110465921095557/tm2115679d11_ex10-9.htm" TargetMode="External"/><Relationship Id="rId209" Type="http://schemas.openxmlformats.org/officeDocument/2006/relationships/hyperlink" Target="https://www.sec.gov/Archives/edgar/data/1790340/000110465921090635/tm2115679d7_ex10-4.htm" TargetMode="External"/><Relationship Id="rId210" Type="http://schemas.openxmlformats.org/officeDocument/2006/relationships/hyperlink" Target="https://www.sec.gov/Archives/edgar/data/1790340/000110465921090635/tm2115679d7_ex10-5.htm" TargetMode="External"/><Relationship Id="rId211" Type="http://schemas.openxmlformats.org/officeDocument/2006/relationships/hyperlink" Target="https://www.sec.gov/Archives/edgar/data/1790340/000110465921095557/tm2115679d11_ex10-10.htm" TargetMode="External"/><Relationship Id="rId212" Type="http://schemas.openxmlformats.org/officeDocument/2006/relationships/hyperlink" Target="https://www.sec.gov/Archives/edgar/data/1790340/000110465921095557/tm2115679d11_ex10-11.htm" TargetMode="External"/><Relationship Id="rId213" Type="http://schemas.openxmlformats.org/officeDocument/2006/relationships/hyperlink" Target="https://www.sec.gov/Archives/edgar/data/1790340/000110465921095557/tm2115679d11_ex10-12.htm" TargetMode="External"/><Relationship Id="rId214" Type="http://schemas.openxmlformats.org/officeDocument/2006/relationships/hyperlink" Target="https://www.sec.gov/Archives/edgar/data/1790340/000110465921095557/tm2115679d11_ex10-13.htm" TargetMode="External"/><Relationship Id="rId215" Type="http://schemas.openxmlformats.org/officeDocument/2006/relationships/hyperlink" Target="https://www.sec.gov/Archives/edgar/data/1790340/000110465921090635/tm2115679d7_ex10-3.htm" TargetMode="External"/><Relationship Id="rId216" Type="http://schemas.openxmlformats.org/officeDocument/2006/relationships/hyperlink" Target="https://www.sec.gov/Archives/edgar/data/1790340/000110465921090635/tm2115679d7_ex10-2.htm" TargetMode="External"/><Relationship Id="rId217" Type="http://schemas.openxmlformats.org/officeDocument/2006/relationships/hyperlink" Target="https://www.sec.gov/Archives/edgar/data/1790340/000110465921152368/tm213603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2022-03-10T05:43:03Z</dcterms:created>
  <dcterms:modified xsi:type="dcterms:W3CDTF">2022-03-10T05:43:03Z</dcterms:modified>
</cp:coreProperties>
</file>