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410210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434975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1060" w:type="dxa"/>
            <w:vAlign w:val="bottom"/>
          </w:tcPr>
          <w:p>
            <w:pPr>
              <w:spacing w:after="0"/>
              <w:rPr>
                <w:sz w:val="24"/>
                <w:szCs w:val="24"/>
                <w:color w:val="auto"/>
              </w:rPr>
            </w:pPr>
          </w:p>
        </w:tc>
        <w:tc>
          <w:tcPr>
            <w:tcW w:w="6460" w:type="dxa"/>
            <w:vAlign w:val="bottom"/>
          </w:tcPr>
          <w:p>
            <w:pPr>
              <w:jc w:val="center"/>
              <w:ind w:left="2584"/>
              <w:spacing w:after="0"/>
              <w:rPr>
                <w:sz w:val="20"/>
                <w:szCs w:val="20"/>
                <w:color w:val="auto"/>
              </w:rPr>
            </w:pPr>
            <w:r>
              <w:rPr>
                <w:rFonts w:ascii="Times New Roman" w:cs="Times New Roman" w:eastAsia="Times New Roman" w:hAnsi="Times New Roman"/>
                <w:sz w:val="24"/>
                <w:szCs w:val="24"/>
                <w:b w:val="1"/>
                <w:bCs w:val="1"/>
                <w:color w:val="auto"/>
                <w:w w:val="98"/>
              </w:rPr>
              <w:t>UNITED STATES</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060" w:type="dxa"/>
            <w:vAlign w:val="bottom"/>
          </w:tcPr>
          <w:p>
            <w:pPr>
              <w:spacing w:after="0"/>
              <w:rPr>
                <w:sz w:val="24"/>
                <w:szCs w:val="24"/>
                <w:color w:val="auto"/>
              </w:rPr>
            </w:pPr>
          </w:p>
        </w:tc>
        <w:tc>
          <w:tcPr>
            <w:tcW w:w="8680" w:type="dxa"/>
            <w:vAlign w:val="bottom"/>
            <w:gridSpan w:val="2"/>
          </w:tcPr>
          <w:p>
            <w:pPr>
              <w:jc w:val="center"/>
              <w:ind w:left="384"/>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6460" w:type="dxa"/>
            <w:vAlign w:val="bottom"/>
          </w:tcPr>
          <w:p>
            <w:pPr>
              <w:jc w:val="center"/>
              <w:ind w:left="2584"/>
              <w:spacing w:after="0"/>
              <w:rPr>
                <w:sz w:val="20"/>
                <w:szCs w:val="20"/>
                <w:color w:val="auto"/>
              </w:rPr>
            </w:pPr>
            <w:r>
              <w:rPr>
                <w:rFonts w:ascii="Times New Roman" w:cs="Times New Roman" w:eastAsia="Times New Roman" w:hAnsi="Times New Roman"/>
                <w:sz w:val="15"/>
                <w:szCs w:val="15"/>
                <w:b w:val="1"/>
                <w:bCs w:val="1"/>
                <w:color w:val="auto"/>
              </w:rPr>
              <w:t>Washington, D.C. 20549</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6460" w:type="dxa"/>
            <w:vAlign w:val="bottom"/>
          </w:tcPr>
          <w:p>
            <w:pPr>
              <w:jc w:val="center"/>
              <w:ind w:left="2584"/>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1"/>
        </w:trPr>
        <w:tc>
          <w:tcPr>
            <w:tcW w:w="1060" w:type="dxa"/>
            <w:vAlign w:val="bottom"/>
          </w:tcPr>
          <w:p>
            <w:pPr>
              <w:spacing w:after="0"/>
              <w:rPr>
                <w:sz w:val="24"/>
                <w:szCs w:val="24"/>
                <w:color w:val="auto"/>
              </w:rPr>
            </w:pPr>
          </w:p>
        </w:tc>
        <w:tc>
          <w:tcPr>
            <w:tcW w:w="6460" w:type="dxa"/>
            <w:vAlign w:val="bottom"/>
          </w:tcPr>
          <w:p>
            <w:pPr>
              <w:jc w:val="center"/>
              <w:ind w:left="2604"/>
              <w:spacing w:after="0"/>
              <w:rPr>
                <w:sz w:val="20"/>
                <w:szCs w:val="20"/>
                <w:color w:val="auto"/>
              </w:rPr>
            </w:pPr>
            <w:r>
              <w:rPr>
                <w:rFonts w:ascii="Times New Roman" w:cs="Times New Roman" w:eastAsia="Times New Roman" w:hAnsi="Times New Roman"/>
                <w:sz w:val="24"/>
                <w:szCs w:val="24"/>
                <w:b w:val="1"/>
                <w:bCs w:val="1"/>
                <w:color w:val="auto"/>
                <w:w w:val="99"/>
              </w:rPr>
              <w:t>FORM 10-Q</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(Mark One)</w:t>
            </w:r>
          </w:p>
        </w:tc>
        <w:tc>
          <w:tcPr>
            <w:tcW w:w="6460" w:type="dxa"/>
            <w:vAlign w:val="bottom"/>
          </w:tcPr>
          <w:p>
            <w:pPr>
              <w:jc w:val="center"/>
              <w:ind w:left="2584"/>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060" w:type="dxa"/>
            <w:vAlign w:val="bottom"/>
            <w:vMerge w:val="continue"/>
          </w:tcPr>
          <w:p>
            <w:pPr>
              <w:spacing w:after="0"/>
              <w:rPr>
                <w:sz w:val="12"/>
                <w:szCs w:val="12"/>
                <w:color w:val="auto"/>
              </w:rPr>
            </w:pPr>
          </w:p>
        </w:tc>
        <w:tc>
          <w:tcPr>
            <w:tcW w:w="6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1060" w:type="dxa"/>
            <w:vAlign w:val="bottom"/>
          </w:tcPr>
          <w:p>
            <w:pPr>
              <w:ind w:left="100"/>
              <w:spacing w:after="0"/>
              <w:rPr>
                <w:sz w:val="20"/>
                <w:szCs w:val="20"/>
                <w:color w:val="auto"/>
              </w:rPr>
            </w:pPr>
            <w:r>
              <w:rPr>
                <w:rFonts w:ascii="Wingdings" w:cs="Wingdings" w:eastAsia="Wingdings" w:hAnsi="Wingdings"/>
                <w:sz w:val="15"/>
                <w:szCs w:val="15"/>
                <w:b w:val="1"/>
                <w:bCs w:val="1"/>
                <w:color w:val="auto"/>
                <w:highlight w:val="black"/>
              </w:rPr>
              <w:t>x</w:t>
            </w:r>
          </w:p>
        </w:tc>
        <w:tc>
          <w:tcPr>
            <w:tcW w:w="8680" w:type="dxa"/>
            <w:vAlign w:val="bottom"/>
            <w:gridSpan w:val="2"/>
          </w:tcPr>
          <w:p>
            <w:pPr>
              <w:ind w:left="800"/>
              <w:spacing w:after="0"/>
              <w:rPr>
                <w:sz w:val="20"/>
                <w:szCs w:val="20"/>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61"/>
        </w:trPr>
        <w:tc>
          <w:tcPr>
            <w:tcW w:w="1060" w:type="dxa"/>
            <w:vAlign w:val="bottom"/>
          </w:tcPr>
          <w:p>
            <w:pPr>
              <w:spacing w:after="0"/>
              <w:rPr>
                <w:sz w:val="22"/>
                <w:szCs w:val="22"/>
                <w:color w:val="auto"/>
              </w:rPr>
            </w:pPr>
          </w:p>
        </w:tc>
        <w:tc>
          <w:tcPr>
            <w:tcW w:w="6460" w:type="dxa"/>
            <w:vAlign w:val="bottom"/>
          </w:tcPr>
          <w:p>
            <w:pPr>
              <w:jc w:val="center"/>
              <w:ind w:left="2584"/>
              <w:spacing w:after="0"/>
              <w:rPr>
                <w:sz w:val="20"/>
                <w:szCs w:val="20"/>
                <w:color w:val="auto"/>
              </w:rPr>
            </w:pPr>
            <w:r>
              <w:rPr>
                <w:rFonts w:ascii="Times New Roman" w:cs="Times New Roman" w:eastAsia="Times New Roman" w:hAnsi="Times New Roman"/>
                <w:sz w:val="12"/>
                <w:szCs w:val="12"/>
                <w:b w:val="1"/>
                <w:bCs w:val="1"/>
                <w:color w:val="auto"/>
              </w:rPr>
              <w:t>For the quarterly period ended September 30, 2026</w:t>
            </w: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6460" w:type="dxa"/>
            <w:vAlign w:val="bottom"/>
          </w:tcPr>
          <w:p>
            <w:pPr>
              <w:jc w:val="center"/>
              <w:ind w:left="2584"/>
              <w:spacing w:after="0"/>
              <w:rPr>
                <w:sz w:val="20"/>
                <w:szCs w:val="20"/>
                <w:color w:val="auto"/>
              </w:rPr>
            </w:pPr>
            <w:r>
              <w:rPr>
                <w:rFonts w:ascii="Times New Roman" w:cs="Times New Roman" w:eastAsia="Times New Roman" w:hAnsi="Times New Roman"/>
                <w:sz w:val="12"/>
                <w:szCs w:val="12"/>
                <w:b w:val="1"/>
                <w:bCs w:val="1"/>
                <w:color w:val="auto"/>
              </w:rPr>
              <w:t>or</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60" w:type="dxa"/>
            <w:vAlign w:val="bottom"/>
          </w:tcPr>
          <w:p>
            <w:pPr>
              <w:ind w:left="100"/>
              <w:spacing w:after="0"/>
              <w:rPr>
                <w:sz w:val="20"/>
                <w:szCs w:val="20"/>
                <w:color w:val="auto"/>
              </w:rPr>
            </w:pPr>
            <w:r>
              <w:rPr>
                <w:rFonts w:ascii="Wingdings" w:cs="Wingdings" w:eastAsia="Wingdings" w:hAnsi="Wingdings"/>
                <w:sz w:val="17"/>
                <w:szCs w:val="17"/>
                <w:b w:val="1"/>
                <w:bCs w:val="1"/>
                <w:color w:val="auto"/>
              </w:rPr>
              <w:t>o</w:t>
            </w:r>
          </w:p>
        </w:tc>
        <w:tc>
          <w:tcPr>
            <w:tcW w:w="8680" w:type="dxa"/>
            <w:vAlign w:val="bottom"/>
            <w:gridSpan w:val="2"/>
          </w:tcPr>
          <w:p>
            <w:pPr>
              <w:ind w:left="800"/>
              <w:spacing w:after="0"/>
              <w:rPr>
                <w:sz w:val="20"/>
                <w:szCs w:val="20"/>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6460" w:type="dxa"/>
            <w:vAlign w:val="bottom"/>
          </w:tcPr>
          <w:p>
            <w:pPr>
              <w:jc w:val="center"/>
              <w:ind w:left="2604"/>
              <w:spacing w:after="0"/>
              <w:rPr>
                <w:sz w:val="20"/>
                <w:szCs w:val="20"/>
                <w:color w:val="auto"/>
              </w:rPr>
            </w:pPr>
            <w:r>
              <w:rPr>
                <w:rFonts w:ascii="Times New Roman" w:cs="Times New Roman" w:eastAsia="Times New Roman" w:hAnsi="Times New Roman"/>
                <w:sz w:val="12"/>
                <w:szCs w:val="12"/>
                <w:b w:val="1"/>
                <w:bCs w:val="1"/>
                <w:color w:val="auto"/>
              </w:rPr>
              <w:t>For the transition period from _____________ to</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60" w:type="dxa"/>
            <w:vAlign w:val="bottom"/>
          </w:tcPr>
          <w:p>
            <w:pPr>
              <w:spacing w:after="0"/>
              <w:rPr>
                <w:sz w:val="21"/>
                <w:szCs w:val="21"/>
                <w:color w:val="auto"/>
              </w:rPr>
            </w:pPr>
          </w:p>
        </w:tc>
        <w:tc>
          <w:tcPr>
            <w:tcW w:w="6460" w:type="dxa"/>
            <w:vAlign w:val="bottom"/>
          </w:tcPr>
          <w:p>
            <w:pPr>
              <w:jc w:val="center"/>
              <w:ind w:left="2604"/>
              <w:spacing w:after="0"/>
              <w:rPr>
                <w:sz w:val="20"/>
                <w:szCs w:val="20"/>
                <w:color w:val="auto"/>
              </w:rPr>
            </w:pPr>
            <w:r>
              <w:rPr>
                <w:rFonts w:ascii="Times New Roman" w:cs="Times New Roman" w:eastAsia="Times New Roman" w:hAnsi="Times New Roman"/>
                <w:sz w:val="12"/>
                <w:szCs w:val="12"/>
                <w:b w:val="1"/>
                <w:bCs w:val="1"/>
                <w:color w:val="auto"/>
                <w:w w:val="99"/>
              </w:rPr>
              <w:t>Commission File Number: 001-40675</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6460" w:type="dxa"/>
            <w:vAlign w:val="bottom"/>
          </w:tcPr>
          <w:p>
            <w:pPr>
              <w:jc w:val="center"/>
              <w:ind w:left="2584"/>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2"/>
        </w:trPr>
        <w:tc>
          <w:tcPr>
            <w:tcW w:w="1060" w:type="dxa"/>
            <w:vAlign w:val="bottom"/>
          </w:tcPr>
          <w:p>
            <w:pPr>
              <w:spacing w:after="0"/>
              <w:rPr>
                <w:sz w:val="24"/>
                <w:szCs w:val="24"/>
                <w:color w:val="auto"/>
              </w:rPr>
            </w:pPr>
          </w:p>
        </w:tc>
        <w:tc>
          <w:tcPr>
            <w:tcW w:w="8680" w:type="dxa"/>
            <w:vAlign w:val="bottom"/>
            <w:gridSpan w:val="2"/>
          </w:tcPr>
          <w:p>
            <w:pPr>
              <w:jc w:val="center"/>
              <w:ind w:left="364"/>
              <w:spacing w:after="0"/>
              <w:rPr>
                <w:sz w:val="20"/>
                <w:szCs w:val="20"/>
                <w:color w:val="auto"/>
              </w:rPr>
            </w:pPr>
            <w:r>
              <w:rPr>
                <w:rFonts w:ascii="Times New Roman" w:cs="Times New Roman" w:eastAsia="Times New Roman" w:hAnsi="Times New Roman"/>
                <w:sz w:val="34"/>
                <w:szCs w:val="34"/>
                <w:b w:val="1"/>
                <w:bCs w:val="1"/>
                <w:color w:val="auto"/>
              </w:rPr>
              <w:t>Immuneering Corporation</w:t>
            </w: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6460" w:type="dxa"/>
            <w:vAlign w:val="bottom"/>
          </w:tcPr>
          <w:p>
            <w:pPr>
              <w:jc w:val="center"/>
              <w:ind w:left="260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6460" w:type="dxa"/>
            <w:vAlign w:val="bottom"/>
          </w:tcPr>
          <w:p>
            <w:pPr>
              <w:jc w:val="center"/>
              <w:ind w:left="2584"/>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1060" w:type="dxa"/>
            <w:vAlign w:val="bottom"/>
          </w:tcPr>
          <w:p>
            <w:pPr>
              <w:spacing w:after="0"/>
              <w:rPr>
                <w:sz w:val="24"/>
                <w:szCs w:val="24"/>
                <w:color w:val="auto"/>
              </w:rPr>
            </w:pPr>
          </w:p>
        </w:tc>
        <w:tc>
          <w:tcPr>
            <w:tcW w:w="6460" w:type="dxa"/>
            <w:vAlign w:val="bottom"/>
          </w:tcPr>
          <w:p>
            <w:pPr>
              <w:jc w:val="center"/>
              <w:ind w:right="2864"/>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220" w:type="dxa"/>
            <w:vAlign w:val="bottom"/>
          </w:tcPr>
          <w:p>
            <w:pPr>
              <w:jc w:val="right"/>
              <w:ind w:right="964"/>
              <w:spacing w:after="0"/>
              <w:rPr>
                <w:sz w:val="20"/>
                <w:szCs w:val="20"/>
                <w:color w:val="auto"/>
              </w:rPr>
            </w:pPr>
            <w:r>
              <w:rPr>
                <w:rFonts w:ascii="Times New Roman" w:cs="Times New Roman" w:eastAsia="Times New Roman" w:hAnsi="Times New Roman"/>
                <w:sz w:val="12"/>
                <w:szCs w:val="12"/>
                <w:color w:val="auto"/>
              </w:rPr>
              <w:t>26-1976972</w:t>
            </w: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6460" w:type="dxa"/>
            <w:vAlign w:val="bottom"/>
          </w:tcPr>
          <w:p>
            <w:pPr>
              <w:jc w:val="center"/>
              <w:ind w:right="2884"/>
              <w:spacing w:after="0"/>
              <w:rPr>
                <w:sz w:val="20"/>
                <w:szCs w:val="20"/>
                <w:color w:val="auto"/>
              </w:rPr>
            </w:pPr>
            <w:r>
              <w:rPr>
                <w:rFonts w:ascii="Times New Roman" w:cs="Times New Roman" w:eastAsia="Times New Roman" w:hAnsi="Times New Roman"/>
                <w:sz w:val="10"/>
                <w:szCs w:val="10"/>
                <w:b w:val="1"/>
                <w:bCs w:val="1"/>
                <w:color w:val="auto"/>
              </w:rPr>
              <w:t>(State or other jurisdiction of incorporation or organization)</w:t>
            </w:r>
          </w:p>
        </w:tc>
        <w:tc>
          <w:tcPr>
            <w:tcW w:w="2220" w:type="dxa"/>
            <w:vAlign w:val="bottom"/>
          </w:tcPr>
          <w:p>
            <w:pPr>
              <w:jc w:val="center"/>
              <w:ind w:right="324"/>
              <w:spacing w:after="0"/>
              <w:rPr>
                <w:sz w:val="20"/>
                <w:szCs w:val="20"/>
                <w:color w:val="auto"/>
              </w:rPr>
            </w:pPr>
            <w:r>
              <w:rPr>
                <w:rFonts w:ascii="Times New Roman" w:cs="Times New Roman" w:eastAsia="Times New Roman" w:hAnsi="Times New Roman"/>
                <w:sz w:val="10"/>
                <w:szCs w:val="10"/>
                <w:b w:val="1"/>
                <w:bCs w:val="1"/>
                <w:color w:val="auto"/>
              </w:rPr>
              <w:t>(I.R.S. Employer Identification Number)</w:t>
            </w:r>
          </w:p>
        </w:tc>
        <w:tc>
          <w:tcPr>
            <w:tcW w:w="0" w:type="dxa"/>
            <w:vAlign w:val="bottom"/>
          </w:tcPr>
          <w:p>
            <w:pPr>
              <w:spacing w:after="0"/>
              <w:rPr>
                <w:sz w:val="1"/>
                <w:szCs w:val="1"/>
                <w:color w:val="auto"/>
              </w:rPr>
            </w:pPr>
          </w:p>
        </w:tc>
      </w:tr>
      <w:tr>
        <w:trPr>
          <w:trHeight w:val="470"/>
        </w:trPr>
        <w:tc>
          <w:tcPr>
            <w:tcW w:w="1060" w:type="dxa"/>
            <w:vAlign w:val="bottom"/>
          </w:tcPr>
          <w:p>
            <w:pPr>
              <w:spacing w:after="0"/>
              <w:rPr>
                <w:sz w:val="24"/>
                <w:szCs w:val="24"/>
                <w:color w:val="auto"/>
              </w:rPr>
            </w:pPr>
          </w:p>
        </w:tc>
        <w:tc>
          <w:tcPr>
            <w:tcW w:w="6460" w:type="dxa"/>
            <w:vAlign w:val="bottom"/>
          </w:tcPr>
          <w:p>
            <w:pPr>
              <w:jc w:val="center"/>
              <w:ind w:right="2884"/>
              <w:spacing w:after="0"/>
              <w:rPr>
                <w:sz w:val="20"/>
                <w:szCs w:val="20"/>
                <w:color w:val="auto"/>
              </w:rPr>
            </w:pPr>
            <w:r>
              <w:rPr>
                <w:rFonts w:ascii="Times New Roman" w:cs="Times New Roman" w:eastAsia="Times New Roman" w:hAnsi="Times New Roman"/>
                <w:sz w:val="12"/>
                <w:szCs w:val="12"/>
                <w:b w:val="1"/>
                <w:bCs w:val="1"/>
                <w:color w:val="auto"/>
              </w:rPr>
              <w:t>245 Main St.</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6460" w:type="dxa"/>
            <w:vAlign w:val="bottom"/>
          </w:tcPr>
          <w:p>
            <w:pPr>
              <w:jc w:val="center"/>
              <w:ind w:right="2864"/>
              <w:spacing w:after="0"/>
              <w:rPr>
                <w:sz w:val="20"/>
                <w:szCs w:val="20"/>
                <w:color w:val="auto"/>
              </w:rPr>
            </w:pPr>
            <w:r>
              <w:rPr>
                <w:rFonts w:ascii="Times New Roman" w:cs="Times New Roman" w:eastAsia="Times New Roman" w:hAnsi="Times New Roman"/>
                <w:sz w:val="12"/>
                <w:szCs w:val="12"/>
                <w:b w:val="1"/>
                <w:bCs w:val="1"/>
                <w:color w:val="auto"/>
              </w:rPr>
              <w:t>Second Floor</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6460" w:type="dxa"/>
            <w:vAlign w:val="bottom"/>
          </w:tcPr>
          <w:p>
            <w:pPr>
              <w:jc w:val="center"/>
              <w:ind w:right="2864"/>
              <w:spacing w:after="0"/>
              <w:rPr>
                <w:sz w:val="20"/>
                <w:szCs w:val="20"/>
                <w:color w:val="auto"/>
              </w:rPr>
            </w:pPr>
            <w:r>
              <w:rPr>
                <w:rFonts w:ascii="Times New Roman" w:cs="Times New Roman" w:eastAsia="Times New Roman" w:hAnsi="Times New Roman"/>
                <w:sz w:val="12"/>
                <w:szCs w:val="12"/>
                <w:b w:val="1"/>
                <w:bCs w:val="1"/>
                <w:color w:val="auto"/>
                <w:w w:val="99"/>
              </w:rPr>
              <w:t>Cambridge, MA</w:t>
            </w:r>
          </w:p>
        </w:tc>
        <w:tc>
          <w:tcPr>
            <w:tcW w:w="2220" w:type="dxa"/>
            <w:vAlign w:val="bottom"/>
          </w:tcPr>
          <w:p>
            <w:pPr>
              <w:jc w:val="right"/>
              <w:ind w:right="1104"/>
              <w:spacing w:after="0"/>
              <w:rPr>
                <w:sz w:val="20"/>
                <w:szCs w:val="20"/>
                <w:color w:val="auto"/>
              </w:rPr>
            </w:pPr>
            <w:r>
              <w:rPr>
                <w:rFonts w:ascii="Times New Roman" w:cs="Times New Roman" w:eastAsia="Times New Roman" w:hAnsi="Times New Roman"/>
                <w:sz w:val="12"/>
                <w:szCs w:val="12"/>
                <w:b w:val="1"/>
                <w:bCs w:val="1"/>
                <w:color w:val="auto"/>
              </w:rPr>
              <w:t>02142</w:t>
            </w: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6460" w:type="dxa"/>
            <w:vAlign w:val="bottom"/>
          </w:tcPr>
          <w:p>
            <w:pPr>
              <w:jc w:val="center"/>
              <w:ind w:right="2864"/>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2220" w:type="dxa"/>
            <w:vAlign w:val="bottom"/>
          </w:tcPr>
          <w:p>
            <w:pPr>
              <w:jc w:val="center"/>
              <w:ind w:right="324"/>
              <w:spacing w:after="0"/>
              <w:rPr>
                <w:sz w:val="20"/>
                <w:szCs w:val="20"/>
                <w:color w:val="auto"/>
              </w:rPr>
            </w:pPr>
            <w:r>
              <w:rPr>
                <w:rFonts w:ascii="Times New Roman" w:cs="Times New Roman" w:eastAsia="Times New Roman" w:hAnsi="Times New Roman"/>
                <w:sz w:val="10"/>
                <w:szCs w:val="10"/>
                <w:b w:val="1"/>
                <w:bCs w:val="1"/>
                <w:color w:val="auto"/>
              </w:rPr>
              <w:t>(Zip Code)</w:t>
            </w:r>
          </w:p>
        </w:tc>
        <w:tc>
          <w:tcPr>
            <w:tcW w:w="0" w:type="dxa"/>
            <w:vAlign w:val="bottom"/>
          </w:tcPr>
          <w:p>
            <w:pPr>
              <w:spacing w:after="0"/>
              <w:rPr>
                <w:sz w:val="1"/>
                <w:szCs w:val="1"/>
                <w:color w:val="auto"/>
              </w:rPr>
            </w:pPr>
          </w:p>
        </w:tc>
      </w:tr>
      <w:tr>
        <w:trPr>
          <w:trHeight w:val="343"/>
        </w:trPr>
        <w:tc>
          <w:tcPr>
            <w:tcW w:w="1060" w:type="dxa"/>
            <w:vAlign w:val="bottom"/>
          </w:tcPr>
          <w:p>
            <w:pPr>
              <w:spacing w:after="0"/>
              <w:rPr>
                <w:sz w:val="24"/>
                <w:szCs w:val="24"/>
                <w:color w:val="auto"/>
              </w:rPr>
            </w:pPr>
          </w:p>
        </w:tc>
        <w:tc>
          <w:tcPr>
            <w:tcW w:w="6460" w:type="dxa"/>
            <w:vAlign w:val="bottom"/>
          </w:tcPr>
          <w:p>
            <w:pPr>
              <w:jc w:val="center"/>
              <w:ind w:left="2584"/>
              <w:spacing w:after="0"/>
              <w:rPr>
                <w:sz w:val="20"/>
                <w:szCs w:val="20"/>
                <w:color w:val="auto"/>
              </w:rPr>
            </w:pPr>
            <w:r>
              <w:rPr>
                <w:rFonts w:ascii="Times New Roman" w:cs="Times New Roman" w:eastAsia="Times New Roman" w:hAnsi="Times New Roman"/>
                <w:sz w:val="12"/>
                <w:szCs w:val="12"/>
                <w:b w:val="1"/>
                <w:bCs w:val="1"/>
                <w:color w:val="auto"/>
              </w:rPr>
              <w:t>(617) 500-8080</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6460" w:type="dxa"/>
            <w:vAlign w:val="bottom"/>
          </w:tcPr>
          <w:p>
            <w:pPr>
              <w:jc w:val="center"/>
              <w:ind w:left="2584"/>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tc>
        <w:tc>
          <w:tcPr>
            <w:tcW w:w="2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N/A</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former address and former fiscal year, if changed since last report)</w:t>
      </w:r>
    </w:p>
    <w:p>
      <w:pPr>
        <w:spacing w:after="0" w:line="1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Exchange on which registered</w:t>
            </w:r>
          </w:p>
        </w:tc>
      </w:tr>
      <w:tr>
        <w:trPr>
          <w:trHeight w:val="28"/>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171"/>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Class A common stock, par value $0.001 per share</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IMRX</w:t>
            </w:r>
          </w:p>
        </w:tc>
        <w:tc>
          <w:tcPr>
            <w:tcW w:w="3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Global Market</w:t>
            </w:r>
          </w:p>
        </w:tc>
      </w:tr>
    </w:tbl>
    <w:p>
      <w:pPr>
        <w:spacing w:after="0" w:line="193" w:lineRule="exact"/>
        <w:rPr>
          <w:sz w:val="24"/>
          <w:szCs w:val="24"/>
          <w:color w:val="auto"/>
        </w:rPr>
      </w:pPr>
    </w:p>
    <w:p>
      <w:pPr>
        <w:ind w:right="200"/>
        <w:spacing w:after="0" w:line="298"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57" w:lineRule="exact"/>
        <w:rPr>
          <w:sz w:val="24"/>
          <w:szCs w:val="24"/>
          <w:color w:val="auto"/>
        </w:rPr>
      </w:pPr>
    </w:p>
    <w:p>
      <w:pPr>
        <w:ind w:right="20"/>
        <w:spacing w:after="0" w:line="276"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69" w:lineRule="exact"/>
        <w:rPr>
          <w:sz w:val="24"/>
          <w:szCs w:val="24"/>
          <w:color w:val="auto"/>
        </w:rPr>
      </w:pPr>
    </w:p>
    <w:p>
      <w:pPr>
        <w:ind w:right="340"/>
        <w:spacing w:after="0" w:line="276"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6" w:right="339" w:bottom="1440" w:gutter="0" w:footer="0" w:header="0"/>
        </w:sectPr>
      </w:pPr>
    </w:p>
    <w:p>
      <w:pPr>
        <w:spacing w:after="0" w:line="1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o</w:t>
      </w:r>
    </w:p>
    <w:p>
      <w:pPr>
        <w:spacing w:after="0" w:line="124" w:lineRule="exact"/>
        <w:rPr>
          <w:sz w:val="24"/>
          <w:szCs w:val="24"/>
          <w:color w:val="auto"/>
        </w:rPr>
      </w:pPr>
    </w:p>
    <w:p>
      <w:pPr>
        <w:sectPr>
          <w:pgSz w:w="11900" w:h="16838" w:orient="portrait"/>
          <w:cols w:equalWidth="0" w:num="4">
            <w:col w:w="1940" w:space="720"/>
            <w:col w:w="380" w:space="720"/>
            <w:col w:w="1920" w:space="720"/>
            <w:col w:w="4840"/>
          </w:cols>
          <w:pgMar w:left="320" w:top="226"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1"/>
          <w:szCs w:val="11"/>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1"/>
          <w:szCs w:val="11"/>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1"/>
          <w:szCs w:val="11"/>
          <w:b w:val="1"/>
          <w:bCs w:val="1"/>
          <w:color w:val="auto"/>
        </w:rPr>
        <w:t>x</w:t>
      </w:r>
    </w:p>
    <w:p>
      <w:pPr>
        <w:spacing w:after="0" w:line="204" w:lineRule="exact"/>
        <w:rPr>
          <w:sz w:val="24"/>
          <w:szCs w:val="24"/>
          <w:color w:val="auto"/>
        </w:rPr>
      </w:pPr>
    </w:p>
    <w:p>
      <w:pPr>
        <w:sectPr>
          <w:pgSz w:w="11900" w:h="16838" w:orient="portrait"/>
          <w:cols w:equalWidth="0" w:num="6">
            <w:col w:w="1940" w:space="720"/>
            <w:col w:w="380" w:space="720"/>
            <w:col w:w="1920" w:space="720"/>
            <w:col w:w="400" w:space="720"/>
            <w:col w:w="1920" w:space="720"/>
            <w:col w:w="1080"/>
          </w:cols>
          <w:pgMar w:left="320" w:top="226" w:right="339" w:bottom="1440" w:gutter="0" w:footer="0" w:header="0"/>
          <w:type w:val="continuous"/>
        </w:sectPr>
      </w:pPr>
    </w:p>
    <w:p>
      <w:pPr>
        <w:spacing w:after="0" w:line="10"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October 23, 2026 the registrant had 64,763,155 shares of Class A common stock, $0.001 par value per share, issued and outstanding and 0 shares of Class B common stock, $0.001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679450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45085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600" w:type="dxa"/>
            <w:vAlign w:val="bottom"/>
            <w:gridSpan w:val="4"/>
            <w:vMerge w:val="restart"/>
          </w:tcPr>
          <w:p>
            <w:pPr>
              <w:spacing w:after="0"/>
              <w:rPr>
                <w:sz w:val="3"/>
                <w:szCs w:val="3"/>
                <w:color w:val="auto"/>
              </w:rPr>
            </w:pPr>
          </w:p>
        </w:tc>
        <w:tc>
          <w:tcPr>
            <w:tcW w:w="1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Financial Information</w:t>
            </w:r>
          </w:p>
        </w:tc>
        <w:tc>
          <w:tcPr>
            <w:tcW w:w="7580" w:type="dxa"/>
            <w:vAlign w:val="bottom"/>
            <w:gridSpan w:val="12"/>
            <w:vMerge w:val="restart"/>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tcBorders>
              <w:bottom w:val="single" w:sz="8" w:color="0000FF"/>
            </w:tcBorders>
            <w:vMerge w:val="continue"/>
          </w:tcPr>
          <w:p>
            <w:pPr>
              <w:spacing w:after="0"/>
              <w:rPr>
                <w:sz w:val="16"/>
                <w:szCs w:val="16"/>
                <w:color w:val="auto"/>
              </w:rPr>
            </w:pPr>
          </w:p>
        </w:tc>
        <w:tc>
          <w:tcPr>
            <w:tcW w:w="600" w:type="dxa"/>
            <w:vAlign w:val="bottom"/>
            <w:gridSpan w:val="4"/>
            <w:vMerge w:val="continue"/>
          </w:tcPr>
          <w:p>
            <w:pPr>
              <w:spacing w:after="0"/>
              <w:rPr>
                <w:sz w:val="16"/>
                <w:szCs w:val="16"/>
                <w:color w:val="auto"/>
              </w:rPr>
            </w:pPr>
          </w:p>
        </w:tc>
        <w:tc>
          <w:tcPr>
            <w:tcW w:w="1640" w:type="dxa"/>
            <w:vAlign w:val="bottom"/>
            <w:tcBorders>
              <w:bottom w:val="single" w:sz="8" w:color="0000FF"/>
            </w:tcBorders>
            <w:gridSpan w:val="6"/>
            <w:vMerge w:val="continue"/>
          </w:tcPr>
          <w:p>
            <w:pPr>
              <w:spacing w:after="0"/>
              <w:rPr>
                <w:sz w:val="16"/>
                <w:szCs w:val="16"/>
                <w:color w:val="auto"/>
              </w:rPr>
            </w:pPr>
          </w:p>
        </w:tc>
        <w:tc>
          <w:tcPr>
            <w:tcW w:w="7580" w:type="dxa"/>
            <w:vAlign w:val="bottom"/>
            <w:gridSpan w:val="12"/>
            <w:vMerge w:val="continue"/>
          </w:tcPr>
          <w:p>
            <w:pPr>
              <w:spacing w:after="0"/>
              <w:rPr>
                <w:sz w:val="16"/>
                <w:szCs w:val="16"/>
                <w:color w:val="auto"/>
              </w:rPr>
            </w:pPr>
          </w:p>
        </w:tc>
        <w:tc>
          <w:tcPr>
            <w:tcW w:w="920" w:type="dxa"/>
            <w:vAlign w:val="bottom"/>
          </w:tcPr>
          <w:p>
            <w:pPr>
              <w:jc w:val="right"/>
              <w:spacing w:after="0" w:line="173"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w:t>
            </w: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September 30, 2026 and December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and Comprehensive Loss for the three and nine months ended September 30,</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20" w:type="dxa"/>
            <w:vAlign w:val="bottom"/>
            <w:gridSpan w:val="18"/>
          </w:tcPr>
          <w:p>
            <w:pPr>
              <w:spacing w:after="0" w:line="173" w:lineRule="exact"/>
              <w:rPr>
                <w:sz w:val="20"/>
                <w:szCs w:val="20"/>
                <w:color w:val="auto"/>
              </w:rPr>
            </w:pPr>
            <w:r>
              <w:rPr>
                <w:rFonts w:ascii="Times New Roman" w:cs="Times New Roman" w:eastAsia="Times New Roman" w:hAnsi="Times New Roman"/>
                <w:sz w:val="17"/>
                <w:szCs w:val="17"/>
                <w:color w:val="0000FF"/>
              </w:rPr>
              <w:t>2026 and 2025</w:t>
            </w:r>
          </w:p>
        </w:tc>
        <w:tc>
          <w:tcPr>
            <w:tcW w:w="920" w:type="dxa"/>
            <w:vAlign w:val="bottom"/>
          </w:tcPr>
          <w:p>
            <w:pPr>
              <w:jc w:val="right"/>
              <w:spacing w:after="0" w:line="173"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nine months ended September 30, 2026 and 2025</w:t>
            </w:r>
          </w:p>
        </w:tc>
        <w:tc>
          <w:tcPr>
            <w:tcW w:w="40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three and nine months ended September 30, 2026 and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106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2.</w:t>
            </w: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3.</w:t>
            </w: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4.</w:t>
            </w: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b w:val="1"/>
                <w:bCs w:val="1"/>
                <w:color w:val="0000FF"/>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580" w:type="dxa"/>
            <w:vAlign w:val="bottom"/>
            <w:gridSpan w:val="3"/>
          </w:tcPr>
          <w:p>
            <w:pPr>
              <w:spacing w:after="0"/>
              <w:rPr>
                <w:sz w:val="24"/>
                <w:szCs w:val="24"/>
                <w:color w:val="auto"/>
              </w:rPr>
            </w:pPr>
          </w:p>
        </w:tc>
        <w:tc>
          <w:tcPr>
            <w:tcW w:w="13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784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Item 1A.</w:t>
            </w:r>
          </w:p>
        </w:tc>
        <w:tc>
          <w:tcPr>
            <w:tcW w:w="460" w:type="dxa"/>
            <w:vAlign w:val="bottom"/>
            <w:gridSpan w:val="2"/>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2.</w:t>
            </w:r>
          </w:p>
        </w:tc>
        <w:tc>
          <w:tcPr>
            <w:tcW w:w="460" w:type="dxa"/>
            <w:vAlign w:val="bottom"/>
            <w:gridSpan w:val="2"/>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3.</w:t>
            </w: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4.</w:t>
            </w: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52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5.</w:t>
            </w: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96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6.</w:t>
            </w: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896"/>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12"/>
          </w:tcPr>
          <w:p>
            <w:pPr>
              <w:ind w:left="4480"/>
              <w:spacing w:after="0"/>
              <w:rPr>
                <w:sz w:val="20"/>
                <w:szCs w:val="20"/>
                <w:color w:val="auto"/>
              </w:rPr>
            </w:pPr>
            <w:r>
              <w:rPr>
                <w:rFonts w:ascii="Times New Roman" w:cs="Times New Roman" w:eastAsia="Times New Roman" w:hAnsi="Times New Roman"/>
                <w:sz w:val="17"/>
                <w:szCs w:val="17"/>
                <w:color w:val="auto"/>
              </w:rPr>
              <w:t>2</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including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on Form 10-Q, including without limitation statements regarding our plans to develop, manufacture and commercialize our product candidates (including whether as potential monotherapies or in combination with other therapeutic agents), the design, timing, disclosure of data, or outcome of our ongoing or planned preclinical studies or clinical trials involving atebimetinib (also referred to as IMM-1-104), any of our other pipeline product candidates and any future product candidates, the clinical utility of our product candidates when administered alone or in combination with other therapeutic agents, the filing with, and approval by, regulatory authorities of our product candidates, the sufficiency of funds to operate the business of the Company and related expected cash runway, and our plans regarding raising additional capital, are forward-looking statements.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other important factors that could cause actual results to differ materially from those projected in the forward-looking statements, including, but not limited to, those described in the sections of this Quarterly Report on Form 10-Q entitled “Risk Factors” and “Management’s Discussion and Analysis of Financial Condition and Results of Operations.” These risks and uncertainties include, but are not limited to:</w:t>
      </w:r>
    </w:p>
    <w:p>
      <w:pPr>
        <w:spacing w:after="0" w:line="135" w:lineRule="exact"/>
        <w:rPr>
          <w:sz w:val="20"/>
          <w:szCs w:val="20"/>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w:t>
      </w:r>
    </w:p>
    <w:p>
      <w:pPr>
        <w:spacing w:after="0" w:line="191"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history of operating losses;</w:t>
      </w:r>
    </w:p>
    <w:p>
      <w:pPr>
        <w:spacing w:after="0" w:line="178"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the substantial additional capital that will be required to finance our operations;</w:t>
      </w:r>
    </w:p>
    <w:p>
      <w:pPr>
        <w:spacing w:after="0" w:line="178"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difficulty of obtaining regulatory approval for any of our current or future product candidates;</w:t>
      </w:r>
    </w:p>
    <w:p>
      <w:pPr>
        <w:spacing w:after="0" w:line="178"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experience in designing and conducting clinical trials;</w:t>
      </w:r>
    </w:p>
    <w:p>
      <w:pPr>
        <w:spacing w:after="0" w:line="191"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the initiation, progress and potential results of our ongoing and planned clinical trials and our research programs, including our ongoing Phase 1/2a clinical trial of atebimetinib and MAPKeeper 301 registrational trial of atebimetinib in combination with modified gemcitabine/nab-paclitaxel in first-line pancreatic cancer;</w:t>
      </w:r>
    </w:p>
    <w:p>
      <w:pPr>
        <w:spacing w:after="0" w:line="126"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complete our clinical trials, including our ongoing Phase 1/2a clinical trial of atebimetinib and MAPKeeper 301 registrational trial of atebimetinib in combination with modified gemcitabine/nab-paclitaxel in first-line pancreatic cancer;</w:t>
      </w:r>
    </w:p>
    <w:p>
      <w:pPr>
        <w:spacing w:after="0" w:line="112"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substantial delays in completing, if at all, the development and commercialization of our current or future product candidates;</w:t>
      </w:r>
    </w:p>
    <w:p>
      <w:pPr>
        <w:spacing w:after="0" w:line="191"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adverse events, toxicities or other undesirable side effects caused by our current or future product candidates;</w:t>
      </w:r>
    </w:p>
    <w:p>
      <w:pPr>
        <w:spacing w:after="0" w:line="178"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delays or difficulties in the enrollment and/or maintenance of patients in clinical trials, including in our MAPKeeper 301 registrational trial of atebimetinib in combination with modified gemcitabine/nab-paclitaxel in first-line pancreatic cancer;</w:t>
      </w:r>
    </w:p>
    <w:p>
      <w:pPr>
        <w:spacing w:after="0" w:line="112"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submit an Investigational New Drug application (“IND”), or IND amendments or comparable documents in foreign jurisdictions in order to commence clinical trials on the timelines we expect;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00" w:hanging="310"/>
        <w:spacing w:after="0" w:line="287" w:lineRule="auto"/>
        <w:tabs>
          <w:tab w:leader="none" w:pos="6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reliance on the successful development of our current and future product candidates, as well as our platform, including our proprietary technologies;</w:t>
      </w:r>
    </w:p>
    <w:p>
      <w:pPr>
        <w:spacing w:after="0" w:line="125"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competition in our industry;</w:t>
      </w:r>
    </w:p>
    <w:p>
      <w:pPr>
        <w:spacing w:after="0" w:line="178"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opportunity for our product candidates, if approved;</w:t>
      </w:r>
    </w:p>
    <w:p>
      <w:pPr>
        <w:spacing w:after="0" w:line="178"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manufacturing;</w:t>
      </w:r>
    </w:p>
    <w:p>
      <w:pPr>
        <w:spacing w:after="0" w:line="191"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reliance on third parties;</w:t>
      </w:r>
    </w:p>
    <w:p>
      <w:pPr>
        <w:spacing w:after="0" w:line="178"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intellectual property;</w:t>
      </w:r>
    </w:p>
    <w:p>
      <w:pPr>
        <w:spacing w:after="0" w:line="178"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ongoing and future pandemics, or other widespread adverse health events; and</w:t>
      </w:r>
    </w:p>
    <w:p>
      <w:pPr>
        <w:spacing w:after="0" w:line="191"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important risk factors that could affect the outcome of the events set forth in these statements and that could affect our operating results and financial condition described in Part II, Item 1A. “Risk Factors” of this Quarterly Report on Form 10-Q.</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Unless otherwise stated or the context requires otherwise, references to “Immuneering,” the “Company,” “we,” “us,” and “our,” refer to Immuneering Corporation and its subsidiaries.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subject to numerous risks and uncertainties, including those further described below in Part II, Item 1A. “Risk Factors” in this Quarterly Report on Form 10-Q, that represent challenges that we face in connection with the successful implementation of our strategy and the growth of our business. In particular, the following are principal factors that may offset our competitive strengths or have a negative effect on our business strategy, which could materially adversely affect our business, financial conditions, results of operations, future growth prospects, or cause a decline in the price of our common stock:</w:t>
      </w:r>
    </w:p>
    <w:p>
      <w:pPr>
        <w:spacing w:after="0" w:line="133" w:lineRule="exact"/>
        <w:rPr>
          <w:sz w:val="20"/>
          <w:szCs w:val="20"/>
          <w:color w:val="auto"/>
        </w:rPr>
      </w:pPr>
    </w:p>
    <w:p>
      <w:pPr>
        <w:jc w:val="both"/>
        <w:ind w:left="700" w:hanging="310"/>
        <w:spacing w:after="0" w:line="270"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late-stage clinical oncology company with a limited operating history in developing pharmaceutical products, have not completed any registrational clinical trials and have no products approved for commercial sale, which may make it difficult for you to evaluate our current business and predict our future success and viability.</w:t>
      </w:r>
    </w:p>
    <w:p>
      <w:pPr>
        <w:spacing w:after="0" w:line="126"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net losses for the past several years and we expect to continue to incur significant net losses for the foreseeable future and may never obtain profitability.</w:t>
      </w:r>
    </w:p>
    <w:p>
      <w:pPr>
        <w:spacing w:after="0" w:line="125"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12" w:lineRule="exact"/>
        <w:rPr>
          <w:rFonts w:ascii="Times New Roman" w:cs="Times New Roman" w:eastAsia="Times New Roman" w:hAnsi="Times New Roman"/>
          <w:sz w:val="17"/>
          <w:szCs w:val="17"/>
          <w:color w:val="auto"/>
        </w:rPr>
      </w:pPr>
    </w:p>
    <w:p>
      <w:pPr>
        <w:jc w:val="both"/>
        <w:ind w:left="700" w:hanging="310"/>
        <w:spacing w:after="0" w:line="264"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approval processes of the U.S. Food and Drug Administration ("FDA"), European Medicines Agency ("EMA") and other comparable foreign regulatory authorities are lengthy, time consuming and inherently unpredictable with respect to outcomes.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32"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substantial delays in completing, or ultimately be unable to complete, the development and commercialization of our product candidates.</w:t>
      </w:r>
    </w:p>
    <w:p>
      <w:pPr>
        <w:spacing w:after="0" w:line="125"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preclinical studies and earlier clinical trials may not be predictive of the success of later clinical trials, and the results of our clinical trials may not satisfy the requirements of the FDA or other comparable foreign regulatory authorities.</w:t>
      </w:r>
    </w:p>
    <w:p>
      <w:pPr>
        <w:spacing w:after="0" w:line="112"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26" w:lineRule="exact"/>
        <w:rPr>
          <w:rFonts w:ascii="Times New Roman" w:cs="Times New Roman" w:eastAsia="Times New Roman" w:hAnsi="Times New Roman"/>
          <w:sz w:val="17"/>
          <w:szCs w:val="17"/>
          <w:color w:val="auto"/>
        </w:rPr>
      </w:pPr>
    </w:p>
    <w:p>
      <w:pPr>
        <w:jc w:val="both"/>
        <w:ind w:left="700" w:hanging="310"/>
        <w:spacing w:after="0" w:line="264"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substantially dependent on the successful development of our current and future product candidates. If we are unable to advance our current or future product candidates through clinical trials, obtain marketing approval to treat the indications that we seek to treat with our product candidates, and ultimately commercialize any product candidates we develop, or experience significant delays in doing so, our business will be materially harmed.</w:t>
      </w:r>
    </w:p>
    <w:p>
      <w:pPr>
        <w:spacing w:after="0" w:line="145"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substantially dependent on our platform, including our proprietary technologies, which are supported by our information technology systems. Any failure of these or other elements of our platform will materially harm our business.</w:t>
      </w:r>
    </w:p>
    <w:p>
      <w:pPr>
        <w:spacing w:after="0" w:line="112"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long-term prospects depend in part upon discovering, developing and commercializing product candidates, which may fail in development or suffer delays that adversely affect their commercial viability.</w:t>
      </w:r>
    </w:p>
    <w:p>
      <w:pPr>
        <w:spacing w:after="0" w:line="112"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approach to the discovery and development of product candidates is unproven, and we may not be successful in our efforts to use and expand our platform and capabilities to build a pipeline of product candidates with commercial value.</w:t>
      </w:r>
    </w:p>
    <w:p>
      <w:pPr>
        <w:spacing w:after="0" w:line="125"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never commercialized a product candidate before and may lack the necessary expertise, personnel and resources to successfully commercialize any products on our own or together with suitable collaborators.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00" w:hanging="310"/>
        <w:spacing w:after="0" w:line="287"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25" w:lineRule="exact"/>
        <w:rPr>
          <w:rFonts w:ascii="Times New Roman" w:cs="Times New Roman" w:eastAsia="Times New Roman" w:hAnsi="Times New Roman"/>
          <w:sz w:val="17"/>
          <w:szCs w:val="17"/>
          <w:color w:val="auto"/>
        </w:rPr>
      </w:pPr>
    </w:p>
    <w:p>
      <w:pPr>
        <w:jc w:val="both"/>
        <w:ind w:left="700" w:hanging="310"/>
        <w:spacing w:after="0" w:line="26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substantially rely, and expect to continue to rely, on third parties, including independent clinical investigators and contract research organizations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32" w:lineRule="exact"/>
        <w:rPr>
          <w:rFonts w:ascii="Times New Roman" w:cs="Times New Roman" w:eastAsia="Times New Roman" w:hAnsi="Times New Roman"/>
          <w:sz w:val="17"/>
          <w:szCs w:val="17"/>
          <w:color w:val="auto"/>
        </w:rPr>
      </w:pPr>
    </w:p>
    <w:p>
      <w:pPr>
        <w:jc w:val="both"/>
        <w:ind w:left="700" w:hanging="310"/>
        <w:spacing w:after="0" w:line="26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contract with third parties, including contract manufacturing organizations ("CMOs") and consultants,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be able to acquire such quantities at an acceptable cost, which could delay, prevent or impair our development or commercialization efforts.</w:t>
      </w:r>
    </w:p>
    <w:p>
      <w:pPr>
        <w:spacing w:after="0" w:line="132" w:lineRule="exact"/>
        <w:rPr>
          <w:rFonts w:ascii="Times New Roman" w:cs="Times New Roman" w:eastAsia="Times New Roman" w:hAnsi="Times New Roman"/>
          <w:sz w:val="17"/>
          <w:szCs w:val="17"/>
          <w:color w:val="auto"/>
        </w:rPr>
      </w:pPr>
    </w:p>
    <w:p>
      <w:pPr>
        <w:jc w:val="both"/>
        <w:ind w:left="700" w:hanging="310"/>
        <w:spacing w:after="0" w:line="270"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39" w:lineRule="exact"/>
        <w:rPr>
          <w:rFonts w:ascii="Times New Roman" w:cs="Times New Roman" w:eastAsia="Times New Roman" w:hAnsi="Times New Roman"/>
          <w:sz w:val="17"/>
          <w:szCs w:val="17"/>
          <w:color w:val="auto"/>
        </w:rPr>
      </w:pPr>
    </w:p>
    <w:p>
      <w:pPr>
        <w:jc w:val="both"/>
        <w:ind w:left="700" w:hanging="310"/>
        <w:spacing w:after="0" w:line="26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patent and/or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develop and commercialize our product candidates, products (if any) and technology may be impaired, and we may not be able to compete effectively in our market.</w:t>
      </w:r>
    </w:p>
    <w:p>
      <w:pPr>
        <w:spacing w:after="0" w:line="132" w:lineRule="exact"/>
        <w:rPr>
          <w:rFonts w:ascii="Times New Roman" w:cs="Times New Roman" w:eastAsia="Times New Roman" w:hAnsi="Times New Roman"/>
          <w:sz w:val="17"/>
          <w:szCs w:val="17"/>
          <w:color w:val="auto"/>
        </w:rPr>
      </w:pPr>
    </w:p>
    <w:p>
      <w:pPr>
        <w:ind w:left="700" w:hanging="310"/>
        <w:spacing w:after="0" w:line="287"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joint ventures or other transactions involving third parties could disrupt our business, cause dilution to our stockholders and otherwise harm our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IMMUNEERING CORPORATION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5"/>
                <w:szCs w:val="15"/>
                <w:color w:val="auto"/>
              </w:rPr>
            </w:pPr>
          </w:p>
        </w:tc>
        <w:tc>
          <w:tcPr>
            <w:tcW w:w="14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5"/>
        </w:trPr>
        <w:tc>
          <w:tcPr>
            <w:tcW w:w="7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2"/>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58,226,805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128,645,025</w:t>
            </w:r>
          </w:p>
        </w:tc>
      </w:tr>
      <w:tr>
        <w:trPr>
          <w:trHeight w:val="197"/>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Marketable securities</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87,178,645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44,186,244</w:t>
            </w: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32"/>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5,305,154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3,414,685</w:t>
            </w:r>
          </w:p>
        </w:tc>
      </w:tr>
      <w:tr>
        <w:trPr>
          <w:trHeight w:val="190"/>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150,710,604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176,245,954</w:t>
            </w: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8"/>
        </w:trPr>
        <w:tc>
          <w:tcPr>
            <w:tcW w:w="7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 non-current</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20,712,253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44,183,186</w:t>
            </w: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808,952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938,481</w:t>
            </w: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6,690,431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6,690,431</w:t>
            </w: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 net</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299,197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321,147</w:t>
            </w: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3,039,783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3,322,249</w:t>
            </w: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3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283,562</w:t>
            </w:r>
          </w:p>
        </w:tc>
      </w:tr>
      <w:tr>
        <w:trPr>
          <w:trHeight w:val="220"/>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182,561,047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231,985,010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8"/>
        </w:trPr>
        <w:tc>
          <w:tcPr>
            <w:tcW w:w="7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197"/>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2,758,219</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1,542,737</w:t>
            </w: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2"/>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7,498,137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7,842,367</w:t>
            </w:r>
          </w:p>
        </w:tc>
      </w:tr>
      <w:tr>
        <w:trPr>
          <w:trHeight w:val="197"/>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291,513</w:t>
            </w: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32"/>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397,104</w:t>
            </w:r>
          </w:p>
        </w:tc>
      </w:tr>
      <w:tr>
        <w:trPr>
          <w:trHeight w:val="190"/>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10,791,271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10,073,721</w:t>
            </w: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8"/>
        </w:trPr>
        <w:tc>
          <w:tcPr>
            <w:tcW w:w="7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32"/>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 net of current portion</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3,089,079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3,427,321</w:t>
            </w:r>
          </w:p>
        </w:tc>
      </w:tr>
      <w:tr>
        <w:trPr>
          <w:trHeight w:val="190"/>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13,880,350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13,501,042</w:t>
            </w:r>
          </w:p>
        </w:tc>
      </w:tr>
      <w:tr>
        <w:trPr>
          <w:trHeight w:val="35"/>
        </w:trPr>
        <w:tc>
          <w:tcPr>
            <w:tcW w:w="78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9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8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$0.001 par value; 10,000,000 shares authorized at September 30, 2026 and December 31, 2025; 0 shares issued or</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9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2026 and December 31, 2025</w:t>
            </w:r>
          </w:p>
        </w:tc>
        <w:tc>
          <w:tcPr>
            <w:tcW w:w="1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$0.001 par value, 200,000,000 shares authorized at September 30, 2026 and December 31, 2025; 64,763,155 and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78"/>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64,648,230 shares issued and outstanding at September 30, 2026 and December 31, 2025, respectively</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64,648</w:t>
            </w: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8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Class B common stock, $0.001 par value, 20,000,000 shares authorized at September 30, 2026 and December 31, 2025; 0 shares issued and</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9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2026 and December 31, 2025</w:t>
            </w:r>
          </w:p>
        </w:tc>
        <w:tc>
          <w:tcPr>
            <w:tcW w:w="1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504,409,076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498,658,072</w:t>
            </w:r>
          </w:p>
        </w:tc>
      </w:tr>
      <w:tr>
        <w:trPr>
          <w:trHeight w:val="35"/>
        </w:trPr>
        <w:tc>
          <w:tcPr>
            <w:tcW w:w="7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(549,153)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81,332</w:t>
            </w:r>
          </w:p>
        </w:tc>
      </w:tr>
      <w:tr>
        <w:trPr>
          <w:trHeight w:val="197"/>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(335,243,989)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(280,320,084)</w:t>
            </w:r>
          </w:p>
        </w:tc>
      </w:tr>
      <w:tr>
        <w:trPr>
          <w:trHeight w:val="35"/>
        </w:trPr>
        <w:tc>
          <w:tcPr>
            <w:tcW w:w="78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25"/>
        </w:trPr>
        <w:tc>
          <w:tcPr>
            <w:tcW w:w="7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168,680,697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218,483,968</w:t>
            </w:r>
          </w:p>
        </w:tc>
      </w:tr>
      <w:tr>
        <w:trPr>
          <w:trHeight w:val="220"/>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182,561,047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231,985,010</w:t>
            </w:r>
          </w:p>
        </w:tc>
      </w:tr>
      <w:tr>
        <w:trPr>
          <w:trHeight w:val="23"/>
        </w:trPr>
        <w:tc>
          <w:tcPr>
            <w:tcW w:w="7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interim condensed consolidated financial statements.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IMMUNEERING CORPORATION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58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5"/>
        </w:trPr>
        <w:tc>
          <w:tcPr>
            <w:tcW w:w="55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90"/>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55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8"/>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1"/>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5"/>
        </w:trPr>
        <w:tc>
          <w:tcPr>
            <w:tcW w:w="5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20,721,243</w:t>
            </w:r>
          </w:p>
        </w:tc>
        <w:tc>
          <w:tcPr>
            <w:tcW w:w="8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10,867,983</w:t>
            </w:r>
          </w:p>
        </w:tc>
        <w:tc>
          <w:tcPr>
            <w:tcW w:w="8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45,363,112</w:t>
            </w:r>
          </w:p>
        </w:tc>
        <w:tc>
          <w:tcPr>
            <w:tcW w:w="10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32,793,835</w:t>
            </w:r>
          </w:p>
        </w:tc>
      </w:tr>
      <w:tr>
        <w:trPr>
          <w:trHeight w:val="25"/>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1"/>
        </w:trPr>
        <w:tc>
          <w:tcPr>
            <w:tcW w:w="5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5,059,459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4,505,406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14,738,398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12,807,465</w:t>
            </w:r>
          </w:p>
        </w:tc>
      </w:tr>
      <w:tr>
        <w:trPr>
          <w:trHeight w:val="245"/>
        </w:trPr>
        <w:tc>
          <w:tcPr>
            <w:tcW w:w="5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intangible asset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21,950</w:t>
            </w:r>
          </w:p>
        </w:tc>
      </w:tr>
      <w:tr>
        <w:trPr>
          <w:trHeight w:val="25"/>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25,788,019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15,380,706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60,123,460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45,623,250</w:t>
            </w:r>
          </w:p>
        </w:tc>
      </w:tr>
      <w:tr>
        <w:trPr>
          <w:trHeight w:val="238"/>
        </w:trPr>
        <w:tc>
          <w:tcPr>
            <w:tcW w:w="55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(25,788,019)</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(15,380,706)</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(60,123,460)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(45,623,250)</w:t>
            </w:r>
          </w:p>
        </w:tc>
      </w:tr>
      <w:tr>
        <w:trPr>
          <w:trHeight w:val="25"/>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8"/>
        </w:trPr>
        <w:tc>
          <w:tcPr>
            <w:tcW w:w="5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5"/>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1"/>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1,204,598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3,647,786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1,178,362</w:t>
            </w:r>
          </w:p>
        </w:tc>
      </w:tr>
      <w:tr>
        <w:trPr>
          <w:trHeight w:val="245"/>
        </w:trPr>
        <w:tc>
          <w:tcPr>
            <w:tcW w:w="5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390,838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1,551,769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(24,192,583)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(14,964,875)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(54,923,905)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(44,444,888)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96"/>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common stockholders, basic and diluted</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4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64,714,194</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39,670,095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64,690,275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37,077,041</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5"/>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1"/>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Unrealized loss from marketable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(142,913)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(630,485)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4"/>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(24,335,496)</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(14,964,875)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(55,554,390)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(44,444,888)</w:t>
            </w: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interim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IMMUNEERING CORPORATION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62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2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5"/>
        </w:trPr>
        <w:tc>
          <w:tcPr>
            <w:tcW w:w="346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9"/>
                <w:szCs w:val="9"/>
                <w:color w:val="auto"/>
              </w:rPr>
            </w:pPr>
          </w:p>
        </w:tc>
        <w:tc>
          <w:tcPr>
            <w:tcW w:w="1200" w:type="dxa"/>
            <w:vAlign w:val="bottom"/>
            <w:gridSpan w:val="2"/>
            <w:vMerge w:val="restart"/>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0" w:type="dxa"/>
            <w:vAlign w:val="bottom"/>
            <w:gridSpan w:val="2"/>
            <w:vMerge w:val="restart"/>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9"/>
                <w:szCs w:val="9"/>
                <w:color w:val="auto"/>
              </w:rPr>
            </w:pPr>
          </w:p>
        </w:tc>
        <w:tc>
          <w:tcPr>
            <w:tcW w:w="1020" w:type="dxa"/>
            <w:vAlign w:val="bottom"/>
            <w:vMerge w:val="restart"/>
          </w:tcPr>
          <w:p>
            <w:pPr>
              <w:jc w:val="center"/>
              <w:ind w:right="72"/>
              <w:spacing w:after="0" w:line="121"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64,648,230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64,648</w:t>
            </w: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498,658,072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81,332</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(280,320,084)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218,483,968</w:t>
            </w:r>
          </w:p>
        </w:tc>
        <w:tc>
          <w:tcPr>
            <w:tcW w:w="0" w:type="dxa"/>
            <w:vAlign w:val="bottom"/>
          </w:tcPr>
          <w:p>
            <w:pPr>
              <w:spacing w:after="0"/>
              <w:rPr>
                <w:sz w:val="1"/>
                <w:szCs w:val="1"/>
                <w:color w:val="auto"/>
              </w:rPr>
            </w:pPr>
          </w:p>
        </w:tc>
      </w:tr>
      <w:tr>
        <w:trPr>
          <w:trHeight w:val="197"/>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7"/>
                <w:szCs w:val="17"/>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10,435</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through employee stock purchase</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170,289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170,325</w:t>
            </w:r>
          </w:p>
        </w:tc>
        <w:tc>
          <w:tcPr>
            <w:tcW w:w="0" w:type="dxa"/>
            <w:vAlign w:val="bottom"/>
          </w:tcPr>
          <w:p>
            <w:pPr>
              <w:spacing w:after="0"/>
              <w:rPr>
                <w:sz w:val="1"/>
                <w:szCs w:val="1"/>
                <w:color w:val="auto"/>
              </w:rPr>
            </w:pPr>
          </w:p>
        </w:tc>
      </w:tr>
      <w:tr>
        <w:trPr>
          <w:trHeight w:val="197"/>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1,636,675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1,636,675</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(13,460,895)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(13,460,895)</w:t>
            </w:r>
          </w:p>
        </w:tc>
        <w:tc>
          <w:tcPr>
            <w:tcW w:w="0" w:type="dxa"/>
            <w:vAlign w:val="bottom"/>
          </w:tcPr>
          <w:p>
            <w:pPr>
              <w:spacing w:after="0"/>
              <w:rPr>
                <w:sz w:val="1"/>
                <w:szCs w:val="1"/>
                <w:color w:val="auto"/>
              </w:rPr>
            </w:pPr>
          </w:p>
        </w:tc>
      </w:tr>
      <w:tr>
        <w:trPr>
          <w:trHeight w:val="197"/>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(322,337)</w:t>
            </w:r>
          </w:p>
        </w:tc>
        <w:tc>
          <w:tcPr>
            <w:tcW w:w="80" w:type="dxa"/>
            <w:vAlign w:val="bottom"/>
          </w:tcPr>
          <w:p>
            <w:pPr>
              <w:spacing w:after="0"/>
              <w:rPr>
                <w:sz w:val="17"/>
                <w:szCs w:val="17"/>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(322,337)</w:t>
            </w:r>
          </w:p>
        </w:tc>
        <w:tc>
          <w:tcPr>
            <w:tcW w:w="0" w:type="dxa"/>
            <w:vAlign w:val="bottom"/>
          </w:tcPr>
          <w:p>
            <w:pPr>
              <w:spacing w:after="0"/>
              <w:rPr>
                <w:sz w:val="1"/>
                <w:szCs w:val="1"/>
                <w:color w:val="auto"/>
              </w:rPr>
            </w:pPr>
          </w:p>
        </w:tc>
      </w:tr>
      <w:tr>
        <w:trPr>
          <w:trHeight w:val="22"/>
        </w:trPr>
        <w:tc>
          <w:tcPr>
            <w:tcW w:w="3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64,688,915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64,689</w:t>
            </w: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500,475,466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(241,005)</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(293,780,979)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206,518,171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24,608</w:t>
            </w:r>
          </w:p>
        </w:tc>
        <w:tc>
          <w:tcPr>
            <w:tcW w:w="0" w:type="dxa"/>
            <w:vAlign w:val="bottom"/>
          </w:tcPr>
          <w:p>
            <w:pPr>
              <w:spacing w:after="0"/>
              <w:rPr>
                <w:sz w:val="1"/>
                <w:szCs w:val="1"/>
                <w:color w:val="auto"/>
              </w:rPr>
            </w:pPr>
          </w:p>
        </w:tc>
      </w:tr>
      <w:tr>
        <w:trPr>
          <w:trHeight w:val="197"/>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1,627,909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1,627,909</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(17,270,427)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(17,270,427)</w:t>
            </w:r>
          </w:p>
        </w:tc>
        <w:tc>
          <w:tcPr>
            <w:tcW w:w="0" w:type="dxa"/>
            <w:vAlign w:val="bottom"/>
          </w:tcPr>
          <w:p>
            <w:pPr>
              <w:spacing w:after="0"/>
              <w:rPr>
                <w:sz w:val="1"/>
                <w:szCs w:val="1"/>
                <w:color w:val="auto"/>
              </w:rPr>
            </w:pPr>
          </w:p>
        </w:tc>
      </w:tr>
      <w:tr>
        <w:trPr>
          <w:trHeight w:val="197"/>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(165,235)</w:t>
            </w:r>
          </w:p>
        </w:tc>
        <w:tc>
          <w:tcPr>
            <w:tcW w:w="80" w:type="dxa"/>
            <w:vAlign w:val="bottom"/>
          </w:tcPr>
          <w:p>
            <w:pPr>
              <w:spacing w:after="0"/>
              <w:rPr>
                <w:sz w:val="17"/>
                <w:szCs w:val="17"/>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(165,235)</w:t>
            </w:r>
          </w:p>
        </w:tc>
        <w:tc>
          <w:tcPr>
            <w:tcW w:w="0" w:type="dxa"/>
            <w:vAlign w:val="bottom"/>
          </w:tcPr>
          <w:p>
            <w:pPr>
              <w:spacing w:after="0"/>
              <w:rPr>
                <w:sz w:val="1"/>
                <w:szCs w:val="1"/>
                <w:color w:val="auto"/>
              </w:rPr>
            </w:pPr>
          </w:p>
        </w:tc>
      </w:tr>
      <w:tr>
        <w:trPr>
          <w:trHeight w:val="22"/>
        </w:trPr>
        <w:tc>
          <w:tcPr>
            <w:tcW w:w="3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64,697,402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64,697</w:t>
            </w: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502,127,975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(406,240)</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(311,051,406)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190,735,026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73,010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73,037</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through employee stock purchase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tcPr>
          <w:p>
            <w:pPr>
              <w:spacing w:after="0"/>
              <w:rPr>
                <w:sz w:val="15"/>
                <w:szCs w:val="15"/>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147,137</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2,060,993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2,060,993</w:t>
            </w:r>
          </w:p>
        </w:tc>
        <w:tc>
          <w:tcPr>
            <w:tcW w:w="0" w:type="dxa"/>
            <w:vAlign w:val="bottom"/>
          </w:tcPr>
          <w:p>
            <w:pPr>
              <w:spacing w:after="0"/>
              <w:rPr>
                <w:sz w:val="1"/>
                <w:szCs w:val="1"/>
                <w:color w:val="auto"/>
              </w:rPr>
            </w:pPr>
          </w:p>
        </w:tc>
      </w:tr>
      <w:tr>
        <w:trPr>
          <w:trHeight w:val="197"/>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(24,192,583)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(24,192,583)</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(142,913)</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(142,913)</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64,763,155</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64,763</w:t>
            </w:r>
          </w:p>
        </w:tc>
        <w:tc>
          <w:tcPr>
            <w:tcW w:w="60" w:type="dxa"/>
            <w:vAlign w:val="bottom"/>
          </w:tcPr>
          <w:p>
            <w:pPr>
              <w:spacing w:after="0"/>
              <w:rPr>
                <w:sz w:val="16"/>
                <w:szCs w:val="16"/>
                <w:color w:val="auto"/>
              </w:rPr>
            </w:pPr>
          </w:p>
        </w:tc>
        <w:tc>
          <w:tcPr>
            <w:tcW w:w="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504,409,076</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(549,153)</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 (335,243,989)</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168,680,697</w:t>
            </w: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60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0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5"/>
        </w:trPr>
        <w:tc>
          <w:tcPr>
            <w:tcW w:w="348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restart"/>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9"/>
                <w:szCs w:val="9"/>
                <w:color w:val="auto"/>
              </w:rPr>
            </w:pPr>
          </w:p>
        </w:tc>
        <w:tc>
          <w:tcPr>
            <w:tcW w:w="1200" w:type="dxa"/>
            <w:vAlign w:val="bottom"/>
            <w:gridSpan w:val="2"/>
            <w:vMerge w:val="restart"/>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80" w:type="dxa"/>
            <w:vAlign w:val="bottom"/>
            <w:gridSpan w:val="2"/>
            <w:vMerge w:val="restart"/>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1020" w:type="dxa"/>
            <w:vAlign w:val="bottom"/>
            <w:vMerge w:val="restart"/>
          </w:tcPr>
          <w:p>
            <w:pPr>
              <w:jc w:val="center"/>
              <w:ind w:right="72"/>
              <w:spacing w:after="0" w:line="121"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31,050,448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31,050</w:t>
            </w: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265,650,362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(224,295,186)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41,386,226</w:t>
            </w:r>
          </w:p>
        </w:tc>
        <w:tc>
          <w:tcPr>
            <w:tcW w:w="0" w:type="dxa"/>
            <w:vAlign w:val="bottom"/>
          </w:tcPr>
          <w:p>
            <w:pPr>
              <w:spacing w:after="0"/>
              <w:rPr>
                <w:sz w:val="1"/>
                <w:szCs w:val="1"/>
                <w:color w:val="auto"/>
              </w:rPr>
            </w:pPr>
          </w:p>
        </w:tc>
      </w:tr>
      <w:tr>
        <w:trPr>
          <w:trHeight w:val="17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Issuance of common stock under at-the-market offering, net of</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costs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4,836,804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4,837</w:t>
            </w:r>
          </w:p>
        </w:tc>
        <w:tc>
          <w:tcPr>
            <w:tcW w:w="60" w:type="dxa"/>
            <w:vAlign w:val="bottom"/>
          </w:tcPr>
          <w:p>
            <w:pPr>
              <w:spacing w:after="0"/>
              <w:rPr>
                <w:sz w:val="15"/>
                <w:szCs w:val="15"/>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13,671,830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13,676,667</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employee stock purchase</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98,450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133,794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133,892</w:t>
            </w:r>
          </w:p>
        </w:tc>
        <w:tc>
          <w:tcPr>
            <w:tcW w:w="0" w:type="dxa"/>
            <w:vAlign w:val="bottom"/>
          </w:tcPr>
          <w:p>
            <w:pPr>
              <w:spacing w:after="0"/>
              <w:rPr>
                <w:sz w:val="1"/>
                <w:szCs w:val="1"/>
                <w:color w:val="auto"/>
              </w:rPr>
            </w:pPr>
          </w:p>
        </w:tc>
      </w:tr>
      <w:tr>
        <w:trPr>
          <w:trHeight w:val="19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1,692,267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1,692,267</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(15,046,132)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(15,046,132)</w:t>
            </w:r>
          </w:p>
        </w:tc>
        <w:tc>
          <w:tcPr>
            <w:tcW w:w="0" w:type="dxa"/>
            <w:vAlign w:val="bottom"/>
          </w:tcPr>
          <w:p>
            <w:pPr>
              <w:spacing w:after="0"/>
              <w:rPr>
                <w:sz w:val="1"/>
                <w:szCs w:val="1"/>
                <w:color w:val="auto"/>
              </w:rPr>
            </w:pPr>
          </w:p>
        </w:tc>
      </w:tr>
      <w:tr>
        <w:trPr>
          <w:trHeight w:val="19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35,985,702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35,985</w:t>
            </w:r>
          </w:p>
        </w:tc>
        <w:tc>
          <w:tcPr>
            <w:tcW w:w="60" w:type="dxa"/>
            <w:vAlign w:val="bottom"/>
          </w:tcPr>
          <w:p>
            <w:pPr>
              <w:spacing w:after="0"/>
              <w:rPr>
                <w:sz w:val="16"/>
                <w:szCs w:val="16"/>
                <w:color w:val="auto"/>
              </w:rPr>
            </w:pPr>
          </w:p>
        </w:tc>
        <w:tc>
          <w:tcPr>
            <w:tcW w:w="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3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281,148,253</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 (239,341,318)</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41,842,920</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7"/>
                <w:szCs w:val="17"/>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1,524,943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1,524,943</w:t>
            </w:r>
          </w:p>
        </w:tc>
        <w:tc>
          <w:tcPr>
            <w:tcW w:w="0" w:type="dxa"/>
            <w:vAlign w:val="bottom"/>
          </w:tcPr>
          <w:p>
            <w:pPr>
              <w:spacing w:after="0"/>
              <w:rPr>
                <w:sz w:val="1"/>
                <w:szCs w:val="1"/>
                <w:color w:val="auto"/>
              </w:rPr>
            </w:pPr>
          </w:p>
        </w:tc>
      </w:tr>
      <w:tr>
        <w:trPr>
          <w:trHeight w:val="19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(14,433,881)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(14,433,881)</w:t>
            </w:r>
          </w:p>
        </w:tc>
        <w:tc>
          <w:tcPr>
            <w:tcW w:w="0" w:type="dxa"/>
            <w:vAlign w:val="bottom"/>
          </w:tcPr>
          <w:p>
            <w:pPr>
              <w:spacing w:after="0"/>
              <w:rPr>
                <w:sz w:val="1"/>
                <w:szCs w:val="1"/>
                <w:color w:val="auto"/>
              </w:rPr>
            </w:pPr>
          </w:p>
        </w:tc>
      </w:tr>
      <w:tr>
        <w:trPr>
          <w:trHeight w:val="22"/>
        </w:trPr>
        <w:tc>
          <w:tcPr>
            <w:tcW w:w="3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35,987,306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35,987</w:t>
            </w:r>
          </w:p>
        </w:tc>
        <w:tc>
          <w:tcPr>
            <w:tcW w:w="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282,675,249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(253,775,199)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28,936,037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47,221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136,598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136,645</w:t>
            </w:r>
          </w:p>
        </w:tc>
        <w:tc>
          <w:tcPr>
            <w:tcW w:w="0" w:type="dxa"/>
            <w:vAlign w:val="bottom"/>
          </w:tcPr>
          <w:p>
            <w:pPr>
              <w:spacing w:after="0"/>
              <w:rPr>
                <w:sz w:val="1"/>
                <w:szCs w:val="1"/>
                <w:color w:val="auto"/>
              </w:rPr>
            </w:pPr>
          </w:p>
        </w:tc>
      </w:tr>
      <w:tr>
        <w:trPr>
          <w:trHeight w:val="17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employee stock purchase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60" w:type="dxa"/>
            <w:vAlign w:val="bottom"/>
          </w:tcPr>
          <w:p>
            <w:pPr>
              <w:spacing w:after="0"/>
              <w:rPr>
                <w:sz w:val="15"/>
                <w:szCs w:val="15"/>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288,018</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7"/>
              </w:rPr>
              <w:t>Issuance of common stock under at-the-market offering, net of</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costs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327,355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1,343,052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1,343,379</w:t>
            </w:r>
          </w:p>
        </w:tc>
        <w:tc>
          <w:tcPr>
            <w:tcW w:w="0" w:type="dxa"/>
            <w:vAlign w:val="bottom"/>
          </w:tcPr>
          <w:p>
            <w:pPr>
              <w:spacing w:after="0"/>
              <w:rPr>
                <w:sz w:val="1"/>
                <w:szCs w:val="1"/>
                <w:color w:val="auto"/>
              </w:rPr>
            </w:pPr>
          </w:p>
        </w:tc>
      </w:tr>
      <w:tr>
        <w:trPr>
          <w:trHeight w:val="17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Issuance of common stock, pre-funded warrants, and common</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4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stock warrants through private placement, net of $1.6 million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costs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5,251,349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5,251</w:t>
            </w:r>
          </w:p>
        </w:tc>
        <w:tc>
          <w:tcPr>
            <w:tcW w:w="60" w:type="dxa"/>
            <w:vAlign w:val="bottom"/>
          </w:tcPr>
          <w:p>
            <w:pPr>
              <w:spacing w:after="0"/>
              <w:rPr>
                <w:sz w:val="15"/>
                <w:szCs w:val="15"/>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23,388,922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23,394,173</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public offering, net of</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commissions, underwriting discounts and $0.4 million in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offering costs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18,959,914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18,960</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164,068,015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164,086,975</w:t>
            </w:r>
          </w:p>
        </w:tc>
        <w:tc>
          <w:tcPr>
            <w:tcW w:w="0" w:type="dxa"/>
            <w:vAlign w:val="bottom"/>
          </w:tcPr>
          <w:p>
            <w:pPr>
              <w:spacing w:after="0"/>
              <w:rPr>
                <w:sz w:val="1"/>
                <w:szCs w:val="1"/>
                <w:color w:val="auto"/>
              </w:rPr>
            </w:pPr>
          </w:p>
        </w:tc>
      </w:tr>
      <w:tr>
        <w:trPr>
          <w:trHeight w:val="17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private placement with</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Aventis Inc., net of $0.1 million in offering costs.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2,708,559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60" w:type="dxa"/>
            <w:vAlign w:val="bottom"/>
          </w:tcPr>
          <w:p>
            <w:pPr>
              <w:spacing w:after="0"/>
              <w:rPr>
                <w:sz w:val="15"/>
                <w:szCs w:val="15"/>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23,297,291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23,300,000</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1,456,080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1,456,080</w:t>
            </w:r>
          </w:p>
        </w:tc>
        <w:tc>
          <w:tcPr>
            <w:tcW w:w="0" w:type="dxa"/>
            <w:vAlign w:val="bottom"/>
          </w:tcPr>
          <w:p>
            <w:pPr>
              <w:spacing w:after="0"/>
              <w:rPr>
                <w:sz w:val="1"/>
                <w:szCs w:val="1"/>
                <w:color w:val="auto"/>
              </w:rPr>
            </w:pPr>
          </w:p>
        </w:tc>
      </w:tr>
      <w:tr>
        <w:trPr>
          <w:trHeight w:val="19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(14,964,875)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(14,964,875)</w:t>
            </w:r>
          </w:p>
        </w:tc>
        <w:tc>
          <w:tcPr>
            <w:tcW w:w="0" w:type="dxa"/>
            <w:vAlign w:val="bottom"/>
          </w:tcPr>
          <w:p>
            <w:pPr>
              <w:spacing w:after="0"/>
              <w:rPr>
                <w:sz w:val="1"/>
                <w:szCs w:val="1"/>
                <w:color w:val="auto"/>
              </w:rPr>
            </w:pPr>
          </w:p>
        </w:tc>
      </w:tr>
      <w:tr>
        <w:trPr>
          <w:trHeight w:val="22"/>
        </w:trPr>
        <w:tc>
          <w:tcPr>
            <w:tcW w:w="3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63,483,397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63,483</w:t>
            </w:r>
          </w:p>
        </w:tc>
        <w:tc>
          <w:tcPr>
            <w:tcW w:w="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496,653,023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(268,740,074)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227,976,432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interim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IMMUNEERING CORPORATION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 2026 and 2025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4"/>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58"/>
        </w:trPr>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(54,923,905)</w:t>
            </w:r>
          </w:p>
        </w:tc>
        <w:tc>
          <w:tcPr>
            <w:tcW w:w="80" w:type="dxa"/>
            <w:vAlign w:val="bottom"/>
          </w:tcPr>
          <w:p>
            <w:pPr>
              <w:spacing w:after="0"/>
              <w:rPr>
                <w:sz w:val="19"/>
                <w:szCs w:val="19"/>
                <w:color w:val="auto"/>
              </w:rPr>
            </w:pP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(44,444,888)</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to net loss to net cash used in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248,628</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Reduction in carrying amount of right-of-use assets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282,466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255,660</w:t>
            </w:r>
          </w:p>
        </w:tc>
        <w:tc>
          <w:tcPr>
            <w:tcW w:w="0" w:type="dxa"/>
            <w:vAlign w:val="bottom"/>
          </w:tcPr>
          <w:p>
            <w:pPr>
              <w:spacing w:after="0"/>
              <w:rPr>
                <w:sz w:val="1"/>
                <w:szCs w:val="1"/>
                <w:color w:val="auto"/>
              </w:rPr>
            </w:pPr>
          </w:p>
        </w:tc>
      </w:tr>
      <w:tr>
        <w:trPr>
          <w:trHeight w:val="228"/>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21,950</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5,325,576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4,673,290</w:t>
            </w:r>
          </w:p>
        </w:tc>
        <w:tc>
          <w:tcPr>
            <w:tcW w:w="0" w:type="dxa"/>
            <w:vAlign w:val="bottom"/>
          </w:tcPr>
          <w:p>
            <w:pPr>
              <w:spacing w:after="0"/>
              <w:rPr>
                <w:sz w:val="1"/>
                <w:szCs w:val="1"/>
                <w:color w:val="auto"/>
              </w:rPr>
            </w:pPr>
          </w:p>
        </w:tc>
      </w:tr>
      <w:tr>
        <w:trPr>
          <w:trHeight w:val="228"/>
        </w:trPr>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accretion of discount on marketable securities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(1,343,376)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(Increase) decrease in:</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(1,697,830)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1,904,097</w:t>
            </w:r>
          </w:p>
        </w:tc>
        <w:tc>
          <w:tcPr>
            <w:tcW w:w="0" w:type="dxa"/>
            <w:vAlign w:val="bottom"/>
          </w:tcPr>
          <w:p>
            <w:pPr>
              <w:spacing w:after="0"/>
              <w:rPr>
                <w:sz w:val="1"/>
                <w:szCs w:val="1"/>
                <w:color w:val="auto"/>
              </w:rPr>
            </w:pPr>
          </w:p>
        </w:tc>
      </w:tr>
      <w:tr>
        <w:trPr>
          <w:trHeight w:val="228"/>
        </w:trPr>
        <w:tc>
          <w:tcPr>
            <w:tcW w:w="7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802,848</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Increase (decrease) in:</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1,215,482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(474,214)</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(344,229)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1,908,736</w:t>
            </w:r>
          </w:p>
        </w:tc>
        <w:tc>
          <w:tcPr>
            <w:tcW w:w="0" w:type="dxa"/>
            <w:vAlign w:val="bottom"/>
          </w:tcPr>
          <w:p>
            <w:pPr>
              <w:spacing w:after="0"/>
              <w:rPr>
                <w:sz w:val="1"/>
                <w:szCs w:val="1"/>
                <w:color w:val="auto"/>
              </w:rPr>
            </w:pPr>
          </w:p>
        </w:tc>
      </w:tr>
      <w:tr>
        <w:trPr>
          <w:trHeight w:val="228"/>
        </w:trPr>
        <w:tc>
          <w:tcPr>
            <w:tcW w:w="7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Lease liabilities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(246,528)</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9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(202,094)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(153,576)</w:t>
            </w:r>
          </w:p>
        </w:tc>
        <w:tc>
          <w:tcPr>
            <w:tcW w:w="0" w:type="dxa"/>
            <w:vAlign w:val="bottom"/>
          </w:tcPr>
          <w:p>
            <w:pPr>
              <w:spacing w:after="0"/>
              <w:rPr>
                <w:sz w:val="1"/>
                <w:szCs w:val="1"/>
                <w:color w:val="auto"/>
              </w:rPr>
            </w:pPr>
          </w:p>
        </w:tc>
      </w:tr>
      <w:tr>
        <w:trPr>
          <w:trHeight w:val="221"/>
        </w:trPr>
        <w:tc>
          <w:tcPr>
            <w:tcW w:w="7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(51,720,091)</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(35,503,997)</w:t>
            </w:r>
          </w:p>
        </w:tc>
        <w:tc>
          <w:tcPr>
            <w:tcW w:w="0" w:type="dxa"/>
            <w:vAlign w:val="bottom"/>
          </w:tcPr>
          <w:p>
            <w:pPr>
              <w:spacing w:after="0"/>
              <w:rPr>
                <w:sz w:val="1"/>
                <w:szCs w:val="1"/>
                <w:color w:val="auto"/>
              </w:rPr>
            </w:pPr>
          </w:p>
        </w:tc>
      </w:tr>
      <w:tr>
        <w:trPr>
          <w:trHeight w:val="29"/>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(18,316)</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(84,176,216)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7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65,175,000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9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(19,123,671)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(18,316)</w:t>
            </w:r>
          </w:p>
        </w:tc>
        <w:tc>
          <w:tcPr>
            <w:tcW w:w="0" w:type="dxa"/>
            <w:vAlign w:val="bottom"/>
          </w:tcPr>
          <w:p>
            <w:pPr>
              <w:spacing w:after="0"/>
              <w:rPr>
                <w:sz w:val="1"/>
                <w:szCs w:val="1"/>
                <w:color w:val="auto"/>
              </w:rPr>
            </w:pPr>
          </w:p>
        </w:tc>
      </w:tr>
      <w:tr>
        <w:trPr>
          <w:trHeight w:val="208"/>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108,080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138,700</w:t>
            </w:r>
          </w:p>
        </w:tc>
        <w:tc>
          <w:tcPr>
            <w:tcW w:w="0" w:type="dxa"/>
            <w:vAlign w:val="bottom"/>
          </w:tcPr>
          <w:p>
            <w:pPr>
              <w:spacing w:after="0"/>
              <w:rPr>
                <w:sz w:val="1"/>
                <w:szCs w:val="1"/>
                <w:color w:val="auto"/>
              </w:rPr>
            </w:pPr>
          </w:p>
        </w:tc>
      </w:tr>
      <w:tr>
        <w:trPr>
          <w:trHeight w:val="228"/>
        </w:trPr>
        <w:tc>
          <w:tcPr>
            <w:tcW w:w="7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421,910</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under at-the-market offering, net of issuance costs</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15,020,046</w:t>
            </w:r>
          </w:p>
        </w:tc>
        <w:tc>
          <w:tcPr>
            <w:tcW w:w="0" w:type="dxa"/>
            <w:vAlign w:val="bottom"/>
          </w:tcPr>
          <w:p>
            <w:pPr>
              <w:spacing w:after="0"/>
              <w:rPr>
                <w:sz w:val="1"/>
                <w:szCs w:val="1"/>
                <w:color w:val="auto"/>
              </w:rPr>
            </w:pPr>
          </w:p>
        </w:tc>
      </w:tr>
      <w:tr>
        <w:trPr>
          <w:trHeight w:val="228"/>
        </w:trPr>
        <w:tc>
          <w:tcPr>
            <w:tcW w:w="7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common stock, prefunded warrants and common stock warrants through private placement</w:t>
            </w:r>
          </w:p>
        </w:tc>
        <w:tc>
          <w:tcPr>
            <w:tcW w:w="2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24,998,919</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public offering of common stock, net of commissions and underwriting</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164,500,006</w:t>
            </w:r>
          </w:p>
        </w:tc>
        <w:tc>
          <w:tcPr>
            <w:tcW w:w="0" w:type="dxa"/>
            <w:vAlign w:val="bottom"/>
          </w:tcPr>
          <w:p>
            <w:pPr>
              <w:spacing w:after="0"/>
              <w:rPr>
                <w:sz w:val="1"/>
                <w:szCs w:val="1"/>
                <w:color w:val="auto"/>
              </w:rPr>
            </w:pPr>
          </w:p>
        </w:tc>
      </w:tr>
      <w:tr>
        <w:trPr>
          <w:trHeight w:val="228"/>
        </w:trPr>
        <w:tc>
          <w:tcPr>
            <w:tcW w:w="7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through private placement with Aventis Inc</w:t>
            </w:r>
          </w:p>
        </w:tc>
        <w:tc>
          <w:tcPr>
            <w:tcW w:w="2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 of offering and placement costs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(3,138,911)</w:t>
            </w:r>
          </w:p>
        </w:tc>
        <w:tc>
          <w:tcPr>
            <w:tcW w:w="0" w:type="dxa"/>
            <w:vAlign w:val="bottom"/>
          </w:tcPr>
          <w:p>
            <w:pPr>
              <w:spacing w:after="0"/>
              <w:rPr>
                <w:sz w:val="1"/>
                <w:szCs w:val="1"/>
                <w:color w:val="auto"/>
              </w:rPr>
            </w:pPr>
          </w:p>
        </w:tc>
      </w:tr>
      <w:tr>
        <w:trPr>
          <w:trHeight w:val="221"/>
        </w:trPr>
        <w:tc>
          <w:tcPr>
            <w:tcW w:w="7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425,542</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226,940,670</w:t>
            </w:r>
          </w:p>
        </w:tc>
        <w:tc>
          <w:tcPr>
            <w:tcW w:w="0" w:type="dxa"/>
            <w:vAlign w:val="bottom"/>
          </w:tcPr>
          <w:p>
            <w:pPr>
              <w:spacing w:after="0"/>
              <w:rPr>
                <w:sz w:val="1"/>
                <w:szCs w:val="1"/>
                <w:color w:val="auto"/>
              </w:rPr>
            </w:pPr>
          </w:p>
        </w:tc>
      </w:tr>
      <w:tr>
        <w:trPr>
          <w:trHeight w:val="29"/>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(70,418,220)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191,418,357</w:t>
            </w: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128,645,025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36,144,720</w:t>
            </w:r>
          </w:p>
        </w:tc>
        <w:tc>
          <w:tcPr>
            <w:tcW w:w="0" w:type="dxa"/>
            <w:vAlign w:val="bottom"/>
          </w:tcPr>
          <w:p>
            <w:pPr>
              <w:spacing w:after="0"/>
              <w:rPr>
                <w:sz w:val="1"/>
                <w:szCs w:val="1"/>
                <w:color w:val="auto"/>
              </w:rPr>
            </w:pPr>
          </w:p>
        </w:tc>
      </w:tr>
      <w:tr>
        <w:trPr>
          <w:trHeight w:val="29"/>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6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58,226,805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227,563,077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Offering and placement costs included in accounts payable/accrued expenses</w:t>
            </w: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845,933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interim condensed consolidated financial statements.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IMMUNEERING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Organization and Nature of Business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Immuneering Corporation, a Delaware corporation (“Immuneering” or the “Company”), was incorporated in 2008. Immuneering is a late-stage clinical oncology company seeking to develop medicines for broad populations of cancer patients, with an initial aim to therapeutically address patients harboring RAS and/or RAF mutations. The Company aims to achieve broad activity through Deep Cyclic Inhibition® ("DCI") of the mitogen-activated protein kinase ("MAPK") pathway, impacting cancer cells while sparing healthy cells. Immuneering’s lead product candidate, atebimetinib (also referred to as IMM-1-104), is currently in a Phase 1/2a clinical trial in patients with advanced solid tumors harboring RAS or RAF mutations and in a Phase 3 registrational trial (known as "MAPKeeper 301") in combination with modified gemcitabine/nab-paclitaxel in first-line pancreatic cancer patients. The Company is developing atebimetinib as a once-daily oral therapy, aiming for activity through DCI of the MAPK pathway at the level of mitogen-activated protein kinase kinase ("MEK"). The Company’s development pipeline also includes early-stage programs.</w:t>
      </w:r>
    </w:p>
    <w:p>
      <w:pPr>
        <w:spacing w:after="0" w:line="2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October 30, 2019, Immuneering formed a wholly owned subsidiary, Immuneering Securities Corporation (“ISC”), a Massachusetts securities corporation, for the sole purpose of buying, selling and holding securities on the Company’s behalf.</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December 22, 2021, the Company acquired all outstanding shares of capital stock of BioArkive, Inc. (“BioArkive”), a California corporation, which as a result became a wholly owned subsidiary.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Immuneering, ISC and BioArkive are collectively referred to as the “Company” throughout these interim condensed consolidated financial statements.</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programs will be successful. In addition, the Company operates in an environment of rapid technological change and is largely dependent on the services of its employees, advisors, and consultants.</w:t>
      </w:r>
    </w:p>
    <w:p>
      <w:pPr>
        <w:spacing w:after="0" w:line="21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On August 10, 2022, the Company entered into an Equity Distribution Agreement (the "2022 Sales Agreement") with Piper Sandler &amp; Co (the "Sales Agent"), to sell shares of its common stock with aggregate gross proceeds of up to $50 million, from time to time, through an “at the market” equity offering program (the "2022 ATM Program"). The Company did not sell any shares of common stock under the 2022 ATM Program during the three and nine months ended September 30, 2026. The Company sold 327,355 shares of common stock under the 2022 ATM Program, at a weighted average price per share of $4.27, for aggregate gross proceeds of $1.4 million ($1.3 million net of offering expenses) during the three months ended September 30, 2025. The Company sold 5,164,159 shares of common stock under the 2022 ATM program, at a weighted average price per share of $3.03, for aggregate gross proceeds of $15.6 million ($15.0 million net of offering expenses) during the nine months ended September 30, 2025.</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April 20, 2023, the Company completed an underwritten follow-on equity offering, pursuant to which it issued and sold 2,727,273 shares of its Class A common stock $0.001 par value per share at an offering price of $11.00 per share. The aggregate net proceeds received by the Company from the offering were $28,200,003, after deducting underwriting discounts and commissions, but before deducting offering costs payable by the Company of $203,768.</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13, 2025, the Company entered into an Equity Distribution Agreement (the "2025 Sales Agreement") with the Sales Agent, to sell shares of its common stock with aggregate gross proceeds of up to $100 million, from time to time, through an “at the market” equity offering program (the "2025 ATM Program"). In connection with the September 2025 Offering (as defined below), the Company: (i) reduced the maximum aggregate offering price for sales of shares of common stock pursuant to at-the-market transactions under the 2025 ATM Program by $1,250,007 (the "Reduced Amount"), resulting in a new maximum aggregate offering price of up to $98,749,993 under the 2025 ATM Program, and (ii) suspended the 2025 ATM Program and terminated the continuous offering under the 2025 ATM Program, in each case, as to the Reduced Amount. The Company did not sell any shares of common stock under the 2025 ATM Program during the three and nine months ended September 30, 2026 or September 30, 2025, respectively.</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August 21, 2025, the Company entered into a Securities Purchase Agreement (the "August 2025 Purchase Agreement") with the purchasers party thereto, pursuant to which the Company agreed to sell securities to such purchasers in a private placement (the “August 2025 Private Placement”). The August 2025 Purchase Agreement provided for the sale and issuance by the Company to the purchasers of: (i) an aggregate of 5,251,349 shares of its common stock at a purchase price of $3.95 per share, (ii) for certain purchasers, in lieu of common stock, an aggregate of 1,077,764 pre-funded warrants (the “Pre-Funded Warrants”) to purchase up to the same number of shares of its common stock, and (iii) an aggregate of 2,848,096 warrants (the “Purchase Warrants”) to purchase up to the same number of shares of its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On October 6, 2025, certain purchasers from the August 2025 Private Placement exercised an aggregate of 1,077,764 Pre-Funded Warrants previously issued to them pursuant to the August 2025 Purchase Agreement. Each such exercise was made pursuant to the cashless exercise provision of the applicable Pre-Funded Warrant, such that an aggregate of 166 shares of common stock were withheld in lieu of cash payment of the $0.001 exercise price for each Pre-Funded Warrant share, and the exercising purchasers were issued an aggregate of 1,077,598 shares of common stock (the "October 2025 Cashless Exercise"). Following the October 2025 Cashless Exercise, no Pre-Funded Warrants remained issued and outstanding. The Purchase Warrants were issued with an exercise price of $5.50 per share; as of September 30, 2026, no Purchase Warrants had been exercised. As of September 30, 2026, the Company had received aggregate net proceeds of $23.4 million from the August 2025 Private Placement, after deducting placement expenses of $1.6 million. The August 2025 Private Placement closed on August 26, 2025.</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September 24, 2025, the Company entered into a Securities Purchase Agreement (the "September 2025 Purchase Agreement") with Aventis Inc. ("Aventis"), a wholly owned subsidiary of Sanofi, a French société anonyme ("Sanofi"), pursuant to which the Company agreed to sell securities to Aventis in a private placement (the “September 2025 Private Placement”). The September 2025 Purchase Agreement provided for the sale and issuance by the Company to Aventis of an aggregate of 2,708,559 shares of its common stock at a purchase price of $9.23 per share. The Company received aggregate net proceeds of $23.4 million from the September 2025 Private Placement, after deducting placement agent discounts and commissions of $1.5 million and placement costs of $0.1 million. The September 2025 Private Placement closed on September 26, 2025.</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26, 2025, the Company completed an underwritten follow-on equity offering, pursuant to which it issued and sold 18,959,914 shares of its Class A common stock at an offering price of $9.23 per share (the "September 2025 Offering"), with Leerink Partners LLC and Oppenheimer &amp; Co. Inc. acting as underwriters. The aggregate net proceeds received by the Company from the September 2025 Offering were $164.1 million, after deducting underwriting discounts and commissions, as well as offering costs of $0.4 million.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To date, the Company has primarily funded its operations with proceeds from the sale of its capital stock, warrants to purchase stock, and convertible notes. The Company has incurred recurring losses over the past several years and as of September 30, 2026, the Company had an accumulated deficit of $335.2 million.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considered whether or not there are conditions or events, in the aggregate, that raise substantial doubt about the entity’s ability to continue as a going concern, and concluded that there are none as it estimates that its cash, cash equivalents and marketable securities will be sufficient to fund its operating expenses and capital expenditure requirements for at least 12 months from the issuance date of these unaudited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interim condensed consolidated financial statements have been prepared in accordance with accounting standards set by the Financial Accounting Standards Board (“FASB”). The FASB sets generally accepted accounting principles (“GAAP”) to ensure the interim condensed consolidated financial statements are consistently reported. References to GAAP issued by the FASB in these footnotes are to the FASB Accounting Standards Codification ("ASC"). The interim condensed consolidated financial statements include the accounts of the Company and its wholly owned subsidiaries. All intercompany balances and transactions have been eliminated in consolidation.</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to the accounting policies of the Company as those set forth in Note 2 to the audited consolidated financial statements contained in the Annual Report on Form 10-K for the fiscal year ended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Interim Financial Information</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unaudited interim condensed consolidated financial statements of the Company have been prepared in accordance with GAAP and in accordance with the rules and regulations of the Securities and Exchange Commission (“SEC”) regarding interim financial reporting. Certain information and footnote disclosures normally included in the annual financial statements prepared in accordance with GAAP have been omitted from the unaudited interim condensed consolidated financial statements, as is permitted by such rules and regulations. While we believe that the disclosures presented are adequate in order to make the information not misleading, these unaudited interim condensed consolidated financial statements should be read in conjunction with the Company’s audited consolidated financial statements and notes for the year ended December 31, 2025.</w:t>
      </w:r>
    </w:p>
    <w:p>
      <w:pPr>
        <w:spacing w:after="0" w:line="1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It is management’s opinion that these financial statements include all normal and recurring adjustments necessary for a fair presentation of the Company’s financial position, operating results and cash flows. Net loss for any interim period is not necessarily indicative of future or annual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believed to be reasonable under the circumstances, the results of which form the basis for making judgments about the carrying values of assets, liabilities and the recording of expenses that are not readily apparent from other sources. Significant estimates reflected in these interim condensed consolidated financial statements include but are not limited to: the accrued research and development expenses, the determination of fair value of stock-based awards, and the impairment of goodwill and intangible assets. Actual results may differ materially and adversely from these estimates.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Goodwill represents the excess of the fair value of the acquiree over the recognized basis of the net identifiable assets acquired and includes the future economic benefits from other assets that could not be individually identified and separately recognized. Goodwill is not amortized, but instead is periodically reviewed for impairment and an impairment charge is recorded in the periods in which the recorded carrying value of goodwill exceeds its fair value.</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a quarterly basis, the Company performs a review of its business to determine if events or changes in circumstances have occurred which could have a material adverse effect on the fair value of the Company and its goodwill. If such events or changes in circumstances were deemed to have occurred, the Company would perform an impairment test of goodwill as of the end of the quarter and record any noted impairment loss. The Company performs its annual impairment test during the fourth quarter of each fiscal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impairments identified for the year ended December 31, 2025 or for the three and nine months ended September 30, 2026.</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Offering Costs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capitalizes certain legal, professional, and other third-party charges related to ongoing equity financings as deferred offering costs until fully consummated. These costs are to be recorded as a reduction of the offering’s proceeds which are recorded to additional paid-in capital within stockholders’ equity. Should the Company choose not to initiate such financing, the deferred offering costs would be immediately expensed as operating expenses.</w:t>
      </w:r>
    </w:p>
    <w:p>
      <w:pPr>
        <w:spacing w:after="0" w:line="16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Deferred offering costs associated with the 2025 Sales Agreement are reclassified to additional paid-in capital on a pro-rata basis when the Company completes offerings under the 2025 Sales Agreement. Any remaining deferred costs will be expensed to the statement of operations should the planned offering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abandoned. The Company had approximately $0.2 million of deferred offering costs as of September 30, 2026 and $0.2 million as of December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Warrants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accounts for warrants issued as a separable unit in connection with sale of common stock as either liability or equity in accordance with ASC 480-10, Accounting for Certain Financial Instruments with Characteristics of both Liabilities and Equity (“ASC 480-10”) or ASC 815-40, Accounting for Derivative Financial Instruments Indexed to, and Potentially Settled in, a Company’s Own Stock (“ASC 815-40”). Under ASC 480-10, warrants are considered liabilities if they are mandatorily redeemable and they require settlement in cash or other assets, or a variable number of shares. If warrants do not meet liability classification under ASC 480-10, the Company considers the requirements of ASC 815-40 to determine whether the warrants should be classified as liability or equity. If warrants do not require liability classification under ASC 815-40 or other applicable generally accepted accounting principles in the United States of America (“U.S. GAAP”) the warrants should be classified as equity.</w:t>
      </w:r>
    </w:p>
    <w:p>
      <w:pPr>
        <w:spacing w:after="0" w:line="205"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The proceeds received from the sale of equity classified warrants and shares of common stock in a bundled transaction are allocated based on the relative fair values of warrants and shares with no changes in fair value of warrants recognized after the issuance date.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Per Share</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Basic net loss per share is calculated by dividing the net loss by the weighted average number of shares of common stock and pre-funded warrants outstanding during the period, without consideration for potentially dilutive securities. The pre-funded warrants are included as outstanding shares in the computation as the exercise price is negligible and the pre-funded warrants are fully vested and exercisable. Diluted net loss per share is the same as basic net loss per share for the periods presented since the effects of potentially dilutive securities are antidilutive given the net loss of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But Not Yet Adopted Accounting Pronouncements and Legislation</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the Company will not be required to adopt certain new or revised accounting standards on the relevant dates on which adoption of such standards is required for other public companies.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November 2024, the FASB issued Accounting Standards Update ("ASU") No. 2024-03, Income Statement—Reporting Comprehensive Income—Expense Disaggregation Disclosures (Subtopic 220-40) (“ASU 2024-03”). The guidance in ASU 2024-03 aims to improve disclosures around an entity's expenses. Upon adoption, companies will be required to disclose in the notes to the financial statements a disaggregation of certain expense categories included within the expense captions on the face of the income statement. The standard is effective for fiscal years beginning after December 15, 2026 and interim periods in fiscal years beginning after December 15, 2027, with early adoption permitted. The Company is currently evaluating this standard's potential impact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 December 2025, the FASB issued Update ASU 2025-11, "Interim Reporting (Topic 270): Narrow-Scope Improvements". This ASU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The amendments in this Update are effective for interim reporting periods within annual reporting periods beginning after December 15, 2027, with early adoption permitted. The Company is currently evaluating the effect of adopting this pronouncement on its financial statements and disclosures.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3 – Marketable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13"/>
        </w:trPr>
        <w:tc>
          <w:tcPr>
            <w:tcW w:w="7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Marketable securities consisted of the following as of September 30, 2026 and December 31, 2025, respectively.</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77"/>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
        </w:trPr>
        <w:tc>
          <w:tcPr>
            <w:tcW w:w="4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8"/>
        </w:trPr>
        <w:tc>
          <w:tcPr>
            <w:tcW w:w="4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80" w:type="dxa"/>
            <w:vAlign w:val="bottom"/>
          </w:tcPr>
          <w:p>
            <w:pPr>
              <w:spacing w:after="0"/>
              <w:rPr>
                <w:sz w:val="20"/>
                <w:szCs w:val="20"/>
                <w:color w:val="auto"/>
              </w:rPr>
            </w:pPr>
          </w:p>
        </w:tc>
        <w:tc>
          <w:tcPr>
            <w:tcW w:w="14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5"/>
        </w:trPr>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5"/>
        </w:trPr>
        <w:tc>
          <w:tcPr>
            <w:tcW w:w="418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1"/>
        </w:trPr>
        <w:tc>
          <w:tcPr>
            <w:tcW w:w="4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U.S. Treasuries</w:t>
            </w:r>
          </w:p>
        </w:tc>
        <w:tc>
          <w:tcPr>
            <w:tcW w:w="2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64,528,277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(248,707)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64,279,570</w:t>
            </w:r>
          </w:p>
        </w:tc>
      </w:tr>
      <w:tr>
        <w:trPr>
          <w:trHeight w:val="245"/>
        </w:trPr>
        <w:tc>
          <w:tcPr>
            <w:tcW w:w="4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Debt securities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6,434,040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6,419,533</w:t>
            </w:r>
          </w:p>
        </w:tc>
      </w:tr>
      <w:tr>
        <w:trPr>
          <w:trHeight w:val="25"/>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1"/>
        </w:trPr>
        <w:tc>
          <w:tcPr>
            <w:tcW w:w="4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Commercial paper</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16,498,744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16,479,542</w:t>
            </w:r>
          </w:p>
        </w:tc>
      </w:tr>
      <w:tr>
        <w:trPr>
          <w:trHeight w:val="238"/>
        </w:trPr>
        <w:tc>
          <w:tcPr>
            <w:tcW w:w="418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Total current</w:t>
            </w: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87,461,061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(282,416)</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87,178,645</w:t>
            </w:r>
          </w:p>
        </w:tc>
      </w:tr>
      <w:tr>
        <w:trPr>
          <w:trHeight w:val="25"/>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8"/>
        </w:trPr>
        <w:tc>
          <w:tcPr>
            <w:tcW w:w="4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45"/>
        </w:trPr>
        <w:tc>
          <w:tcPr>
            <w:tcW w:w="418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Non-current: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1"/>
        </w:trPr>
        <w:tc>
          <w:tcPr>
            <w:tcW w:w="4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U.S. Treasuries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13,468,760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(166,402)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13,302,358</w:t>
            </w:r>
          </w:p>
        </w:tc>
      </w:tr>
      <w:tr>
        <w:trPr>
          <w:trHeight w:val="245"/>
        </w:trPr>
        <w:tc>
          <w:tcPr>
            <w:tcW w:w="4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Government securities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7,510,256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(100,361)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7,409,895</w:t>
            </w:r>
          </w:p>
        </w:tc>
      </w:tr>
      <w:tr>
        <w:trPr>
          <w:trHeight w:val="25"/>
        </w:trPr>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Total non-current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20,979,016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(266,763)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20,712,253</w:t>
            </w:r>
          </w:p>
        </w:tc>
      </w:tr>
      <w:tr>
        <w:trPr>
          <w:trHeight w:val="264"/>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marketable securities</w:t>
            </w:r>
          </w:p>
        </w:tc>
        <w:tc>
          <w:tcPr>
            <w:tcW w:w="200" w:type="dxa"/>
            <w:vAlign w:val="bottom"/>
            <w:tcBorders>
              <w:top w:val="single" w:sz="8" w:color="auto"/>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108,440,077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(549,179)</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107,890,898</w:t>
            </w:r>
          </w:p>
        </w:tc>
      </w:tr>
      <w:tr>
        <w:trPr>
          <w:trHeight w:val="20"/>
        </w:trPr>
        <w:tc>
          <w:tcPr>
            <w:tcW w:w="4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985"/>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8"/>
        </w:trPr>
        <w:tc>
          <w:tcPr>
            <w:tcW w:w="4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80" w:type="dxa"/>
            <w:vAlign w:val="bottom"/>
          </w:tcPr>
          <w:p>
            <w:pPr>
              <w:spacing w:after="0"/>
              <w:rPr>
                <w:sz w:val="20"/>
                <w:szCs w:val="20"/>
                <w:color w:val="auto"/>
              </w:rPr>
            </w:pPr>
          </w:p>
        </w:tc>
        <w:tc>
          <w:tcPr>
            <w:tcW w:w="14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5"/>
        </w:trPr>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5"/>
        </w:trPr>
        <w:tc>
          <w:tcPr>
            <w:tcW w:w="418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1"/>
        </w:trPr>
        <w:tc>
          <w:tcPr>
            <w:tcW w:w="4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U.S. Treasuries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6,495,181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6,500,685</w:t>
            </w:r>
          </w:p>
        </w:tc>
      </w:tr>
      <w:tr>
        <w:trPr>
          <w:trHeight w:val="245"/>
        </w:trPr>
        <w:tc>
          <w:tcPr>
            <w:tcW w:w="4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Government securities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7,943,758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7,948,500</w:t>
            </w:r>
          </w:p>
        </w:tc>
      </w:tr>
      <w:tr>
        <w:trPr>
          <w:trHeight w:val="25"/>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1"/>
        </w:trPr>
        <w:tc>
          <w:tcPr>
            <w:tcW w:w="4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Debt securities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7,628,117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7,628,554</w:t>
            </w:r>
          </w:p>
        </w:tc>
      </w:tr>
      <w:tr>
        <w:trPr>
          <w:trHeight w:val="245"/>
        </w:trPr>
        <w:tc>
          <w:tcPr>
            <w:tcW w:w="4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Commercial paper</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22,102,080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22,108,505</w:t>
            </w:r>
          </w:p>
        </w:tc>
      </w:tr>
      <w:tr>
        <w:trPr>
          <w:trHeight w:val="25"/>
        </w:trPr>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Total current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44,169,136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44,186,244</w:t>
            </w:r>
          </w:p>
        </w:tc>
      </w:tr>
      <w:tr>
        <w:trPr>
          <w:trHeight w:val="258"/>
        </w:trPr>
        <w:tc>
          <w:tcPr>
            <w:tcW w:w="4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1"/>
        </w:trPr>
        <w:tc>
          <w:tcPr>
            <w:tcW w:w="4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Non-current: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5"/>
        </w:trPr>
        <w:tc>
          <w:tcPr>
            <w:tcW w:w="4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U.S. Treasuries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37,717,598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37,776,280</w:t>
            </w:r>
          </w:p>
        </w:tc>
      </w:tr>
      <w:tr>
        <w:trPr>
          <w:trHeight w:val="25"/>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1"/>
        </w:trPr>
        <w:tc>
          <w:tcPr>
            <w:tcW w:w="4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Government securities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3,998,584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3,997,040</w:t>
            </w:r>
          </w:p>
        </w:tc>
      </w:tr>
      <w:tr>
        <w:trPr>
          <w:trHeight w:val="245"/>
        </w:trPr>
        <w:tc>
          <w:tcPr>
            <w:tcW w:w="4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Debt securities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2,406,640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2,409,866</w:t>
            </w:r>
          </w:p>
        </w:tc>
      </w:tr>
      <w:tr>
        <w:trPr>
          <w:trHeight w:val="25"/>
        </w:trPr>
        <w:tc>
          <w:tcPr>
            <w:tcW w:w="4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Total non-current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44,122,822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44,183,186</w:t>
            </w:r>
          </w:p>
        </w:tc>
      </w:tr>
      <w:tr>
        <w:trPr>
          <w:trHeight w:val="264"/>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marketable securities</w:t>
            </w: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88,291,958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79,075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88,369,430</w:t>
            </w: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869"/>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96"/>
        </w:trPr>
        <w:tc>
          <w:tcPr>
            <w:tcW w:w="4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marketable securities are classified as available-for-sale pursuant to ASC 320, Investments – Debt and Equity Securities and are recorded at fair value. Unrealized gains (losses) are included as a component of accumulated other comprehensive loss in the condensed consolidated balance sheets and statements of stockholders’ equity and a component of total comprehensive loss in the condensed consolidated statements of comprehensive loss, until realized. The Company assesses its available-for-sale marketable securities for impairment on a quarterly basis.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marketable securities portfolio contains investments in U.S. Treasury, other U.S. government-backed securities, and commercial paper. The Company reviews its portfolio based on the underlying risk profile of the securities and does not expect there to be a loss on these investments. The Company also regularly reviews the securities in an unrealized loss position and evaluates the current expected credit loss by considering factors such as historical experience, market data, issuer-specific factors, and current economic conditions.</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impairments recorded during the three and nine months ended September 30, 2026 or September 30, 2025. Realized gains and losses are included in other income (expense) on the condensed consolidated statements of operations.</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and nine months ended September 30, 2026 and 2025, the Company recognized no year-to-date credit loss related to its short-term investments, and had no allowance for credit loss recorded as of September 30, 2026 or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Fair Value Measurements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records cash equivalents and marketable securities at fair value. ASC 820, Fair Value Measurements and Disclosures, establishes a fair value hierarchy for those instruments measured at fair value that distinguishes between assumptions based on market data (observable inputs) and the Company's own assumptions (unobservable inputs). The hierarchy consists of three levels: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 Unadjusted quoted prices in active markets for identical assets or liabilities.</w:t>
      </w:r>
    </w:p>
    <w:p>
      <w:pPr>
        <w:spacing w:after="0" w:line="21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Quoted prices for similar assets and liabilities in active markets, quoted prices in markets that are not active, or inputs which are observable,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for substantially the full term of the asset or liability.</w:t>
      </w:r>
    </w:p>
    <w:p>
      <w:pPr>
        <w:spacing w:after="0" w:line="14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 Unobservable inputs that reflect the Company's own assumptions about the assumptions market participants would use in pricing the asset or liability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there is little, if any, market activity for the asset or liability at the measurement date.</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Cash equivalents and marketable securities have been initially valued at the transaction price and subsequently, at the end of each reporting period, valued utilizing third-party pricing services or other observable market data. The pricing services utilize industry standard valuation models, including both income and market-based approaches, and observable market inputs to determine value. After completing its valuation procedures, the Company did not adjust or override any fair value measurements provided by the pricing services as of September 30, 2026 and December 31, 2025.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cash equivalents measured at fair value on a recurring basis as of September 30, 2026:</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5"/>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0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Money market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55,476,703</w:t>
            </w:r>
          </w:p>
        </w:tc>
        <w:tc>
          <w:tcPr>
            <w:tcW w:w="10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55,476,703</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paper</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2,494,800</w:t>
            </w: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2,494,800</w:t>
            </w:r>
          </w:p>
        </w:tc>
        <w:tc>
          <w:tcPr>
            <w:tcW w:w="0" w:type="dxa"/>
            <w:vAlign w:val="bottom"/>
          </w:tcPr>
          <w:p>
            <w:pPr>
              <w:spacing w:after="0"/>
              <w:rPr>
                <w:sz w:val="1"/>
                <w:szCs w:val="1"/>
                <w:color w:val="auto"/>
              </w:rPr>
            </w:pPr>
          </w:p>
        </w:tc>
      </w:tr>
      <w:tr>
        <w:trPr>
          <w:trHeight w:val="264"/>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cash equivalents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55,476,703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2,494,800</w:t>
            </w:r>
          </w:p>
        </w:tc>
        <w:tc>
          <w:tcPr>
            <w:tcW w:w="8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57,971,503</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 Treasuries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77,581,928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77,581,928</w:t>
            </w:r>
          </w:p>
        </w:tc>
        <w:tc>
          <w:tcPr>
            <w:tcW w:w="0" w:type="dxa"/>
            <w:vAlign w:val="bottom"/>
          </w:tcPr>
          <w:p>
            <w:pPr>
              <w:spacing w:after="0"/>
              <w:rPr>
                <w:sz w:val="1"/>
                <w:szCs w:val="1"/>
                <w:color w:val="auto"/>
              </w:rPr>
            </w:pP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Government securities</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7,409,895</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7,409,895</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6,419,533</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6,419,533</w:t>
            </w:r>
          </w:p>
        </w:tc>
        <w:tc>
          <w:tcPr>
            <w:tcW w:w="0" w:type="dxa"/>
            <w:vAlign w:val="bottom"/>
          </w:tcPr>
          <w:p>
            <w:pPr>
              <w:spacing w:after="0"/>
              <w:rPr>
                <w:sz w:val="1"/>
                <w:szCs w:val="1"/>
                <w:color w:val="auto"/>
              </w:rPr>
            </w:pP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paper</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16,479,542</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16,479,542</w:t>
            </w:r>
          </w:p>
        </w:tc>
        <w:tc>
          <w:tcPr>
            <w:tcW w:w="0" w:type="dxa"/>
            <w:vAlign w:val="bottom"/>
          </w:tcPr>
          <w:p>
            <w:pPr>
              <w:spacing w:after="0"/>
              <w:rPr>
                <w:sz w:val="1"/>
                <w:szCs w:val="1"/>
                <w:color w:val="auto"/>
              </w:rPr>
            </w:pPr>
          </w:p>
        </w:tc>
      </w:tr>
      <w:tr>
        <w:trPr>
          <w:trHeight w:val="25"/>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77,581,928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30,308,970</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107,890,898</w:t>
            </w:r>
          </w:p>
        </w:tc>
        <w:tc>
          <w:tcPr>
            <w:tcW w:w="0" w:type="dxa"/>
            <w:vAlign w:val="bottom"/>
          </w:tcPr>
          <w:p>
            <w:pPr>
              <w:spacing w:after="0"/>
              <w:rPr>
                <w:sz w:val="1"/>
                <w:szCs w:val="1"/>
                <w:color w:val="auto"/>
              </w:rPr>
            </w:pPr>
          </w:p>
        </w:tc>
      </w:tr>
      <w:tr>
        <w:trPr>
          <w:trHeight w:val="26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equivalents and marketable securities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133,058,631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32,803,770</w:t>
            </w:r>
          </w:p>
        </w:tc>
        <w:tc>
          <w:tcPr>
            <w:tcW w:w="8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165,862,401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934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following table summarizes the Company's cash equivalents measured at fair value on a recurring basis as of December 31, 2025:</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8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5"/>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0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Money market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105,330,208</w:t>
            </w:r>
          </w:p>
        </w:tc>
        <w:tc>
          <w:tcPr>
            <w:tcW w:w="10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105,330,208</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 Treasuries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1,992,340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1,992,340</w:t>
            </w:r>
          </w:p>
        </w:tc>
        <w:tc>
          <w:tcPr>
            <w:tcW w:w="0" w:type="dxa"/>
            <w:vAlign w:val="bottom"/>
          </w:tcPr>
          <w:p>
            <w:pPr>
              <w:spacing w:after="0"/>
              <w:rPr>
                <w:sz w:val="1"/>
                <w:szCs w:val="1"/>
                <w:color w:val="auto"/>
              </w:rPr>
            </w:pP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Government securities</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9,222,990</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9,222,990</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paper</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11,827,667</w:t>
            </w: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11,827,667</w:t>
            </w:r>
          </w:p>
        </w:tc>
        <w:tc>
          <w:tcPr>
            <w:tcW w:w="0" w:type="dxa"/>
            <w:vAlign w:val="bottom"/>
          </w:tcPr>
          <w:p>
            <w:pPr>
              <w:spacing w:after="0"/>
              <w:rPr>
                <w:sz w:val="1"/>
                <w:szCs w:val="1"/>
                <w:color w:val="auto"/>
              </w:rPr>
            </w:pPr>
          </w:p>
        </w:tc>
      </w:tr>
      <w:tr>
        <w:trPr>
          <w:trHeight w:val="264"/>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cash equivalents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107,322,548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21,050,657</w:t>
            </w:r>
          </w:p>
        </w:tc>
        <w:tc>
          <w:tcPr>
            <w:tcW w:w="8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128,373,205</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 Treasuries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44,276,965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44,276,965</w:t>
            </w:r>
          </w:p>
        </w:tc>
        <w:tc>
          <w:tcPr>
            <w:tcW w:w="0" w:type="dxa"/>
            <w:vAlign w:val="bottom"/>
          </w:tcPr>
          <w:p>
            <w:pPr>
              <w:spacing w:after="0"/>
              <w:rPr>
                <w:sz w:val="1"/>
                <w:szCs w:val="1"/>
                <w:color w:val="auto"/>
              </w:rPr>
            </w:pP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Government securities</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11,945,540</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11,945,540</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10,038,420</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10,038,420</w:t>
            </w:r>
          </w:p>
        </w:tc>
        <w:tc>
          <w:tcPr>
            <w:tcW w:w="0" w:type="dxa"/>
            <w:vAlign w:val="bottom"/>
          </w:tcPr>
          <w:p>
            <w:pPr>
              <w:spacing w:after="0"/>
              <w:rPr>
                <w:sz w:val="1"/>
                <w:szCs w:val="1"/>
                <w:color w:val="auto"/>
              </w:rPr>
            </w:pP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paper</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22,108,505</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22,108,505</w:t>
            </w:r>
          </w:p>
        </w:tc>
        <w:tc>
          <w:tcPr>
            <w:tcW w:w="0" w:type="dxa"/>
            <w:vAlign w:val="bottom"/>
          </w:tcPr>
          <w:p>
            <w:pPr>
              <w:spacing w:after="0"/>
              <w:rPr>
                <w:sz w:val="1"/>
                <w:szCs w:val="1"/>
                <w:color w:val="auto"/>
              </w:rPr>
            </w:pPr>
          </w:p>
        </w:tc>
      </w:tr>
      <w:tr>
        <w:trPr>
          <w:trHeight w:val="25"/>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44,276,965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44,092,465</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88,369,430</w:t>
            </w:r>
          </w:p>
        </w:tc>
        <w:tc>
          <w:tcPr>
            <w:tcW w:w="0" w:type="dxa"/>
            <w:vAlign w:val="bottom"/>
          </w:tcPr>
          <w:p>
            <w:pPr>
              <w:spacing w:after="0"/>
              <w:rPr>
                <w:sz w:val="1"/>
                <w:szCs w:val="1"/>
                <w:color w:val="auto"/>
              </w:rPr>
            </w:pPr>
          </w:p>
        </w:tc>
      </w:tr>
      <w:tr>
        <w:trPr>
          <w:trHeight w:val="26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equivalents and marketable securities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151,599,513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65,143,122</w:t>
            </w:r>
          </w:p>
        </w:tc>
        <w:tc>
          <w:tcPr>
            <w:tcW w:w="8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216,742,635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have been no changes to the valuation methods during the nine months ended September 30, 2026. There were no transfers between Level 1 and Level 2 in either of the periods and the Company had no financial assets or liabilities that were classified as Level 3 at any point during the nine months ended September 30, 2026.</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Property and Equipment, 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81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8"/>
        </w:trPr>
        <w:tc>
          <w:tcPr>
            <w:tcW w:w="8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733,801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596,917</w:t>
            </w:r>
          </w:p>
        </w:tc>
      </w:tr>
      <w:tr>
        <w:trPr>
          <w:trHeight w:val="245"/>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98,628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98,628</w:t>
            </w:r>
          </w:p>
        </w:tc>
      </w:tr>
      <w:tr>
        <w:trPr>
          <w:trHeight w:val="25"/>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1,315,784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1,309,070</w:t>
            </w:r>
          </w:p>
        </w:tc>
      </w:tr>
      <w:tr>
        <w:trPr>
          <w:trHeight w:val="245"/>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298,941</w:t>
            </w:r>
          </w:p>
        </w:tc>
      </w:tr>
      <w:tr>
        <w:trPr>
          <w:trHeight w:val="25"/>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2,463,510</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2,341,056</w:t>
            </w:r>
          </w:p>
        </w:tc>
      </w:tr>
      <w:tr>
        <w:trPr>
          <w:trHeight w:val="25"/>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(1,654,558)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(1,402,575)</w:t>
            </w:r>
          </w:p>
        </w:tc>
      </w:tr>
      <w:tr>
        <w:trPr>
          <w:trHeight w:val="264"/>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808,952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938,481</w:t>
            </w: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Depreciation and amortization expense totaled $86,127 and $78,841 for the three months ended September 30, 2026 and 2025, respectively. Depreciation and amortization expense totaled $251,983 and $248,628 for the nine months ended September 30, 2026 and 2025, respectively.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Accrued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expenses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8"/>
        </w:trPr>
        <w:tc>
          <w:tcPr>
            <w:tcW w:w="81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8"/>
        </w:trPr>
        <w:tc>
          <w:tcPr>
            <w:tcW w:w="8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252,372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735,772</w:t>
            </w:r>
          </w:p>
        </w:tc>
      </w:tr>
      <w:tr>
        <w:trPr>
          <w:trHeight w:val="245"/>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employee expenses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3,532,834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4,245,563</w:t>
            </w:r>
          </w:p>
        </w:tc>
      </w:tr>
      <w:tr>
        <w:trPr>
          <w:trHeight w:val="25"/>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research and development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3,620,511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2,747,306</w:t>
            </w:r>
          </w:p>
        </w:tc>
      </w:tr>
      <w:tr>
        <w:trPr>
          <w:trHeight w:val="245"/>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other expenses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113,726</w:t>
            </w:r>
          </w:p>
        </w:tc>
      </w:tr>
      <w:tr>
        <w:trPr>
          <w:trHeight w:val="25"/>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7,498,137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7,842,367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Common Stock</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had 200,000,000 authorized shares of Class A common stock, $0.001 par value per share as of September 30, 2026 and December 31, 2025 of which 64,763,155 and 64,648,230 were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had 20,000,000 authorized shares of Class B common stock, $0.001 par value per share as of September 30, 2026 and December 31, 2025,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Shelf Registration Statement &amp; 2022 ATM Program</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10, 2022, the Company filed a Registration Statement on Form S-3 (File No. 333-266738) (the “2022 Shelf Registration Statement”) with the SEC in relation to the registration of common stock, preferred stock, debt securities, warrants and/or units or any combination thereof in the aggregate amount of up to $200 million for a period of up to three years from the date of its effectiveness on August 19, 2022.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August 10, 2022, the Company also entered into the 2022 Sales Agreement with the Sales Agent to sell shares of the Company’s Class A common stock, par value $0.001 per share, with aggregate gross sales proceeds of up to $50 million, from time to time, through the 2022 ATM Program under the 2022 Shelf Registration Statement. Subject to the terms and conditions of the 2022 Sales Agreement, the Sales Agent may sell the shares by methods deemed to be an “at the market offering” as defined in Rule 415 promulgated under the Securities Act, including sales made through the Nasdaq Global Market, on any other existing trading market for the common stock, to or through a market maker, or, if expressly authorized by the Company, in privately negotiated transactions. The Company or Sales Agent could terminate the 2022 Sales Agreement upon notice to the other party and subject to other conditions. The Company paid the Sales Agent a commission equal to 3.0% of the gross proceeds of any Common Stock sold through the Sales Agent under the 2022 Sales Agreement and provided the Sales Agent with customary indemnification rights. The Company did not sell any shares of common stock under the 2022 ATM Program during the three and nine months ended September 30, 2026. The Company sold 327,355 shares of common stock under the 2022 ATM Program, at a weighted average price per share of $4.27, for aggregate gross proceeds of $1.4 million ($1.3 million net of offering expenses) during the three months ended September 30, 2025. The Company sold 5,164,159 shares of common stock under the 2022 ATM program, at a weighted average price per share of $3.03, for aggregate gross proceeds of $15.6 million ($15.0 million net of offering expenses) during the nine months ended September 30, 2025.</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Issuance costs incurred related to the 2022 Sales Agreement were recorded as deferred offering costs and classified as long-term assets on the balance sheet. The Company had approximately $0.5 million of deferred offering costs as of December 31, 2024 associated with the 2022 Sales Agreement. The deferred offering costs for the 2022 ATM Program were written off in August 2025, after the 2022 Shelf Registration Statement and the 2022 ATM Program expired, the 2022 Sales Agreement was terminated, and the Company entered into the 2025 Sales Agreement related to the 2025 ATM Program (in each case as defined herein).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Shelf Registration Statement &amp; 2025 ATM Program</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13, 2025, the Company filed a Registration Statement on Form S-3 (File No. 333-289589) (the “2025 Shelf Registration Statement”) with the SEC in relation to the registration of common stock, preferred stock, debt securities, warrants and/or units or any combination thereof in the aggregate amount of up to $300 million for a period of up to three years from the date of its effectiveness on August 20, 2025.</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August 13, 2025, the Company also entered into the 2025 Sales Agreement with the Sales Agent to sell shares of the Company’s Class A common stock, par value $0.001 per share, with aggregate gross sales proceeds of up to $100 million, from time to time, through the 2025 ATM Program under the 2025 Shelf Registration Statement. Subject to the terms and conditions of the 2025 Sales Agreement, the Sales Agent may sell the shares by methods deemed to be an “at the market offering” as defined in Rule 415 promulgated under the Securities Act, including sales made through the Nasdaq Global Market, on any other existing trading market for the common stock, to or through a market maker, or, if expressly authorized by the Company, in privately negotiated transactions. The Company or Sales Agent may terminate the 2025 Sales Agreement upon notice to the other party and subject to other conditions. The Company will pay the Sales Agent a commission up to 3.0% of the gross proceeds of any Common Stock sold through the Sales Agent under the 2025 Sales Agreement and has provided the Sales Agent with customary indemnification rights. The Company did not sell any shares of Class A common stock under the 2025 ATM Program during the three and nine months ended September 30, 2026 or September 30, 2025, respectively. In connection with the September 2025 Offering, the Company: (i) reduced the maximum aggregate offering price for sales of shares of common stock pursuant to at-the-market transactions under the 2025 ATM Program by $1,250,007 (or the Reduced Amount, as defined above), resulting in a new maximum aggregate offering price of up to $98,749,993 under the 2025 ATM Program, and (ii) suspended the 2025 ATM Program and terminated the continuous offering under the 2025 ATM Program, in each case, as to the Reduced Amount. As of September 30, 2026, the Company had aggregate gross sales proceeds capacity of $98.7 million remaining under the 2025 ATM Program.</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Issuance costs incurred related to the 2025 Sales Agreement are recorded as deferred offering costs and are classified as long-term assets on the balance sheet at September 30, 2026. The Company had approximately $0.2 million of deferred offering costs as of September 30, 2026 associated with the 2025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August 2025 Private Placement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August 21, 2025, the Company entered into the August 2025 Purchase Agreement with the purchasers party thereto, pursuant to which the Company agreed to sell securities to such purchasers in the August 2025 Private Placement. The August 2025 Purchase Agreement provided for the sale and issuance by the Company to the purchasers of: (i) an aggregate of 5,251,349 shares of its common stock at a purchase price of $3.95 per share, (ii) for certain purchasers, in lieu of common stock, an aggregate of 1,077,764 Pre-Funded Warrants to purchase up to the same number of shares of its common stock, and (iii) an aggregate of 2,848,096 Purchase Warrants to purchase up to the same number of shares of its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On October 6, 2025, certain purchasers from the August 2025 Private Placement exercised an aggregate of 1,077,764 Pre-Funded Warrants previously issued to them pursuant to the August 2025 Purchase Agreement. Each such exercise was made pursuant to the cashless exercise provision of the applicable Pre-Funded Warrant, such that an aggregate of 166 shares of common stock were withheld in lieu of a cash payment of the $0.001 exercise price for each Pre-Funded Warrant, and the exercising purchasers were issued an aggregate of 1,077,598 shares of common stock. Following the October 2025 Cashless Exercise, no Pre-Funded Warrants remained issued and outstanding. The Purchase Warrants were issued with an exercise price of $5.50 per share; as of September 30, 2026, no Purchase Warrants had been exercised. As of September 30, 2026, the Company had received aggregate net proceeds of $23.4 million from the August 2025 Private Placement, after deducting placement expenses of $1.6 million. The August 2025 Private Placement closed on August 26, 2025.</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Also on August 21, 2025, in connection with the August 2025 Purchase Agreement, the Company entered into a Registration Rights Agreement (the “Registration Rights Agreement”) with the purchasers in the August 2025 Private Placement. Pursuant to the Registration Rights Agreement, the Company agreed to prepare and file a registration statement with the SEC for purposes of registering the resale of the common stock and the shares of common stock issuable upon exercise of the Pre-Funded Warrants and Purchase Warrants (collectively, the “Warrant Shares”) purchased by the purchasers in the August 2025 Private Placement, and any shares of common stock issued as a dividend or other distribution with respect to, in exchange for or in replacement of such common stock or Warrant Shares. On September 3, 2025, the Company filed a Registration Statement on Form S-3 (File No. 333-289997) (the “2025 Resale Registration Statement”) with the SEC in relation to the registration for re-sale of the common stock and Warrant Shares from the August 2025 Private Placement. The SEC declared the 2025 Resale Registration Statement effective on September 8, 2025.</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Purchase Warrants have an exercise price of $5.50 per share of common stock, are exercisable immediately following their issuance, and will expire on September 8, 2030. The Purchase Warrants contain standard adjustments to the exercise price including for stock splits, stock dividends or distributions, certain other dividends or distributions and certain reorganizations. The Purchase Warrants also include certain rights upon the occurrence of a “fundamental transaction” (as described in the Purchase Warrants).</w:t>
      </w:r>
    </w:p>
    <w:p>
      <w:pPr>
        <w:spacing w:after="0" w:line="171"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7"/>
          <w:szCs w:val="17"/>
          <w:color w:val="auto"/>
        </w:rPr>
        <w:t>The proceeds received from the sale of equity classified warrants and shares of common stock in a bundled transaction are allocated based on the relative fair values of warrants and shares of common stock with no changes in fair value of warrants recognized after the issuance date.</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The Purchase Warrants and Pre-Funded Warrants were classified as a component of stockholders’ equity within additional paid-in-capital and were recorded at the issuance date using a relative fair value allocation method. The Purchase Warrants and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such Purchase Warrants do not provide any guarantee of value or return. The Company valued the Purchase Warrants at issuance using the Black-Scholes valuation model and allocated proceeds from the sale proportionately to the common stock and Purchase Warrants, of which approximately $3.7 million was allocated to the Purchase Warrants and recorded as a component of additional paid-in-capital.</w:t>
      </w:r>
    </w:p>
    <w:p>
      <w:pPr>
        <w:spacing w:after="0" w:line="17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As of September 30, 2026, the Company had 2,848,096 Purchase Warrants issued and outstanding at an exercise price of $5.50 per share to purchase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September 2025 Aventis (Sanofi) Private Placement</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24, 2025, the Company entered into the September 2025 Purchase Agreement with Aventis, a wholly-owned subsidiary of Sanofi, pursuant to which the Company agreed to sell securities to Aventis in the September 2025 Private Placement. The September 2025 Purchase Agreement provided for the sale and issuance by the Company to Aventis of an aggregate of 2,708,559 shares of its common stock at a purchase price of $9.23 per share. The Company received aggregate net proceeds of $23.4 million from the September 2025 Private Placement, after deducting placement agent discounts and commissions of $1.5 million, and placement costs of $0.1 million. The September 2025 Private Placement closed on September 26,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September 2025 Offering</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September 26, 2025, the Company completed the September 2025 Offering, pursuant to which it issued and sold 18,959,914 shares of its Class A common stock at an offering price of $9.23 per share, with Leerink Partners LLC and Oppenheimer &amp; Co. Inc. acting as underwriters. The aggregate net proceeds received by the Company from the September 2025 Offering were $164.1 million, after deducting underwriting discounts and commissions, as well as offering costs of $0.4 million.</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Net Loss Per Share Attributable to Common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Basic and diluted net loss per share attributable to common stockholders was calculated at September 30, 2026 and September 30, 2025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680" w:type="dxa"/>
            <w:vAlign w:val="bottom"/>
            <w:gridSpan w:val="4"/>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5"/>
        </w:trPr>
        <w:tc>
          <w:tcPr>
            <w:tcW w:w="5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0"/>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5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5"/>
        </w:trPr>
        <w:tc>
          <w:tcPr>
            <w:tcW w:w="5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(24,192,583)</w:t>
            </w:r>
          </w:p>
        </w:tc>
        <w:tc>
          <w:tcPr>
            <w:tcW w:w="10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(14,964,875)</w:t>
            </w:r>
          </w:p>
        </w:tc>
        <w:tc>
          <w:tcPr>
            <w:tcW w:w="10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(54,923,905)</w:t>
            </w:r>
          </w:p>
        </w:tc>
        <w:tc>
          <w:tcPr>
            <w:tcW w:w="100" w:type="dxa"/>
            <w:vAlign w:val="bottom"/>
          </w:tcPr>
          <w:p>
            <w:pPr>
              <w:spacing w:after="0"/>
              <w:rPr>
                <w:sz w:val="21"/>
                <w:szCs w:val="21"/>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(44,444,888)</w:t>
            </w:r>
          </w:p>
        </w:tc>
      </w:tr>
      <w:tr>
        <w:trPr>
          <w:trHeight w:val="25"/>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 -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5"/>
        </w:trPr>
        <w:tc>
          <w:tcPr>
            <w:tcW w:w="5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Weighted-average common shares outstanding, basic and diluted</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64,714,194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39,670,095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64,690,275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37,077,041</w:t>
            </w:r>
          </w:p>
        </w:tc>
      </w:tr>
      <w:tr>
        <w:trPr>
          <w:trHeight w:val="25"/>
        </w:trPr>
        <w:tc>
          <w:tcPr>
            <w:tcW w:w="5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 basic and diluted</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potentially dilutive securities that have been excluded from the calculation of diluted net loss per share because to include them would be anti-dilutive (in common stock equivalent shares) at September 30, 2026 and September 30,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3060" w:type="dxa"/>
            <w:vAlign w:val="bottom"/>
            <w:gridSpan w:val="3"/>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5"/>
        </w:trPr>
        <w:tc>
          <w:tcPr>
            <w:tcW w:w="81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90"/>
        </w:trPr>
        <w:tc>
          <w:tcPr>
            <w:tcW w:w="8180" w:type="dxa"/>
            <w:vAlign w:val="bottom"/>
          </w:tcPr>
          <w:p>
            <w:pPr>
              <w:spacing w:after="0"/>
              <w:rPr>
                <w:sz w:val="16"/>
                <w:szCs w:val="16"/>
                <w:color w:val="auto"/>
              </w:rPr>
            </w:pPr>
          </w:p>
        </w:tc>
        <w:tc>
          <w:tcPr>
            <w:tcW w:w="150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81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8"/>
        </w:trPr>
        <w:tc>
          <w:tcPr>
            <w:tcW w:w="8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11,693,330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8,326,193</w:t>
            </w:r>
          </w:p>
        </w:tc>
      </w:tr>
      <w:tr>
        <w:trPr>
          <w:trHeight w:val="245"/>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warrants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2,848,096</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2,848,096</w:t>
            </w:r>
          </w:p>
        </w:tc>
      </w:tr>
      <w:tr>
        <w:trPr>
          <w:trHeight w:val="25"/>
        </w:trPr>
        <w:tc>
          <w:tcPr>
            <w:tcW w:w="81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shares of common stock equivalents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14,541,426</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11,174,289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Stock-Based Compensation</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Upon the effectiveness of the Company’s 2021 Incentive Award Plan (the “2021 Plan”), the Company ceased granting awards under the Incentive Plan. However, the Incentive Plan continues to govern awards outstanding thereunder.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July 23, 2021, the Company’s Board of Directors adopted, and on July 23, 2021 its stockholders approved,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was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 As of September 30, 2026, there were 743,949 shares available for future issuance under the 2021 Plan.</w:t>
      </w:r>
    </w:p>
    <w:p>
      <w:pPr>
        <w:spacing w:after="0" w:line="3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September 30, 2026, there were 1,421,203 shares of common stock reserved for future issuance under the 2021 ESPP and 605,887 shares had been granted or purchased under the 2021 ESPP.</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May 21, 2024 (the “Effective Date”), based upon the recommendation of the Compensation Committee of the Company's Board of Directors, the Board of Directors approved an option repricing, in accordance with the 2021 Plan, which repricing was effected on the Effective Date. The repricing applied to options to purchase shares of the Company’s Class A common stock with an exercise price per share greater than $3.01 that were held by current employees and certain non-employee service providers under the 2021 Plan (the “Eligible Options”), including Michael Bookman, the Company's Chief Legal Officer.</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Options held by Benjamin Zeskind, Ph.D., the Company’s President and Chief Executive Officer, Brett Hall, Ph.D., the Company's Chief Scientific Officer, and the non-employee members of the Board were not eligible for the repricing.</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result of the option repricing, as of the Effective Date, the exercise price of all Eligible Options was reduced to $3.01 per share, which represents approximately two times the closing trading price of the Company’s Class A common stock on the Nasdaq Global Market on the Effective Date; however, the exercise price for repriced options would have reverted to the original exercise price for any exercise occurring prior to June 30, 2025 (the "Retention Period"), unless there was a change of control of the Company or the option holder’s employment had been terminated (i) by the Company without cause or (ii) by reason of death or disability. The repriced options otherwise remain subject to their existing terms and conditions as set forth in the 2021 Plan and applicable award agreements. As of the Effective Date, outstanding options to purchase 2,986,354 shares were deemed Eligible Options and were repriced such that the exercise price per share for such outstanding options was reduced to $3.01 per share. There were no changes to the number of shares, the vesting schedule or the expiration date of the Eligible Options.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effect of the option repricing resulted in a total incremental non-cash stock-based compensation expense of $0.6 million, which was calculated using the Black-Scholes option-pricing model, of which $0.2 million of the incremental non-cash stock-based compensation expense is associated with vested repriced options and will be recognized on a straight-line basis through the 13-month Retention Period. The remaining $0.4 million of the incremental non-cash stock-based compensation expense is associated with unvested repriced options and will be recognized as follows: (a) if the Retention Period is greater than the remaining original vesting period of the repriced option, the incremental cost will be amortized on a straight-line basis through the Retention Period end date or (b) if the Retention Period is less than the remaining original vesting term of the repriced option, the incremental cost will be amortized on a straight-line basis over the remaining original vesting period.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three and nine months ended September 30, 2026, the Company recognized incremental stock-based compensation expense of $20 thousand and $66 thousand, respectively, associated with the repricing which is included in general and administrative and research and development expense in the condensed consolidated statement of operations and comprehensive loss. During the three and nine months ended September 30, 2025, the Company recognized incremental stock-based compensation expense of $32 thousand and $193 thousand, respectively, associated with the repricing which is included in general and administrative and research and development expense in the condensed consolidated statement of operations and comprehensive loss.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March 20, 2025, the Company’s Board of Directors adopted the Immuneering Corporation 2025 Employment Inducement Award Plan (as amended to date, the "Inducement Award Plan"), without stockholder approval pursuant to Rule 5635(c)(4) of the Nasdaq Stock Market LLC listing rules. The Inducement Award Plan provides for the grant of non-qualified stock options, stock appreciation rights, restricted stock awards, restricted stock units, and other stock-based awards. The number of shares reserved for issuance under the Inducement Award Plan was initially equal to 500,000 shares. On June 11, 2026, the Company's Board of Directors authorized an amendment to the Inducement Award Plan to increase the number of shares reserved for issuance under the Inducement Award Plan to 2,000,000 shares. Shares issued under the Inducement Award Plan may be authorized but unissued shares, shares purchased on the open market or treasury shares. If an award under the Inducement Award Plan expires, lapses or is terminated, exchanged for or settled in cash, surrendered, repurchased, cancelled without having been fully exercised/settled or forfeited, any unused shares subject to the award will, as applicable, become or again be available for new grants under the Inducement Award Plan. As of September 30, 2026, there were 1,199,600 shares available for future issuance under the Inducement Award Plan.</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recognized stock-based compensation expense of $2,060,993 and $5,325,576 during the three and nine months ended September 30, 2026, respectively. During the three and nine months ended September 30, 2025, the Company recognized stock-based compensation expense of $1,456,080 and $4,673,290, respectively. As of September 30, 2026, compensation expense remaining to be recognized for outstanding stock options was $12,748,533 and to be recognized over a weighted-average period of 2.74 years.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fair value of options granted is calculated on the grant date using the Black-Scholes option valuation model. Prior to the Company’s IPO on August 3, 2021, the Company was a private company and thus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publicly traded stock price. For the nine months ended September 30, 2026, the Company granted 3,755,521 shares of stock options at a weighted-average grant date fair value of $4.85.</w:t>
      </w:r>
    </w:p>
    <w:p>
      <w:pPr>
        <w:spacing w:after="0" w:line="17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Company used the following assumptions in its application of the Black-Scholes option pricing model for grants during the nine months ended September 30, 2026 and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6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5"/>
        </w:trPr>
        <w:tc>
          <w:tcPr>
            <w:tcW w:w="4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0"/>
        </w:trPr>
        <w:tc>
          <w:tcPr>
            <w:tcW w:w="4140" w:type="dxa"/>
            <w:vAlign w:val="bottom"/>
          </w:tcPr>
          <w:p>
            <w:pPr>
              <w:spacing w:after="0"/>
              <w:rPr>
                <w:sz w:val="16"/>
                <w:szCs w:val="16"/>
                <w:color w:val="auto"/>
              </w:rPr>
            </w:pPr>
          </w:p>
        </w:tc>
        <w:tc>
          <w:tcPr>
            <w:tcW w:w="5240" w:type="dxa"/>
            <w:vAlign w:val="bottom"/>
            <w:gridSpan w:val="2"/>
          </w:tcPr>
          <w:p>
            <w:pPr>
              <w:jc w:val="center"/>
              <w:ind w:left="339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r>
      <w:tr>
        <w:trPr>
          <w:trHeight w:val="35"/>
        </w:trPr>
        <w:tc>
          <w:tcPr>
            <w:tcW w:w="4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38"/>
        </w:trPr>
        <w:tc>
          <w:tcPr>
            <w:tcW w:w="4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risk-free interest rate</w:t>
            </w:r>
          </w:p>
        </w:tc>
        <w:tc>
          <w:tcPr>
            <w:tcW w:w="5240" w:type="dxa"/>
            <w:vAlign w:val="bottom"/>
            <w:tcBorders>
              <w:bottom w:val="single" w:sz="8" w:color="CCEEFF"/>
            </w:tcBorders>
            <w:gridSpan w:val="2"/>
            <w:shd w:val="clear" w:color="auto" w:fill="CCEEFF"/>
          </w:tcPr>
          <w:p>
            <w:pPr>
              <w:jc w:val="center"/>
              <w:ind w:left="3397"/>
              <w:spacing w:after="0"/>
              <w:rPr>
                <w:sz w:val="20"/>
                <w:szCs w:val="20"/>
                <w:color w:val="auto"/>
              </w:rPr>
            </w:pPr>
            <w:r>
              <w:rPr>
                <w:rFonts w:ascii="Times New Roman" w:cs="Times New Roman" w:eastAsia="Times New Roman" w:hAnsi="Times New Roman"/>
                <w:sz w:val="17"/>
                <w:szCs w:val="17"/>
                <w:color w:val="auto"/>
              </w:rPr>
              <w:t>3.68% - 5.11%</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3.76% - 4.55%</w:t>
            </w:r>
          </w:p>
        </w:tc>
        <w:tc>
          <w:tcPr>
            <w:tcW w:w="20" w:type="dxa"/>
            <w:vAlign w:val="bottom"/>
          </w:tcPr>
          <w:p>
            <w:pPr>
              <w:spacing w:after="0"/>
              <w:rPr>
                <w:sz w:val="21"/>
                <w:szCs w:val="21"/>
                <w:color w:val="auto"/>
              </w:rPr>
            </w:pPr>
          </w:p>
        </w:tc>
      </w:tr>
      <w:tr>
        <w:trPr>
          <w:trHeight w:val="245"/>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5240" w:type="dxa"/>
            <w:vAlign w:val="bottom"/>
            <w:gridSpan w:val="2"/>
          </w:tcPr>
          <w:p>
            <w:pPr>
              <w:jc w:val="center"/>
              <w:ind w:left="3397"/>
              <w:spacing w:after="0"/>
              <w:rPr>
                <w:sz w:val="20"/>
                <w:szCs w:val="20"/>
                <w:color w:val="auto"/>
              </w:rPr>
            </w:pPr>
            <w:r>
              <w:rPr>
                <w:rFonts w:ascii="Times New Roman" w:cs="Times New Roman" w:eastAsia="Times New Roman" w:hAnsi="Times New Roman"/>
                <w:sz w:val="17"/>
                <w:szCs w:val="17"/>
                <w:color w:val="auto"/>
              </w:rPr>
              <w:t>5.49 - 10.00</w:t>
            </w:r>
          </w:p>
        </w:tc>
        <w:tc>
          <w:tcPr>
            <w:tcW w:w="8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5.51 - 10.00</w:t>
            </w:r>
          </w:p>
        </w:tc>
        <w:tc>
          <w:tcPr>
            <w:tcW w:w="20" w:type="dxa"/>
            <w:vAlign w:val="bottom"/>
          </w:tcPr>
          <w:p>
            <w:pPr>
              <w:spacing w:after="0"/>
              <w:rPr>
                <w:sz w:val="21"/>
                <w:szCs w:val="21"/>
                <w:color w:val="auto"/>
              </w:rPr>
            </w:pPr>
          </w:p>
        </w:tc>
      </w:tr>
      <w:tr>
        <w:trPr>
          <w:trHeight w:val="25"/>
        </w:trPr>
        <w:tc>
          <w:tcPr>
            <w:tcW w:w="4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5240" w:type="dxa"/>
            <w:vAlign w:val="bottom"/>
            <w:tcBorders>
              <w:bottom w:val="single" w:sz="8" w:color="CCEEFF"/>
            </w:tcBorders>
            <w:gridSpan w:val="2"/>
            <w:shd w:val="clear" w:color="auto" w:fill="CCEEFF"/>
          </w:tcPr>
          <w:p>
            <w:pPr>
              <w:jc w:val="center"/>
              <w:ind w:left="3397"/>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21"/>
                <w:szCs w:val="21"/>
                <w:color w:val="auto"/>
              </w:rPr>
            </w:pPr>
          </w:p>
        </w:tc>
      </w:tr>
      <w:tr>
        <w:trPr>
          <w:trHeight w:val="245"/>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5240" w:type="dxa"/>
            <w:vAlign w:val="bottom"/>
            <w:gridSpan w:val="2"/>
          </w:tcPr>
          <w:p>
            <w:pPr>
              <w:jc w:val="center"/>
              <w:ind w:left="3397"/>
              <w:spacing w:after="0"/>
              <w:rPr>
                <w:sz w:val="20"/>
                <w:szCs w:val="20"/>
                <w:color w:val="auto"/>
              </w:rPr>
            </w:pPr>
            <w:r>
              <w:rPr>
                <w:rFonts w:ascii="Times New Roman" w:cs="Times New Roman" w:eastAsia="Times New Roman" w:hAnsi="Times New Roman"/>
                <w:sz w:val="17"/>
                <w:szCs w:val="17"/>
                <w:color w:val="auto"/>
              </w:rPr>
              <w:t>66.85% - 82.80%</w:t>
            </w:r>
          </w:p>
        </w:tc>
        <w:tc>
          <w:tcPr>
            <w:tcW w:w="8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65.86% - 67.33%</w:t>
            </w:r>
          </w:p>
        </w:tc>
        <w:tc>
          <w:tcPr>
            <w:tcW w:w="20" w:type="dxa"/>
            <w:vAlign w:val="bottom"/>
          </w:tcPr>
          <w:p>
            <w:pPr>
              <w:spacing w:after="0"/>
              <w:rPr>
                <w:sz w:val="21"/>
                <w:szCs w:val="21"/>
                <w:color w:val="auto"/>
              </w:rPr>
            </w:pPr>
          </w:p>
        </w:tc>
      </w:tr>
      <w:tr>
        <w:trPr>
          <w:trHeight w:val="890"/>
        </w:trPr>
        <w:tc>
          <w:tcPr>
            <w:tcW w:w="4140" w:type="dxa"/>
            <w:vAlign w:val="bottom"/>
          </w:tcPr>
          <w:p>
            <w:pPr>
              <w:spacing w:after="0"/>
              <w:rPr>
                <w:sz w:val="24"/>
                <w:szCs w:val="24"/>
                <w:color w:val="auto"/>
              </w:rPr>
            </w:pPr>
          </w:p>
        </w:tc>
        <w:tc>
          <w:tcPr>
            <w:tcW w:w="3480" w:type="dxa"/>
            <w:vAlign w:val="bottom"/>
          </w:tcPr>
          <w:p>
            <w:pPr>
              <w:jc w:val="right"/>
              <w:ind w:right="1837"/>
              <w:spacing w:after="0"/>
              <w:rPr>
                <w:sz w:val="20"/>
                <w:szCs w:val="20"/>
                <w:color w:val="auto"/>
              </w:rPr>
            </w:pPr>
            <w:r>
              <w:rPr>
                <w:rFonts w:ascii="Times New Roman" w:cs="Times New Roman" w:eastAsia="Times New Roman" w:hAnsi="Times New Roman"/>
                <w:sz w:val="17"/>
                <w:szCs w:val="17"/>
                <w:color w:val="auto"/>
              </w:rPr>
              <w:t>24</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14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stock option activity during the nine months ended September 30, 2026:</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55"/>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311"/>
              <w:spacing w:after="0" w:line="15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8"/>
        </w:trPr>
        <w:tc>
          <w:tcPr>
            <w:tcW w:w="5040" w:type="dxa"/>
            <w:vAlign w:val="bottom"/>
          </w:tcPr>
          <w:p>
            <w:pPr>
              <w:spacing w:after="0"/>
              <w:rPr>
                <w:sz w:val="14"/>
                <w:szCs w:val="14"/>
                <w:color w:val="auto"/>
              </w:rPr>
            </w:pPr>
          </w:p>
        </w:tc>
        <w:tc>
          <w:tcPr>
            <w:tcW w:w="148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c>
          <w:tcPr>
            <w:tcW w:w="200" w:type="dxa"/>
            <w:vAlign w:val="bottom"/>
          </w:tcPr>
          <w:p>
            <w:pPr>
              <w:spacing w:after="0"/>
              <w:rPr>
                <w:sz w:val="14"/>
                <w:szCs w:val="14"/>
                <w:color w:val="auto"/>
              </w:rPr>
            </w:pPr>
          </w:p>
        </w:tc>
        <w:tc>
          <w:tcPr>
            <w:tcW w:w="128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82"/>
        </w:trPr>
        <w:tc>
          <w:tcPr>
            <w:tcW w:w="5040" w:type="dxa"/>
            <w:vAlign w:val="bottom"/>
          </w:tcPr>
          <w:p>
            <w:pPr>
              <w:spacing w:after="0"/>
              <w:rPr>
                <w:sz w:val="15"/>
                <w:szCs w:val="15"/>
                <w:color w:val="auto"/>
              </w:rPr>
            </w:pPr>
          </w:p>
        </w:tc>
        <w:tc>
          <w:tcPr>
            <w:tcW w:w="14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060" w:type="dxa"/>
            <w:vAlign w:val="bottom"/>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Term (in Years)</w:t>
            </w:r>
          </w:p>
        </w:tc>
        <w:tc>
          <w:tcPr>
            <w:tcW w:w="200" w:type="dxa"/>
            <w:vAlign w:val="bottom"/>
          </w:tcPr>
          <w:p>
            <w:pPr>
              <w:spacing w:after="0"/>
              <w:rPr>
                <w:sz w:val="15"/>
                <w:szCs w:val="15"/>
                <w:color w:val="auto"/>
              </w:rPr>
            </w:pPr>
          </w:p>
        </w:tc>
        <w:tc>
          <w:tcPr>
            <w:tcW w:w="12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35"/>
        </w:trPr>
        <w:tc>
          <w:tcPr>
            <w:tcW w:w="50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8"/>
        </w:trPr>
        <w:tc>
          <w:tcPr>
            <w:tcW w:w="5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8,250,958</w:t>
            </w:r>
          </w:p>
        </w:tc>
        <w:tc>
          <w:tcPr>
            <w:tcW w:w="1160" w:type="dxa"/>
            <w:vAlign w:val="bottom"/>
            <w:tcBorders>
              <w:bottom w:val="single" w:sz="8" w:color="CCEEFF"/>
            </w:tcBorders>
            <w:gridSpan w:val="2"/>
            <w:shd w:val="clear" w:color="auto" w:fill="CCEEFF"/>
          </w:tcPr>
          <w:p>
            <w:pPr>
              <w:jc w:val="right"/>
              <w:ind w:right="891"/>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5"/>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3,755,521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1"/>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5"/>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(273,200)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11,693,330</w:t>
            </w:r>
          </w:p>
        </w:tc>
        <w:tc>
          <w:tcPr>
            <w:tcW w:w="1160" w:type="dxa"/>
            <w:vAlign w:val="bottom"/>
            <w:tcBorders>
              <w:bottom w:val="single" w:sz="8" w:color="CCEEFF"/>
            </w:tcBorders>
            <w:gridSpan w:val="2"/>
            <w:shd w:val="clear" w:color="auto" w:fill="CCEEFF"/>
          </w:tcPr>
          <w:p>
            <w:pPr>
              <w:jc w:val="right"/>
              <w:ind w:right="891"/>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9,020,730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exercisable at September 30, 2026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6,982,192</w:t>
            </w:r>
          </w:p>
        </w:tc>
        <w:tc>
          <w:tcPr>
            <w:tcW w:w="1160" w:type="dxa"/>
            <w:vAlign w:val="bottom"/>
            <w:gridSpan w:val="2"/>
            <w:shd w:val="clear" w:color="auto" w:fill="CCEEFF"/>
          </w:tcPr>
          <w:p>
            <w:pPr>
              <w:jc w:val="right"/>
              <w:ind w:right="891"/>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6,188,744</w:t>
            </w:r>
          </w:p>
        </w:tc>
      </w:tr>
      <w:tr>
        <w:trPr>
          <w:trHeight w:val="25"/>
        </w:trPr>
        <w:tc>
          <w:tcPr>
            <w:tcW w:w="50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three and nine months ended September 30, 2026 and 2025, the Company recognized share-based compensation expense on the accompanying condensed consolidated statements of operations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5"/>
                <w:szCs w:val="15"/>
                <w:color w:val="auto"/>
              </w:rPr>
            </w:pPr>
          </w:p>
        </w:tc>
        <w:tc>
          <w:tcPr>
            <w:tcW w:w="2740" w:type="dxa"/>
            <w:vAlign w:val="bottom"/>
            <w:gridSpan w:val="4"/>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5"/>
        </w:trPr>
        <w:tc>
          <w:tcPr>
            <w:tcW w:w="50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0"/>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50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602,179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2,013,165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1,945,585</w:t>
            </w:r>
          </w:p>
        </w:tc>
      </w:tr>
      <w:tr>
        <w:trPr>
          <w:trHeight w:val="24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853,901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3,312,411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2,727,705</w:t>
            </w:r>
          </w:p>
        </w:tc>
      </w:tr>
      <w:tr>
        <w:trPr>
          <w:trHeight w:val="25"/>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2,060,993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1,456,080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5,325,576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4,673,290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Operating Leases</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leases 38,613 square feet of office and laboratory space in San Diego, California, under a lease that terminates on April 30, 2032. As of September 30, 2026, the right-of-use asset balance associated with this lease was $3,039,783.</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currently also leases office space in Cambridge, Massachusetts and New York, New York, pursuant to short-term arrangements. In October 2026, the Company executed a one year lease extension for its existing office space in Cambridge, with the new term to commence on December 1, 2026 and end on November 30, 2027. The New York lease was most recently renewed in August 2026, to extend the lease term from October 1, 2026 through September 30, 2027. These lease agreements include or included payments for lease and non-lease components. The Company has elected to not separate such components and these payments were recognized as rent expense.</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2026, total future minimum lease payments for its short-term leases in Cambridge, Massachusetts and New York, New York were $44,837 due in 2026 and $145,483 due in 2027.</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minimum lease payments for operating leases with initial or remaining terms in excess of one year at September 30, 2026 were as follows: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5"/>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194,724</w:t>
            </w:r>
          </w:p>
        </w:tc>
        <w:tc>
          <w:tcPr>
            <w:tcW w:w="0" w:type="dxa"/>
            <w:vAlign w:val="bottom"/>
          </w:tcPr>
          <w:p>
            <w:pPr>
              <w:spacing w:after="0"/>
              <w:rPr>
                <w:sz w:val="1"/>
                <w:szCs w:val="1"/>
                <w:color w:val="auto"/>
              </w:rPr>
            </w:pPr>
          </w:p>
        </w:tc>
      </w:tr>
      <w:tr>
        <w:trPr>
          <w:trHeight w:val="24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784,737</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808,278</w:t>
            </w:r>
          </w:p>
        </w:tc>
        <w:tc>
          <w:tcPr>
            <w:tcW w:w="0" w:type="dxa"/>
            <w:vAlign w:val="bottom"/>
          </w:tcPr>
          <w:p>
            <w:pPr>
              <w:spacing w:after="0"/>
              <w:rPr>
                <w:sz w:val="1"/>
                <w:szCs w:val="1"/>
                <w:color w:val="auto"/>
              </w:rPr>
            </w:pPr>
          </w:p>
        </w:tc>
      </w:tr>
      <w:tr>
        <w:trPr>
          <w:trHeight w:val="24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832,527</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857,496</w:t>
            </w:r>
          </w:p>
        </w:tc>
        <w:tc>
          <w:tcPr>
            <w:tcW w:w="0" w:type="dxa"/>
            <w:vAlign w:val="bottom"/>
          </w:tcPr>
          <w:p>
            <w:pPr>
              <w:spacing w:after="0"/>
              <w:rPr>
                <w:sz w:val="1"/>
                <w:szCs w:val="1"/>
                <w:color w:val="auto"/>
              </w:rPr>
            </w:pPr>
          </w:p>
        </w:tc>
      </w:tr>
      <w:tr>
        <w:trPr>
          <w:trHeight w:val="24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1,184,208</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future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4,661,970</w:t>
            </w:r>
          </w:p>
        </w:tc>
        <w:tc>
          <w:tcPr>
            <w:tcW w:w="0" w:type="dxa"/>
            <w:vAlign w:val="bottom"/>
          </w:tcPr>
          <w:p>
            <w:pPr>
              <w:spacing w:after="0"/>
              <w:rPr>
                <w:sz w:val="1"/>
                <w:szCs w:val="1"/>
                <w:color w:val="auto"/>
              </w:rPr>
            </w:pPr>
          </w:p>
        </w:tc>
      </w:tr>
      <w:tr>
        <w:trPr>
          <w:trHeight w:val="245"/>
        </w:trPr>
        <w:tc>
          <w:tcPr>
            <w:tcW w:w="79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Less: imputed interest</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(1,127,395)</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lease 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3,534,575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445,496</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3,089,079</w:t>
            </w:r>
          </w:p>
        </w:tc>
        <w:tc>
          <w:tcPr>
            <w:tcW w:w="0" w:type="dxa"/>
            <w:vAlign w:val="bottom"/>
          </w:tcPr>
          <w:p>
            <w:pPr>
              <w:spacing w:after="0"/>
              <w:rPr>
                <w:sz w:val="1"/>
                <w:szCs w:val="1"/>
                <w:color w:val="auto"/>
              </w:rPr>
            </w:pPr>
          </w:p>
        </w:tc>
      </w:tr>
      <w:tr>
        <w:trPr>
          <w:trHeight w:val="264"/>
        </w:trPr>
        <w:tc>
          <w:tcPr>
            <w:tcW w:w="7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lease liabilities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3,534,575</w:t>
            </w:r>
          </w:p>
        </w:tc>
        <w:tc>
          <w:tcPr>
            <w:tcW w:w="0" w:type="dxa"/>
            <w:vAlign w:val="bottom"/>
          </w:tcPr>
          <w:p>
            <w:pPr>
              <w:spacing w:after="0"/>
              <w:rPr>
                <w:sz w:val="1"/>
                <w:szCs w:val="1"/>
                <w:color w:val="auto"/>
              </w:rPr>
            </w:pPr>
          </w:p>
        </w:tc>
      </w:tr>
      <w:tr>
        <w:trPr>
          <w:trHeight w:val="20"/>
        </w:trPr>
        <w:tc>
          <w:tcPr>
            <w:tcW w:w="9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auto"/>
              </w:rPr>
              <w:t>Quantitative information regarding the Company’s leases for the nine months ended September 30, 2026 and 2025 is as follows:</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96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7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8"/>
        </w:trPr>
        <w:tc>
          <w:tcPr>
            <w:tcW w:w="79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costs: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cost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559,770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21"/>
                <w:szCs w:val="21"/>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559,770</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Short-term lease cost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130,284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104,084</w:t>
            </w:r>
          </w:p>
        </w:tc>
        <w:tc>
          <w:tcPr>
            <w:tcW w:w="0" w:type="dxa"/>
            <w:vAlign w:val="bottom"/>
          </w:tcPr>
          <w:p>
            <w:pPr>
              <w:spacing w:after="0"/>
              <w:rPr>
                <w:sz w:val="1"/>
                <w:szCs w:val="1"/>
                <w:color w:val="auto"/>
              </w:rPr>
            </w:pPr>
          </w:p>
        </w:tc>
      </w:tr>
      <w:tr>
        <w:trPr>
          <w:trHeight w:val="264"/>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lease costs</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690,054</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663,854</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567,153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21"/>
                <w:szCs w:val="21"/>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550,638</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cash flows from short-term leases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130,284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104,084</w:t>
            </w:r>
          </w:p>
        </w:tc>
        <w:tc>
          <w:tcPr>
            <w:tcW w:w="0" w:type="dxa"/>
            <w:vAlign w:val="bottom"/>
          </w:tcPr>
          <w:p>
            <w:pPr>
              <w:spacing w:after="0"/>
              <w:rPr>
                <w:sz w:val="1"/>
                <w:szCs w:val="1"/>
                <w:color w:val="auto"/>
              </w:rPr>
            </w:pPr>
          </w:p>
        </w:tc>
      </w:tr>
      <w:tr>
        <w:trPr>
          <w:trHeight w:val="238"/>
        </w:trPr>
        <w:tc>
          <w:tcPr>
            <w:tcW w:w="796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697,437</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654,722</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5.58 years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 years</w:t>
            </w:r>
          </w:p>
        </w:tc>
        <w:tc>
          <w:tcPr>
            <w:tcW w:w="0" w:type="dxa"/>
            <w:vAlign w:val="bottom"/>
          </w:tcPr>
          <w:p>
            <w:pPr>
              <w:spacing w:after="0"/>
              <w:rPr>
                <w:sz w:val="1"/>
                <w:szCs w:val="1"/>
                <w:color w:val="auto"/>
              </w:rPr>
            </w:pPr>
          </w:p>
        </w:tc>
      </w:tr>
      <w:tr>
        <w:trPr>
          <w:trHeight w:val="24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Litigation</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and may be exposed to litigation in connection with its product candidates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judgment is required to determine both probability and estimated amount. The Company is not aware of any material legal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Clinical Research Contracts</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may enter into contracts in the normal course of business with contract research organizations for clinical trials, with contract manufacturing organizations for clinical supplies, and with other vendors for preclinical studies, supplies and other services for the Company’s operating purposes. These contracts generally provide for termination with a 30-day notice.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Segments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 operating segment is identified as a component of an enterprise about which separate discrete financial information is available for evaluation by the Chief Operating Decision Maker ("CODM") in making decisions, including regarding resource allocation and assessing performance. The Company’s Chief Executive Officer is its CODM.</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Company's CODM uses consolidated single-segment (one) financial information for purposes of: allocating resources, evaluating performance, making operating decisions, setting incentive targets, and planning and forecasting for future periods. The Company's CODM makes such decisions based on consolidated net loss. This measure is used to monitor budget versus actual results to evaluate the performance of the segment. Managing and allocating resources on a consolidated basis enables the CODM to assess the overall level of resources available and how to deploy these resources across functions and operations (including research and development) that align with the Company’s strategic goals. All of the Company’s long-lived assets are held in the United States.</w:t>
      </w:r>
    </w:p>
    <w:p>
      <w:pPr>
        <w:spacing w:after="0" w:line="2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following table is representative of the significant expense categories regularly provided to the CODM when managing the Company’s single reporting segment.</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5"/>
                <w:szCs w:val="15"/>
                <w:color w:val="auto"/>
              </w:rPr>
            </w:pPr>
          </w:p>
        </w:tc>
        <w:tc>
          <w:tcPr>
            <w:tcW w:w="274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5"/>
        </w:trPr>
        <w:tc>
          <w:tcPr>
            <w:tcW w:w="50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0"/>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50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1"/>
        </w:trPr>
        <w:tc>
          <w:tcPr>
            <w:tcW w:w="504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7"/>
                <w:szCs w:val="17"/>
                <w:color w:val="auto"/>
              </w:rPr>
              <w:t>Program expenses</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5"/>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atebimetinib (IMM-1-104)</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13,551,216</w:t>
            </w:r>
          </w:p>
        </w:tc>
        <w:tc>
          <w:tcPr>
            <w:tcW w:w="100" w:type="dxa"/>
            <w:vAlign w:val="bottom"/>
          </w:tcPr>
          <w:p>
            <w:pPr>
              <w:spacing w:after="0"/>
              <w:rPr>
                <w:sz w:val="21"/>
                <w:szCs w:val="21"/>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5,091,491</w:t>
            </w:r>
          </w:p>
        </w:tc>
        <w:tc>
          <w:tcPr>
            <w:tcW w:w="8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24,868,813</w:t>
            </w:r>
          </w:p>
        </w:tc>
        <w:tc>
          <w:tcPr>
            <w:tcW w:w="80" w:type="dxa"/>
            <w:vAlign w:val="bottom"/>
          </w:tcPr>
          <w:p>
            <w:pPr>
              <w:spacing w:after="0"/>
              <w:rPr>
                <w:sz w:val="21"/>
                <w:szCs w:val="21"/>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14,518,757</w:t>
            </w:r>
          </w:p>
        </w:tc>
      </w:tr>
      <w:tr>
        <w:trPr>
          <w:trHeight w:val="25"/>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1"/>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envometinib (IMM-6-415)</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292,917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32,864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2,195,284</w:t>
            </w:r>
          </w:p>
        </w:tc>
      </w:tr>
      <w:tr>
        <w:trPr>
          <w:trHeight w:val="245"/>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programs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2,241,354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1,674,358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6,440,894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4,093,993</w:t>
            </w:r>
          </w:p>
        </w:tc>
      </w:tr>
      <w:tr>
        <w:trPr>
          <w:trHeight w:val="25"/>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Non-program expenses</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1,310,934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1,894,410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4,520,103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4,677,209</w:t>
            </w:r>
          </w:p>
        </w:tc>
      </w:tr>
      <w:tr>
        <w:trPr>
          <w:trHeight w:val="24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6,534,259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4,892,610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18,683,227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15,216,089</w:t>
            </w:r>
          </w:p>
        </w:tc>
      </w:tr>
      <w:tr>
        <w:trPr>
          <w:trHeight w:val="25"/>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1,456,080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5,325,576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4,673,290</w:t>
            </w:r>
          </w:p>
        </w:tc>
      </w:tr>
      <w:tr>
        <w:trPr>
          <w:trHeight w:val="24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78,841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251,983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248,628</w:t>
            </w:r>
          </w:p>
        </w:tc>
      </w:tr>
      <w:tr>
        <w:trPr>
          <w:trHeight w:val="25"/>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2"/>
                <w:szCs w:val="22"/>
                <w:color w:val="auto"/>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(1,595,435)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(415,832)</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(5,199,555)</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(1,178,362)</w:t>
            </w:r>
          </w:p>
        </w:tc>
      </w:tr>
      <w:tr>
        <w:trPr>
          <w:trHeight w:val="26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24,192,583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14,964,875</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54,923,905</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44,444,888</w:t>
            </w: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40" w:hanging="23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direct research and development expenses.</w:t>
      </w:r>
    </w:p>
    <w:p>
      <w:pPr>
        <w:spacing w:after="0" w:line="15"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general and administrative expenses, in addition to facilities and other research and development expenses.</w:t>
      </w:r>
    </w:p>
    <w:p>
      <w:pPr>
        <w:spacing w:after="0" w:line="9"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interest income and other (income) expense.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interim condensed consolidated financial statements and related notes appearing elsewhere in this Quarterly Report on Form 10-Q and with our Annual Report on Form 10-K for the fiscal year ended December 31, 2025, including the audited consolidated financial statements and notes thereto.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a late-stage clinical oncology company focused on keeping cancer patients alive and helping them thrive. We are developing and seeking to commercialize an entirely new category of anti-cancer medicines, Deep Cyclic Inhibitors, which we believe have the potential to be more effective and better tolerated targeted therapies.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Deep Cyclic Inhibition® ("DCI") is a novel mechanism that aims to deprive tumor cells of the sustained proliferative signaling required for rapid growth, while sparing healthy cells through a cadenced, normalized level of signaling. Our Deep Cyclic Inhibitors inhibit clinically-validated core signaling pathways, such as the MAPK pathway. Our novel approach is designed to improve durability and tolerability, and differentiates us from chronically targeted precision therapies, which are generally limited by toxicity, resistance and/or application to specific mutations only.</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lead product candidate, atebimetinib (IMM-1-104), is an oral, once-daily Deep Cyclic Inhibitor of MEK, designed to improve durability and tolerability across many cancer indications, including MAPK pathway-driven tumors such as pancreatic cancer. We are currently conducting a Phase 3 clinical trial of atebimetinib, which we call the MAPKeeper 301 trial, to evaluate atebimetinib in combination with mGnP in first-line pancreatic cancer patients. We dosed the first patient in the MAPKeeper 301 trial in June 2026.</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MAPKeeper 301 is a global Phase 3 registrational trial to evaluate atebimetinib (320 mg once-daily) in combination with mGnP, compared to standard of care GnP alone, in first-line metastatic PDAC. The primary endpoint of MAPKeeper 301 is overall survival, and secondary endpoints include progression-free survival, overall response rate, disease control rate, and quality of life measurements. We plan to enroll a total of approximately 570 patients in MAPKeeper 301, divided equally across the two arms. In October 2026, we announced an increase in the MAPKeeper 301 enrollment target from 510 to approximately 570 patients and that enrollment was ahead of schedule. We expect to maintain the trial's topline data readout currently planned for mid-2028, with the potential to accelerate the timing of the readout.</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January 2026, we announced positive interim response and safety data from our ongoing Phase 2a clinical trial arm evaluating atebimetinib in combination with mGnP in first-line pancreatic cancer patients (the "Phase 2 mGnP Arm"), which is part of our ongoing Phase 1/2a clinical trial of atebimetinib in patients with advanced solid tumors.</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April 2026, we presented a poster at the American Association for Cancer Research (AACR) annual meeting, which provided further updated circulating tumor DNA data on acquired alterations from cancer patients treated with atebimetinib. Consistent with our DCI hypothesis, the observed absence or scarcity of certain RAS/MAPK resistance alterations in atebimetinib-treated patients suggested that the DCI of MEK may lessen selective pressure that drives resistance, thereby slowing adaptation while preserving MAPK dependence, and potentially preserving the opportunity for therapeutic combinations of atebimetinib within the MAPK pathway and across parallel pathways.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June 2026, we announced further positive interim response and safety data from the Phase 2 mGnP Arm. We announced that, as of a cutoff date of April 24, 2026 (the “Cutoff Date”), 17.3 month median overall survival (“mOS”) was observed in the intent-to-treat population of 55 patients dosed at the 320 mg once-daily dose level of atebimetinib in combination with mGnP (the “320 mg ITT Population”), with median follow-up time of 11.6 months. The standard of care (described below) reported a 8.5 month mOS. As of the Cutoff Date, the median progression free survival ("mPFS") of the 320 mg ITT Population was 8.3 months. As of the Cutoff Date, in response evaluable patients from the 320 mg ITT Population, a 36% (18/50 patients) overall response rate ("ORR") and 82% (41/50 patients) disease control rate ("DCR") was observed. Additionally, as of the Cutoff Date, among the subset of patients from the 320 mg ITT Population for which sufficient weight stability data was available, 84% of such patients either gained weight or else were within 5% of original recorded baseline weight. The reported data included patients from same patient cohort (N=34) as we previously reported in January 2026, as well as an additional 21 patients, together comprising the full 320 mg ITT Population. The estimates of (and other references to) standard of care set forth above with respect to mOS data were reported out directly from the publicly available third-party MPACT pivotal trial data for gemcitabine/nab-paclitaxel. Our Phase 1/2a clinical trial of atebimetinib does not include a head-to-head comparison against any other agents, and caution should be exercised when comparing data across trials.</w:t>
      </w:r>
    </w:p>
    <w:p>
      <w:pPr>
        <w:spacing w:after="0" w:line="21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We also announced that, as of the Cutoff Date, atebimetinib in combination with mGnP continued to be generally well tolerated. As of the Cutoff Date, Grade ≥ 3 treatment-emergent adverse events (“TEAEs”) observed in 10% or greater of patients in the 320 mg ITT Population consisted of Anemia (nine patients or 16%) and Neutropenia (ten patients or 18%). Grade ≥ 3 TEAEs observed in less than 10% of patients in the 320 mg ITT Population included Rash (5%), Fatigue (2%), Vomiting (2%), and Oedema Peripheral (2%). No Grade 5 TEAEs were observed in this patient population and no new safety signals were identified.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the following anticipated milestones:</w:t>
      </w:r>
    </w:p>
    <w:p>
      <w:pPr>
        <w:spacing w:after="0" w:line="230" w:lineRule="exact"/>
        <w:rPr>
          <w:sz w:val="20"/>
          <w:szCs w:val="20"/>
          <w:color w:val="auto"/>
        </w:rPr>
      </w:pPr>
    </w:p>
    <w:p>
      <w:pPr>
        <w:ind w:left="620" w:right="620" w:hanging="307"/>
        <w:spacing w:after="0" w:line="25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fourth quarter of 2026, dosing the first patient in a clinical trial of atebimetinib in combination with Libtayo® in non-small cell lung cancer patients, with a preliminary data readout expected in late-2027;</w:t>
      </w:r>
    </w:p>
    <w:p>
      <w:pPr>
        <w:ind w:left="620" w:hanging="307"/>
        <w:spacing w:after="0" w:line="237"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fourth quarter of 2026, providing additional pre-clinical data of atebimetinib in combination with anti-PD-1 in non-small cell lung cancer;</w:t>
      </w: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first half of 2027, providing additional data from the Phase 2 mGnP Arm;</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mid-2027, beginning IND-enabling studies for our next DCI product candidate program; and</w:t>
      </w: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mid-2028, providing a topline data readout from the MAPKeeper 301 trial.</w:t>
      </w:r>
    </w:p>
    <w:p>
      <w:pPr>
        <w:spacing w:after="0" w:line="21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development pipeline also includes our additional clinical-stage product candidate envometinib (IMM-6-415) and other pre-clinical research programs, including research focused on validated core cancer-signaling pathways outside of the MAPK pathway.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the period from inception through 2017, we devoted substantially all of our efforts to business planning, service revenue generation, developing tools to aid in drug discovery, and recruiting management and technical staff. Since 2018, we have focused significant effort on our own internal research and development programs, and since December 2022 have exclusively focused our efforts on such programs. We have financed our operations through service revenues (which have since ceased), the issuance of convertible debt and the sale of convertible preferred stock, common stock and warrants exercisable for common stock.</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December 22, 2021, we completed the acquisition of all outstanding shares of capital stock of BioArkive, Inc., a California corporation (“BioArkive”), for a market value of $8.75 million. BioArkive was a San Diego based contract research organization that previously provided preclinical research services and biosample storage to us and other biotechnology companies. BioArkive was fully integrated into our operations following the acquisition and now exclusively supports our internal preclinical research activities for our oncology pipeline. In connection with the acquisition, we assumed BioArkive’s lease agreement obligations.</w:t>
      </w:r>
    </w:p>
    <w:p>
      <w:pPr>
        <w:spacing w:after="0" w:line="3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did not sell any shares of common stock under the 2022 ATM Program during the three and nine months ended September 30, 2026. The Company sold 327,355 shares of common stock under the 2022 ATM Program, at a weighted average price per share of $4.27, for aggregate gross proceeds of $1.4 million ($1.3 million net of offering expenses) during the three months ended September 30, 2025. The Company sold 5,164,159 shares of common stock under the 2022 ATM program, at a weighted average price per share of $3.03, for aggregate gross proceeds of $15.6 million ($15.0 million net of offering expenses) during the nine months ended September 30, 2025. We did not sell any shares of common stock under the 2025 ATM Program during the three and nine months ended September 30, 2026 or September 30, 2025, respectively.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August 21, 2025, we entered into the August 2025 Purchase Agreement with the purchasers party thereto, pursuant to which we agreed to sell securities to such purchasers in the August 2025 Private Placement. The August 2025 Purchase Agreement provided for the sale and issuance by us to the purchasers of: (i) an aggregate of 5,251,349 shares of our common stock at a purchase price of $3.95 per share, (ii) for certain purchasers, in lieu of common stock, an aggregate of 1,077,764 Pre-Funded Warrants to purchase up to the same number of shares of our common stock, and (iii) an aggregate of 2,848,096 Purchase Warrants to purchase up to the same number of shares of our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following the October 2025 Cashless Exercise, no Pre-Funded Warrants remained issued and outstanding. The Purchase Warrants were issued with an exercise price of $5.50 per share; as of September 30, 2026, no Purchase Warrants had been exercised. As of September 30, 2026, we had received aggregate net proceeds of $23.4 million from the August 2025 Private Placement, after deducting placement expenses of $1.6 million. The August 2025 Private Placement closed on August 26,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24, 2025, we entered into the September 2025 Purchase Agreement with Aventis (a wholly owned subsidiary of Sanofi), pursuant to which we agreed to sell securities to Aventis in the September 2025 Private Placement. The September 2025 Purchase Agreement provided for the sale and issuance by us to Aventis of an aggregate of 2,708,559 shares of our common stock at a purchase price of $9.23 per share. We received aggregate net proceeds of $23.4 million from the September 2025 Private Placement, after deducting placement agent discounts and commissions of $1.5 million and placement costs of $0.1 million. The September 2025 Private Placement closed on September 26, 2025.</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September 26, 2025, we completed the September 2025 Offering, pursuant to which we issued and sold 18,959,914 shares of our common stock at an offering price of $9.23 per share, with Leerink Partners LLC and Oppenheimer &amp; Co. Inc. acting as underwriters. The aggregate net proceeds received by us from the September 2025 Offering were $164.1 million, after deducting underwriting discounts and commissions, as well as offering costs of $0.4 million.</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Since our inception, we have had significant annual operating losses. Our net loss was approximately $54.9 million for the nine months ended September 30, 2026 and approximately $56.0 million for the year ended December 31, 2025. As of September 30, 2026, we had an accumulated deficit of approximately $335.2 million and approximately $166.1 million in cash, cash equivalents and marketable securities.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not had any internally developed products approved for sale. We do not expect to generate any product sales unless and until we successfully complete development of, obtain regulatory approval for, and successfully bring to market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without limitation, potential collaborations, licenses or similar arrangements.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Based on our current business plans, we believe that our existing cash, cash equivalents and marketable securities as of September 30, 2026 will enable us to fund our development activities and other operations into the fourth quarter of 2028. This update to our cash runway guidance (previously expected into 2029) reflects the anticipated cost impact, among other things, of: a longer than previously projected continuation of our ongoing Phase 1/2a clinical trial of atebimetinib in patients with advanced solid tumors; the planned increase to and acceleration of the target patient enrollment in the MAPKeeper 301 trial; and commercial readiness activities. We have based this estimate on assumptions that may prove to be wrong, and we could exhaust our available capital resources sooner than we expect. To finance our operations beyond that point we will need to raise additional capital, which cannot be assured.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some or all planned activities to reduce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October 29, 2026, the issuance date of the interim condensed consolidated financial statements for the three and nine-months ended September 30, 2026 included elsewhere in this Quarterly Report on Form 10-Q, based on our recurring losses from operations incurred since inception, expectation of continuing operating losses for the foreseeable future and the need to raise additional capital to finance future operations, we believe that our existing cash, cash equivalents and marketable securities will enable us to fund our development activities and other operations into the fourth quarter of 2028. We have based this estimate on assumptions that may prove to be wrong, and we could exhaust our available capital resources sooner than we expect. To finance our operations beyond that point we will need to raise additional capital, which cannot be assured.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operating expenses consist of: (i) research and development expenses, and (ii) general and administrative expenses.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account for a significant portion of our total operating expenses. Our research and development expenses consist primarily of direct and indirect costs incurred in connection with the development of our research platform, product candidates, discovery efforts and preclinical and clinical activities related to our program pipeline.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direct costs include:</w:t>
      </w:r>
    </w:p>
    <w:p>
      <w:pPr>
        <w:spacing w:after="0" w:line="114" w:lineRule="exact"/>
        <w:rPr>
          <w:sz w:val="20"/>
          <w:szCs w:val="20"/>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program-specific expenses incurred under agreements with third-party CROs and other vendors that conduct our preclinical and clinical activities on our behalf, including clinical trial sites that conduct research and development activities on our behalf;</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laboratory expenses related to the execution of discovery programs, preclinical studies and clinical trials;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production of clinical and preclinical materials, including fees paid to contract manufacturers.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indirect costs include:</w:t>
      </w:r>
    </w:p>
    <w:p>
      <w:pPr>
        <w:spacing w:after="0" w:line="114" w:lineRule="exact"/>
        <w:rPr>
          <w:sz w:val="20"/>
          <w:szCs w:val="20"/>
          <w:color w:val="auto"/>
        </w:rPr>
      </w:pPr>
    </w:p>
    <w:p>
      <w:pPr>
        <w:ind w:left="620" w:hanging="307"/>
        <w:spacing w:after="0" w:line="287"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personnel-related expenses, consisting of employee salaries, bonuses, benefits and stock-based compensation expense, and recruiting costs for personnel engaged in research and development activities;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contractor and consulting fees related to the preparation and ongoing support of clinical trials; and</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facility and equipment related expenses, consisting of indirect and allocated expenses for rent, depreciation and amortization, maintenance of facilities, insurance, and other supplies.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expense research and development costs in the periods in which they are incurred.</w:t>
      </w:r>
    </w:p>
    <w:p>
      <w:pPr>
        <w:spacing w:after="0" w:line="2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Our direct research and development expenses consist of external costs and fees paid to consultants, contractors, CMOs and CROs in connection with our preclinical and clinical development and manufacturing activities. Such program costs also include the external costs of laboratory and consumable materials and costs of raw materials that are directly attributable to and incurred for any single program. We do not allocate employee costs, contractor/consultant fees, costs associated with our platform development and discovery efforts, payments made under third-party licensing agreements, costs of laboratory supplies and consumable materials that are not directly attributable to any single program, and facilities expenses, including rent, depreciation/amortization and other indirect costs, to specific product development programs because these costs are deployed across multiple programs and our platform technology and, as such, are not separately classified.</w:t>
      </w:r>
    </w:p>
    <w:p>
      <w:pPr>
        <w:spacing w:after="0" w:line="3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duration, costs and timing of preclinical studies and clinical trials and development of our product candidates will depend on a variety of factors, such as, without limitation: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completion of preclinical studies and initiation of clinical trials for future product candidates;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enrollment and completion of clinical trials for our current product candidates;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from our clinical programs that support an acceptable risk-benefit profile of our product candidates in the intended patient populations;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by the FDA or other applicable regulatory agencies of IND applications and amendments, clinical trial applications and/or other regulatory filings for our product candidates;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and maintenance of a workforce of experienced scientists and others to continue to develop our product candidates;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application for and receipt of marketing approvals from applicable regulatory authorities;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obtainment and maintenance of intellectual property protection and regulatory exclusivity for our product candidates;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of arrangements with contract manufacturing organizations for, or establishment of, commercial manufacturing capabilities;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sales, marketing and distribution capabilities and successful launch of commercial sales of our product candidates, if and when approved, whether alone or in collaboration with others;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our product candidates, if and when approved, by patients, the medical community and third-party payors;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competition with other therapies;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obtainment and maintenance of coverage, adequate pricing and adequate reimbursement from third-party payors, including government payors;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enforcement, defense and protection of our rights in our intellectual property portfolio;</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avoidance of infringement, misappropriation or other violations with respect to others’ intellectual property or proprietary rights;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a continued acceptable safety profile of our product candidates following receipt of marketing approvals, if any.</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process of conducting the necessary preclinical and clinical research to obtain regulatory approval is costly and time-consuming. The actual probability of success for our product candidates may be affected by a variety of factors.</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expenses. We may obtain unexpected results from our preclinical studies and clinical trials. We have in the past and may in the future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EMA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advancement of preclinical and clinical development.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expect that our research and development expenses will substantially increase for the foreseeable future as we continue to implement our business strategy, which includes: advancing our product candidates through clinical development (including atebimetinib in our MAPKeeper 301 Phase 3 clinical trial),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Quarterly Report on Form 10-Q, we cannot reasonably determine or accurately project total program-specific expenses through commercialization, if such was to occur.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general and administrative expenses consist primarily of personnel-related expenses, including employee salaries, bonuses, benefits, stock-based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expect our general and administrative expenses will increase for the foreseeable future if and as we continue to increase our general and administrative headcount to support our continued research and development activities and, if any product candidates receive marketing approval, commercialization activities, as well as to support our operations generally. We also expect to continue to incur increased expenses associated with operating as a public company, including costs related to accounting, audit, legal, regulatory, and tax-related services associated with maintaining compliance with exchange listing and rules and regulations of the Securities and Exchange Commission (“SEC”), Sarbanes-Oxley Act, director and officer insurance costs, and investor and public relations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Amortization of intangible asset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of intangible asset relates to the technology acquired in the BioArkive acquisition.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24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Interest income consists of interest earned on our cash and cash equivalents balances and our marketable securities. The primary objective of our investment policy is capital preservation.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consists of the amortization of premiums or accretion of discounts related to our marketable securities.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September 30,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periods indicated: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5"/>
                <w:szCs w:val="15"/>
                <w:color w:val="auto"/>
              </w:rPr>
            </w:pPr>
          </w:p>
        </w:tc>
        <w:tc>
          <w:tcPr>
            <w:tcW w:w="164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35"/>
        </w:trPr>
        <w:tc>
          <w:tcPr>
            <w:tcW w:w="49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90"/>
        </w:trPr>
        <w:tc>
          <w:tcPr>
            <w:tcW w:w="4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6"/>
                <w:szCs w:val="16"/>
                <w:color w:val="auto"/>
              </w:rPr>
            </w:pPr>
          </w:p>
        </w:tc>
        <w:tc>
          <w:tcPr>
            <w:tcW w:w="9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r>
      <w:tr>
        <w:trPr>
          <w:trHeight w:val="35"/>
        </w:trPr>
        <w:tc>
          <w:tcPr>
            <w:tcW w:w="49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5"/>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90"/>
        </w:trPr>
        <w:tc>
          <w:tcPr>
            <w:tcW w:w="4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93"/>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1"/>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5"/>
        </w:trPr>
        <w:tc>
          <w:tcPr>
            <w:tcW w:w="4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20,721</w:t>
            </w:r>
          </w:p>
        </w:tc>
        <w:tc>
          <w:tcPr>
            <w:tcW w:w="10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10,868</w:t>
            </w:r>
          </w:p>
        </w:tc>
        <w:tc>
          <w:tcPr>
            <w:tcW w:w="100" w:type="dxa"/>
            <w:vAlign w:val="bottom"/>
          </w:tcPr>
          <w:p>
            <w:pPr>
              <w:spacing w:after="0"/>
              <w:rPr>
                <w:sz w:val="21"/>
                <w:szCs w:val="21"/>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9,853</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1"/>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4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Amortization of intangible asset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5"/>
        </w:trPr>
        <w:tc>
          <w:tcPr>
            <w:tcW w:w="4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10,407</w:t>
            </w:r>
          </w:p>
        </w:tc>
        <w:tc>
          <w:tcPr>
            <w:tcW w:w="5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49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(15,380)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(10,407)</w:t>
            </w: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1"/>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5"/>
        </w:trPr>
        <w:tc>
          <w:tcPr>
            <w:tcW w:w="4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71"/>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64"/>
        </w:trPr>
        <w:tc>
          <w:tcPr>
            <w:tcW w:w="49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(24,191)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(14,964)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(9,227)</w:t>
            </w:r>
          </w:p>
        </w:tc>
        <w:tc>
          <w:tcPr>
            <w:tcW w:w="5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61.7 %</w:t>
            </w:r>
          </w:p>
        </w:tc>
      </w:tr>
      <w:tr>
        <w:trPr>
          <w:trHeight w:val="20"/>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our research and development expenses for the periods indicated: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0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5"/>
                <w:szCs w:val="15"/>
                <w:color w:val="auto"/>
              </w:rPr>
            </w:pPr>
          </w:p>
        </w:tc>
        <w:tc>
          <w:tcPr>
            <w:tcW w:w="16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5"/>
                <w:szCs w:val="15"/>
                <w:color w:val="auto"/>
              </w:rPr>
            </w:pPr>
          </w:p>
        </w:tc>
      </w:tr>
      <w:tr>
        <w:trPr>
          <w:trHeight w:val="35"/>
        </w:trPr>
        <w:tc>
          <w:tcPr>
            <w:tcW w:w="50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50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6"/>
                <w:szCs w:val="16"/>
                <w:color w:val="auto"/>
              </w:rPr>
            </w:pPr>
          </w:p>
        </w:tc>
        <w:tc>
          <w:tcPr>
            <w:tcW w:w="110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5"/>
        </w:trPr>
        <w:tc>
          <w:tcPr>
            <w:tcW w:w="50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5"/>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5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00" w:type="dxa"/>
            <w:vAlign w:val="bottom"/>
          </w:tcPr>
          <w:p>
            <w:pPr>
              <w:spacing w:after="0"/>
              <w:rPr>
                <w:sz w:val="16"/>
                <w:szCs w:val="16"/>
                <w:color w:val="auto"/>
              </w:rPr>
            </w:pPr>
          </w:p>
        </w:tc>
      </w:tr>
      <w:tr>
        <w:trPr>
          <w:trHeight w:val="293"/>
        </w:trPr>
        <w:tc>
          <w:tcPr>
            <w:tcW w:w="5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 research and development expenses by program:</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5"/>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atebimetinib (IMM-1-104)</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13,551</w:t>
            </w:r>
          </w:p>
        </w:tc>
        <w:tc>
          <w:tcPr>
            <w:tcW w:w="8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5,091</w:t>
            </w:r>
          </w:p>
        </w:tc>
        <w:tc>
          <w:tcPr>
            <w:tcW w:w="100" w:type="dxa"/>
            <w:vAlign w:val="bottom"/>
          </w:tcPr>
          <w:p>
            <w:pPr>
              <w:spacing w:after="0"/>
              <w:rPr>
                <w:sz w:val="21"/>
                <w:szCs w:val="21"/>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8,460</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166.2 %</w:t>
            </w:r>
          </w:p>
        </w:tc>
      </w:tr>
      <w:tr>
        <w:trPr>
          <w:trHeight w:val="25"/>
        </w:trPr>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1"/>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envometinib (IMM-6-415)</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45"/>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programs</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33.9 %</w:t>
            </w:r>
          </w:p>
        </w:tc>
      </w:tr>
      <w:tr>
        <w:trPr>
          <w:trHeight w:val="25"/>
        </w:trPr>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Indirect research and development expenses: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36.9 %</w:t>
            </w:r>
          </w:p>
        </w:tc>
      </w:tr>
      <w:tr>
        <w:trPr>
          <w:trHeight w:val="25"/>
        </w:trPr>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13.0 %</w:t>
            </w:r>
          </w:p>
        </w:tc>
      </w:tr>
      <w:tr>
        <w:trPr>
          <w:trHeight w:val="24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Facilities and other expenses</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5"/>
        </w:trPr>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258"/>
        </w:trPr>
        <w:tc>
          <w:tcPr>
            <w:tcW w:w="50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r>
      <w:tr>
        <w:trPr>
          <w:trHeight w:val="28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20,721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9,853</w:t>
            </w:r>
          </w:p>
        </w:tc>
        <w:tc>
          <w:tcPr>
            <w:tcW w:w="5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Research and development expenses increased by approximately $9.9 million, or 90.7%, to approximately $20.7 million for the three months ended September 30, 2026, as compared to approximately $10.9 million for the three months ended September 30, 2025. The increase of approximately $9.9 million was primarily due to an increase in direct costs of $8.7 million, driven by $8.5 million related to the conduct of the MAPKeeper 301 trial, in addition to increased preclinical spend of approximately $0.6 million, driven by development pipeline activities. The increase in direct research and development expenses was offset by a decrease of approximately $0.3 million in expenses related to the envometinib program, due to the Company's prioritization of the atebimetinib program. The overall increase in research and development expenses was also driven by an increase in indirect expenses of approximately $1.1 million, primarily driven by increased employee-related costs of $1.0 million, increased stock-based compensation costs of $0.1 million, and an increase in depreciation/amortization and facilities and other expenses of $3 thousand.</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our general and administrative expenses for the periods indicated: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308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60" w:type="dxa"/>
            <w:vAlign w:val="bottom"/>
          </w:tcPr>
          <w:p>
            <w:pPr>
              <w:spacing w:after="0"/>
              <w:rPr>
                <w:sz w:val="15"/>
                <w:szCs w:val="15"/>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5"/>
                <w:szCs w:val="15"/>
                <w:color w:val="auto"/>
              </w:rPr>
            </w:pPr>
          </w:p>
        </w:tc>
      </w:tr>
      <w:tr>
        <w:trPr>
          <w:trHeight w:val="35"/>
        </w:trPr>
        <w:tc>
          <w:tcPr>
            <w:tcW w:w="50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50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5"/>
        </w:trPr>
        <w:tc>
          <w:tcPr>
            <w:tcW w:w="50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gridSpan w:val="4"/>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5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93"/>
        </w:trPr>
        <w:tc>
          <w:tcPr>
            <w:tcW w:w="5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1"/>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28.9 %</w:t>
            </w:r>
          </w:p>
        </w:tc>
      </w:tr>
      <w:tr>
        <w:trPr>
          <w:trHeight w:val="245"/>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61.7 %</w:t>
            </w:r>
          </w:p>
        </w:tc>
      </w:tr>
      <w:tr>
        <w:trPr>
          <w:trHeight w:val="25"/>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1"/>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fees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(200)</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r>
      <w:tr>
        <w:trPr>
          <w:trHeight w:val="245"/>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Facilities and other allocated expenses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40.4 %</w:t>
            </w:r>
          </w:p>
        </w:tc>
      </w:tr>
      <w:tr>
        <w:trPr>
          <w:trHeight w:val="25"/>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1"/>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(396)</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r>
      <w:tr>
        <w:trPr>
          <w:trHeight w:val="258"/>
        </w:trPr>
        <w:tc>
          <w:tcPr>
            <w:tcW w:w="50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r>
      <w:tr>
        <w:trPr>
          <w:trHeight w:val="289"/>
        </w:trPr>
        <w:tc>
          <w:tcPr>
            <w:tcW w:w="5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general and administrative</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4,505</w:t>
            </w: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6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General and administrative expenses increased by approximately $0.6 million, or 12.3%, to approximately $5.1 million for the three months ended September 30, 2026, as compared to approximately $4.5 million for the three months ended September 30, 2025. The increase of approximately $0.6 million was primarily driven by a $0.6 million increase in employee-related costs, a $0.5 million increase in stock-based compensation, and a $23 thousand increase in facilities and other allocated expenses, offset by a decrease in professional fees of $0.2 million and a decrease in other expenses of $0.4 million, with such decreases primarily driven by lower public filing costs associated with the various financing efforts from the prior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Amortization of Intangible Asset</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Amortization of intangible asset was $7,317 for the three months ended September 30, 2026 and 2025. This amortization is related to the technology acquired from the BioArkive acquisition completed in December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income from the interest earned on our cash, cash equivalents and marketable securities balances increased by approximately $0.8 million for the three months ended September 30, 2026 as compared to the three months ended September 30, 2025, driven primarily by an increased total cash balance resulting from various financing events in August and September 2025.</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income for the three months ended September 30, 2026 was $0.4 million, compared to no other income for the three months ended September 30, 2025. This was primarily driven by the accretion of marketable securities during the three months ended September 30, 2026. There were no marketable securities as of September 30, 2025.</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Nine Months Ended September 30,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periods indicated: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45,363</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32,794</w:t>
            </w:r>
          </w:p>
        </w:tc>
        <w:tc>
          <w:tcPr>
            <w:tcW w:w="10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r>
        <w:trPr>
          <w:trHeight w:val="264"/>
        </w:trPr>
        <w:tc>
          <w:tcPr>
            <w:tcW w:w="4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12,807</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52"/>
        </w:trPr>
        <w:tc>
          <w:tcPr>
            <w:tcW w:w="49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Amortization of intangible asset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3"/>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7"/>
        </w:trPr>
        <w:tc>
          <w:tcPr>
            <w:tcW w:w="49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60,123</w:t>
            </w: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45,623</w:t>
            </w:r>
          </w:p>
        </w:tc>
        <w:tc>
          <w:tcPr>
            <w:tcW w:w="1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14,500</w:t>
            </w:r>
          </w:p>
        </w:tc>
        <w:tc>
          <w:tcPr>
            <w:tcW w:w="8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44"/>
        </w:trPr>
        <w:tc>
          <w:tcPr>
            <w:tcW w:w="498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6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w:t>
            </w:r>
          </w:p>
        </w:tc>
        <w:tc>
          <w:tcPr>
            <w:tcW w:w="0" w:type="dxa"/>
            <w:vAlign w:val="bottom"/>
          </w:tcPr>
          <w:p>
            <w:pPr>
              <w:spacing w:after="0"/>
              <w:rPr>
                <w:sz w:val="1"/>
                <w:szCs w:val="1"/>
                <w:color w:val="auto"/>
              </w:rPr>
            </w:pPr>
          </w:p>
        </w:tc>
      </w:tr>
      <w:tr>
        <w:trPr>
          <w:trHeight w:val="258"/>
        </w:trPr>
        <w:tc>
          <w:tcPr>
            <w:tcW w:w="4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income</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70"/>
        </w:trPr>
        <w:tc>
          <w:tcPr>
            <w:tcW w:w="498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(54,923)</w:t>
            </w:r>
          </w:p>
        </w:tc>
        <w:tc>
          <w:tcPr>
            <w:tcW w:w="8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 w:type="dxa"/>
            <w:vAlign w:val="bottom"/>
            <w:tcBorders>
              <w:top w:val="single" w:sz="8" w:color="auto"/>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(44,445)</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(10,478)</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23.6 %</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4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0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research and development expenses for the periods indicated: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4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5"/>
        </w:trPr>
        <w:tc>
          <w:tcPr>
            <w:tcW w:w="4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8"/>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 research and development expenses by program:</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atebimetinib (IMM-1-104)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24,869</w:t>
            </w:r>
          </w:p>
        </w:tc>
        <w:tc>
          <w:tcPr>
            <w:tcW w:w="100" w:type="dxa"/>
            <w:vAlign w:val="bottom"/>
          </w:tcPr>
          <w:p>
            <w:pPr>
              <w:spacing w:after="0"/>
              <w:rPr>
                <w:sz w:val="24"/>
                <w:szCs w:val="24"/>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14,519</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10,350</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71.3 %</w:t>
            </w:r>
          </w:p>
        </w:tc>
        <w:tc>
          <w:tcPr>
            <w:tcW w:w="0" w:type="dxa"/>
            <w:vAlign w:val="bottom"/>
          </w:tcPr>
          <w:p>
            <w:pPr>
              <w:spacing w:after="0"/>
              <w:rPr>
                <w:sz w:val="1"/>
                <w:szCs w:val="1"/>
                <w:color w:val="auto"/>
              </w:rPr>
            </w:pPr>
          </w:p>
        </w:tc>
      </w:tr>
      <w:tr>
        <w:trPr>
          <w:trHeight w:val="25"/>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envometinib (IMM-6-415)</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2,195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(2,162)</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0" w:type="dxa"/>
            <w:vAlign w:val="bottom"/>
          </w:tcPr>
          <w:p>
            <w:pPr>
              <w:spacing w:after="0"/>
              <w:rPr>
                <w:sz w:val="1"/>
                <w:szCs w:val="1"/>
                <w:color w:val="auto"/>
              </w:rPr>
            </w:pPr>
          </w:p>
        </w:tc>
      </w:tr>
      <w:tr>
        <w:trPr>
          <w:trHeight w:val="245"/>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programs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6,441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2,347</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57.3 %</w:t>
            </w:r>
          </w:p>
        </w:tc>
        <w:tc>
          <w:tcPr>
            <w:tcW w:w="0" w:type="dxa"/>
            <w:vAlign w:val="bottom"/>
          </w:tcPr>
          <w:p>
            <w:pPr>
              <w:spacing w:after="0"/>
              <w:rPr>
                <w:sz w:val="1"/>
                <w:szCs w:val="1"/>
                <w:color w:val="auto"/>
              </w:rPr>
            </w:pPr>
          </w:p>
        </w:tc>
      </w:tr>
      <w:tr>
        <w:trPr>
          <w:trHeight w:val="25"/>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Indirect research and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8,873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1,990</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22.4 %</w:t>
            </w:r>
          </w:p>
        </w:tc>
        <w:tc>
          <w:tcPr>
            <w:tcW w:w="0" w:type="dxa"/>
            <w:vAlign w:val="bottom"/>
          </w:tcPr>
          <w:p>
            <w:pPr>
              <w:spacing w:after="0"/>
              <w:rPr>
                <w:sz w:val="1"/>
                <w:szCs w:val="1"/>
                <w:color w:val="auto"/>
              </w:rPr>
            </w:pPr>
          </w:p>
        </w:tc>
      </w:tr>
      <w:tr>
        <w:trPr>
          <w:trHeight w:val="25"/>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1,946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0" w:type="dxa"/>
            <w:vAlign w:val="bottom"/>
          </w:tcPr>
          <w:p>
            <w:pPr>
              <w:spacing w:after="0"/>
              <w:rPr>
                <w:sz w:val="1"/>
                <w:szCs w:val="1"/>
                <w:color w:val="auto"/>
              </w:rPr>
            </w:pPr>
          </w:p>
        </w:tc>
      </w:tr>
      <w:tr>
        <w:trPr>
          <w:trHeight w:val="245"/>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Facilities and other expenses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5"/>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58"/>
        </w:trPr>
        <w:tc>
          <w:tcPr>
            <w:tcW w:w="49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research and development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32,794</w:t>
            </w: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12,569</w:t>
            </w: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Research and development expenses increased by approximately $12.6 million, or 38.3%, to approximately $45.4 million for the nine months ended September 30, 2026, as compared to approximately $32.8 million for the nine months ended September 30, 2025. The increase of approximately $12.6 million was primarily due to an increase in direct research and development expenses of $10.5 million, driven by a $10.4 million increase in expenses related to the conduct of the MAPKeeper 301 trial, in addition to increased preclinical spend of approximately $2.3 million. This was offset by a decrease of approximately $2.2 million in expenses related to the envometinib program, due to the Company's prioritization of the atebimetinib program. The overall increase to research and development expenses was also driven by an increase of approximately $2.0 million related to indirect research and development expenses. Indirect expenses were driven by an approximately $2.0 million increase associated with employee-related costs, an approximately $0.1 million increase in stock-based compensation expense, and a minor increase in depreciation/amortization and facilities and other expenses, in the aggregate.</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general and administrative expenses for the periods indicated: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310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80" w:type="dxa"/>
            <w:vAlign w:val="bottom"/>
          </w:tcPr>
          <w:p>
            <w:pPr>
              <w:spacing w:after="0"/>
              <w:rPr>
                <w:sz w:val="15"/>
                <w:szCs w:val="15"/>
                <w:color w:val="auto"/>
              </w:rPr>
            </w:pP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5"/>
                <w:szCs w:val="15"/>
                <w:color w:val="auto"/>
              </w:rPr>
            </w:pPr>
          </w:p>
        </w:tc>
      </w:tr>
      <w:tr>
        <w:trPr>
          <w:trHeight w:val="35"/>
        </w:trPr>
        <w:tc>
          <w:tcPr>
            <w:tcW w:w="50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50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5"/>
        </w:trPr>
        <w:tc>
          <w:tcPr>
            <w:tcW w:w="50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gridSpan w:val="6"/>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5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00" w:type="dxa"/>
            <w:vAlign w:val="bottom"/>
          </w:tcPr>
          <w:p>
            <w:pPr>
              <w:spacing w:after="0"/>
              <w:rPr>
                <w:sz w:val="16"/>
                <w:szCs w:val="16"/>
                <w:color w:val="auto"/>
              </w:rPr>
            </w:pPr>
          </w:p>
        </w:tc>
      </w:tr>
      <w:tr>
        <w:trPr>
          <w:trHeight w:val="293"/>
        </w:trPr>
        <w:tc>
          <w:tcPr>
            <w:tcW w:w="5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1"/>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Employee-related costs</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23.3 %</w:t>
            </w:r>
          </w:p>
        </w:tc>
      </w:tr>
      <w:tr>
        <w:trPr>
          <w:trHeight w:val="245"/>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21.4 %</w:t>
            </w:r>
          </w:p>
        </w:tc>
      </w:tr>
      <w:tr>
        <w:trPr>
          <w:trHeight w:val="25"/>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1"/>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fees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r>
      <w:tr>
        <w:trPr>
          <w:trHeight w:val="245"/>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Facilities and other allocated expenses</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19.7 %</w:t>
            </w:r>
          </w:p>
        </w:tc>
      </w:tr>
      <w:tr>
        <w:trPr>
          <w:trHeight w:val="25"/>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1"/>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58"/>
        </w:trPr>
        <w:tc>
          <w:tcPr>
            <w:tcW w:w="50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r>
      <w:tr>
        <w:trPr>
          <w:trHeight w:val="289"/>
        </w:trPr>
        <w:tc>
          <w:tcPr>
            <w:tcW w:w="5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general and administrative</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14,738</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12,808</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w:t>
            </w:r>
          </w:p>
        </w:tc>
        <w:tc>
          <w:tcPr>
            <w:tcW w:w="5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General and administrative expenses increased by approximately $1.9 million, or 15.1%, to approximately $14.7 million for the nine months ended September 30, 2026, as compared to approximately $12.8 million for the nine months ended September 30, 2025. The increase of approximately $1.9 million was due to a $1.5 million increase in employee-related costs, an increase in stock-based compensation expense of $0.6 million, an increase in professional fees incurred for accounting, auditing, legal and tax services of approximately $0.1 million, and an increase in facilities and other allocated expenses of $36 thousand, offset by a decrease in other expenses of approximately $0.2 million primarily driven by lower public filing costs associated with the various financing efforts from the prior 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Amortization of Intangible Asset</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Amortization of intangible asset was $21,950 for the nine months ended September 30, 2026, and 2025. This amortization is related to the technology acquired for the BioArkive acquisition completed in December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Interest income increased by approximately $2.5 million for the nine months ended September 30, 2026, compared to the nine months ended September 30, 2025, driven primarily by an increased total cash balance resulting from various financing events in August and September 2025.</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income for the nine months ended September 30, 2026 was approximately $1.6 million, compared to no other income for the nine months ended September 30, 2025. This was primarily driven by the accretion of marketable securities during the nine months ended September 30, 2026. There were no marketable securities as of September 30,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Sources of Liquidity</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finance our operations through the issuance of convertible notes payable, convertible preferred stock, common stock, warrants exercisable for common stock, and the exercise of stock options.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September 30, 2026, we had an accumulated deficit of $335.2 million and $166.1 million in cash, cash equivalents and marketable securities. Cash and cash equivalents are comprised primarily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(which have since ceased) and proceeds from sales of our debt and equity securities.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10, 2022, we entered into the 2022 Sales Agreement with the Sales Agent to sell shares of our common stock with aggregate gross proceeds of up to $50 million, from time to time, through the 2022 ATM Program. We did not sell any shares of common stock under the 2022 ATM Program during the three and nine months ended September 30, 2026. We sold 327,355 shares of common stock under the 2022 ATM Program, at a weighted average price per share of $4.27, for aggregate gross proceeds of $1.4 million ($1.3 million net of offering expenses) during the three months ended September 30, 2025. We sold 5,164,159 shares of common stock under the 2022 ATM program, at a weighted average price per share of $3.03, for aggregate gross proceeds of $15.6 million ($15.0 million net of offering expenses) during the nine months ended September 30, 2025. In August 2025, the 2022 Shelf Registration Statement and the 2022 ATM Program expired, and the 2022 Sales Agreement was terminated.</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August 13, 2025, we entered into the 2025 Sales Agreement with the Sales Agent, to sell shares of our common stock with aggregate gross proceeds of up to $100 million, from time to time, through the 2025 ATM Program. In connection with the September 2025 Offering, we: (i) reduced the maximum aggregate offering price for sales of shares of common stock pursuant to at-the-market transactions under the 2025 ATM Program by the Reduced Amount, resulting in a new maximum aggregate offering price of up to $98,749,993 under the 2025 ATM Program, and (ii) suspended the 2025 ATM Program and terminated the continuous offering under the 2025 ATM Program, in each case, as to the Reduced Amount. We did not sell any shares of common stock under the 2025 ATM Program during the three and nine months ended September 30, 2026 or September 30, 2025, respectively.</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August 21, 2025, we entered into the August 2025 Purchase Agreement with the purchasers party thereto, pursuant to which we agreed to sell securities to such purchasers in the August 2025 Private Placement. The August 2025 Purchase Agreement provided for the sale and issuance by us to the purchasers of: (i) an aggregate of 5,251,349 shares of our common stock at a purchase price of $3.95 per share, (ii) for certain purchasers, in lieu of common stock, an aggregate of 1,077,764 Pre-Funded Warrants to purchase up to the same number of shares of our common stock, and (iii) an aggregate of 2,848,096 Purchase Warrants to purchase up to the same number of shares of our common stock. The Pre-Funded Warrants were issued for a purchase price equating to $3.949 per Pre-Funded Warrant (which was the per share purchase price for the common stock issued in the August 2025 Private Placement, less the $0.001 per share unfunded exercise price for each Pre-Funded Warrant); following the October 2025 Cashless Exercise, no Pre-Funded Warrants remained issued and outstanding. The Purchase Warrants were issued with an exercise price of $5.50 per share; as of September 30, 2026, no Purchase Warrants had been exercised. As of September 30, 2026, we had received aggregate net proceeds of $23.4 million from the August 2025 Private Placement, after deducting placement expenses of $1.6 million. The August 2025 Private Placement closed on August 26, 2025.</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Also on August 21, 2025, in connection with the August 2025 Purchase Agreement, we entered into the Registration Rights Agreement with the purchasers in the August 2025 Private Placement. Pursuant to the Registration Rights Agreement, we agreed to prepare and file a registration statement with the SEC for purposes of registering the resale of the common stock and the Warrant Shares purchased by the purchasers in the August 2025 Private Placement, and any shares of common stock issued as a dividend or other distribution with respect to, in exchange for or in replacement of such common stock or Warrant Shares. On September 3, 2025, we filed the 2025 Resale Registration Statement with the SEC in relation to the registration for re-sale of the common stock and Warrant Shares from the August 2025 Private Placement. The SEC declared the 2025 Resale Registration Statement effective on September 8, 2025.</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24, 2025, we entered into the September 2025 Purchase Agreement with Aventis, a wholly-owned subsidiary of Sanofi, pursuant to which we agreed to sell securities to Aventis in the September 2025 Private Placement. The September 2025 Purchase Agreement provided for the sale and issuance by us to Aventis of an aggregate of 2,708,559 shares of our common stock at a purchase price of $9.23 per share. We received aggregate net proceeds of $23.4 million from the September 2025 Private Placement, after deducting placement agent discounts and commissions of $1.5 million and placement costs of $0.1 million. The September 2025 Private Placement closed on September 26,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Pursuant to the September 2025 Purchase Agreement, we also agreed to (i) notify Aventis within three business days of us engaging in discussions with any third party regarding, or the board of directors authorizing us to pursue or initiate a process to pursue, any transaction that would be reasonably expected to result in a change of control of the Company or an affiliate of the Company (a “Change of Control”) or any other license, sale, assignment, transfer, grant or other disposition of the Company’s or an affiliate of the Company’s rights to research, develop, manufacture, commercialize, or otherwise exploit atebimetinib (a “Covered Transaction” and, collectively, a “Strategic Transaction Process”), (ii) provide Aventis the opportunity to participate in such Strategic Transaction Process subject to customary confidentiality and other undertakings on substantially the same procedural terms and timeframe as other participants, and (iii) for a period of 120 days following the date of the September 2025 Purchase Agreement, not enter into any Covered Transaction or commence, continue, or otherwise engage in any discussions, or negotiate with any third party, to enter into any Covered Transaction (provided that this provision shall not limit the entry by us into, or any engagement in discussion or negotiations with any third party regarding, a Change of Control transaction). These provisions contain customary confidentiality restrictions and limitations on disclosure obligations, and will terminate upon the earlier of: (a) such time as Aventis and its affiliates no longer hold at least 50% of the securities purchased from the Company pursuant to the September 2025 Purchase Agreement, (b) 90 days after the public release of the topline results of the overall survival of the Phase 3 clinical trial of atebimetinib in pancreatic cancer, (c) the liquidation, dissolution or winding-up of the affairs of the Company, or the consummation of any Change of Control or any other deemed liquidation event of the Company and (d) such time as all development activities with respect to atebimetinib have been terminated.</w:t>
      </w:r>
    </w:p>
    <w:p>
      <w:pPr>
        <w:spacing w:after="0" w:line="21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In addition, pursuant to the September 2025 Purchase Agreement, Aventis agreed (i) until the date that is six months after the closing date of the September 2025 Private Placement, to be subject to customary lock-up restrictions with respect to sales of shares of our common stock (or similar transactions with the same economic effect), subject to certain customary exceptions, (ii) until the first anniversary of the closing date of the September 2025 Private Placement, to be subject to stand-still restrictions with respect to acquisitions of shares of our common stock and similar activities, subject to certain customary exceptions and fall-away provisions, and (iii) until the first anniversary of the closing date of the September 2025 Private Placement or such earlier time as the stand-still restrictions shall have fallen away, vote with respect to all voting securities of the Company as to which it is entitled to vote in accordance with the recommendation of a majority of our board of directors.</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September 26, 2025, we completed the September 2025 Offering, pursuant to which we issued and sold 18,959,914 shares of our Class A common stock at an offering price of $9.23 per share, with Leerink Partners LLC and Oppenheimer &amp; Co. Inc. acting as underwriters. The aggregate net proceeds received by us from the September 2025 Offering were $164.1 million, after deducting underwriting discounts and commissions, as well as offering costs of $0.4 million.</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2026, we had contractual obligations related to various leases of $0.2 million for 2026, $0.8 million for 2027, $0.8 million for 2028, $0.8 million for 2029, $0.9 million for 2030 and $1.2 million for the periods thereafter.</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add operational, financial and management informational systems and personnel to support our product development. In addition, if and when we seek and obtain regulatory approval to commercialize any product candidate, we will also incur increased expenses in connection with commercialization and marketing of any such product candidate. Our net losses may fluctuate significantly from quarter-to-quarter and year-to-year, depending on the timing of our clinical trials and our expenditures on other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Based on our current business plans, we believe that our existing cash, cash equivalents and marketable securities as of September 30, 2026 will enable us to fund our development activities and other operations into the fourth quarter of 2028. This update to our cash runway guidance (previously expected into 2029) reflects the anticipated cost impact, among other things, of: a longer than previously projected continuation of our ongoing Phase 1/2a clinical trial of atebimetinib in patients with advanced solid tumors; the planned increase to and acceleration of the target patient enrollment in the MAPKeeper 301 trial; and commercial readiness activities. We have based this estimate on assumptions that may prove to be wrong, and we could exhaust our available capital resources sooner than we expect. To finance our operations beyond that point we will need to raise additional capital, which cannot be assured.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some or all planned activities to reduce costs.</w:t>
      </w:r>
    </w:p>
    <w:p>
      <w:pPr>
        <w:spacing w:after="0" w:line="20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sources and uses of cash for the periods indicated: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4"/>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5"/>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5"/>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35"/>
        </w:trPr>
        <w:tc>
          <w:tcPr>
            <w:tcW w:w="8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5"/>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activities</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(51,720)</w:t>
            </w:r>
          </w:p>
        </w:tc>
        <w:tc>
          <w:tcPr>
            <w:tcW w:w="80" w:type="dxa"/>
            <w:vAlign w:val="bottom"/>
          </w:tcPr>
          <w:p>
            <w:pPr>
              <w:spacing w:after="0"/>
              <w:rPr>
                <w:sz w:val="21"/>
                <w:szCs w:val="21"/>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(35,504)</w:t>
            </w:r>
          </w:p>
        </w:tc>
      </w:tr>
      <w:tr>
        <w:trPr>
          <w:trHeight w:val="25"/>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1"/>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45"/>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Financing activities</w:t>
            </w:r>
          </w:p>
        </w:tc>
        <w:tc>
          <w:tcPr>
            <w:tcW w:w="32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426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226,941</w:t>
            </w:r>
          </w:p>
        </w:tc>
      </w:tr>
      <w:tr>
        <w:trPr>
          <w:trHeight w:val="25"/>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8"/>
        </w:trPr>
        <w:tc>
          <w:tcPr>
            <w:tcW w:w="81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(70,418)</w:t>
            </w:r>
          </w:p>
        </w:tc>
        <w:tc>
          <w:tcPr>
            <w:tcW w:w="80" w:type="dxa"/>
            <w:vAlign w:val="bottom"/>
          </w:tcPr>
          <w:p>
            <w:pPr>
              <w:spacing w:after="0"/>
              <w:rPr>
                <w:sz w:val="22"/>
                <w:szCs w:val="22"/>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191,419</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nine months ended September 30, 2026, operating activities used approximately $51.7 million of cash, primarily resulting from our net loss of approximately $54.9 million, changes in assets and liabilities of $1.3 million, and accretion of discount of marketable securities of $1.3 million. This was partially offset by stock-based compensation expense of approximately $5.3 million, depreciation of approximately $0.3 million and the reduction in carrying amount of right-of-use assets of approximately $0.3 million.</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nine months ended September 30, 2025, operating activities used approximately $35.5 million of cash, primarily resulting from our net loss of approximately $44.4 million, partially offset by changes in assets and liabilities of $3.7 million, stock-based compensation expense of approximately $4.7 million, depreciation of approximately $0.2 million and the reduction in carrying amount of right-of-use assets of approximately $0.3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nine months ended September 30, 2026, investing activities used approximately $19.1 million of cash, primarily resulting from purchases of marketable securities of $84.0 million and purchases of property and equipment of approximately $0.1 million, offset by maturities of marketable securities of $65.2 million.</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nine months ended September 30, 2025, investing activities used approximately $18 thousand, primarily resulting from purchases of property and equipment of approximately $18 thousand.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nine months ended September 30, 2026, net cash provided by financing activities was approximately $0.4 million, primarily driven by proceeds of approximately $0.3 million from the sale of common stock pursuant to our employee stock purchase plan and $0.1 million from the exercise of stock options.</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During the nine months ended September 30, 2025, net cash provided by financing activities was approximately $226.9 million, primarily driven by proceeds of approximately: $15.0 million from the sale of common stock under the 2022 ATM Program, net of commissions; $0.4 million from the sale of common stock pursuant to our employee stock purchase plan; $0.1 million from the exercise of stock options; $25.0 million from the sale of common stock, Pre-Funded Warrants and Purchase Warrants in the August 2025 Private Placement; $25.0 million from the sale of common stock in the September 2025 Private Placement; and $164.5 million from the sale of common stock in the September 2025 Offering, net of underwriting commissions. The above were partially offset by payments of offering and placement costs and expenses, as applicable, of $3.1 million in the aggregate.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Future Funding Requirements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spacing w:after="0" w:line="151" w:lineRule="exact"/>
        <w:rPr>
          <w:sz w:val="20"/>
          <w:szCs w:val="20"/>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results of our ongoing clinical trials for atebimetinib, and potential future clinical trials for atebimetinib and our other product candidates;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results and costs of discovery research, preclinical development, laboratory testing and clinical trials for our other product candidates;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 of our product candidates;</w:t>
      </w:r>
    </w:p>
    <w:p>
      <w:pPr>
        <w:spacing w:after="0" w:line="21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contract manufacturing arrangements for supply of active pharmaceutical ingredient ("API"), and manufacture of our product candidates and the terms of such arrangements;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or receipt of milestones and receipt of other collaboration-based revenues, if any;</w:t>
      </w:r>
    </w:p>
    <w:p>
      <w:pPr>
        <w:spacing w:after="0" w:line="21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future commercialization activities, if any, including product manufacturing, sales, marketing and distribution, for any of our product candidates for which we may receive marketing approval;</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revenue, if any, received from commercial sales of our product candidates for which we receive marketing approval;</w:t>
      </w:r>
    </w:p>
    <w:p>
      <w:pPr>
        <w:spacing w:after="0" w:line="21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preparing, filing and prosecuting patent applications, maintaining and enforcing our intellectual property and proprietary rights and defending any intellectual property related claims;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acquire or in-license other products, product candidates, technologies or data referencing rights;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strategic collaborations, licensing or other arrangements and the financial terms of such arrangements;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the private and public capital markets or to obtain financing at commercially reasonable rate;</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receive additional non-dilutive funding, including grants from organizations and foundations;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operating as a public company;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ongoing or future pandemics or other widespread adverse health events.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Based on our currently forecasted operating plan, we believe that our existing cash, cash equivalents and marketable securities as of September 30, 2026 will enable us to fund our operating expenses and capital expenditure requirements into the fourth quarter of 2028. Based on our recurring losses from operations incurred since inception, our expectation of continuing operating losses for the foreseeable future and the need to raise additional capital to finance future operations, as of October 29, 2026, the issuance date of the interim condensed consolidated financial statements for the three and nine-months ended September 30, 2026 included elsewhere in this Quarterly Report on Form 10-Q, management considered whether or not there are conditions or events, in the aggregate, that raise substantial doubt about the entity’s ability to continue as a going concern, and concluded that there are none as it estimates that its cash, cash equivalents and marketable securities will be sufficient to fund its operating expenses and capital expenditure requirements for at least 12 months from the issuance date of these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Use of Estimates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are described under the heading “Management’s Discussion and Analysis of Financial Condition and Results of Operations—Critical Accounting Policies and Use of Estimates” in our Annual Report on Form 10-K for the fiscal year ending December 31, 2025.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our Annual Report on 10-K for the fiscal year ending December 31, 2025.</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description of recently issued accounting pronouncements that may potentially impact our financial position, results of operations or cash flows is disclosed in Note 2 to our interim condensed consolidated financial statements appearing elsewhere in this Quarterly Report on Form 10-Q.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an emerging growth company ("EGC"), under the Jumpstart Our Business Startups Act of 2012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will continue to qualify as an EGC until December 31, 2026, which is the end of the fiscal year following the fifth anniversary of our IPO.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as defined by Rule 12b-2 of the Securities Exchange Act of 1934, as amended, we are not required to provide this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Effectiveness of Controls and Procedures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our principal financial officer, evaluated the effectiveness of our disclosure controls and procedures (as defined in Rules 13a-15(e) and 15d-15(e) under the Exchange Act) as of September 30, 2026. Based on that evaluation, our Principal Executive Officer and our Principal Financial Officer concluded that, as of September 30, 2026, our disclosure controls and procedures were effective at the reasonable assurance level.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three months ended September 30, 2026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Condition and Capital Requirements</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a late-stage clinical oncology company with a limited operating history in developing pharmaceutical products, have not completed any registrational clinical trials and have no products approved for commercial sale, which may make it difficult for you to evaluate our current business and predict our future success and viability.</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Pharmaceutical product development is a highly speculative undertaking and involves a substantial degree of risk. We are a late-stage clinical oncology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studies and clinical trials of our product candidates, including our ongoing clinical trials of atebimetinib (also referred to as IMM-1-104) for the treatment of advanced solid tumors. We have not yet demonstrated our ability to successfully complete any registrational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net losses for the past several years and we expect to continue to incur significant net losses for the foreseeable future and may never obtain profitability.</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incurred net losses in each reporting period for the past several years, have not generated any revenue from product sales to date and have financed our operations principally through our historical computational biology services to pharmaceutical and biotechnology companies (which have since ceased), the issuance of convertible debt and the sale of our convertible preferred stock, Class A common stock and warrants exercisable for common stock. We have incurred net losses of approximately $54.9 million and $56.0 million for the nine months ended September 30, 2026 and year ended December 31, 2025, respectively. As of September 30, 2026, we had an accumulated deficit of approximately $335.2 million. Our losses have resulted principally from expenses incurred in research and development of our product candidates, from management and administrative costs and from other expenses that we have incurred while building our business infrastructure. We are currently conducting clinical trials for our product candidate atebimetinib for the treatment of advanced solid tumors. Our other product candidates are in earlier stages of drug development.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to continue to incur significant losses for the foreseeable future, and we expect these losses to increase substantially if and as we:</w:t>
      </w:r>
    </w:p>
    <w:p>
      <w:pPr>
        <w:spacing w:after="0" w:line="178" w:lineRule="exact"/>
        <w:rPr>
          <w:sz w:val="20"/>
          <w:szCs w:val="20"/>
          <w:color w:val="auto"/>
        </w:rPr>
      </w:pPr>
    </w:p>
    <w:p>
      <w:pPr>
        <w:ind w:left="120" w:hanging="117"/>
        <w:spacing w:after="0" w:line="287" w:lineRule="auto"/>
        <w:tabs>
          <w:tab w:leader="none" w:pos="10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the development of our current and future product candidates, including atebimetinib, through preclinical and clinical development, and, if approved by the FDA, EMA or other comparable foreign regulatory authorities, commercialization;</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manufacturing costs for our product candidates;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approvals for any of our product candidates that successfully complete clinical trials;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research and development activities to identify and develop new product candidates;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personnel;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operational, financial and management systems;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 in measures to protect and expand our intellectual property;</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medical affairs and distribution infrastructure to commercialize any product candidates for which we may obtain marketing approval and intend to commercialize;</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costs in connection with capital raising activities and potential business restructuring activities, if required;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manufacturing and develop our commercialization efforts, if any; and</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as a public company.</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To become and remain profitable, we must succeed in developing and eventually commercializing product candidates that generate significant revenue. This will require us to be successful in a range of challenging activities, including completing preclinical studies and clinical trials of our product candidates, discovering additional product candidates, obtaining regulatory approval for these product candidates, manufacturing, marketing and selling any products for which we may obtain regulatory approval, achieving market acceptance of any such approved products and receiving reimbursements in amounts above our costs. We are only in the preliminary stages of most of these activities. We may never succeed in these activities and, even if we do, we may never generate revenue that is significant enough to achieve profitability. Because of the numerous risks and uncertainties associated with pharmaceutical product candidate development, we are unable to accurately predict the timing or amount of increased expenses or when, or if, we will be able to achieve profitability. If we are required by the FDA, EMA or other regulatory authorities to perform preclinical studies or clinical trials in addition to those currently expected, or if there are any delays in completing our ongoing preclinical studies or clinical trials or the development of any of our product candidates, our expenses could increase and revenue could be further delayed. 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even continue our operations.</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preclinical studies and clinical trials, including any registrational trials,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EMA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current and anticipated clinical trials are highly uncertain, we cannot reasonably estimate the actual amounts necessary to successfully complete the development and commercialization of any product candidate we develop. We also expect to continue to incur the costs associated with operating as a public company. Accordingly, we will need to obtain substantial additional funding in order to maintain our continuing operations in the future.</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of September 30, 2026, we had $166.1 million in cash, cash equivalents, and marketable securities. Based on our current business plans, we believe that our existing cash, cash equivalents, and marketable securities will be sufficient to fund our development activities and other operations into the fourth quarter of 2028. 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For example, in October 2026, we shortened our previously disclosed cash runway guidance to reflect the anticipated cost impact, among other things, of: a longer than previously projected continuation of our ongoing Phase 1/2a clinical trial of atebimetinib in patients with advanced solid tumors; a planned increase to and the acceleration of the target patient enrollment in the MAPKeeper 301 trial; and commercial readiness activities. Changing circumstances, some of which may be beyond our control, could cause us to consume capital significantly faster than we currently anticipate, and we may need to seek additional funds sooner than planned.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future funding requirements will depend on many factors, including, but not limited to:</w:t>
      </w:r>
    </w:p>
    <w:p>
      <w:pPr>
        <w:spacing w:after="0" w:line="191" w:lineRule="exact"/>
        <w:rPr>
          <w:sz w:val="20"/>
          <w:szCs w:val="20"/>
          <w:color w:val="auto"/>
        </w:rPr>
      </w:pPr>
    </w:p>
    <w:p>
      <w:pPr>
        <w:ind w:left="120" w:hanging="117"/>
        <w:spacing w:after="0" w:line="287" w:lineRule="auto"/>
        <w:tabs>
          <w:tab w:leader="none" w:pos="10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progress, timeline, cost and results of our clinical trials for our product candidates, including our ongoing registrational trial of atebimetinib in combination with mGnP in first-line pancreatic cancer;</w:t>
      </w:r>
    </w:p>
    <w:p>
      <w:pPr>
        <w:spacing w:after="0" w:line="112"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progress, timeline, cost and results of additional research and/or preclinical studies related to pipeline development and other research programs we initiate in the future;</w:t>
      </w:r>
    </w:p>
    <w:p>
      <w:pPr>
        <w:spacing w:after="0" w:line="112"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manufacturing activities as we advance our product candidates through preclinical and clinical development, and possible commercialization;</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expansion of our current development programs to seek new indications;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tabs>
          <w:tab w:leader="none" w:pos="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negative impact of widespread adverse economic or health events (including due to military conflict or pandemics) on our business;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timing and cost of meeting regulatory requirements established by the FDA, EMA, and other comparable foreign regulatory authorities;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filing, prosecuting, defending and enforcing patent claims and other intellectual property rights, in-licensed or otherwise;</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competing technological and market developments;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licensing fees, potential royalty payments and potential milestone payments;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general operating expenses;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completion of commercial-scale manufacturing activities, if any;</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establishing sales, marketing, and distribution capabilities for any product candidates for which we may receive regulatory approval in regions where we choose to commercialize our products on our own; and</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operating as a public company.</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Advancing the development of our product candidates will require a significant amount of capital. Our existing cash, cash equivalents, and marketable securities will not be sufficient to fund all of the activities that are necessary to complete the development and potential commercialization of our product candidates.</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For example in the past, due to macroeconomic conditions including inflation and higher interest rates, the stock price of biotech companies, including ours, generally declined, making fundraising in our industry more difficult and on less favorable terms. Furthermore, additional fundraising efforts may divert our management from their day-to-day activities, which may adversely affect our ability to develop and potentially commercialize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In that event, we may have to delay, scale back, or eliminate some or all of our operations, sell assets and/or seek other strategic alternatives.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maintain the majority of our cash, cash equivalents, and marketable securities in accounts with major U.S. and multi-national financial institutions, and our deposits at certain of these institutions exceed insured limits. Market conditions have in the past impacted and may in the future impact the viability of these institutions. In the event of failure of any of the financial institutions where we maintain our cash, cash equivalents, and marketable securities, there can be no assurance that we would be able to access uninsured funds in a timely manner or at all. Any inability to access or delay in accessing these funds could adversely affect our business and financial position.</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may seek additional capital through a variety of means, including through public or private equity offerings, debt financings or other sources, including up-front payments and milestone payments from strategic collaborations. To the extent that we raise additional capital through the sale of equity or convertible debt or equity securities, for example as we did in August and September 2025, your ownership interest may be diluted, and the terms may include liquidation or other preferences that adversely affect your rights as a stockholder. In addition to dilution, such financings may result in the imposition of debt covenants, increased fixed payment obligations, other restrictions (including operating restrictions) or other obligations (for example, providing registration or other information rights to certain investors, as we did in connection with private placements of equity securities in 2025)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losses and other tax attributes may be limited.</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of December 31, 2025, we had approximately $174.8 million of federal and $56.7 million of state net operating loss carryforwards ("NOLs"), available to offset future taxable income. Under Sections 382 and 383 of the U.S. Internal Revenue Code of 1986, as amended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Development, Regulatory Approval and Commercialization</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EMA and other comparable foreign regulatory authorities are lengthy, time consuming and inherently unpredictable with respect to outcomes.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not permitted to commercialize, market, promote or sell any product candidate in the United States without obtaining marketing approval from the FDA. Foreign regulatory authorities, such as the EMA, impose similar requirements. The time required to obtain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EMA and other comparable foreign regulatory authorities may approve our product candidates for a more limited indication or a narrower patient population than we originally requested.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Applications for our product candidates could fail to receive, or be delayed in receiving, regulatory approval for many reasons, including the following:</w:t>
      </w:r>
    </w:p>
    <w:p>
      <w:pPr>
        <w:spacing w:after="0" w:line="178" w:lineRule="exact"/>
        <w:rPr>
          <w:sz w:val="20"/>
          <w:szCs w:val="20"/>
          <w:color w:val="auto"/>
        </w:rPr>
      </w:pPr>
    </w:p>
    <w:p>
      <w:pPr>
        <w:ind w:left="120" w:hanging="117"/>
        <w:spacing w:after="0" w:line="287" w:lineRule="auto"/>
        <w:tabs>
          <w:tab w:leader="none" w:pos="10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other comparable foreign regulatory authorities may disagree with the design, implementation or results of our clinical trials, including without limitation with respect to the appropriate dosing in patients or the use of our product candidates as potential combination therapies;</w:t>
      </w:r>
    </w:p>
    <w:p>
      <w:pPr>
        <w:spacing w:after="0" w:line="125"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other comparable foreign regulatory authorities may determine that our product candidates are not safe and/or not effective, only moderately effective or have undesirable or unintended side effects, toxicities or other characteristics that preclude our obtaining marketing approval or prevent or limit commercial use;</w:t>
      </w:r>
    </w:p>
    <w:p>
      <w:pPr>
        <w:spacing w:after="0" w:line="126"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population studied in a clinical trial may not be sufficiently broad or representative to assure efficacy and safety in the full population for which we seek approval;</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other comparable foreign regulatory authorities may disagree with our interpretation of data from preclinical studies or clinical trials;</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sufficient to support the submission of a NDA or other submission or to obtain regulatory approval in the United States, European Union or elsewhere;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line="287" w:lineRule="auto"/>
        <w:tabs>
          <w:tab w:leader="none" w:pos="10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to the FDA, EMA or other comparable foreign regulatory authorities that a product candidate’s risk-benefit ratio for its proposed indication is acceptable;</w:t>
      </w:r>
    </w:p>
    <w:p>
      <w:pPr>
        <w:spacing w:after="0" w:line="125"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12"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policies or regulations of the FDA, EMA or other comparable foreign regulatory authorities may significantly change in a manner rendering our clinical data insufficient for approval.</w:t>
      </w:r>
    </w:p>
    <w:p>
      <w:pPr>
        <w:spacing w:after="0" w:line="1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EMA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even if we obtain approval of our product candidates, regulatory authorities may approve any of our product candidates for fewer or more limited indications than we request, may impose significant limitations in the form of narrow indications, warnings, or a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submit additional INDs or IND amendments or comparable documents in foreign jurisdictions to commence additional clinical trials on the timelines we expect, and even if we are able to, the FDA may not permit us to proceed.</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may not be able to submit additional INDs, IND amendments or comparable documents for atebimetinib, for which an IND was previously submitted, or for our other current or potential product candidates on the timelines we expect. We may also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in designing clinical trials and may experience delays or unexpected difficulties in obtaining regulatory approval for our current and future product candidates.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limited experience in designing clinical trials and may be unable to design and execute a clinical trial to support marketing approval, including, for example, our registrational trial of atebimetinib in combination with mGnP in first-line pancreatic cancer. We cannot be certain that our ongoing or planned clinical trials or any future clinical trials will be successful. For example, in April 2025 we paused further internal advancement of envometinib (IMM-6-415) and the related Phase 1/2a clinical trial. Further, it is possible that the FDA may refuse to accept, or be delayed in accepting,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applications in foreign jurisdictions with comparable regulatory agencies, including without limitation the EMA.</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encounter substantial delays in completing, or ultimately be unable to complete, the development and commercialization of our product candidates.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Before obtaining marketing approval from the FDA, EMA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do not know whether our current or future clinical trials will begin on time or enroll patients on time, or whether our current or future clinical trials will be completed on schedule or at all. Clinical trials can be delayed for a variety of reasons, including delays related to:</w:t>
      </w:r>
    </w:p>
    <w:p>
      <w:pPr>
        <w:spacing w:after="0" w:line="125" w:lineRule="exact"/>
        <w:rPr>
          <w:sz w:val="20"/>
          <w:szCs w:val="20"/>
          <w:color w:val="auto"/>
        </w:rPr>
      </w:pPr>
    </w:p>
    <w:p>
      <w:pPr>
        <w:ind w:left="120" w:hanging="117"/>
        <w:spacing w:after="0" w:line="287" w:lineRule="auto"/>
        <w:tabs>
          <w:tab w:leader="none" w:pos="10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comparable foreign regulatory authorities disagreeing as to the design, implementation or results of our clinical trials, including without limitation with respect to the appropriate or proper escalation of dosing in patients or the use of our product candidates as potential combination therapies;</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regulatory authorizations to commence a trial or reaching a consensus with regulatory authorities on trial design;</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or delay in reaching an agreement with CROs and clinical trial sites, the terms of which can be subject to extensive negotiation and may vary significantly among different CROs and trial sites;</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approval from one or more IRBs;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IRBs refusing to approve, suspending or terminating the trial at an investigational site, precluding enrollment of additional subjects, or withdrawing their approval of the trial;</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enrollment due to travel or quarantine policies, or other factors related to current or future pandemics or other events outside our control;</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clinical trial protocol;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sites deviating from trial protocol or dropping out of a trial;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sufficient quantities of product candidates or obtaining sufficient quantities of combination therapies for use in clinical trials;</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failing to enroll or remain in our trial at the rate, with the tumor types, and/or at the stage(s) of disease that we expect, or failing to return for post-treatment follow-up;</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choosing an alternative treatment for the indication for which we are developing our product candidates, or participating in competing clinical trials;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adequate funding to continue the clinical trial;</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experiencing severe or unexpected drug-related adverse effects;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occurrence of serious adverse events in trials of the same class of agents conducted by other companies;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selection of clinical end points that require prolonged periods of clinical observation or analysis of the resulting data;</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20" w:hanging="117"/>
        <w:spacing w:after="0" w:line="270" w:lineRule="auto"/>
        <w:tabs>
          <w:tab w:leader="none" w:pos="10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facility manufacturing our product candidates or any of their components being ordered by the FDA, EMA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39"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to our manufacturing process that may be necessary or desired;</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clinical investigators losing the licenses or permits necessary to perform our clinical trials, not performing our clinical trials on our anticipated schedule or consistent with the clinical trial protocol, GCP, or other regulatory or contractual requirements;</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contractors not performing data collection or analysis in a timely or accurate manner; or</w:t>
      </w:r>
    </w:p>
    <w:p>
      <w:pPr>
        <w:spacing w:after="0" w:line="191"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contractors becoming debarred or suspended or otherwise penalized by the FDA, EMA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the occurrence of any public health crisis or similar global events, such as a future pandemic and its variants,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could also encounter delays if a clinical trial is suspended or terminated by us, by the IRBs of the institutions in which such trials are being conducted, by a Data Safety Monitoring Board for such trial or by the FDA, EMA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Further, conducting clinical trials (such as MAPKeeper 301) in foreign countries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including with respect to healthcare, cybersecurity and data privacy matters, as well as political and economic risks or military conflicts relevant to such foreign countries.</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Additionally, if the results of our clinical trials are inconclusive or if there are safety concerns or serious adverse events associated with our product candidates, we may:</w:t>
      </w:r>
    </w:p>
    <w:p>
      <w:pPr>
        <w:spacing w:after="0" w:line="113" w:lineRule="exact"/>
        <w:rPr>
          <w:sz w:val="20"/>
          <w:szCs w:val="20"/>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delayed in obtaining marketing approval, if at all;</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for indications or patient populations that are not as broad as intended or desired;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with labeling that includes significant use or distribution restrictions or safety warnings;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additional post-marketing testing requirements;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required to perform additional preclinical studies or clinical trials to support approval or be subject to additional post-marketing testing requirements;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regulatory authorities withdraw, or suspend, their approval of the drug or impose restrictions on its distribution in the form of a modified REMS;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the addition of labeling statements, such as warnings or contraindications;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tabs>
          <w:tab w:leader="none" w:pos="1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sued; or</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damage to our reputation.</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candidates. Regulatory agencies such as the FDA and EMA have substantial discretion in the review and approval process and may disagree that our data support the claims we propose.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EMA or comparable foreign regulatory authorities. The FDA, EMA or comparable foreign regulatory authorities may conclude that a financial relationship between us and a principal investigator has created a conflict of interest or otherwise affected interpretation of the study. The FDA, EMA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EMA or comparable foreign regulatory authorities, as the case may be, and may ultimately lead to the denial of marketing approval of one or more of our product candidates.</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outcome of preclinical studies and earlier clinical trials may not be predictive of the success of later clinical trials, and the results of our clinical trials may not satisfy the requirements of the FDA or other comparable foreign regulatory authorities.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or later-stage clinical trials, such as our registrational trial of atebimetinib in combination with mGnP in first-line pancreatic cancer, will be successful. We do not know whether any of our product candidates will perform in current or future clinical trials as they have performed in preclinical studies or prior clinical trials. Product candidates in later-stage clinical trials may fail to demonstrate sufficient safety and efficacy to the satisfaction of the FDA, EMA or other comparable foreign regulatory authorities despite having progressed through preclinical studies and early-stage clinical trials.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Additionally, any safety concerns observed in any one of our clinical trials in our targeted indications could limit the prospects for regulatory approval of our product candidates in those and other indications, which could seriously harm our business. Most product candidates that begin clinical trials are never approved by regulatory authorities for commercialization.</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EMA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EMA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Additionally, the full impact of emerging therapeutic options in indications that we are pursuing or may pursue, for example daraxonrasib in pancreatic and lung cancer, is unclear and may negatively affect the expected timing and/or interpretability of data from our ongoing or future clinical trials (including, without limitation, MAPKeeper 301), or otherwise limit the commercial potential of our current or future product candidates.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13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we may also disclose interim data from our preclinical studies and clinical trials. For example, we disclosed updated interim safety and efficacy data from the Phase 2a portion of our ongoing Phase 1/2a clinical trial of atebimetinib in June 2026.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and/or interim data and final data could significantly harm our business prospects. Further, disclosure of interim data by us or by our competitors could result in volatility in the trading price of our Class A common stock.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potentially commercialize, our product candidates may be harmed, which could harm our business, results of operations, prospects or financial condition. Moreover, such disclosure could adversely affect the trading price of our Class A common stock.</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is the case with pharmaceuticals generally, patients have experienced and likely will in the future experience side effects and/or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EMA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Patients in our clinical trials may in the future suffer significant drug-related adverse events or other side effects, including those not observed in our preclinical studies or previous clinical trials. Some of our product candidates may be used as chronic therapies or be used in pediatric populations, for which safety concerns may be particularly scrutinized by regulatory agencies. In addition, our product candidates, when used in combination with other therapies, may exacerbate adverse events associated with the therapy. Patients treated with our product candidates may also be undergoing surgical, radiation, chemotherapy or other aggressive treatments, which can cause side effects or adverse events that are unrelated to our product candidate, but may still negatively impact the success of our clinical trials. Similarly, already critically ill patients that we enroll in our clinical trials have in the past and may in the future experience adverse medical events due to the general gravity or advanced stage of such patients’ illnesses, in each case which could adversely affect our clinical trials even though such outcomes are not related or attributable to our product candidates.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significant drug-related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spacing w:after="0" w:line="149" w:lineRule="exact"/>
        <w:rPr>
          <w:sz w:val="20"/>
          <w:szCs w:val="20"/>
          <w:color w:val="auto"/>
        </w:rPr>
      </w:pPr>
    </w:p>
    <w:p>
      <w:pPr>
        <w:ind w:left="120" w:hanging="117"/>
        <w:spacing w:after="0"/>
        <w:tabs>
          <w:tab w:leader="none" w:pos="1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forced to suspend marketing of that product, or be forced to or decide to remove the product from the marketplace;</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or change their approvals of that product in one or more countries;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create a medication guide outlining the risks of the product for patients, or to conduct post-marketing studies;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change the way the product is administered;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subject to fines, injunctions, or the imposition of criminal or civil penalties, or to be sued and held liable for harm caused to subjects or patients; and</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 may become less competitive, and our reputation may suffer.</w:t>
      </w:r>
    </w:p>
    <w:p>
      <w:pPr>
        <w:spacing w:after="0" w:line="243"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7"/>
          <w:szCs w:val="17"/>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2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Additionally, our clinical trials will compete with other clinical trials for product candidates that focus on the same therapeutic targets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spacing w:after="0" w:line="140" w:lineRule="exact"/>
        <w:rPr>
          <w:sz w:val="20"/>
          <w:szCs w:val="20"/>
          <w:color w:val="auto"/>
        </w:rPr>
      </w:pPr>
    </w:p>
    <w:p>
      <w:pPr>
        <w:ind w:left="120" w:hanging="117"/>
        <w:spacing w:after="0"/>
        <w:tabs>
          <w:tab w:leader="none" w:pos="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size and nature of the patient population;</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severity of the disease under investigation;</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and efficacy of other developmental or approved drugs for the disease under investigation;</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eligibility criteria for the trial in question as defined in the protocol;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risks and benefits of the product candidate under study;</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to facilitate timely enrollment in clinical trials;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referral practices of physicians;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monitor patients adequately during and after treatment;</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proximity and availability of clinical trial sites for prospective patients;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enrollment of prospective patients by clinical trial sites;</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patients enrolled in clinical trials will drop out of the trials before completion or will not survive the full terms of the clinical trials (including without limitation because they may be late-stage cancer patients); and</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difficulties in enrollment and completion of studies due to ongoing and future pandemics, or other widespread adverse health events.</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spacing w:after="0" w:line="13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113" w:lineRule="exact"/>
        <w:rPr>
          <w:sz w:val="20"/>
          <w:szCs w:val="20"/>
          <w:color w:val="auto"/>
        </w:rPr>
      </w:pPr>
    </w:p>
    <w:p>
      <w:pPr>
        <w:ind w:left="120" w:hanging="117"/>
        <w:spacing w:after="0" w:line="287" w:lineRule="auto"/>
        <w:tabs>
          <w:tab w:leader="none" w:pos="10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safety profile as demonstrated in our clinical trials compared to alternative treatments, which alternative treatments could impact the interpretability of data from such clinical trials (including, without limitation, MAPKeeper 301);</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 of the product candidate as well as competitive products;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the product candidate is approved;</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use of our product candidates, such as boxed warnings or contraindications in labeling, or a REMS, if any, which may not be required of alternative treatments and competitor products;</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and perceived advantages of product candidates over alternative treatments;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treatment in relation to alternative treatments;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coverage and adequate reimbursement, as well as pricing, by third-party payors, including government authorities;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the approved product candidate for use as a combination therapy;</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convenience and ease of administration;</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the target patient population to try new therapies and of physicians to prescribe these therapies;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sales and marketing efforts;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publicity relating to our products or product candidates or similar approved products or product candidates in development by third parties; and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other new therapies for the same indications.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obtain U.S. or foreign regulatory approvals and, as a result, may be unable to commercialize our product candidates.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have not completed large-scale or pivotal clinical trials nor completed the regulatory approval process with the FDA, EMA or any other regulatory authority. The time required to obtain approvals from the FDA, EMA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applicable regulatory authority policy during the period of drug development, clinical trials and regulatory review.</w:t>
      </w:r>
    </w:p>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processes described above, as well as risks attributable to the satisfaction of local regulations in foreign jurisdictions. Moreover, the time required to obtain approval may differ from that required to obtain FDA or EMA approval.</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approach to the discovery and development of product candidates is unproven, and we may not be successful in our efforts to use and expand our Disease Cancelling Technology ("DCT") platform and capabilities to build a pipeline of product candidates with commercial value.</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preclinical and clinical development of atebimetinib and other product candidates,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only generated interim data from the ongoing Phase 1/2a trial of atebimetinib, and otherwise our data for this product candidate is limited to animal models and preclinical cell lines, the results of which may not translate into humans. As a result, it is possible that safety or other adverse events or concerns could negatively affect the development of atebimetinib or our other current or future product candidates, including adversely affecting patient enrollment among the patient populations that we intend to treat.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Given the novelty of our technologies, we intend to work closely with the FDA, EMA and comparable foreign regulatory authorities to perform the requisite scientific analyses and evaluation of our methods to obtain regulatory approval for our product candidates; however, due to a lack of comparable experiences, the regulatory pathway with the FDA, EMA and comparable regulatory authorities may be more complex and time-consuming relative to other more well-known therapeutics. Even if we obtain human data to support our product candidates, the FDA, EMA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EMA and other comparable foreign regulatory authorities. We cannot be certain that our approach will lead to the development of approvable or marketable products, alone or in combination with other therapies.</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EMA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intend to develop certain of our current product candidates in combination with other therapies, and may develop our future product candidates in combination with other therapies, which exposes us to additional risks.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intend to develop atebimetinib as a potential biologic/drug combination product, and we may also develop other current or future product candidates as biologic/drug combination products. Additional time may be required to obtain regulatory approval for any of our current or future product candidates if or when they are developed as potential combination products. Any of our product candidates that may be biologic/drug combination products will require coordination within the FDA, EMA and other comparable foreign regulatory authorities for review of their biologic and drug components. Although the FDA, EMA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even if any product candidate we develop were to receive marketing approval or be commercialized for use in combination with other existing therapies, we would continue to be subject to the risks that the FDA, EMA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EMA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also may choose to evaluate our current product candidates or any other future product candidates in combination with one or more therapies that have not yet been approved for marketing by the FDA, EMA or comparable foreign regulatory authorities. We will not be able to market and sell our product candidates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EMA or other regulatory approval.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the FDA, EMA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1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may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EMA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Similar considerations exist with respect to the potential use of accelerated approval pathways in other jurisdictions outside of the United States.</w:t>
      </w:r>
    </w:p>
    <w:p>
      <w:pPr>
        <w:spacing w:after="0" w:line="17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spacing w:after="0" w:line="1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Third parties with product candidates or products targeting the MAPK pathway may produce negative preclinical or clinical data which may adversely affect public perception of our product candidates, and may negatively impact regulatory approval of, or demand for, our potential products.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Certain of our product candidates, including atebimetinib, are based on the DCI of the MAPK pathway as a model of therapeutic intervention. Our DCI approach may not be viewed as distinct from other existing therapies targeting the MAPK pathway, and negative third party data from preclinical studies and/or clinical trials using other MAPK-targeted therapies could negatively impact the perception of the therapeutic use of such product candidates or products on the whole. This could, among other things, negatively impact our ability to enroll patients in clinical trials. The clinical and commercial success of our product candidates will depend in part on the public’s and clinical community’s acceptance of the use of DCI therapies. Moreover, our success depends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 Adverse events in our clinical trials, or those of our competitors or of academic researchers utilizing MAPK-targeted therapies, even if not ultimately similar or attributable to our DCI product candidates, and the resulting publicity, could result in increased governmental regulation, unfavorable public perception, increased volatility in our stock price, potential regulatory delays in the testing or approval of our potential product candidates, stricter labeling requirements for our product candidates that are approved, if any, and a decrease in demand for any such products, if approved.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that we seek to treat with our product candidates, and ultimately commercialize any product candidates we develop, or experience significant delays in doing so, our business will be materially harmed.</w:t>
      </w:r>
    </w:p>
    <w:p>
      <w:pPr>
        <w:spacing w:after="0" w:line="1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early in our development efforts and we have not yet completed a Phase 3 clinical trial for our lead product candidate atebimetinib. Further, we have only disclosed interim Phase 2a data for atebimetinib, and in April 2025 we paused further internal advancement of envometinib and the related Phase 1/2a clinical trial. Our other product candidates are in earlier stages of drug development. We have invested substantially all of our efforts and financial resources in the identification of targets, preclinical and clinical development of small molecules targeting the MAPK and other pathways in cancer therapy.</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success of our current and future product candidates will depend on several factors, including without limitation the following:</w:t>
      </w:r>
    </w:p>
    <w:p>
      <w:pPr>
        <w:spacing w:after="0" w:line="178" w:lineRule="exact"/>
        <w:rPr>
          <w:sz w:val="20"/>
          <w:szCs w:val="20"/>
          <w:color w:val="auto"/>
        </w:rPr>
      </w:pPr>
    </w:p>
    <w:p>
      <w:pPr>
        <w:ind w:left="120" w:hanging="117"/>
        <w:spacing w:after="0"/>
        <w:tabs>
          <w:tab w:leader="none" w:pos="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and timely completion of additional preclinical studies;</w:t>
      </w:r>
    </w:p>
    <w:p>
      <w:pPr>
        <w:spacing w:after="0" w:line="191"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initiation, patient enrollment and completion on a timely basis of our ongoing and any future clinical trials (including our ongoing registrational trial of atebimetinib in combination with mGnP in pancreatic cancer), despite any delays including those arising out of ongoing or future pandemics, or other widespread adverse health events;</w:t>
      </w:r>
    </w:p>
    <w:p>
      <w:pPr>
        <w:spacing w:after="0" w:line="126"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and establishing relationships with CROs and clinical sites for clinical development, both in the United States and internationally;</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frequency and severity of adverse events in the clinical trials;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safety and tolerability profiles that are satisfactory to the FDA, EMA or any comparable foreign regulatory authority for marketing approval;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timely receipt of marketing approvals from applicable regulatory authorities;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of any required post-marketing approval commitments to applicable regulatory authorities;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maintenance of existing or the establishment of new supply arrangements with third-party drug product suppliers and manufacturers for clinical development;</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maintenance of existing, or the establishment of new, scaled production arrangements with third-party manufacturers to obtain finished products that are appropriate for commercial sale of our product candidates, if approved;</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patent protection, trade secret protection and regulatory exclusivity, both in the United States and internationally;</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protection of our rights in our intellectual property portfolio;</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launch of commercial sales following any marketing approval;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continued acceptable safety profile following any marketing approval;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acceptance by patients, the medical community and third-party payors; and</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with other therapies.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atebimetinib or any other product candidate we develop, we may not be able to continue our operations.</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substantially dependent on our platform, including our proprietary technologies, which are supported by our information technology systems. Any failure of these or other elements of our platform will materially harm our business.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substantially dependent on our platform, including our proprietary technologies,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spacing w:after="0" w:line="13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long-term prospects depend in part upon discovering, developing and commercializing product candidates, which may fail in development or suffer delays that adversely affect their commercial viability.</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future results of operations are dependent on our ability to successfully discover, develop, obtain regulatory approval for and commercialize product candidates beyond those we currently have in preclinical studies and clinical trial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earlier clinical trials of a product candidate may not be predictive of the results that will be obtained in later stage clinical trials of the product candidate.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success of the product candidates we have or may develop will depend on many factors, including without limitation the following:</w:t>
      </w:r>
    </w:p>
    <w:p>
      <w:pPr>
        <w:spacing w:after="0" w:line="178" w:lineRule="exact"/>
        <w:rPr>
          <w:sz w:val="20"/>
          <w:szCs w:val="20"/>
          <w:color w:val="auto"/>
        </w:rPr>
      </w:pPr>
    </w:p>
    <w:p>
      <w:pPr>
        <w:ind w:left="120" w:hanging="117"/>
        <w:spacing w:after="0"/>
        <w:tabs>
          <w:tab w:leader="none" w:pos="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research methodology in identifying potential indications or product candidates;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generating sufficient data to support the initiation or continuation of clinical trials;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tabs>
          <w:tab w:leader="none" w:pos="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regulatory permission to initiate clinical trials;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contracting with the necessary parties to conduct clinical trials;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enrollment of patients in, and the completion of, clinical trials on a timely basis;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timely manufacture of sufficient quantities of the product candidate for use in clinical trials;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events in the clinical trials; and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potential interruptions or delays resulting from factors related to ongoing or future pandemics, or other widespread adverse health events.</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pacing w:after="0" w:line="1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never commercialized a product candidate, and we currently have no sales force, marketing or distribution capabilities. We will have to develop our own sales, marketing and supply organization or outsource some or all of these activities to a third party to commercialize our products. If we decide to license our product candidates to others, we may need to rely on the marketing assistance and guidance of those collaborators.</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at all. If we are unable to build our own distribution and marketing capabilities or to find suitable partners for the commercialization of our product candidates, we may not generate revenues from them or be able to reach or sustain profitability.</w:t>
      </w:r>
    </w:p>
    <w:p>
      <w:pPr>
        <w:spacing w:after="0" w:line="1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technologies or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or may attempt to develop product candidates. In addition, our products may need to compete with off-label drugs used by physicians to treat the indications for which we seek approval. This may make it difficult for us to replace existing or emerging therapies with our products.</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Our product candidates and programs for oncology will compete with products or programs being advanced by certain of these pharmaceutical and biotechnology companies, organizations and institutions. We also compete with these organizations to recruit management, scientists and clinical development and other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chosen to initially address well-validated biochemical targets, and therefore face and expect to continue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3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market opportunity for any product candidate that we develop is smaller than we believe, our revenue may be adversely affected and our business may suffer.</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never obtained marketing approval for a product candidate and we may be unable to obtain, or may be delayed in obtaining, marketing approval for any product candidate.</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If the FDA does not accept or approve our NDAs for our product candidates, it may require that we conduct additional clinical trials,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even if performed and completed, may not be considered sufficient by the FDA to approve our NDAs. Similar considerations exist with respect to potentially obtaining marketing approvals in other jurisdictions outside of the United States.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Any delay in obtaining, or an inability to obtain, marketing approvals, whether in the United States or internationally,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and regional economic, political and health conditions could adversely affect our business, financial condition or results of operations.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business could be adversely affected by global or regional economic, political and / or health conditions. For example, various macroeconomic factors could adversely affect our business, financial condition and results of operations, including changes in inflation, interest rates and overall economic conditions and uncertainties, such as those resulting from political instability (such as workforce uncertainty), trade disputes between nations, and the current and future conditions in the global financial markets. For example, the imposition of tariffs by the U.S. government and any retaliatory tariffs imposed in response have created significant uncertainty, including in the amount, applicability and duration of such tariffs. Tariffs impacting the availability or price of resources used to manufacture our current or future product candidates could adversely affect our preclinical studies and clinical trials and, if in the future any of our product candidates are approved, tariffs may also adversely impact the price and / or demand for such approved products. Moreover third-party vendors, including CROs and CMOs upon which we rely, may suffer disruptions in their businesses or experience significant increases in the cost of their goods or services sold (which they may pass through, in part or in whole, to us) due to factors beyond their control, including tariffs. Additionally, if sustained high rates of inflation or other factors were to significantly increase our business costs, we may be unable to manage such increased expenses or pass through price increases. A global financial crisis or global or regional political and economic instability, wars, terrorism, civil unrest, outbreaks of disease, and other unexpected events, such as supply chain constraints or disruptions, could cause extreme volatility in the capital and credit markets and disrupt our business. Business disruptions could include, among others, disruptions to our research or clinical activities, including due to supply chain or distribution constraints or challenges, clinical enrollment, clinical site availability, patient accessibility, and conduct of our clinical trials, as well as temporary closures of the facilities of suppliers or contract manufacturers in the biotechnology supply chain. In addition, during certain crises and events, patients may prioritize other items over certain or all of their treatments and/or medications, which could have a negative impact on our clinical trials A severe or prolonged economic downturn, political disruption and / or adverse health conditions could result in a variety of risks to our business, including our ability to raise capital when needed on acceptable terms, if at all. Any of the foregoing could harm our business and we cannot anticipate all of the ways in which political, economic, health and / or financial market conditions could adversely impact our business.</w:t>
      </w:r>
    </w:p>
    <w:p>
      <w:pPr>
        <w:spacing w:after="0" w:line="3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Ongoing and potential future pandemics could adversely impact our business, including our current and future clinical trials, supply chain and business development activities.</w:t>
      </w:r>
    </w:p>
    <w:p>
      <w:pPr>
        <w:spacing w:after="0" w:line="1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effects of government actions, our own policies or those of third parties to address ongoing pandemics and any future pandemic may negatively impact productivity and slow down or delay our future clinical trials, preclinical studies and research and development activities, and may cause disruptions to our supply chain and impair our ability to execute our business development strategy. We may also experience delays in receiving approval from regulatory authorities to initiate or conduct our ongoing or planned clinical trials and delays in regulatory review or approval of any NDA or similar foreign filing we may submit following positive results, if any, in a pivotal study for any of our drug candidates. We may also experience operational delays such as delays or difficulties in enrolling patients in our clinical trials; 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 and changes in local regulations as part of a response to ongoing or future pandemics, which may require us to change the ways in which our clinical trials are conducted and result in unexpected costs, or to discontinue such clinical trials altogether.</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While the potential economic impact brought by, and the duration of, ongoing or future pandemics is difficult to assess or predict, there has in the past been (for example, because of COVID-19 and its variants) and could further be a significant disruption of global financial markets due to a pandemic, that may reduce our ability to access capital and negatively affect our liquidity and financial position. In addition, the trading prices for our Company and other biopharmaceutical companies have in the past been volatile due in part to pandemic, and the same may occur in the future.</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These and other disruptions in our operations and the global economy, due to ongoing or future pandemics or any other widespread public health crisis, could negatively impact our business, results of operations and financial condition.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Dependence on Third Parties</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substantially rely, and expect to continue to rely, on third parties, including independent clinical investigators and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substantially rely, and expect to continue to rely, on third parties, including independent clinical investigators and third-party CROs, to conduct certain aspects of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investigational drug substance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may take to limit the spread of disease from ongoing or future pandemics,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CROs generally have the right to terminate their agreements with us in the event of an uncured material breach. In addition, some of our CROs may also have an ability to terminate their respective agreements with us for other reasons, including without limitation if it can be reasonably demonstrated that the safety of the subjects participating in our clinical trials warrants such termination, if we make a general assignment for the benefit of our creditors or if we are liquidated.</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at a commercially reasonable cost or at all,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decide to establish new collaborations in the future, but are not able to establish those collaborations on a timely basis, on commercially reasonable terms, or at all, we may have to alter our development and commercialization plans.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drug development programs and the potential commercialization of our product candidates will require substantial additional cash to fund expenses. We may seek to selectively form collaborations to, among other things,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pacing w:after="0" w:line="346" w:lineRule="exact"/>
        <w:rPr>
          <w:sz w:val="20"/>
          <w:szCs w:val="20"/>
          <w:color w:val="auto"/>
        </w:rPr>
      </w:pPr>
    </w:p>
    <w:p>
      <w:pPr>
        <w:ind w:left="120" w:hanging="117"/>
        <w:spacing w:after="0" w:line="287"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efforts and resources that they will apply to these collaborations and may not perform their obligations as expected;</w:t>
      </w:r>
    </w:p>
    <w:p>
      <w:pPr>
        <w:spacing w:after="0" w:line="112"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39"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12"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 candidates if, for example, the collaborators believe that such competitive products are more likely to be successfully developed or can be commercialized under terms that are more economically attractive than ours;</w:t>
      </w:r>
    </w:p>
    <w:p>
      <w:pPr>
        <w:spacing w:after="0" w:line="126"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collaborator with marketing and distribution rights to multiple products may not commit sufficient resources to the marketing and distribution of our product relative to other products;</w:t>
      </w:r>
    </w:p>
    <w:p>
      <w:pPr>
        <w:spacing w:after="0" w:line="125"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26"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12"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and, if terminated, may result in a need for additional capital to pursue further development or commercialization of the applicable product candidates;</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 agreements may not lead to development or commercialization of product candidates in the most efficient manner or at all; and</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collaborator of ours were to be involved in a business combination, the continued pursuit and emphasis on our drug development or commercialization program could be delayed, diminished or terminated.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EMA or other comparable regulatory authority regulations, provide accurate information to such regulators, comply with international,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Manufacturing</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Manufacturing drugs, especially in large quantities, is complex and may require the use of innovative technologies. Each lot of an approved drug product must undergo thorough testing for identity, strength, quality, purity and potency.</w:t>
      </w:r>
    </w:p>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(if applicable) as a result of these challenges, or otherwise, our development and commercialization efforts would be impaired, which would have an adverse effect on our business, financial condition, results of operations and growth prospects.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contract with third parties, including contract manufacturing organizations and consultants,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be able to acquire such quantities at an acceptable cost, which could delay, prevent or impair our development or commercialization efforts.</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expect to continue to rely on third-party manufacturers for the commercial supply of any of our product candidates for which we may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27" w:lineRule="exact"/>
        <w:rPr>
          <w:sz w:val="20"/>
          <w:szCs w:val="20"/>
          <w:color w:val="auto"/>
        </w:rPr>
      </w:pPr>
    </w:p>
    <w:p>
      <w:pPr>
        <w:jc w:val="both"/>
        <w:ind w:left="120" w:hanging="117"/>
        <w:spacing w:after="0" w:line="270" w:lineRule="auto"/>
        <w:tabs>
          <w:tab w:leader="none" w:pos="10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39"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reduction or termination of production or deliveries by suppliers, or the raising of prices or renegotiation of terms;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or non-renewal of arrangements or agreements by our third-party contractors at a time that is costly or inconvenient for us;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breach by the third-party contractors of our agreements with them;</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third-party contractors to comply with applicable regulatory requirements;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third party to manufacture our product candidates according to our specifications;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mislabeling of clinical supplies, potentially resulting in the wrong dose amounts being supplied or active drug or placebo not being properly identified;</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supplies not being delivered to clinical sites on time, leading to clinical trial interruptions, or of drug supplies not being distributed to commercial vendors in a timely manner, resulting in lost sales; and</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misappropriation of our proprietary information, including our trade secrets and know-how.</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ongoing or future pandemics,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or a third-party’s, failure to execute on our manufacturing requirements, to do so on commercially reasonable terms and timelines, or to comply with cGMP requirements could adversely affect our business in a number of ways, including without limitation:</w:t>
      </w:r>
    </w:p>
    <w:p>
      <w:pPr>
        <w:spacing w:after="0" w:line="113" w:lineRule="exact"/>
        <w:rPr>
          <w:sz w:val="20"/>
          <w:szCs w:val="20"/>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meet our product specifications and quality requirements consistently;</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initiate or continue clinical trials of our product candidates under development;</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submitting regulatory applications, or receiving marketing approvals, for our product candidates, if at all;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commercialize any product candidates that receive marketing approval on a timely basis;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the cooperation of future collaborators;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subjecting third-party manufacturing facilities or our manufacturing facilities, if any, to additional inspections by regulatory authorities;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cease development or to recall batches of our product candidates;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approval to market and commercialize our product candidates, an inability to meet commercial demands for our product or any other future product candidates; and</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profit margins.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methods of product candidate manufacturing or formulation may result in additional costs or delay.</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product candidates progress through preclinical studies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and Regulatory Compliance Matters</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healthcare professionals, clinical investigators, CROs and third party payors in connection with our current and future business activities may be subject to international,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international, federal and state healthcare laws and regulations include, among others, the following:</w:t>
      </w:r>
    </w:p>
    <w:p>
      <w:pPr>
        <w:spacing w:after="0" w:line="136" w:lineRule="exact"/>
        <w:rPr>
          <w:sz w:val="20"/>
          <w:szCs w:val="20"/>
          <w:color w:val="auto"/>
        </w:rPr>
      </w:pPr>
    </w:p>
    <w:p>
      <w:pPr>
        <w:jc w:val="both"/>
        <w:ind w:left="120" w:hanging="117"/>
        <w:spacing w:after="0" w:line="261" w:lineRule="auto"/>
        <w:tabs>
          <w:tab w:leader="none" w:pos="10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spacing w:after="0" w:line="148" w:lineRule="exact"/>
        <w:rPr>
          <w:rFonts w:ascii="Times New Roman" w:cs="Times New Roman" w:eastAsia="Times New Roman" w:hAnsi="Times New Roman"/>
          <w:sz w:val="17"/>
          <w:szCs w:val="17"/>
          <w:color w:val="auto"/>
        </w:rPr>
      </w:pPr>
    </w:p>
    <w:p>
      <w:pPr>
        <w:jc w:val="both"/>
        <w:ind w:left="120" w:hanging="117"/>
        <w:spacing w:after="0" w:line="260" w:lineRule="auto"/>
        <w:tabs>
          <w:tab w:leader="none" w:pos="10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spacing w:after="0" w:line="134" w:lineRule="exact"/>
        <w:rPr>
          <w:rFonts w:ascii="Times New Roman" w:cs="Times New Roman" w:eastAsia="Times New Roman" w:hAnsi="Times New Roman"/>
          <w:sz w:val="17"/>
          <w:szCs w:val="17"/>
          <w:color w:val="auto"/>
        </w:rPr>
      </w:pPr>
    </w:p>
    <w:p>
      <w:pPr>
        <w:jc w:val="both"/>
        <w:ind w:left="120" w:hanging="117"/>
        <w:spacing w:after="0" w:line="264" w:lineRule="auto"/>
        <w:tabs>
          <w:tab w:leader="none" w:pos="10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32" w:lineRule="exact"/>
        <w:rPr>
          <w:rFonts w:ascii="Times New Roman" w:cs="Times New Roman" w:eastAsia="Times New Roman" w:hAnsi="Times New Roman"/>
          <w:sz w:val="17"/>
          <w:szCs w:val="17"/>
          <w:color w:val="auto"/>
        </w:rPr>
      </w:pPr>
    </w:p>
    <w:p>
      <w:pPr>
        <w:jc w:val="both"/>
        <w:ind w:left="120" w:hanging="117"/>
        <w:spacing w:after="0" w:line="261" w:lineRule="auto"/>
        <w:tabs>
          <w:tab w:leader="none" w:pos="10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148"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26" w:lineRule="exact"/>
        <w:rPr>
          <w:rFonts w:ascii="Times New Roman" w:cs="Times New Roman" w:eastAsia="Times New Roman" w:hAnsi="Times New Roman"/>
          <w:sz w:val="17"/>
          <w:szCs w:val="17"/>
          <w:color w:val="auto"/>
        </w:rPr>
      </w:pPr>
    </w:p>
    <w:p>
      <w:pPr>
        <w:jc w:val="both"/>
        <w:ind w:left="120" w:hanging="117"/>
        <w:spacing w:after="0" w:line="261" w:lineRule="auto"/>
        <w:tabs>
          <w:tab w:leader="none" w:pos="10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("CMS") information regarding payments and other transfers of value to physicians (as defined by statute), certain non-physician providers including physician assistants and nurse practitioners, and teaching hospitals, as well as information regarding ownership and investment interests held by physicians and their immediate family members. The information reported is publicly available on a searchable website, with disclosure required annually;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20" w:hanging="117"/>
        <w:spacing w:after="0" w:line="261" w:lineRule="auto"/>
        <w:tabs>
          <w:tab w:leader="none" w:pos="10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148" w:lineRule="exact"/>
        <w:rPr>
          <w:rFonts w:ascii="Times New Roman" w:cs="Times New Roman" w:eastAsia="Times New Roman" w:hAnsi="Times New Roman"/>
          <w:sz w:val="17"/>
          <w:szCs w:val="17"/>
          <w:color w:val="auto"/>
        </w:rPr>
      </w:pPr>
    </w:p>
    <w:p>
      <w:pPr>
        <w:jc w:val="both"/>
        <w:ind w:left="120" w:hanging="117"/>
        <w:spacing w:after="0" w:line="264" w:lineRule="auto"/>
        <w:tabs>
          <w:tab w:leader="none" w:pos="10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had, have or may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(or analogous programs in jurisdictions outside the United States),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3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our operations and business grow, we may become subject to or affected by new or additional data protection laws and regulations and face increased scrutiny or attention from regulatory authorities. For instance, in the U.S., most healthcare providers, including research institutions from which we may obtain patient health information, are subject to privacy and security regulations promulgated under HIPAA, as amended by the Health Information Technology for Economic and Clinical Health Act, and the regulations promulgated thereunder, or collectively, HIPAA.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w:t>
      </w:r>
    </w:p>
    <w:p>
      <w:pPr>
        <w:spacing w:after="0" w:line="3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also or may become subject to rapidly evolving data protection laws, rules and regulations in foreign jurisdictions. For example, the European Union ("EU") General Data Protection Regulation ("GDPR") governs certain collection and other processing activities involving personal data about individuals in the European Economic Area ("EEA"). The GDPR imposes substantial fines for breaches and violations. The GDPR also confers a private right of action on data subjects and consumer associations to lodge complaints with supervisory authorities, seek judicial remedies and obtain compensation for damages resulting from violations of the GDPR. Further, since January 1, 2021, companies have to comply with the GDPR and also the United Kingdom ("UK") GDPR, which, together with the amended UK Data Protection Act 2018, retains the GDPR in UK national law. The UK GDPR mirrors the fines under the GDPR.</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GDPR and UK GDPR regulate cross-border transfers of personal data out of the EEA and the UK respectively. Recent legal developments in Europe have created complexity and uncertainty regarding such transfers, including in relation to transfers to the United States. On July 16, 2020, the Court of Justice of the European Union or the CJEU invalidated the EU-US Privacy Shield Framework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Successor legislation and regulation to the Privacy Shield have not been, and may never be, widely adopted in practice for data transfers in the biotechnology field. As the enforcement landscape further develops, and supervisory authorities issue further guidance on international data transfers, we could suffer additional costs, complaints and/or regulatory investigations or fines; we may have to stop using certain tools and vendors and make other operational changes; and/or it could otherwise affect the manner in which we provide our services, and could also adversely affect our business, operations and financial condition.</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we or third-party CMOs, CROs or other contractors, consultants or agents fail to comply with applicable federal, state, local or foreign regulatory requirements, we could be subject to a range of regulatory actions that could affect our or any such third party’s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also give rise to liability, breaches of data security or reputational damage.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if at all, to protect us against losses caused by product liability claims that could have an adverse effect on our business and financial condition.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product candidates we develop may become subject to unfavorable third-party coverage and reimbursement practices, as well as pricing regulations.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candidate that we may be able to commercialize and, if reimbursement is available, what the level of reimbursement will be.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including without limitation the EEA, the reimbursement for our products may be reduced compared with the United States and may be insufficient to generate commercially reasonable revenue and profits.</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materials. Our operations may also produce hazardous waste products.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FDA or other comparable foreign regulatory authorities may not accept data from trials conducted in locations outside of their jurisdiction.</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conduct clinical trial operations at U.S. and international sites.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other comparable foreign regulatory authority does not accept such data, it could result in the need for additional trials, which would be costly and time-consuming and delay aspects of our business plan, and which may result in our current or future product candidates not receiving approval for commercialization in the applicable jurisdiction.</w:t>
      </w:r>
    </w:p>
    <w:p>
      <w:pPr>
        <w:spacing w:after="0" w:line="13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Even if our product candidates receive regulatory approval, they will be subject to significant post-marketing regulatory requirements and oversight.</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EMA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EMA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authority requirements may subject our company to administrative or judicially imposed sanctions, including without limitation:</w:t>
      </w:r>
    </w:p>
    <w:p>
      <w:pPr>
        <w:spacing w:after="0" w:line="148" w:lineRule="exact"/>
        <w:rPr>
          <w:sz w:val="20"/>
          <w:szCs w:val="20"/>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or the rejection of product approvals;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our ability to conduct clinical trials, including full or partial clinical holds on ongoing or planned trials;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products, manufacturers or manufacturing process;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or untitled letters;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and criminal penalties;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regulatory approvals;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seizures, detentions or import bans;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or mandatory product recalls and publicity requirements;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or partial suspension of production; and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restrictions on operations, including costly new manufacturing requirements.</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FDA’s, EMA's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further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FDA and other regulatory agencies actively enforce the laws and regulations prohibiting the promotion of off-label uses.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any of our product candidates are approved and we are found to have improperly promoted off-label uses of those products, we may become subject to significant liability. The FDA, EMA and other regulatory agencies strictly regulate the promotional claims that may be made about prescription products, such as our product candidates, if approved. In particular, a product may not be promoted for uses that are not approved by the FDA, EMA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For example, the U.S. federal government has levied large civil and criminal fines against companies for alleged improper promotion of off-label use and has enjoined several companies from engaging in off-label promotion. The U.S.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Disruptions at the FDA, the SEC and other government agencies including those caused by funding shortages, mandated personnel reductions, policy changes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ability of the FDA (as well as other U.S. agencies and analogous bodies outside the United States)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the FDA, SEC and other government agencies on which our operations may rely, including those that fund research and development activities, is subject to the political process, which is inherently fluid and unpredictable.</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Disruptions at the FDA and other agencies, whether domestic or in jurisdictions outside of the United States, may also slow the time necessary for new drugs to be reviewed and/or approved by necessary government agencies, which would adversely affect our business. For example, in recent years, the U.S. government shut down several times (including for an extended period beginning in October 2025) and certain regulatory agencies, such as the FDA and the SEC, had to furlough critical employees and stop critical activities. Similarly, incoming administrations have taken and may in the future take measures to reduce personnel at, and funding for, regulatory agencies including the FDA and the SEC. For example, the current administration has issued executive orders that may significantly reduce the federal workforce and could adversely affect the FDA’s ability to attract and retain qualified scientific reviewers, which could result in longer review times for our applications. If a prolonged government shut down, funding or personnel reduction, policy change, or other disruption at the FDA occurs, continues to occur and/or worsens,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Separately, initially in response to the global COVID-19 pandemic, the FDA implemented changes to its inspection activities to ensure the safety of its employees and those of the firms it regulates, and any resurgence or emergence of any pandemic or other widespread adverse health event may lead to further inspection delays. Regulatory authorities outside the United States have in the past and may in the future adopt similar restrictions or other policy measures in response to such events. If a prolonged government shutdown occurs or continues, or if global health concerns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1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 fast track designation from the FDA (or similar designation from a comparable foreign regulatory authority), even when granted for any of our product candidates, may not lead to a faster development or regulatory review or approval process, and does not increase the likelihood that our product candidates will receive regulatory approval.</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February 2024, July 2024 and December 2024, respectively, we announced that the FDA granted fast track designation for atebimetinib for the treatment of patients: with PDAC who have failed one line of treatment; with PDAC in the first-line setting; and with unresectable or metastatic NRAS-mutant melanoma who have progressed on or are intolerant to PD-1/PD-L1 based immune checkpoint inhibitors. Depending on the data from our preclinical studies and clinical trials, we may decide to seek additional fast track designations for atebimetinib or for other product candidates. The fast track program is intended to expedite or facilitate the process for reviewing product candidates that meet certain criteria. Specifically, potential drugs are eligible for fast track designation if they are intended, alone or in combination with one or more other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may have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FDA has broad discretion whether or not to grant this designation. Even if we believe a particular product candidate is eligible for this designation, we cannot assure you that the FDA would decide to grant it. Even where we have received fast track designation for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related clinical development program. Furthermore, such a designation does not increase the likelihood that atebimetinib or any other product candidate that may be granted fast track designation will receive regulatory approval in the U.S. Many product candidates that have received fast track designation have ultimately failed to obtain approval.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Similar considerations as the foregoing exist with respect to any foreign regulatory authority that may grant a comparable designation to any product candidate.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difficulties from changes to current regulations and future legislation.</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3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Since its enactment, there have been judicial, executive and Congressional challenges to certain aspects of the ACA. On June 17, 2021, the U.S. Supreme Court dismissed a judicial challenge to the ACA brought by several states without specifically ruling on the constitutionality of the ACA.</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United States since the ACA was enacted. These changes included the American Rescue Plan Act of 2021, which eliminated the statutory Medicaid drug rebate cap, which was set at 100% of a drug’s average manufacturer price as of January 1, 2024.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August 16, 2022, the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CMS published the negotiated prices for the initial ten drugs, which went into effect in 2026, and the subsequent 15 drugs effective in 2027, as well as the next set of 15 drugs that will be subject to negotiation, although the drug price negotiation program is currently subject to legal challenges. For that and other reasons, it is currently unclear how the IRA will be effectuated.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July 2025, the One Big Beautiful Bill Act ("OBBBA") was enacted, which imposes significant reductions in the funding of the Medicaid program and restrictions for certain groups to access the ACA Marketplace. These changes are expected to decrease the number of persons enrolled in Medicaid and reduce the services covered by Medicaid, and may result in an increase in the number of individuals who are unable to access health insurance benefits and medical care, either of which could adversely affect our sales of any product candidate that we potentially commercialize.</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Additionally, the Trump administration has pursued a two-fold strategy to reduce drug costs in the U.S. The administration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The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among policymakers, and it is possible that Congress could enact additional laws that negatively affect the pharmaceutical industry generally and our business specifically.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ongoing or new pandemics or to other widespread adverse health events.</w:t>
      </w:r>
    </w:p>
    <w:p>
      <w:pPr>
        <w:spacing w:after="0" w:line="1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the UK Bribery Act 2010 (the "Bribery Act"), the U.S. Foreign Corrupt Practices Act of 1977, as amended (the "FCPA"), and other anti-corruption laws, as well as export control laws, import and customs laws, trade and economic sanctions laws and other laws governing our operations.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operations, including our research and development, clinical trial, and (if any of our product candidates receives approval) commercial activities, whether conducted in the United States or internationally, may be subject to anti-corruption laws, including the Bribery Act, the FCPA, the U.S. domestic bribery statute contained in 18 U.S.C. §201, the U.S. Travel Act and other anti-corruption laws that apply in countries where we currently or may in the future do business. The Bribery Act, the FCPA and these other (or similar) laws generally prohibit us, our employees and our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partners may operate in jurisdictions that pose a high risk of potential Bribery Act or FCPA violations, and we may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 We may also be subject to other laws and regulations from time to time governing our international operations, including regulations administered by the governments of the United States, the United Kingdom or elsewhere and authorities in the European Union or elsewhere, including applicable export control regulations, economic sanctions and embargoes on certain countries and persons, anti-money laundering laws, import and customs requirements and currency exchange regulations, collectively referred to as the Trade Control laws. 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the United Kingdom, United States or other authorities could also have an adverse impact on our reputation, our business, results of operations and financial condition.</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various laws relating to foreign investment and the export of certain technologies, and our failure to comply with these laws or adequately monitor the compliance of our suppliers and others with which we do business with could subject us to substantial fines, penalties and injunctions, the imposition of which on us could have a material adverse effect on the success of our business.</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may be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 to impose new export control restrictions on “emerging and foundational technologies” yet to be fully identified. Application of these laws, including as they are implemented through regulations being developed, may negatively impact our business in various ways, including without limitation by: restricting our access to capital and markets; limiting the collaborations we may pursue; regulating the export of our products, services, and technology from the United States and abroad; increasing our costs and the time necessary to obtain required authorizations and to ensure compliance; and threat of monetary fines and other penalties for non-compliance.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patent and/or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develop and commercialize our product candidates, products (if any) and technology may be impaired, and we may not be able to compete effectively in our market.</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spacing w:after="0" w:line="19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As of February 2, 2026, we had granted and pending patent filings directed to our product candidates and platforms. With respect to atebimetinib, we had global patent filings providing patent protection for the compound expected into at least 2041 and in the United States until 2042, as well as other pending Patent Cooperation Treaty ("PCT") applications that have not yet entered the national phase providing the basis for additional national phase potential patent claims directed to methods of treatment and pharmaceutical compositions expected into at least 2045, if granted (excluding any possible patent term adjustments, extensions, or terminal disclaimers, and assuming payment of all appropriate maintenance, renewal, annuity or other governmental fees, as applicable). Further, patent prosecution with respect to our pending patent applications related to our product candidates is in many cases in the early stages. With respect to our platform technology, we have granted U.S. patents expiring in 2039 directed to our Disease Cancelling Technology platform (excluding any possible patent term adjustments or extensions and assuming payment of all appropriate maintenance, renewal, annuity or other governmental fees, as applicable). We filed patent applications related to our platform technology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issued patents and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In addition,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Composition of matter patents for pharmaceutical product candidates often provide a strong form of intellectual property protection for those types of products, as such patents may provide protection for any method of use. We cannot be certain that the claims in our pending patent applications related to composition of matter of our product candidates will be considered patentable by the USPTO or by patent offices in foreign countries, or that the claims in any of our issued patents will be considered valid and enforceable by courts in the United States or foreign countries. Method of use patents can protect the claimed uses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20" w:hanging="117"/>
        <w:spacing w:after="0" w:line="270" w:lineRule="auto"/>
        <w:tabs>
          <w:tab w:leader="none" w:pos="1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39"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 applications may not result in any patents being issued;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patents may be challenged, invalidated, modified, revoked, circumvented, found to be unenforceable or otherwise may not provide any competitive advantage;</w:t>
      </w:r>
    </w:p>
    <w:p>
      <w:pPr>
        <w:spacing w:after="0" w:line="178"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spacing w:after="0" w:line="139"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12"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countries other than the United States may have patent laws less favorable to patentees than the patent law typically applied by U.S. courts, allowing foreign competitors a better opportunity to create, develop and market competing products.</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3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It is also possible that we may not identify, or that we may not timely file on identified,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("PGR"), and/or inter partes review ("IPR"), or other similar proceedings in the USPTO or foreign patent offices challenging our patent rights. 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although we seek to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 Moreover, it is possible that we may not enter into non-disclosure and confidentiality agreements with such parties, thereby potentially compromising our confidential information or otherwise subjecting it to potential loss or misuse.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spacing w:after="0" w:line="1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 royalties and other obligations. If we fail to comply with our obligations under these agreements,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disputes may arise between us and any future licensors regarding intellectual property subject to a license agreement, including:</w:t>
      </w:r>
    </w:p>
    <w:p>
      <w:pPr>
        <w:spacing w:after="0" w:line="178" w:lineRule="exact"/>
        <w:rPr>
          <w:sz w:val="20"/>
          <w:szCs w:val="20"/>
          <w:color w:val="auto"/>
        </w:rPr>
      </w:pPr>
    </w:p>
    <w:p>
      <w:pPr>
        <w:ind w:left="120" w:hanging="117"/>
        <w:spacing w:after="0"/>
        <w:tabs>
          <w:tab w:leader="none" w:pos="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and obligations imposed under the license agreement and other interpretation-related issues;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the extent to which our technology and processes infringe intellectual property of the licensor that is not subject to the licensing agreement;</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to sublicense patents and other rights to third parties;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diligence obligations with respect to the use of the licensed technology in relation to our development and commercialization of our product candidates, and what activities satisfy those diligence obligations;</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if any, we owe to a potential licensor in respect of sublicense fees or income or in respect of backup product;</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to transfer or assign the license; and</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ownership of inventions and know-how resulting from the joint creation or use of intellectual property by our licensors and its affiliates and sublicensees and by us and our partners and sublicensees.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patent protection and patent prosecution for some of our product candidates may be dependent on our future licensors and third parties.</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 candidates, products (if approved)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Further, third parties may obtain patents in the future and claim that use of our technologies infringes upon these patents. Any claims of patent infringement asserted by third parties would be time-consuming and could:</w:t>
      </w:r>
    </w:p>
    <w:p>
      <w:pPr>
        <w:spacing w:after="0" w:line="113" w:lineRule="exact"/>
        <w:rPr>
          <w:sz w:val="20"/>
          <w:szCs w:val="20"/>
          <w:color w:val="auto"/>
        </w:rPr>
      </w:pPr>
    </w:p>
    <w:p>
      <w:pPr>
        <w:ind w:left="120" w:hanging="117"/>
        <w:spacing w:after="0"/>
        <w:tabs>
          <w:tab w:leader="none" w:pos="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costly litigation that may cause negative publicity;</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the time and attention of our technical personnel and management;</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development delays;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us from commercializing any of our product candidates until the asserted patent expires or is held finally invalid or unenforceable or not infringed in a court of law;</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develop non-infringing technology, which may not be possible on a cost-effective basis;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us to significant liability to third parties; 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line="287" w:lineRule="auto"/>
        <w:tabs>
          <w:tab w:leader="none" w:pos="10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enter into royalty or licensing agreements, that may not be available on commercially reasonable terms, or at all, or that might be non-exclusive, which could result in our competitors gaining access to the same technology.</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Although no third party has asserted a claim of patent infringement against us to date,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w:t>
      </w:r>
    </w:p>
    <w:p>
      <w:pPr>
        <w:spacing w:after="0" w:line="1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spacing w:after="0" w:line="13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litigation may lead to unfavorable publicity that harms our reputation and causes the market price of our common shares to decline.</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2011, the Leahy-Smith America Invents Act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spacing w:after="0" w:line="3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U.S. patent law, or laws in other countries, could diminish the value of patents in general, thereby impairing our ability to protect our product candidates.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is the case with many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Congress or other foreign legislative bodies may pass patent reform legislation that is unfavorable to us.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or our future licensors may be subject to claims challenging the inventorship or ownership of our or our future in-licensed patents and other intellectual property.</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advisors, consultants, contractors and other third parties, including certain service providers,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 terms may be inadequate to protect our competitive position on our product candidates for an adequate amount of time.</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Depending upon the timing, duration and specifics of FDA marketing approval, if any,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rights throughout the world.</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3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 including due to the effect of a widespread adverse health event,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would be harmed.</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each case which could materially harm our business.</w:t>
      </w:r>
    </w:p>
    <w:p>
      <w:pPr>
        <w:spacing w:after="0" w:line="12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prescribers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Moreover, any name we have proposed to use with a product candidate in the United States must be approved by the FDA, regardless of whether we have registered it, or applied to register it, as a trademark. Similar requirements exist in Europe and other jurisdictions outside of the United States.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use third-party open source software, which could negatively affect our ability to offer our solutions and subject us to litigation or other actions.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 make our systems more vulnerable to data breaches. In addition, the public availability of such software may make it easier for others to compromise our platform.</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cost,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such policies will be effective and that we have not incorporated open source software in our platform and solutions in a manner that is inconsistent with such policies.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 to our competitive advantage.</w:t>
      </w:r>
    </w:p>
    <w:p>
      <w:pPr>
        <w:spacing w:after="0" w:line="1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degree of future protection afforded by intellectual property rights is uncertain because intellectual property rights have limitations, and may not adequately protect our business or permit us to maintain our competitive advantage. For example and without limitation:</w:t>
      </w:r>
    </w:p>
    <w:p>
      <w:pPr>
        <w:spacing w:after="0" w:line="113" w:lineRule="exact"/>
        <w:rPr>
          <w:sz w:val="20"/>
          <w:szCs w:val="20"/>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develop products that are similar to our product candidates but that are not covered by the claims of the patents that we may own or license;</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potential future licensors might not have been the first to make the inventions covered by the issued patents or patent application that we may own or license;</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potential future licensors might not have been the first to file patent applications covering certain of our inventions;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intellectual property rights;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or our future licensors’, pending patent applications will not lead to issued patents;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issued patents that we own or license may be held invalid or unenforceable, as a result of legal challenges by our competitors;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5"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 and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have an adverse effect on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Should any of these events occur, it could significantly harm our business,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Employee Matters and Managing our Growth</w:t>
      </w:r>
    </w:p>
    <w:p>
      <w:pPr>
        <w:spacing w:after="0" w:line="1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may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may receive regulatory approval or any such commercialization may experience delays or limitations. Moreover, even if we do successfully enter such arrangements with third parties, any of those third parties may fail to perform in a satisfactory or timely manner, if at all.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is highly dependent on our ability to attract and retain highly skilled executive officers and employees.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To succeed, we must recruit, retain, manage and motivate qualified clinical, scientific, technical, administrative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 We currently do not maintain "key person" insurance for any of our executive officers (other than our chief executive officer) or other employees, and such insurance, even if in place, may not be adequate.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Many of the other biotechnology companies that we compete against for qualified personnel have greater financial and other resources, different risk profiles and a longer history in the industry than we do. They also may provide a wide range of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(if approved) our product candidates will be limited and the potential for successfully growing our business will be harmed.</w:t>
      </w:r>
    </w:p>
    <w:p>
      <w:pPr>
        <w:spacing w:after="0" w:line="1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September 30, 2026, we had 65 full-time employees, including 47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 without limitation:</w:t>
      </w:r>
    </w:p>
    <w:p>
      <w:pPr>
        <w:spacing w:after="0" w:line="127" w:lineRule="exact"/>
        <w:rPr>
          <w:sz w:val="20"/>
          <w:szCs w:val="20"/>
          <w:color w:val="auto"/>
        </w:rPr>
      </w:pPr>
    </w:p>
    <w:p>
      <w:pPr>
        <w:ind w:left="120" w:hanging="117"/>
        <w:spacing w:after="0"/>
        <w:tabs>
          <w:tab w:leader="none" w:pos="1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recruiting, integrating, maintaining and motivating additional employees;</w:t>
      </w:r>
    </w:p>
    <w:p>
      <w:pPr>
        <w:spacing w:after="0" w:line="191"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internal development efforts effectively, including the clinical, FDA, EMA and other comparable foreign regulatory agencies’ review process of atebimetinib and any other product candidates that we develop, while complying with any contractual obligations to contractors and other third parties we may have; and</w:t>
      </w:r>
    </w:p>
    <w:p>
      <w:pPr>
        <w:spacing w:after="0" w:line="126"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our operational, financial and management controls, reporting systems and procedures.</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future financial performance and our ability to successfully develop and, if approved, commercialize atebimetinib and any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we are not able to effectively expand our organization by hiring new employees and/or engaging additional third-party service providers, we may not be able to successfully implement the tasks necessary to further develop and commercialize atebimetinib and any other current or future product candidates and, accordingly, may not achieve our research, development and commercialization goals.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variety of risks associated with operating internationally could materially adversely affect our business.</w:t>
      </w:r>
    </w:p>
    <w:p>
      <w:pPr>
        <w:spacing w:after="0" w:line="1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current international operations relate primarily to clinical trial activities, but our business plans incorporate potential international expansion, for example including the potential engagement with a collaborator based internationally, or upon any of our product candidates receiving regulatory approval (which may never occur). Doing business internationally involves a number of risks, including but not limited to:</w:t>
      </w:r>
    </w:p>
    <w:p>
      <w:pPr>
        <w:spacing w:after="0" w:line="140" w:lineRule="exact"/>
        <w:rPr>
          <w:sz w:val="20"/>
          <w:szCs w:val="20"/>
          <w:color w:val="auto"/>
        </w:rPr>
      </w:pPr>
    </w:p>
    <w:p>
      <w:pPr>
        <w:ind w:left="120" w:hanging="117"/>
        <w:spacing w:after="0" w:line="287" w:lineRule="auto"/>
        <w:tabs>
          <w:tab w:leader="none" w:pos="10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us to obtain and maintain regulatory approvals for the use of our product candidates in various countries;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potentially relevant third-party patent rights;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and difficulties in obtaining intellectual property protection and enforcing our intellectual property rights;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multiple payor reimbursement regimes, government payors or patient self-pay systems;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limits in our ability to penetrate international markets;</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risks, such as longer payment cycles, difficulty collecting accounts receivable, the impact of local and regional financial crises on demand and payment for our product candidates and exposure to foreign currency exchange rate fluctuations;</w:t>
      </w:r>
    </w:p>
    <w:p>
      <w:pPr>
        <w:spacing w:after="0" w:line="112"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political and economic instability including wars, terrorism and political unrest (for example, the ongoing conflict between Russia and Ukraine, as well as in the Middle East), outbreak of disease (for example, COVID-19 and other pandemics), boycotts, curtailment of trade and other business restrictions;</w:t>
      </w:r>
    </w:p>
    <w:p>
      <w:pPr>
        <w:spacing w:after="0" w:line="125"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susceptibility to trade disputes between nations, including from the imposition of tariffs, which may adversely impact operations (such as conducting ex-U.S. clinical trials or sourcing materials internationally);</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expenses including, among others, expenses for travel, translation and insurance; and</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and compliance risks that relate to maintaining accurate information and control over sales (if any) and activities that may fall within the purview of the FCPA, its books and records provisions, its anti-bribery provisions or other anti-bribery and anti-corruption laws.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these factors, among others, could significantly limit or harm our future international expansion and operations and, consequently, our results of operations.</w:t>
      </w:r>
    </w:p>
    <w:p>
      <w:pPr>
        <w:spacing w:after="0" w:line="22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Acquisitions, joint ventures or other transactions involving third parties could disrupt our business, cause dilution to our stockholders and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in the past and may in the future acquire other businesses, products or technologies as well as pursue strategic alliances, joint ventures, licensing arrangements, supply agreements or investments in complementary businesses. We have limited or in some cases no experience in completing such transactions. Any of these transactions could be material to our financial condition and operating results and expose us to many risks, including without limitation:</w:t>
      </w:r>
    </w:p>
    <w:p>
      <w:pPr>
        <w:spacing w:after="0" w:line="140" w:lineRule="exact"/>
        <w:rPr>
          <w:sz w:val="20"/>
          <w:szCs w:val="20"/>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in our relationships with future customers or with current or future distributors or suppliers as a result of such a transaction;</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liabilities related to acquired companies;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integrating acquired personnel, technologies and operations into our existing business;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time and focus from operating our business to acquisition integration or other collaboration challenges;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our expenses and reductions in our cash available for operations and other uses;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write-offs or impairment charges relating to acquired businesses;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regarding intellectual property and/or the scope and interpretation of licensing terms; and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develop a sales force for any additional product candidates.</w:t>
      </w:r>
    </w:p>
    <w:p>
      <w:pPr>
        <w:spacing w:after="0" w:line="23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Potential foreign transactions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Additionally, the anticipated benefit of any such transaction may not materialize. For example, future acquisitions or dispositions could result in potentially dilutive issuances of our equity securities, the incurrence of additional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broad discretion in the use of our cash reserves and may not use them effectively.</w:t>
      </w:r>
    </w:p>
    <w:p>
      <w:pPr>
        <w:spacing w:after="0" w:line="2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management has broad discretion to use our cash reserves and could use them in ways that do not improve our results of operations or enhance value, for example by prioritizing the development of certain product candidates and / or medical indications over others that could have been more successful. The failure by our management to apply these funds effectively could result in financial losses that could have a material adverse effect on our business and/or delay the development of our product candidates. Additionally, pending their use, we may invest our cash reserves in a manner that does not produce income or that loses value.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18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maintain an active, liquid and orderly trading market for our Class A common stock and, as a result, it may be difficult for you to sell your shares of our Class A common stock.</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market value of our Class A common stock has in the past decreased from time to time, and may in the future decrease from time to time, and you may not be able to resell your shares of our Class A common stock at or above the price you purchased them.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stock has been and may in the future be volatile, and you could lose all or part of your investment.</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trading price of our Class A common stock has in the past been, and in the future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Broad market and industry factors may negatively affect the market price of our Class A common stock, regardless of our actual operating performance. In addition to the factors discussed in this “Risk Factors” section, elsewhere in this filing, and in our other SEC filings, these factors include:</w:t>
      </w:r>
    </w:p>
    <w:p>
      <w:pPr>
        <w:spacing w:after="0" w:line="125" w:lineRule="exact"/>
        <w:rPr>
          <w:sz w:val="20"/>
          <w:szCs w:val="20"/>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results of preclinical studies and clinical trials of our product candidates or those of our competitors;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competitive products or announcements by potential competitors of their product development efforts;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actions with respect to our products or our competitors’ products;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growth rate relative to our competitors;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 applications, issued patents or other proprietary rights;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collaborations, joint ventures, collaborations or capital commitments;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estimates as to financial results, development timelines or recommendations by securities analysts;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valuation of companies perceived by investors to be comparable to us;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the pharmaceutical and biotechnology sector;</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payment systems;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price and volume fluctuations attributable to inconsistent trading volume levels of our shares;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 or expectation of additional financing efforts;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Class A common stock by us, our insiders or our other stockholders;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expiration of market stand-off or lock-up agreements; and</w:t>
      </w:r>
    </w:p>
    <w:p>
      <w:pPr>
        <w:spacing w:after="0" w:line="178" w:lineRule="exact"/>
        <w:rPr>
          <w:rFonts w:ascii="Times New Roman" w:cs="Times New Roman" w:eastAsia="Times New Roman" w:hAnsi="Times New Roman"/>
          <w:sz w:val="17"/>
          <w:szCs w:val="17"/>
          <w:color w:val="auto"/>
        </w:rPr>
      </w:pPr>
    </w:p>
    <w:p>
      <w:pPr>
        <w:jc w:val="both"/>
        <w:ind w:left="120" w:hanging="117"/>
        <w:spacing w:after="0" w:line="270" w:lineRule="auto"/>
        <w:tabs>
          <w:tab w:leader="none" w:pos="10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 including the effects of recession or slow economic growth in the U.S. and abroad, interest rates, tariffs, inflation, fuel prices, international currency fluctuations, corruption, political instability, acts of war, acts of terrorism, ongoing or future military conflicts, and ongoing or future pandemics or other public health crises.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1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trading market for our Class A common stock will be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(as has happened in the past), we could lose visibility in the financial markets, which in turn could cause our stock price or trading volume to decline.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executive officers, directors, holders of 5% or more of our capital stock and their respective affiliates beneficially own a significant percentage of our voting stock and these stockholders will be able to influence us through this ownership position. These stockholders, if they were to vote their shares in the same or a similar manner as one another,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shares of our Class A and/or Class B common stock in the public market could cause our stock price to fall.</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Sales of a substantial number of shares of our Class A and/or Class B common stock, or the perception that these sales might occur, could depress the market price of our Class A common stock and could impair our ability to raise capital through the sale of additional equity securities. The shares of Class A common stock that were sold in the initial public offering and shares of Class A common stock that have been or will be sold under any registration statement declared effective by the SEC are, or will be, as applicable, freely transferable without restrictions or further registration under the Securities Act, except for any shares acquired by our affiliates, as defined in Rule 144 under the Securities Act. The remaining shares of our Class A common stock that are outstanding are either unrestricted or restricted as a result of securities laws. In addition, there are shares of Class A common stock that are either subject to outstanding options or reserved for future issuance under our existing equity incentive plans and may become eligible for future sale subject to vesting, and Rule 144 and Rule 701 under the Securities Act. If these additional shares of Class A common stock are sold, or if it is perceived that they will be sold, in the public market, the trading price of our Class A common stock could decline.</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spacing w:after="0" w:line="12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never declared or paid any cash dividends on our equity securities. We currently anticipate that we will retain future earnings, if any, for the development, operation and expansion of our business and do not anticipate declaring or paying any cash dividends for the foreseeable future, if ever. Any return to stockholders will therefore be limited to any appreciation in the value of our Class A common stock, which is not certain.</w:t>
      </w:r>
    </w:p>
    <w:p>
      <w:pPr>
        <w:spacing w:after="0" w:line="1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Class A common stock.</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spacing w:after="0" w:line="127" w:lineRule="exact"/>
        <w:rPr>
          <w:sz w:val="20"/>
          <w:szCs w:val="20"/>
          <w:color w:val="auto"/>
        </w:rPr>
      </w:pPr>
    </w:p>
    <w:p>
      <w:pPr>
        <w:ind w:left="120" w:hanging="117"/>
        <w:spacing w:after="0"/>
        <w:tabs>
          <w:tab w:leader="none" w:pos="1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classified Board so that not all members of our Board are elected at one time;</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only the Board to establish the number of directors and fill vacancies on the Board;</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directors may only be removed “for cause” and only with the approval of two-thirds of our stockholders;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“blank check” preferred stock that our Board could use to implement a stockholder rights plan (also known as a “poison pill”);</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hanging="117"/>
        <w:spacing w:after="0"/>
        <w:tabs>
          <w:tab w:leader="none" w:pos="1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 the ability of our stockholders to call special meetings of stockholders;</w:t>
      </w:r>
    </w:p>
    <w:p>
      <w:pPr>
        <w:spacing w:after="0" w:line="191"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which requires all stockholder actions to be taken at a meeting of our stockholders;</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cumulative voting;</w:t>
      </w:r>
    </w:p>
    <w:p>
      <w:pPr>
        <w:spacing w:after="0" w:line="178"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to unilaterally amend the bylaws (as, for example, the Board did in February 2024);</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 to our Board or for proposing matters that can be acted upon by stockholders at annual stockholder meetings; and</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 super-majority vote of stockholders to amend some provisions described above.</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Section 203 of the General Corporation Law of the State of Delaware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Any provision of our certificate of incorporation, our bylaws or Delaware or other applicable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1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a federal district court of the United States of America is the exclusive forum for the resolution of any complaint asserting a cause or causes of action against any defendant arising under the Securities Act. Such provision is intended to benefit and may be enforced by us, our officers, directors, employees and agents, including the underwriters and any other professional or entity who has prepared or certified any part of this filing or our other SEC filings. Nothing in our amended and restated certificate of incorporation or amended and restated bylaws preclude stockholders that assert claims under the Exchange Act from bringing such claims in state or federal court, subject to applicable law.</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agents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information technology systems or use of artificial intelligence, or those of any of our CROs, manufacturers, other contractors, consultants, collaborators or potential future collaborators, may fail or suffer security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information technology systems and those of our current and any future CROs, CMOs and other contractors, consultants, collaborators, agents and third-party service providers, are vulnerable to attack, interruption and damage from computer viruses (e.g. ransomware), cybersecurity threats, malicious code, unauthorized access, natural disasters, terrorism, war and telecommunication and electrical failure,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We have also outsourced elements of our information technology infrastructure, and as a result a number of third-party vendors may or could have access to our confidential information.</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If we or our third-party vendors were to experience a significant 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and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or result in the unauthorized acquisition of or access to our trade secrets, health-related or other personal information or other proprietary or sensitive information, it could result in a material disruption of our drug discovery and development programs and our business operations, whether due to a loss of our trade secrets or other similar disruptions, and it may be necessary to notify individuals, governmental authorities, supervisory bodies, the media and other parties pursuant to data privacy and security laws. Notifications and follow-up actions related to a security breach could impact our reputation and cause us to incur significant costs, including legal expenses and remediation costs. For example, the loss of clinical trial data from past, present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potential commercialization of our product candidates could be delayed or halted, and we could be subject to significant fines or penalties for any noncompliance with certain state, federal, local and/or international privacy and security laws.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we (and likely many of our third-party vendors, agents and other collaborators) are adopting and exploring the use of Artificial Intelligence ("AI") in our business. As an emerging and rapidly evolving technology, our (and, to the extent applicable, our third-party vendors', agents' and other collaborators') use of AI presents risks that could adversely affect our operations, information security and reputation. For example, AI systems may produce inaccurate or flawed outputs due to improper algorithms, or insufficient and/or erroneous training data. Reliance on flawed outputs could result in lower quality decision-making or prevent us from effectively utilizing AI in our business. We may also become vulnerable to operational disruptions if any AI technologies that we use experience downtimes or are compromised by cyberattacks. Moreover, if any of our confidential or proprietary information is integrated into public AI systems, whether purposefully or accidentally, it could result in the loss of confidentiality (including with respect to intellectual property) or other premature disclosure issues that negatively impact our business operations. If we (or our third-party agents and other collaborators) do not effectively implement guardrails and train staff on the safe and proper use of AI, or if staff fail to effectively adhere to established guardrails and training on the use of AI, we may experience adverse effects on our business, including without limitation data breaches, the loss of confidential information (including our intellectual property), unintentional disclosure of personal data, reputational harm, or other misuse of our proprietary information.</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or ultimate disposition, could be costly and divert management attention.</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Additionally, there can be no assurance that our cybersecurity risk management program and processes, including our policies, controls or procedures, will be fully implemented, complied with or effective in protecting our systems and information. See Part I. Item 1C. "Cybersecurity" contained in our Annual Report on Form 10-K for the fiscal year ended December 31, 2025 for additional information.</w:t>
      </w:r>
    </w:p>
    <w:p>
      <w:pPr>
        <w:spacing w:after="0" w:line="1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vulnerable to interruption by fire, severe weather conditions, power loss, telecommunications failure, terrorist activity, military conflict, future pandemics and other events beyond our control, which could harm our business.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geopolitical conflicts, military conflict, future pandemics, public health crises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of 2012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27" w:lineRule="exact"/>
        <w:rPr>
          <w:sz w:val="20"/>
          <w:szCs w:val="20"/>
          <w:color w:val="auto"/>
        </w:rPr>
      </w:pPr>
    </w:p>
    <w:p>
      <w:pPr>
        <w:ind w:left="120" w:hanging="117"/>
        <w:spacing w:after="0" w:line="287" w:lineRule="auto"/>
        <w:tabs>
          <w:tab w:leader="none" w:pos="10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financial statements, with correspondingly reduced “Management’s Discussion and Analysis of Financial Condition and Results of Operations” disclosure in this and other periodic reports;</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the auditor attestation requirements of Section 404 of the Sarbanes-Oxley Act of 2002 (the "Sarbanes-Oxley Act");</w:t>
      </w:r>
    </w:p>
    <w:p>
      <w:pPr>
        <w:spacing w:after="0" w:line="191"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112" w:lineRule="exact"/>
        <w:rPr>
          <w:rFonts w:ascii="Times New Roman" w:cs="Times New Roman" w:eastAsia="Times New Roman" w:hAnsi="Times New Roman"/>
          <w:sz w:val="17"/>
          <w:szCs w:val="17"/>
          <w:color w:val="auto"/>
        </w:rPr>
      </w:pPr>
    </w:p>
    <w:p>
      <w:pPr>
        <w:ind w:left="120" w:hanging="117"/>
        <w:spacing w:after="0"/>
        <w:tabs>
          <w:tab w:leader="none" w:pos="1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obligations regarding executive compensation in our periodic reports and proxy statements; and</w:t>
      </w:r>
    </w:p>
    <w:p>
      <w:pPr>
        <w:spacing w:after="0" w:line="178" w:lineRule="exact"/>
        <w:rPr>
          <w:rFonts w:ascii="Times New Roman" w:cs="Times New Roman" w:eastAsia="Times New Roman" w:hAnsi="Times New Roman"/>
          <w:sz w:val="17"/>
          <w:szCs w:val="17"/>
          <w:color w:val="auto"/>
        </w:rPr>
      </w:pPr>
    </w:p>
    <w:p>
      <w:pPr>
        <w:ind w:left="120" w:hanging="117"/>
        <w:spacing w:after="0" w:line="287" w:lineRule="auto"/>
        <w:tabs>
          <w:tab w:leader="none" w:pos="10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of holding nonbinding advisory stockholder votes on executive compensation and stockholder approval of any golden parachute payments not previously approved.</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may strain our resources, result in more litigation and divert management’s attention.</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the Sarbanes-Oxley Act, the Dodd-Frank Wall Street Reform and Consumer Protection Act (the "Dodd-Frank Act"), the listing requirements of Nasdaq and other applicable securities laws, rules and regulations. Complying with these laws,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will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changing laws, rules, regulations and standards relating to corporate governance and public disclosure are creating uncertainty for public companies, increasing legal and financial compliance costs and making some activities more time consuming. These laws, rules,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evolving laws, rules, regulations and standards, and this investment may result in increased general and administrative expenses and a diversion of management’s time and attention from revenue-generating activities to compliance activities. If our efforts to comply with new laws, rules, regulations and standards differ from the activities intended by regulatory or governing bodies due to ambiguities related to their application and practice, regulatory or other governmental authorities may initiate legal proceedings against us and our business may be adversely affected.</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By disclosing information in this filing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or a non-accelerated filer (as defined under applicable SEC rules), our independent registered public accounting firm will not be required to attest to the effectiveness of our internal controls over financial reporting pursuant to Section</w:t>
      </w:r>
    </w:p>
    <w:p>
      <w:pPr>
        <w:jc w:val="both"/>
        <w:ind w:firstLine="3"/>
        <w:spacing w:after="0" w:line="259" w:lineRule="auto"/>
        <w:tabs>
          <w:tab w:leader="none" w:pos="36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securities litigation, which is expensive and could divert management attention.</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market price of our Class A common stock has been and may in the future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tax legislation may impact our results of operations and financial condition.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U.S. government has enacted, and may in the future enact further,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For example, the recently enacted Inflation Reduction Act, among other changes, introduced a 15% corporate minimum tax on certain United States corporations and a 1% excise tax on certain stock redemptions by United States corporations. Additionally, in July 2025, the Act to Provide for Reconciliation Pursuant to Title II of H. Con. Res. 14 was enacted, which for example (and among other things) extends certain tax cuts while eliminating certain others. The likelihood and / or potential impact of these or other further changes being enacted or implemented is unclear. We are currently unable to predict whether such changes will occur, and if they do occur, what their scope will be. If such changes were to be enacted or implemented, we are currently unable to predict the ultimate impact on our business.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Unregistered Sales of Equity Securities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Proceeds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Disclosure in lieu of reporting on a Current Report on Form 8-K.</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6" w:lineRule="exact"/>
        <w:rPr>
          <w:sz w:val="20"/>
          <w:szCs w:val="20"/>
          <w:color w:val="auto"/>
        </w:rPr>
      </w:pPr>
    </w:p>
    <w:p>
      <w:pPr>
        <w:ind w:left="620" w:right="2520" w:firstLine="2"/>
        <w:spacing w:after="0" w:line="495" w:lineRule="auto"/>
        <w:tabs>
          <w:tab w:leader="none" w:pos="86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changes to the procedures by which security holders may recommend nominees to the board of directors. None.</w:t>
      </w:r>
    </w:p>
    <w:p>
      <w:pPr>
        <w:ind w:left="860" w:hanging="238"/>
        <w:spacing w:after="0"/>
        <w:tabs>
          <w:tab w:leader="none" w:pos="8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Insider Trading Arrangements and Policies</w:t>
      </w:r>
    </w:p>
    <w:p>
      <w:pPr>
        <w:spacing w:after="0" w:line="2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During the three months ended September 30, 2026, no director or “officer” (as defined in Rule 16a-1(f) under the Exchange Act) of the Company adopted or terminated a “Rule 10b5-1 trading arrangement” or “non-Rule 10b5-1 trading arrangement”, as each term is defined in Item 408(a) of Regulation S-K.</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Furnished</w:t>
            </w:r>
          </w:p>
        </w:tc>
        <w:tc>
          <w:tcPr>
            <w:tcW w:w="0" w:type="dxa"/>
            <w:vAlign w:val="bottom"/>
          </w:tcPr>
          <w:p>
            <w:pPr>
              <w:spacing w:after="0"/>
              <w:rPr>
                <w:sz w:val="1"/>
                <w:szCs w:val="1"/>
                <w:color w:val="auto"/>
              </w:rPr>
            </w:pPr>
          </w:p>
        </w:tc>
      </w:tr>
      <w:tr>
        <w:trPr>
          <w:trHeight w:val="195"/>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120" w:type="dxa"/>
            <w:vAlign w:val="bottom"/>
          </w:tcPr>
          <w:p>
            <w:pPr>
              <w:spacing w:after="0"/>
              <w:rPr>
                <w:sz w:val="16"/>
                <w:szCs w:val="16"/>
                <w:color w:val="auto"/>
              </w:rPr>
            </w:pPr>
          </w:p>
        </w:tc>
        <w:tc>
          <w:tcPr>
            <w:tcW w:w="350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22"/>
        </w:trPr>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4620" w:type="dxa"/>
            <w:vAlign w:val="bottom"/>
            <w:gridSpan w:val="8"/>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Amended and Restated Certificate of Incorporation of</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001-40675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9/9/2021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3700" w:type="dxa"/>
            <w:vAlign w:val="bottom"/>
            <w:tcBorders>
              <w:top w:val="single" w:sz="8" w:color="0000FF"/>
            </w:tcBorders>
            <w:gridSpan w:val="5"/>
          </w:tcPr>
          <w:p>
            <w:pPr>
              <w:spacing w:after="0" w:line="186"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Immuneering Corporation</w:t>
              </w:r>
            </w:hyperlink>
          </w:p>
        </w:tc>
        <w:tc>
          <w:tcPr>
            <w:tcW w:w="92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418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Amended and Restated Bylaws of Immuneering Corporation</w:t>
              </w:r>
            </w:hyperlink>
          </w:p>
        </w:tc>
        <w:tc>
          <w:tcPr>
            <w:tcW w:w="440" w:type="dxa"/>
            <w:vAlign w:val="bottom"/>
            <w:gridSpan w:val="2"/>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001-40675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2/2/2024</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4620" w:type="dxa"/>
            <w:vAlign w:val="bottom"/>
            <w:gridSpan w:val="8"/>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Form of Pre-Funded Warrant</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001-40675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8/25/2025</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1980" w:type="dxa"/>
            <w:vAlign w:val="bottom"/>
            <w:tcBorders>
              <w:top w:val="single" w:sz="8" w:color="0000FF"/>
            </w:tcBorders>
            <w:gridSpan w:val="4"/>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Form of Purchase Warrant</w:t>
              </w:r>
            </w:hyperlink>
          </w:p>
        </w:tc>
        <w:tc>
          <w:tcPr>
            <w:tcW w:w="2640" w:type="dxa"/>
            <w:vAlign w:val="bottom"/>
            <w:gridSpan w:val="4"/>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001-40675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8/25/2025</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4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 13a-</w:t>
            </w: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4500" w:type="dxa"/>
            <w:vAlign w:val="bottom"/>
            <w:tcBorders>
              <w:top w:val="single" w:sz="8" w:color="0000FF"/>
            </w:tcBorders>
            <w:gridSpan w:val="7"/>
          </w:tcPr>
          <w:p>
            <w:pPr>
              <w:spacing w:after="0" w:line="186" w:lineRule="exact"/>
              <w:rPr>
                <w:sz w:val="20"/>
                <w:szCs w:val="20"/>
                <w:color w:val="auto"/>
              </w:rPr>
            </w:pPr>
            <w:r>
              <w:rPr>
                <w:rFonts w:ascii="Times New Roman" w:cs="Times New Roman" w:eastAsia="Times New Roman" w:hAnsi="Times New Roman"/>
                <w:sz w:val="17"/>
                <w:szCs w:val="17"/>
                <w:color w:val="0000FF"/>
              </w:rPr>
              <w:t>14(a)/15d-14(a).</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9"/>
        </w:trPr>
        <w:tc>
          <w:tcPr>
            <w:tcW w:w="1280" w:type="dxa"/>
            <w:vAlign w:val="bottom"/>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33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4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35"/>
        </w:trPr>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Furnished</w:t>
            </w:r>
          </w:p>
        </w:tc>
        <w:tc>
          <w:tcPr>
            <w:tcW w:w="0" w:type="dxa"/>
            <w:vAlign w:val="bottom"/>
          </w:tcPr>
          <w:p>
            <w:pPr>
              <w:spacing w:after="0"/>
              <w:rPr>
                <w:sz w:val="1"/>
                <w:szCs w:val="1"/>
                <w:color w:val="auto"/>
              </w:rPr>
            </w:pPr>
          </w:p>
        </w:tc>
      </w:tr>
      <w:tr>
        <w:trPr>
          <w:trHeight w:val="19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22"/>
        </w:trPr>
        <w:tc>
          <w:tcPr>
            <w:tcW w:w="128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4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 13a-</w:t>
            </w:r>
          </w:p>
        </w:tc>
        <w:tc>
          <w:tcPr>
            <w:tcW w:w="1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20" w:type="dxa"/>
            <w:vAlign w:val="bottom"/>
            <w:gridSpan w:val="6"/>
          </w:tcPr>
          <w:p>
            <w:pPr>
              <w:spacing w:after="0" w:line="186" w:lineRule="exact"/>
              <w:rPr>
                <w:sz w:val="20"/>
                <w:szCs w:val="20"/>
                <w:color w:val="auto"/>
              </w:rPr>
            </w:pPr>
            <w:r>
              <w:rPr>
                <w:rFonts w:ascii="Times New Roman" w:cs="Times New Roman" w:eastAsia="Times New Roman" w:hAnsi="Times New Roman"/>
                <w:sz w:val="17"/>
                <w:szCs w:val="17"/>
                <w:color w:val="0000FF"/>
              </w:rPr>
              <w:t>14(a)/15d-14(a).</w:t>
            </w: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w:t>
            </w:r>
          </w:p>
        </w:tc>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Borders>
              <w:top w:val="single" w:sz="8" w:color="0000FF"/>
              <w:bottom w:val="single" w:sz="8" w:color="0000FF"/>
            </w:tcBorders>
            <w:gridSpan w:val="2"/>
          </w:tcPr>
          <w:p>
            <w:pPr>
              <w:spacing w:after="0" w:line="186" w:lineRule="exact"/>
              <w:rPr>
                <w:sz w:val="20"/>
                <w:szCs w:val="20"/>
                <w:color w:val="auto"/>
              </w:rPr>
            </w:pPr>
            <w:r>
              <w:rPr>
                <w:rFonts w:ascii="Times New Roman" w:cs="Times New Roman" w:eastAsia="Times New Roman" w:hAnsi="Times New Roman"/>
                <w:sz w:val="17"/>
                <w:szCs w:val="17"/>
                <w:color w:val="0000FF"/>
              </w:rPr>
              <w:t>Section 1350.</w:t>
            </w:r>
          </w:p>
        </w:tc>
        <w:tc>
          <w:tcPr>
            <w:tcW w:w="3540" w:type="dxa"/>
            <w:vAlign w:val="bottom"/>
            <w:tcBorders>
              <w:top w:val="single" w:sz="8" w:color="0000FF"/>
            </w:tcBorders>
            <w:gridSpan w:val="3"/>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4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w:t>
            </w:r>
          </w:p>
        </w:tc>
        <w:tc>
          <w:tcPr>
            <w:tcW w:w="16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Borders>
              <w:bottom w:val="single" w:sz="8" w:color="0000FF"/>
            </w:tcBorders>
          </w:tcPr>
          <w:p>
            <w:pPr>
              <w:spacing w:after="0" w:line="186" w:lineRule="exact"/>
              <w:rPr>
                <w:sz w:val="20"/>
                <w:szCs w:val="20"/>
                <w:color w:val="auto"/>
              </w:rPr>
            </w:pPr>
            <w:r>
              <w:rPr>
                <w:rFonts w:ascii="Times New Roman" w:cs="Times New Roman" w:eastAsia="Times New Roman" w:hAnsi="Times New Roman"/>
                <w:sz w:val="17"/>
                <w:szCs w:val="17"/>
                <w:color w:val="0000FF"/>
                <w:w w:val="98"/>
              </w:rPr>
              <w:t>Section 1350.</w:t>
            </w:r>
          </w:p>
        </w:tc>
        <w:tc>
          <w:tcPr>
            <w:tcW w:w="3680" w:type="dxa"/>
            <w:vAlign w:val="bottom"/>
            <w:gridSpan w:val="5"/>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w:t>
            </w: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appear in the Interactive Data File because its XBRL tags are</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5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5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w:t>
            </w: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contained in Exhibit 101)</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68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Filed herewith.</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680" w:type="dxa"/>
            <w:vAlign w:val="bottom"/>
            <w:gridSpan w:val="7"/>
          </w:tcPr>
          <w:p>
            <w:pPr>
              <w:ind w:left="120"/>
              <w:spacing w:after="0"/>
              <w:rPr>
                <w:sz w:val="20"/>
                <w:szCs w:val="20"/>
                <w:color w:val="auto"/>
              </w:rPr>
            </w:pPr>
            <w:r>
              <w:rPr>
                <w:rFonts w:ascii="Times New Roman" w:cs="Times New Roman" w:eastAsia="Times New Roman" w:hAnsi="Times New Roman"/>
                <w:sz w:val="17"/>
                <w:szCs w:val="17"/>
                <w:color w:val="auto"/>
              </w:rPr>
              <w:t>Furnished herewith.</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 Indicates management contract or compensatory plan.</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280" w:type="dxa"/>
            <w:vAlign w:val="bottom"/>
          </w:tcPr>
          <w:p>
            <w:pPr>
              <w:spacing w:after="0"/>
              <w:rPr>
                <w:sz w:val="19"/>
                <w:szCs w:val="19"/>
                <w:color w:val="auto"/>
              </w:rPr>
            </w:pPr>
          </w:p>
        </w:tc>
        <w:tc>
          <w:tcPr>
            <w:tcW w:w="7940" w:type="dxa"/>
            <w:vAlign w:val="bottom"/>
            <w:gridSpan w:val="3"/>
          </w:tcPr>
          <w:p>
            <w:pPr>
              <w:ind w:left="1660"/>
              <w:spacing w:after="0"/>
              <w:rPr>
                <w:sz w:val="20"/>
                <w:szCs w:val="20"/>
                <w:color w:val="auto"/>
              </w:rPr>
            </w:pPr>
            <w:r>
              <w:rPr>
                <w:rFonts w:ascii="Times New Roman" w:cs="Times New Roman" w:eastAsia="Times New Roman" w:hAnsi="Times New Roman"/>
                <w:sz w:val="17"/>
                <w:szCs w:val="17"/>
                <w:b w:val="1"/>
                <w:bCs w:val="1"/>
                <w:color w:val="auto"/>
              </w:rPr>
              <w:t>IMMUNEERING CORPORATION</w:t>
            </w:r>
          </w:p>
        </w:tc>
      </w:tr>
      <w:tr>
        <w:trPr>
          <w:trHeight w:val="521"/>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29, 2026</w:t>
            </w:r>
          </w:p>
        </w:tc>
        <w:tc>
          <w:tcPr>
            <w:tcW w:w="216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By:</w:t>
            </w:r>
          </w:p>
        </w:tc>
        <w:tc>
          <w:tcPr>
            <w:tcW w:w="84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Benjamin J. Zeskind</w:t>
            </w:r>
          </w:p>
        </w:tc>
      </w:tr>
      <w:tr>
        <w:trPr>
          <w:trHeight w:val="245"/>
        </w:trPr>
        <w:tc>
          <w:tcPr>
            <w:tcW w:w="3280" w:type="dxa"/>
            <w:vAlign w:val="bottom"/>
          </w:tcPr>
          <w:p>
            <w:pPr>
              <w:spacing w:after="0"/>
              <w:rPr>
                <w:sz w:val="21"/>
                <w:szCs w:val="21"/>
                <w:color w:val="auto"/>
              </w:rPr>
            </w:pPr>
          </w:p>
        </w:tc>
        <w:tc>
          <w:tcPr>
            <w:tcW w:w="216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Name:</w:t>
            </w:r>
          </w:p>
        </w:tc>
        <w:tc>
          <w:tcPr>
            <w:tcW w:w="84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Benjamin J. Zeskind, Ph.D.</w:t>
            </w:r>
          </w:p>
        </w:tc>
      </w:tr>
      <w:tr>
        <w:trPr>
          <w:trHeight w:val="241"/>
        </w:trPr>
        <w:tc>
          <w:tcPr>
            <w:tcW w:w="3280" w:type="dxa"/>
            <w:vAlign w:val="bottom"/>
          </w:tcPr>
          <w:p>
            <w:pPr>
              <w:spacing w:after="0"/>
              <w:rPr>
                <w:sz w:val="20"/>
                <w:szCs w:val="20"/>
                <w:color w:val="auto"/>
              </w:rPr>
            </w:pPr>
          </w:p>
        </w:tc>
        <w:tc>
          <w:tcPr>
            <w:tcW w:w="216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Title:</w:t>
            </w:r>
          </w:p>
        </w:tc>
        <w:tc>
          <w:tcPr>
            <w:tcW w:w="8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Co-Founder, President, Chief Executive Officer and Director</w:t>
            </w:r>
          </w:p>
        </w:tc>
      </w:tr>
      <w:tr>
        <w:trPr>
          <w:trHeight w:val="223"/>
        </w:trPr>
        <w:tc>
          <w:tcPr>
            <w:tcW w:w="3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534"/>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29, 2026</w:t>
            </w:r>
          </w:p>
        </w:tc>
        <w:tc>
          <w:tcPr>
            <w:tcW w:w="216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By:</w:t>
            </w:r>
          </w:p>
        </w:tc>
        <w:tc>
          <w:tcPr>
            <w:tcW w:w="84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Gengos</w:t>
            </w:r>
          </w:p>
        </w:tc>
      </w:tr>
      <w:tr>
        <w:trPr>
          <w:trHeight w:val="245"/>
        </w:trPr>
        <w:tc>
          <w:tcPr>
            <w:tcW w:w="3280" w:type="dxa"/>
            <w:vAlign w:val="bottom"/>
          </w:tcPr>
          <w:p>
            <w:pPr>
              <w:spacing w:after="0"/>
              <w:rPr>
                <w:sz w:val="21"/>
                <w:szCs w:val="21"/>
                <w:color w:val="auto"/>
              </w:rPr>
            </w:pPr>
          </w:p>
        </w:tc>
        <w:tc>
          <w:tcPr>
            <w:tcW w:w="216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Name:</w:t>
            </w:r>
          </w:p>
        </w:tc>
        <w:tc>
          <w:tcPr>
            <w:tcW w:w="84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Gengos</w:t>
            </w:r>
          </w:p>
        </w:tc>
      </w:tr>
      <w:tr>
        <w:trPr>
          <w:trHeight w:val="241"/>
        </w:trPr>
        <w:tc>
          <w:tcPr>
            <w:tcW w:w="3280" w:type="dxa"/>
            <w:vAlign w:val="bottom"/>
          </w:tcPr>
          <w:p>
            <w:pPr>
              <w:spacing w:after="0"/>
              <w:rPr>
                <w:sz w:val="20"/>
                <w:szCs w:val="20"/>
                <w:color w:val="auto"/>
              </w:rPr>
            </w:pPr>
          </w:p>
        </w:tc>
        <w:tc>
          <w:tcPr>
            <w:tcW w:w="216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Title:</w:t>
            </w:r>
          </w:p>
        </w:tc>
        <w:tc>
          <w:tcPr>
            <w:tcW w:w="8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23"/>
        </w:trPr>
        <w:tc>
          <w:tcPr>
            <w:tcW w:w="3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534"/>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29, 2026</w:t>
            </w:r>
          </w:p>
        </w:tc>
        <w:tc>
          <w:tcPr>
            <w:tcW w:w="216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By:</w:t>
            </w:r>
          </w:p>
        </w:tc>
        <w:tc>
          <w:tcPr>
            <w:tcW w:w="84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Mallory Morales</w:t>
            </w:r>
          </w:p>
        </w:tc>
      </w:tr>
      <w:tr>
        <w:trPr>
          <w:trHeight w:val="245"/>
        </w:trPr>
        <w:tc>
          <w:tcPr>
            <w:tcW w:w="3280" w:type="dxa"/>
            <w:vAlign w:val="bottom"/>
          </w:tcPr>
          <w:p>
            <w:pPr>
              <w:spacing w:after="0"/>
              <w:rPr>
                <w:sz w:val="21"/>
                <w:szCs w:val="21"/>
                <w:color w:val="auto"/>
              </w:rPr>
            </w:pPr>
          </w:p>
        </w:tc>
        <w:tc>
          <w:tcPr>
            <w:tcW w:w="216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Name:</w:t>
            </w:r>
          </w:p>
        </w:tc>
        <w:tc>
          <w:tcPr>
            <w:tcW w:w="84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Mallory Morales</w:t>
            </w:r>
          </w:p>
        </w:tc>
      </w:tr>
      <w:tr>
        <w:trPr>
          <w:trHeight w:val="241"/>
        </w:trPr>
        <w:tc>
          <w:tcPr>
            <w:tcW w:w="3280" w:type="dxa"/>
            <w:vAlign w:val="bottom"/>
          </w:tcPr>
          <w:p>
            <w:pPr>
              <w:spacing w:after="0"/>
              <w:rPr>
                <w:sz w:val="20"/>
                <w:szCs w:val="20"/>
                <w:color w:val="auto"/>
              </w:rPr>
            </w:pPr>
          </w:p>
        </w:tc>
        <w:tc>
          <w:tcPr>
            <w:tcW w:w="216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Title:</w:t>
            </w:r>
          </w:p>
        </w:tc>
        <w:tc>
          <w:tcPr>
            <w:tcW w:w="8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SVP Finance, Chief Accounting Officer and Assistant Treasurer</w:t>
            </w:r>
          </w:p>
        </w:tc>
      </w:tr>
      <w:tr>
        <w:trPr>
          <w:trHeight w:val="223"/>
        </w:trPr>
        <w:tc>
          <w:tcPr>
            <w:tcW w:w="3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r>
      <w:tr>
        <w:trPr>
          <w:trHeight w:val="890"/>
        </w:trPr>
        <w:tc>
          <w:tcPr>
            <w:tcW w:w="3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108</w:t>
            </w:r>
          </w:p>
        </w:tc>
        <w:tc>
          <w:tcPr>
            <w:tcW w:w="4940" w:type="dxa"/>
            <w:vAlign w:val="bottom"/>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Benjamin J. Zeskind, certify that:</w:t>
      </w:r>
    </w:p>
    <w:p>
      <w:pPr>
        <w:spacing w:after="0" w:line="114" w:lineRule="exact"/>
        <w:rPr>
          <w:sz w:val="20"/>
          <w:szCs w:val="20"/>
          <w:color w:val="auto"/>
        </w:rPr>
      </w:pPr>
    </w:p>
    <w:p>
      <w:pPr>
        <w:ind w:left="460" w:hanging="457"/>
        <w:spacing w:after="0"/>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Immuneering Corporation;</w:t>
      </w:r>
    </w:p>
    <w:p>
      <w:pPr>
        <w:spacing w:after="0" w:line="113" w:lineRule="exact"/>
        <w:rPr>
          <w:rFonts w:ascii="Times New Roman" w:cs="Times New Roman" w:eastAsia="Times New Roman" w:hAnsi="Times New Roman"/>
          <w:sz w:val="17"/>
          <w:szCs w:val="17"/>
          <w:color w:val="auto"/>
        </w:rPr>
      </w:pPr>
    </w:p>
    <w:p>
      <w:pPr>
        <w:ind w:left="460" w:hanging="457"/>
        <w:spacing w:after="0" w:line="287" w:lineRule="auto"/>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460" w:right="100" w:hanging="457"/>
        <w:spacing w:after="0" w:line="287" w:lineRule="auto"/>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460" w:right="240" w:hanging="457"/>
        <w:spacing w:after="0" w:line="270" w:lineRule="auto"/>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940" w:right="80" w:hanging="473"/>
        <w:spacing w:after="0" w:line="270" w:lineRule="auto"/>
        <w:tabs>
          <w:tab w:leader="none" w:pos="93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940" w:right="60" w:hanging="473"/>
        <w:spacing w:after="0" w:line="270" w:lineRule="auto"/>
        <w:tabs>
          <w:tab w:leader="none" w:pos="934"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940" w:right="120" w:hanging="473"/>
        <w:spacing w:after="0" w:line="287" w:lineRule="auto"/>
        <w:tabs>
          <w:tab w:leader="none" w:pos="93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940" w:right="140" w:hanging="473"/>
        <w:spacing w:after="0" w:line="270" w:lineRule="auto"/>
        <w:tabs>
          <w:tab w:leader="none" w:pos="934"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460" w:right="680" w:hanging="457"/>
        <w:spacing w:after="0" w:line="287" w:lineRule="auto"/>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940" w:right="40" w:hanging="473"/>
        <w:spacing w:after="0" w:line="287" w:lineRule="auto"/>
        <w:tabs>
          <w:tab w:leader="none" w:pos="93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940" w:right="80" w:hanging="473"/>
        <w:spacing w:after="0" w:line="287" w:lineRule="auto"/>
        <w:tabs>
          <w:tab w:leader="none" w:pos="934"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29, 2026</w:t>
      </w:r>
    </w:p>
    <w:p>
      <w:pPr>
        <w:spacing w:after="0" w:line="282" w:lineRule="exact"/>
        <w:rPr>
          <w:sz w:val="20"/>
          <w:szCs w:val="20"/>
          <w:color w:val="auto"/>
        </w:rPr>
      </w:pPr>
    </w:p>
    <w:tbl>
      <w:tblPr>
        <w:tblLayout w:type="fixed"/>
        <w:tblInd w:w="522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 Benjamin J. Zeskind</w:t>
            </w:r>
          </w:p>
        </w:tc>
      </w:tr>
      <w:tr>
        <w:trPr>
          <w:trHeight w:val="25"/>
        </w:trPr>
        <w:tc>
          <w:tcPr>
            <w:tcW w:w="8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Benjamin J. Zeskind, Ph.D</w:t>
            </w:r>
          </w:p>
        </w:tc>
      </w:tr>
      <w:tr>
        <w:trPr>
          <w:trHeight w:val="254"/>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Co-Founder, President, Chief Executive Officer and Director (Principal</w:t>
            </w:r>
          </w:p>
        </w:tc>
      </w:tr>
      <w:tr>
        <w:trPr>
          <w:trHeight w:val="223"/>
        </w:trPr>
        <w:tc>
          <w:tcPr>
            <w:tcW w:w="8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Executive Officer)</w:t>
            </w:r>
          </w:p>
        </w:tc>
      </w:tr>
    </w:tbl>
    <w:p>
      <w:pPr>
        <w:sectPr>
          <w:pgSz w:w="11900" w:h="16838" w:orient="portrait"/>
          <w:cols w:equalWidth="0" w:num="1">
            <w:col w:w="11240"/>
          </w:cols>
          <w:pgMar w:left="320" w:top="1099"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Andrew Gengos, certify that:</w:t>
      </w:r>
    </w:p>
    <w:p>
      <w:pPr>
        <w:spacing w:after="0" w:line="114" w:lineRule="exact"/>
        <w:rPr>
          <w:sz w:val="20"/>
          <w:szCs w:val="20"/>
          <w:color w:val="auto"/>
        </w:rPr>
      </w:pPr>
    </w:p>
    <w:p>
      <w:pPr>
        <w:ind w:left="460" w:hanging="457"/>
        <w:spacing w:after="0"/>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Immuneering Corporation;</w:t>
      </w:r>
    </w:p>
    <w:p>
      <w:pPr>
        <w:spacing w:after="0" w:line="113" w:lineRule="exact"/>
        <w:rPr>
          <w:rFonts w:ascii="Times New Roman" w:cs="Times New Roman" w:eastAsia="Times New Roman" w:hAnsi="Times New Roman"/>
          <w:sz w:val="17"/>
          <w:szCs w:val="17"/>
          <w:color w:val="auto"/>
        </w:rPr>
      </w:pPr>
    </w:p>
    <w:p>
      <w:pPr>
        <w:ind w:left="460" w:hanging="457"/>
        <w:spacing w:after="0" w:line="287"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460" w:right="100" w:hanging="457"/>
        <w:spacing w:after="0" w:line="287"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460" w:right="240" w:hanging="457"/>
        <w:spacing w:after="0" w:line="270"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940" w:right="80" w:hanging="473"/>
        <w:spacing w:after="0" w:line="270" w:lineRule="auto"/>
        <w:tabs>
          <w:tab w:leader="none" w:pos="93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940" w:right="60" w:hanging="473"/>
        <w:spacing w:after="0" w:line="270" w:lineRule="auto"/>
        <w:tabs>
          <w:tab w:leader="none" w:pos="934"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940" w:right="120" w:hanging="473"/>
        <w:spacing w:after="0" w:line="287" w:lineRule="auto"/>
        <w:tabs>
          <w:tab w:leader="none" w:pos="93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940" w:right="140" w:hanging="473"/>
        <w:spacing w:after="0" w:line="270" w:lineRule="auto"/>
        <w:tabs>
          <w:tab w:leader="none" w:pos="934"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460" w:right="680" w:hanging="457"/>
        <w:spacing w:after="0" w:line="287"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940" w:right="40" w:hanging="473"/>
        <w:spacing w:after="0" w:line="287" w:lineRule="auto"/>
        <w:tabs>
          <w:tab w:leader="none" w:pos="93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940" w:right="80" w:hanging="473"/>
        <w:spacing w:after="0" w:line="287" w:lineRule="auto"/>
        <w:tabs>
          <w:tab w:leader="none" w:pos="934"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29, 2026</w:t>
      </w:r>
    </w:p>
    <w:p>
      <w:pPr>
        <w:spacing w:after="0" w:line="282" w:lineRule="exact"/>
        <w:rPr>
          <w:sz w:val="20"/>
          <w:szCs w:val="20"/>
          <w:color w:val="auto"/>
        </w:rPr>
      </w:pPr>
    </w:p>
    <w:tbl>
      <w:tblPr>
        <w:tblLayout w:type="fixed"/>
        <w:tblInd w:w="526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Andrew Gengos</w:t>
            </w:r>
          </w:p>
        </w:tc>
        <w:tc>
          <w:tcPr>
            <w:tcW w:w="0" w:type="dxa"/>
            <w:vAlign w:val="bottom"/>
          </w:tcPr>
          <w:p>
            <w:pPr>
              <w:spacing w:after="0"/>
              <w:rPr>
                <w:sz w:val="1"/>
                <w:szCs w:val="1"/>
                <w:color w:val="auto"/>
              </w:rPr>
            </w:pPr>
          </w:p>
        </w:tc>
      </w:tr>
      <w:tr>
        <w:trPr>
          <w:trHeight w:val="25"/>
        </w:trPr>
        <w:tc>
          <w:tcPr>
            <w:tcW w:w="78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Gengos</w:t>
            </w:r>
          </w:p>
        </w:tc>
        <w:tc>
          <w:tcPr>
            <w:tcW w:w="0" w:type="dxa"/>
            <w:vAlign w:val="bottom"/>
          </w:tcPr>
          <w:p>
            <w:pPr>
              <w:spacing w:after="0"/>
              <w:rPr>
                <w:sz w:val="1"/>
                <w:szCs w:val="1"/>
                <w:color w:val="auto"/>
              </w:rPr>
            </w:pPr>
          </w:p>
        </w:tc>
      </w:t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Chief Financial Officer and Treasurer</w:t>
            </w:r>
          </w:p>
        </w:tc>
        <w:tc>
          <w:tcPr>
            <w:tcW w:w="0" w:type="dxa"/>
            <w:vAlign w:val="bottom"/>
          </w:tcPr>
          <w:p>
            <w:pPr>
              <w:spacing w:after="0"/>
              <w:rPr>
                <w:sz w:val="1"/>
                <w:szCs w:val="1"/>
                <w:color w:val="auto"/>
              </w:rPr>
            </w:pPr>
          </w:p>
        </w:tc>
      </w:tr>
      <w:tr>
        <w:trPr>
          <w:trHeight w:val="86"/>
        </w:trPr>
        <w:tc>
          <w:tcPr>
            <w:tcW w:w="78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99"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2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Immuneering Corporation (the “Company”) for the quarterly period ended September 30, 2026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62" w:lineRule="exact"/>
        <w:rPr>
          <w:sz w:val="20"/>
          <w:szCs w:val="20"/>
          <w:color w:val="auto"/>
        </w:rPr>
      </w:pPr>
    </w:p>
    <w:p>
      <w:pPr>
        <w:ind w:left="780" w:hanging="467"/>
        <w:spacing w:after="0"/>
        <w:tabs>
          <w:tab w:leader="none" w:pos="7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113" w:lineRule="exact"/>
        <w:rPr>
          <w:rFonts w:ascii="Times New Roman" w:cs="Times New Roman" w:eastAsia="Times New Roman" w:hAnsi="Times New Roman"/>
          <w:sz w:val="17"/>
          <w:szCs w:val="17"/>
          <w:color w:val="auto"/>
        </w:rPr>
      </w:pPr>
    </w:p>
    <w:p>
      <w:pPr>
        <w:ind w:left="780" w:hanging="467"/>
        <w:spacing w:after="0"/>
        <w:tabs>
          <w:tab w:leader="none" w:pos="7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29, 2026</w:t>
      </w:r>
    </w:p>
    <w:p>
      <w:pPr>
        <w:spacing w:after="0" w:line="282" w:lineRule="exact"/>
        <w:rPr>
          <w:sz w:val="20"/>
          <w:szCs w:val="20"/>
          <w:color w:val="auto"/>
        </w:rPr>
      </w:pPr>
    </w:p>
    <w:tbl>
      <w:tblPr>
        <w:tblLayout w:type="fixed"/>
        <w:tblInd w:w="526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Benjamin J. Zeskind</w:t>
            </w:r>
          </w:p>
        </w:tc>
        <w:tc>
          <w:tcPr>
            <w:tcW w:w="0" w:type="dxa"/>
            <w:vAlign w:val="bottom"/>
          </w:tcPr>
          <w:p>
            <w:pPr>
              <w:spacing w:after="0"/>
              <w:rPr>
                <w:sz w:val="1"/>
                <w:szCs w:val="1"/>
                <w:color w:val="auto"/>
              </w:rPr>
            </w:pPr>
          </w:p>
        </w:tc>
      </w:tr>
      <w:tr>
        <w:trPr>
          <w:trHeight w:val="25"/>
        </w:trPr>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5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80" w:type="dxa"/>
            <w:vAlign w:val="bottom"/>
            <w:vMerge w:val="continue"/>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Benjamin J. Zeskind, Ph.D.</w:t>
            </w:r>
          </w:p>
        </w:tc>
        <w:tc>
          <w:tcPr>
            <w:tcW w:w="0" w:type="dxa"/>
            <w:vAlign w:val="bottom"/>
          </w:tcPr>
          <w:p>
            <w:pPr>
              <w:spacing w:after="0"/>
              <w:rPr>
                <w:sz w:val="1"/>
                <w:szCs w:val="1"/>
                <w:color w:val="auto"/>
              </w:rPr>
            </w:pPr>
          </w:p>
        </w:tc>
      </w:tr>
      <w:tr>
        <w:trPr>
          <w:trHeight w:val="254"/>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Co-Founder, President, Chief Executive Officer and Director (Principal</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99"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2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Immuneering Corporation (the “Company”) for the quarterly period ended September 30, 2026,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62" w:lineRule="exact"/>
        <w:rPr>
          <w:sz w:val="20"/>
          <w:szCs w:val="20"/>
          <w:color w:val="auto"/>
        </w:rPr>
      </w:pPr>
    </w:p>
    <w:p>
      <w:pPr>
        <w:ind w:left="920" w:hanging="453"/>
        <w:spacing w:after="0"/>
        <w:tabs>
          <w:tab w:leader="none" w:pos="9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29, 2026</w:t>
      </w:r>
    </w:p>
    <w:p>
      <w:pPr>
        <w:spacing w:after="0" w:line="282" w:lineRule="exact"/>
        <w:rPr>
          <w:sz w:val="20"/>
          <w:szCs w:val="20"/>
          <w:color w:val="auto"/>
        </w:rPr>
      </w:pPr>
    </w:p>
    <w:tbl>
      <w:tblPr>
        <w:tblLayout w:type="fixed"/>
        <w:tblInd w:w="526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Andrew Gengos</w:t>
            </w:r>
          </w:p>
        </w:tc>
        <w:tc>
          <w:tcPr>
            <w:tcW w:w="0" w:type="dxa"/>
            <w:vAlign w:val="bottom"/>
          </w:tcPr>
          <w:p>
            <w:pPr>
              <w:spacing w:after="0"/>
              <w:rPr>
                <w:sz w:val="1"/>
                <w:szCs w:val="1"/>
                <w:color w:val="auto"/>
              </w:rPr>
            </w:pPr>
          </w:p>
        </w:tc>
      </w:tr>
      <w:tr>
        <w:trPr>
          <w:trHeight w:val="25"/>
        </w:trPr>
        <w:tc>
          <w:tcPr>
            <w:tcW w:w="78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Gengos</w:t>
            </w:r>
          </w:p>
        </w:tc>
        <w:tc>
          <w:tcPr>
            <w:tcW w:w="0" w:type="dxa"/>
            <w:vAlign w:val="bottom"/>
          </w:tcPr>
          <w:p>
            <w:pPr>
              <w:spacing w:after="0"/>
              <w:rPr>
                <w:sz w:val="1"/>
                <w:szCs w:val="1"/>
                <w:color w:val="auto"/>
              </w:rPr>
            </w:pPr>
          </w:p>
        </w:tc>
      </w:tr>
      <w:tr>
        <w:trPr>
          <w:trHeight w:val="271"/>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Chief Financial Officer and Treasurer</w:t>
            </w:r>
          </w:p>
        </w:tc>
        <w:tc>
          <w:tcPr>
            <w:tcW w:w="0" w:type="dxa"/>
            <w:vAlign w:val="bottom"/>
          </w:tcPr>
          <w:p>
            <w:pPr>
              <w:spacing w:after="0"/>
              <w:rPr>
                <w:sz w:val="1"/>
                <w:szCs w:val="1"/>
                <w:color w:val="auto"/>
              </w:rPr>
            </w:pPr>
          </w:p>
        </w:tc>
      </w:tr>
      <w:tr>
        <w:trPr>
          <w:trHeight w:val="86"/>
        </w:trPr>
        <w:tc>
          <w:tcPr>
            <w:tcW w:w="78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404"/>
    </w:lvl>
  </w:abstractNum>
  <w:abstractNum w:abstractNumId="46">
    <w:nsid w:val="684A481A"/>
    <w:multiLevelType w:val="hybridMultilevel"/>
    <w:lvl w:ilvl="0">
      <w:lvlJc w:val="left"/>
      <w:lvlText w:val="(%1)"/>
      <w:numFmt w:val="lowerLetter"/>
      <w:start w:val="2"/>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0" Type="http://schemas.openxmlformats.org/officeDocument/2006/relationships/hyperlink" Target="https://www.sec.gov/Archives/edgar/data/1790340/000155837021012336/imrx-20210630xex3d1.htm" TargetMode="External"/><Relationship Id="rId121" Type="http://schemas.openxmlformats.org/officeDocument/2006/relationships/hyperlink" Target="https://www.sec.gov/Archives/edgar/data/1790340/000110465924010041/tm245037d1_ex3-1.htm" TargetMode="External"/><Relationship Id="rId122" Type="http://schemas.openxmlformats.org/officeDocument/2006/relationships/hyperlink" Target="https://www.sec.gov/Archives/edgar/data/1790340/000110465925081995/tm2524079d1_ex4-1.htm" TargetMode="External"/><Relationship Id="rId123" Type="http://schemas.openxmlformats.org/officeDocument/2006/relationships/hyperlink" Target="https://www.sec.gov/Archives/edgar/data/1790340/000110465925081995/tm2524079d1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2026-10-29T16:04:55Z</dcterms:created>
  <dcterms:modified xsi:type="dcterms:W3CDTF">2026-10-29T16:04:55Z</dcterms:modified>
</cp:coreProperties>
</file>