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128905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140335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78"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4140" w:right="1600" w:hanging="2470"/>
        <w:spacing w:after="0" w:line="282" w:lineRule="auto"/>
        <w:tabs>
          <w:tab w:leader="none" w:pos="232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For the quarterly period ended June 30, 2021</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or</w:t>
      </w:r>
    </w:p>
    <w:p>
      <w:pPr>
        <w:spacing w:after="0" w:line="84" w:lineRule="exact"/>
        <w:rPr>
          <w:sz w:val="24"/>
          <w:szCs w:val="24"/>
          <w:color w:val="auto"/>
        </w:rPr>
      </w:pPr>
    </w:p>
    <w:p>
      <w:pPr>
        <w:ind w:left="4140" w:right="1580" w:hanging="2488"/>
        <w:spacing w:after="0" w:line="298" w:lineRule="auto"/>
        <w:tabs>
          <w:tab w:leader="none" w:pos="230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390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Arial" w:cs="Arial" w:eastAsia="Arial" w:hAnsi="Arial"/>
                <w:sz w:val="13"/>
                <w:szCs w:val="13"/>
                <w:b w:val="1"/>
                <w:bCs w:val="1"/>
                <w:color w:val="auto"/>
                <w:w w:val="89"/>
              </w:rPr>
              <w:t>For the transition period from</w:t>
            </w:r>
          </w:p>
        </w:tc>
        <w:tc>
          <w:tcPr>
            <w:tcW w:w="580" w:type="dxa"/>
            <w:vAlign w:val="bottom"/>
            <w:tcBorders>
              <w:bottom w:val="single" w:sz="8" w:color="auto"/>
            </w:tcBorders>
          </w:tcPr>
          <w:p>
            <w:pPr>
              <w:spacing w:after="0"/>
              <w:rPr>
                <w:sz w:val="13"/>
                <w:szCs w:val="13"/>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0"/>
              </w:rPr>
              <w:t>to</w:t>
            </w:r>
          </w:p>
        </w:tc>
      </w:tr>
      <w:tr>
        <w:trPr>
          <w:trHeight w:val="248"/>
        </w:trPr>
        <w:tc>
          <w:tcPr>
            <w:tcW w:w="2240" w:type="dxa"/>
            <w:vAlign w:val="bottom"/>
            <w:gridSpan w:val="2"/>
          </w:tcPr>
          <w:p>
            <w:pPr>
              <w:ind w:left="200"/>
              <w:spacing w:after="0"/>
              <w:rPr>
                <w:sz w:val="20"/>
                <w:szCs w:val="20"/>
                <w:color w:val="auto"/>
              </w:rPr>
            </w:pPr>
            <w:r>
              <w:rPr>
                <w:rFonts w:ascii="Arial" w:cs="Arial" w:eastAsia="Arial" w:hAnsi="Arial"/>
                <w:sz w:val="13"/>
                <w:szCs w:val="13"/>
                <w:b w:val="1"/>
                <w:bCs w:val="1"/>
                <w:color w:val="auto"/>
                <w:w w:val="89"/>
              </w:rPr>
              <w:t>Commission File Number: 001-40675</w:t>
            </w:r>
          </w:p>
        </w:tc>
        <w:tc>
          <w:tcPr>
            <w:tcW w:w="1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61595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Immuneering Corporation</w:t>
      </w:r>
    </w:p>
    <w:p>
      <w:pPr>
        <w:spacing w:after="0" w:line="254" w:lineRule="exact"/>
        <w:rPr>
          <w:sz w:val="24"/>
          <w:szCs w:val="24"/>
          <w:color w:val="auto"/>
        </w:rPr>
      </w:pPr>
    </w:p>
    <w:tbl>
      <w:tblPr>
        <w:tblLayout w:type="fixed"/>
        <w:tblInd w:w="1960" w:type="dxa"/>
        <w:tblCellMar>
          <w:top w:w="0" w:type="dxa"/>
          <w:left w:w="0" w:type="dxa"/>
          <w:bottom w:w="0" w:type="dxa"/>
          <w:right w:w="0" w:type="dxa"/>
        </w:tblCellMar>
      </w:tblPr>
      <w:tr>
        <w:trPr>
          <w:trHeight w:val="164"/>
        </w:trPr>
        <w:tc>
          <w:tcPr>
            <w:tcW w:w="1380" w:type="dxa"/>
            <w:vAlign w:val="bottom"/>
          </w:tcPr>
          <w:p>
            <w:pPr>
              <w:spacing w:after="0"/>
              <w:rPr>
                <w:sz w:val="14"/>
                <w:szCs w:val="14"/>
                <w:color w:val="auto"/>
              </w:rPr>
            </w:pPr>
          </w:p>
        </w:tc>
        <w:tc>
          <w:tcPr>
            <w:tcW w:w="4760" w:type="dxa"/>
            <w:vAlign w:val="bottom"/>
            <w:gridSpan w:val="3"/>
          </w:tcPr>
          <w:p>
            <w:pPr>
              <w:jc w:val="center"/>
              <w:ind w:right="1175"/>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0" w:type="dxa"/>
            <w:vAlign w:val="bottom"/>
          </w:tcPr>
          <w:p>
            <w:pPr>
              <w:spacing w:after="0"/>
              <w:rPr>
                <w:sz w:val="1"/>
                <w:szCs w:val="1"/>
                <w:color w:val="auto"/>
              </w:rPr>
            </w:pPr>
          </w:p>
        </w:tc>
      </w:tr>
      <w:tr>
        <w:trPr>
          <w:trHeight w:val="83"/>
        </w:trPr>
        <w:tc>
          <w:tcPr>
            <w:tcW w:w="1380" w:type="dxa"/>
            <w:vAlign w:val="bottom"/>
            <w:vMerge w:val="restart"/>
          </w:tcPr>
          <w:p>
            <w:pPr>
              <w:jc w:val="center"/>
              <w:ind w:right="149"/>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1380" w:type="dxa"/>
            <w:vAlign w:val="bottom"/>
            <w:vMerge w:val="continue"/>
          </w:tcPr>
          <w:p>
            <w:pPr>
              <w:spacing w:after="0"/>
              <w:rPr>
                <w:sz w:val="24"/>
                <w:szCs w:val="24"/>
                <w:color w:val="auto"/>
              </w:rPr>
            </w:pPr>
          </w:p>
        </w:tc>
        <w:tc>
          <w:tcPr>
            <w:tcW w:w="4760" w:type="dxa"/>
            <w:vAlign w:val="bottom"/>
            <w:gridSpan w:val="3"/>
          </w:tcPr>
          <w:p>
            <w:pPr>
              <w:jc w:val="center"/>
              <w:ind w:left="3822"/>
              <w:spacing w:after="0"/>
              <w:rPr>
                <w:sz w:val="20"/>
                <w:szCs w:val="20"/>
                <w:color w:val="auto"/>
              </w:rPr>
            </w:pPr>
            <w:r>
              <w:rPr>
                <w:rFonts w:ascii="Arial" w:cs="Arial" w:eastAsia="Arial" w:hAnsi="Arial"/>
                <w:sz w:val="13"/>
                <w:szCs w:val="13"/>
                <w:color w:val="auto"/>
                <w:w w:val="86"/>
              </w:rPr>
              <w:t>26-1976972</w:t>
            </w:r>
          </w:p>
        </w:tc>
        <w:tc>
          <w:tcPr>
            <w:tcW w:w="0" w:type="dxa"/>
            <w:vAlign w:val="bottom"/>
          </w:tcPr>
          <w:p>
            <w:pPr>
              <w:spacing w:after="0"/>
              <w:rPr>
                <w:sz w:val="1"/>
                <w:szCs w:val="1"/>
                <w:color w:val="auto"/>
              </w:rPr>
            </w:pPr>
          </w:p>
        </w:tc>
      </w:tr>
      <w:tr>
        <w:trPr>
          <w:trHeight w:val="94"/>
        </w:trPr>
        <w:tc>
          <w:tcPr>
            <w:tcW w:w="1380" w:type="dxa"/>
            <w:vAlign w:val="bottom"/>
          </w:tcPr>
          <w:p>
            <w:pPr>
              <w:jc w:val="center"/>
              <w:ind w:right="129"/>
              <w:spacing w:after="0" w:line="95" w:lineRule="exact"/>
              <w:rPr>
                <w:sz w:val="20"/>
                <w:szCs w:val="20"/>
                <w:color w:val="auto"/>
              </w:rPr>
            </w:pPr>
            <w:r>
              <w:rPr>
                <w:rFonts w:ascii="Arial" w:cs="Arial" w:eastAsia="Arial" w:hAnsi="Arial"/>
                <w:sz w:val="9"/>
                <w:szCs w:val="9"/>
                <w:b w:val="1"/>
                <w:bCs w:val="1"/>
                <w:color w:val="auto"/>
                <w:w w:val="90"/>
              </w:rPr>
              <w:t>(State or other jurisdiction of</w:t>
            </w:r>
          </w:p>
        </w:tc>
        <w:tc>
          <w:tcPr>
            <w:tcW w:w="4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20" w:type="dxa"/>
            <w:vAlign w:val="bottom"/>
          </w:tcPr>
          <w:p>
            <w:pPr>
              <w:jc w:val="center"/>
              <w:ind w:left="795"/>
              <w:spacing w:after="0" w:line="95" w:lineRule="exact"/>
              <w:rPr>
                <w:sz w:val="20"/>
                <w:szCs w:val="20"/>
                <w:color w:val="auto"/>
              </w:rPr>
            </w:pPr>
            <w:r>
              <w:rPr>
                <w:rFonts w:ascii="Arial" w:cs="Arial" w:eastAsia="Arial" w:hAnsi="Arial"/>
                <w:sz w:val="9"/>
                <w:szCs w:val="9"/>
                <w:b w:val="1"/>
                <w:bCs w:val="1"/>
                <w:color w:val="auto"/>
                <w:w w:val="92"/>
              </w:rPr>
              <w:t>(I.R.S. Employer</w:t>
            </w:r>
          </w:p>
        </w:tc>
        <w:tc>
          <w:tcPr>
            <w:tcW w:w="0" w:type="dxa"/>
            <w:vAlign w:val="bottom"/>
          </w:tcPr>
          <w:p>
            <w:pPr>
              <w:spacing w:after="0"/>
              <w:rPr>
                <w:sz w:val="1"/>
                <w:szCs w:val="1"/>
                <w:color w:val="auto"/>
              </w:rPr>
            </w:pPr>
          </w:p>
        </w:tc>
      </w:tr>
      <w:tr>
        <w:trPr>
          <w:trHeight w:val="116"/>
        </w:trPr>
        <w:tc>
          <w:tcPr>
            <w:tcW w:w="1380" w:type="dxa"/>
            <w:vAlign w:val="bottom"/>
          </w:tcPr>
          <w:p>
            <w:pPr>
              <w:jc w:val="center"/>
              <w:ind w:right="149"/>
              <w:spacing w:after="0"/>
              <w:rPr>
                <w:sz w:val="20"/>
                <w:szCs w:val="20"/>
                <w:color w:val="auto"/>
              </w:rPr>
            </w:pPr>
            <w:r>
              <w:rPr>
                <w:rFonts w:ascii="Arial" w:cs="Arial" w:eastAsia="Arial" w:hAnsi="Arial"/>
                <w:sz w:val="9"/>
                <w:szCs w:val="9"/>
                <w:b w:val="1"/>
                <w:bCs w:val="1"/>
                <w:color w:val="auto"/>
                <w:w w:val="91"/>
              </w:rPr>
              <w:t>incorporation or organization)</w:t>
            </w:r>
          </w:p>
        </w:tc>
        <w:tc>
          <w:tcPr>
            <w:tcW w:w="4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720" w:type="dxa"/>
            <w:vAlign w:val="bottom"/>
          </w:tcPr>
          <w:p>
            <w:pPr>
              <w:jc w:val="center"/>
              <w:ind w:left="795"/>
              <w:spacing w:after="0"/>
              <w:rPr>
                <w:sz w:val="20"/>
                <w:szCs w:val="20"/>
                <w:color w:val="auto"/>
              </w:rPr>
            </w:pPr>
            <w:r>
              <w:rPr>
                <w:rFonts w:ascii="Arial" w:cs="Arial" w:eastAsia="Arial" w:hAnsi="Arial"/>
                <w:sz w:val="9"/>
                <w:szCs w:val="9"/>
                <w:b w:val="1"/>
                <w:bCs w:val="1"/>
                <w:color w:val="auto"/>
                <w:w w:val="92"/>
              </w:rPr>
              <w:t>Identification Number)</w:t>
            </w:r>
          </w:p>
        </w:tc>
        <w:tc>
          <w:tcPr>
            <w:tcW w:w="0" w:type="dxa"/>
            <w:vAlign w:val="bottom"/>
          </w:tcPr>
          <w:p>
            <w:pPr>
              <w:spacing w:after="0"/>
              <w:rPr>
                <w:sz w:val="1"/>
                <w:szCs w:val="1"/>
                <w:color w:val="auto"/>
              </w:rPr>
            </w:pPr>
          </w:p>
        </w:tc>
      </w:tr>
      <w:tr>
        <w:trPr>
          <w:trHeight w:val="307"/>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80" w:type="dxa"/>
            <w:vAlign w:val="bottom"/>
            <w:gridSpan w:val="2"/>
          </w:tcPr>
          <w:p>
            <w:pPr>
              <w:jc w:val="center"/>
              <w:ind w:right="1675"/>
              <w:spacing w:after="0"/>
              <w:rPr>
                <w:sz w:val="20"/>
                <w:szCs w:val="20"/>
                <w:color w:val="auto"/>
              </w:rPr>
            </w:pPr>
            <w:r>
              <w:rPr>
                <w:rFonts w:ascii="Arial" w:cs="Arial" w:eastAsia="Arial" w:hAnsi="Arial"/>
                <w:sz w:val="13"/>
                <w:szCs w:val="13"/>
                <w:b w:val="1"/>
                <w:bCs w:val="1"/>
                <w:color w:val="auto"/>
                <w:w w:val="90"/>
              </w:rPr>
              <w:t>245 Main St.</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80" w:type="dxa"/>
            <w:vAlign w:val="bottom"/>
            <w:gridSpan w:val="2"/>
          </w:tcPr>
          <w:p>
            <w:pPr>
              <w:jc w:val="center"/>
              <w:ind w:right="1675"/>
              <w:spacing w:after="0" w:line="135" w:lineRule="exact"/>
              <w:rPr>
                <w:sz w:val="20"/>
                <w:szCs w:val="20"/>
                <w:color w:val="auto"/>
              </w:rPr>
            </w:pPr>
            <w:r>
              <w:rPr>
                <w:rFonts w:ascii="Arial" w:cs="Arial" w:eastAsia="Arial" w:hAnsi="Arial"/>
                <w:sz w:val="13"/>
                <w:szCs w:val="13"/>
                <w:b w:val="1"/>
                <w:bCs w:val="1"/>
                <w:color w:val="auto"/>
                <w:w w:val="86"/>
              </w:rPr>
              <w:t>Second Floor</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80" w:type="dxa"/>
            <w:vAlign w:val="bottom"/>
            <w:gridSpan w:val="2"/>
          </w:tcPr>
          <w:p>
            <w:pPr>
              <w:jc w:val="center"/>
              <w:ind w:right="1655"/>
              <w:spacing w:after="0" w:line="144" w:lineRule="exact"/>
              <w:rPr>
                <w:sz w:val="20"/>
                <w:szCs w:val="20"/>
                <w:color w:val="auto"/>
              </w:rPr>
            </w:pPr>
            <w:r>
              <w:rPr>
                <w:rFonts w:ascii="Arial" w:cs="Arial" w:eastAsia="Arial" w:hAnsi="Arial"/>
                <w:sz w:val="13"/>
                <w:szCs w:val="13"/>
                <w:b w:val="1"/>
                <w:bCs w:val="1"/>
                <w:color w:val="auto"/>
                <w:w w:val="90"/>
              </w:rPr>
              <w:t>Cambridge, MA 02142</w:t>
            </w: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80" w:type="dxa"/>
            <w:vAlign w:val="bottom"/>
            <w:gridSpan w:val="2"/>
          </w:tcPr>
          <w:p>
            <w:pPr>
              <w:jc w:val="center"/>
              <w:ind w:right="1655"/>
              <w:spacing w:after="0"/>
              <w:rPr>
                <w:sz w:val="20"/>
                <w:szCs w:val="20"/>
                <w:color w:val="auto"/>
              </w:rPr>
            </w:pPr>
            <w:r>
              <w:rPr>
                <w:rFonts w:ascii="Arial" w:cs="Arial" w:eastAsia="Arial" w:hAnsi="Arial"/>
                <w:sz w:val="9"/>
                <w:szCs w:val="9"/>
                <w:b w:val="1"/>
                <w:bCs w:val="1"/>
                <w:color w:val="auto"/>
                <w:w w:val="90"/>
              </w:rPr>
              <w:t>(Address of Principal Executive Offices)</w:t>
            </w: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3040" w:type="dxa"/>
            <w:vAlign w:val="bottom"/>
            <w:gridSpan w:val="2"/>
          </w:tcPr>
          <w:p>
            <w:pPr>
              <w:jc w:val="center"/>
              <w:ind w:left="442"/>
              <w:spacing w:after="0"/>
              <w:rPr>
                <w:sz w:val="20"/>
                <w:szCs w:val="20"/>
                <w:color w:val="auto"/>
              </w:rPr>
            </w:pPr>
            <w:r>
              <w:rPr>
                <w:rFonts w:ascii="Arial" w:cs="Arial" w:eastAsia="Arial" w:hAnsi="Arial"/>
                <w:sz w:val="13"/>
                <w:szCs w:val="13"/>
                <w:b w:val="1"/>
                <w:bCs w:val="1"/>
                <w:color w:val="auto"/>
                <w:w w:val="87"/>
              </w:rPr>
              <w:t>(617) 500-8080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80" w:type="dxa"/>
            <w:vAlign w:val="bottom"/>
            <w:gridSpan w:val="2"/>
          </w:tcPr>
          <w:p>
            <w:pPr>
              <w:jc w:val="center"/>
              <w:ind w:right="1675"/>
              <w:spacing w:after="0"/>
              <w:rPr>
                <w:sz w:val="20"/>
                <w:szCs w:val="20"/>
                <w:color w:val="auto"/>
              </w:rPr>
            </w:pPr>
            <w:r>
              <w:rPr>
                <w:rFonts w:ascii="Arial" w:cs="Arial" w:eastAsia="Arial" w:hAnsi="Arial"/>
                <w:sz w:val="9"/>
                <w:szCs w:val="9"/>
                <w:b w:val="1"/>
                <w:bCs w:val="1"/>
                <w:color w:val="auto"/>
                <w:w w:val="89"/>
              </w:rPr>
              <w:t>(Registrant’s telephone number)</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80" w:type="dxa"/>
            <w:vAlign w:val="bottom"/>
            <w:gridSpan w:val="2"/>
          </w:tcPr>
          <w:p>
            <w:pPr>
              <w:jc w:val="center"/>
              <w:ind w:right="1675"/>
              <w:spacing w:after="0"/>
              <w:rPr>
                <w:sz w:val="20"/>
                <w:szCs w:val="20"/>
                <w:color w:val="auto"/>
              </w:rPr>
            </w:pPr>
            <w:r>
              <w:rPr>
                <w:rFonts w:ascii="Arial" w:cs="Arial" w:eastAsia="Arial" w:hAnsi="Arial"/>
                <w:sz w:val="9"/>
                <w:szCs w:val="9"/>
                <w:b w:val="1"/>
                <w:bCs w:val="1"/>
                <w:color w:val="auto"/>
              </w:rPr>
              <w:t>N/A</w:t>
            </w: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4760" w:type="dxa"/>
            <w:vAlign w:val="bottom"/>
            <w:gridSpan w:val="3"/>
          </w:tcPr>
          <w:p>
            <w:pPr>
              <w:jc w:val="center"/>
              <w:ind w:right="1195"/>
              <w:spacing w:after="0"/>
              <w:rPr>
                <w:sz w:val="20"/>
                <w:szCs w:val="20"/>
                <w:color w:val="auto"/>
              </w:rPr>
            </w:pPr>
            <w:r>
              <w:rPr>
                <w:rFonts w:ascii="Arial" w:cs="Arial" w:eastAsia="Arial" w:hAnsi="Arial"/>
                <w:sz w:val="9"/>
                <w:szCs w:val="9"/>
                <w:b w:val="1"/>
                <w:bCs w:val="1"/>
                <w:color w:val="auto"/>
                <w:w w:val="89"/>
              </w:rPr>
              <w:t>(Former name, former address and former fiscal year, if changed since last report)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95250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6" w:lineRule="exact"/>
        <w:rPr>
          <w:sz w:val="24"/>
          <w:szCs w:val="24"/>
          <w:color w:val="auto"/>
        </w:rPr>
      </w:pPr>
    </w:p>
    <w:p>
      <w:pPr>
        <w:ind w:right="240"/>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sectPr>
      </w:pPr>
    </w:p>
    <w:p>
      <w:pPr>
        <w:spacing w:after="0" w:line="57"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4">
            <w:col w:w="1120" w:space="580"/>
            <w:col w:w="1680" w:space="720"/>
            <w:col w:w="1360" w:space="720"/>
            <w:col w:w="3960"/>
          </w:cols>
          <w:pgMar w:left="840" w:top="665" w:right="91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6">
            <w:col w:w="1060" w:space="640"/>
            <w:col w:w="1680" w:space="720"/>
            <w:col w:w="1380" w:space="700"/>
            <w:col w:w="860" w:space="720"/>
            <w:col w:w="1400" w:space="720"/>
            <w:col w:w="260"/>
          </w:cols>
          <w:pgMar w:left="840" w:top="665" w:right="919" w:bottom="1440" w:gutter="0" w:footer="0" w:header="0"/>
          <w:type w:val="continuous"/>
        </w:sectPr>
      </w:pPr>
    </w:p>
    <w:p>
      <w:pPr>
        <w:ind w:right="3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50" w:lineRule="exact"/>
        <w:tabs>
          <w:tab w:leader="none" w:pos="626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392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80" w:type="dxa"/>
            <w:vAlign w:val="bottom"/>
            <w:vMerge w:val="restart"/>
          </w:tcPr>
          <w:p>
            <w:pPr>
              <w:ind w:left="420"/>
              <w:spacing w:after="0"/>
              <w:rPr>
                <w:sz w:val="20"/>
                <w:szCs w:val="20"/>
                <w:color w:val="auto"/>
              </w:rPr>
            </w:pPr>
            <w:r>
              <w:rPr>
                <w:rFonts w:ascii="Arial" w:cs="Arial" w:eastAsia="Arial" w:hAnsi="Arial"/>
                <w:sz w:val="13"/>
                <w:szCs w:val="13"/>
                <w:b w:val="1"/>
                <w:bCs w:val="1"/>
                <w:color w:val="auto"/>
                <w:w w:val="79"/>
              </w:rPr>
              <w:t>Class A common</w:t>
            </w:r>
          </w:p>
        </w:tc>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5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Trading symbol</w:t>
            </w:r>
          </w:p>
        </w:tc>
        <w:tc>
          <w:tcPr>
            <w:tcW w:w="3040" w:type="dxa"/>
            <w:vAlign w:val="bottom"/>
            <w:gridSpan w:val="3"/>
          </w:tcPr>
          <w:p>
            <w:pPr>
              <w:jc w:val="center"/>
              <w:ind w:left="837"/>
              <w:spacing w:after="0"/>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vMerge w:val="continue"/>
          </w:tcPr>
          <w:p>
            <w:pPr>
              <w:spacing w:after="0"/>
              <w:rPr>
                <w:sz w:val="13"/>
                <w:szCs w:val="13"/>
                <w:color w:val="auto"/>
              </w:rPr>
            </w:pPr>
          </w:p>
        </w:tc>
        <w:tc>
          <w:tcPr>
            <w:tcW w:w="2640" w:type="dxa"/>
            <w:vAlign w:val="bottom"/>
            <w:gridSpan w:val="2"/>
          </w:tcPr>
          <w:p>
            <w:pPr>
              <w:ind w:left="80"/>
              <w:spacing w:after="0"/>
              <w:rPr>
                <w:sz w:val="20"/>
                <w:szCs w:val="20"/>
                <w:color w:val="auto"/>
              </w:rPr>
            </w:pPr>
            <w:r>
              <w:rPr>
                <w:rFonts w:ascii="Arial" w:cs="Arial" w:eastAsia="Arial" w:hAnsi="Arial"/>
                <w:sz w:val="13"/>
                <w:szCs w:val="13"/>
                <w:b w:val="1"/>
                <w:bCs w:val="1"/>
                <w:color w:val="auto"/>
              </w:rPr>
              <w:t>Stock, par value $0.001 per share</w:t>
            </w:r>
          </w:p>
        </w:tc>
        <w:tc>
          <w:tcPr>
            <w:tcW w:w="780" w:type="dxa"/>
            <w:vAlign w:val="bottom"/>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IMRX</w:t>
            </w:r>
          </w:p>
        </w:tc>
        <w:tc>
          <w:tcPr>
            <w:tcW w:w="9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spacing w:after="0" w:line="236" w:lineRule="auto"/>
        <w:rPr>
          <w:sz w:val="20"/>
          <w:szCs w:val="20"/>
          <w:color w:val="auto"/>
        </w:rPr>
      </w:pPr>
      <w:r>
        <w:rPr>
          <w:rFonts w:ascii="Arial" w:cs="Arial" w:eastAsia="Arial" w:hAnsi="Arial"/>
          <w:sz w:val="13"/>
          <w:szCs w:val="13"/>
          <w:color w:val="auto"/>
        </w:rPr>
        <w:t>As of September 3, 2021, the registrant had 25,938,064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688340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96520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425"/>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714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6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7140" w:type="dxa"/>
            <w:vAlign w:val="bottom"/>
            <w:gridSpan w:val="19"/>
          </w:tcPr>
          <w:p>
            <w:pPr>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Sheets as of June 30, 2021 and December 31, 2020</w:t>
              </w:r>
            </w:hyperlink>
          </w:p>
        </w:tc>
        <w:tc>
          <w:tcPr>
            <w:tcW w:w="10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w:t>
              </w:r>
            </w:hyperlink>
          </w:p>
        </w:tc>
        <w:tc>
          <w:tcPr>
            <w:tcW w:w="6260" w:type="dxa"/>
            <w:vAlign w:val="bottom"/>
            <w:gridSpan w:val="1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Operations for the three and six months ended June 30,</w:t>
              </w:r>
            </w:hyperlink>
          </w:p>
        </w:tc>
        <w:tc>
          <w:tcPr>
            <w:tcW w:w="3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2021 and 2020 (Unaudited)</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19"/>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Condensed Consolidated Statements of Convertible Preferred Stock and Stockholders’ Deficit</w:t>
              </w:r>
            </w:hyperlink>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for the three and six months ended June 30, 2021 and 2020 (Unaudited)</w:t>
              </w:r>
            </w:hyperlink>
          </w:p>
        </w:tc>
        <w:tc>
          <w:tcPr>
            <w:tcW w:w="36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Condensed Consolidated Statements of Cash Flows for the six months ended June 30, 2021 and</w:t>
              </w:r>
            </w:hyperlink>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2020 (Unaudited)</w:t>
              </w:r>
            </w:hyperlink>
          </w:p>
        </w:tc>
        <w:tc>
          <w:tcPr>
            <w:tcW w:w="586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Condensed Consolidated Financial Statements (Unaudited)</w:t>
              </w:r>
            </w:hyperlink>
          </w:p>
        </w:tc>
        <w:tc>
          <w:tcPr>
            <w:tcW w:w="22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714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714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714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7140" w:type="dxa"/>
            <w:vAlign w:val="bottom"/>
            <w:gridSpan w:val="1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620" w:type="dxa"/>
            <w:vAlign w:val="bottom"/>
            <w:gridSpan w:val="3"/>
          </w:tcPr>
          <w:p>
            <w:pPr>
              <w:spacing w:after="0"/>
              <w:rPr>
                <w:sz w:val="24"/>
                <w:szCs w:val="24"/>
                <w:color w:val="auto"/>
              </w:rPr>
            </w:pPr>
          </w:p>
        </w:tc>
        <w:tc>
          <w:tcPr>
            <w:tcW w:w="1440" w:type="dxa"/>
            <w:vAlign w:val="bottom"/>
            <w:tcBorders>
              <w:top w:val="single" w:sz="8" w:color="0000EE"/>
            </w:tcBorders>
            <w:gridSpan w:val="6"/>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Legal Proceedings</w:t>
              </w:r>
            </w:hyperlink>
          </w:p>
        </w:tc>
        <w:tc>
          <w:tcPr>
            <w:tcW w:w="570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500" w:type="dxa"/>
            <w:vAlign w:val="bottom"/>
            <w:gridSpan w:val="2"/>
          </w:tcPr>
          <w:p>
            <w:pPr>
              <w:spacing w:after="0"/>
              <w:rPr>
                <w:sz w:val="24"/>
                <w:szCs w:val="24"/>
                <w:color w:val="auto"/>
              </w:rPr>
            </w:pPr>
          </w:p>
        </w:tc>
        <w:tc>
          <w:tcPr>
            <w:tcW w:w="714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2.</w:t>
              </w:r>
            </w:hyperlink>
          </w:p>
        </w:tc>
        <w:tc>
          <w:tcPr>
            <w:tcW w:w="500" w:type="dxa"/>
            <w:vAlign w:val="bottom"/>
            <w:gridSpan w:val="2"/>
          </w:tcPr>
          <w:p>
            <w:pPr>
              <w:spacing w:after="0"/>
              <w:rPr>
                <w:sz w:val="24"/>
                <w:szCs w:val="24"/>
                <w:color w:val="auto"/>
              </w:rPr>
            </w:pPr>
          </w:p>
        </w:tc>
        <w:tc>
          <w:tcPr>
            <w:tcW w:w="714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3.</w:t>
              </w:r>
            </w:hyperlink>
          </w:p>
        </w:tc>
        <w:tc>
          <w:tcPr>
            <w:tcW w:w="714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4.</w:t>
              </w:r>
            </w:hyperlink>
          </w:p>
        </w:tc>
        <w:tc>
          <w:tcPr>
            <w:tcW w:w="714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36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5.</w:t>
              </w:r>
            </w:hyperlink>
          </w:p>
        </w:tc>
        <w:tc>
          <w:tcPr>
            <w:tcW w:w="714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2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6.</w:t>
              </w:r>
            </w:hyperlink>
          </w:p>
        </w:tc>
        <w:tc>
          <w:tcPr>
            <w:tcW w:w="714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885"/>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gridSpan w:val="10"/>
          </w:tcPr>
          <w:p>
            <w:pPr>
              <w:ind w:left="32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FORWARD-LOOKING STATEMENTS</w:t>
      </w:r>
    </w:p>
    <w:p>
      <w:pPr>
        <w:spacing w:after="0" w:line="200" w:lineRule="exact"/>
        <w:rPr>
          <w:sz w:val="20"/>
          <w:szCs w:val="20"/>
          <w:color w:val="auto"/>
        </w:rPr>
      </w:pPr>
    </w:p>
    <w:p>
      <w:pPr>
        <w:ind w:left="600" w:right="619"/>
        <w:spacing w:after="0" w:line="267" w:lineRule="auto"/>
        <w:rPr>
          <w:sz w:val="20"/>
          <w:szCs w:val="20"/>
          <w:color w:val="auto"/>
        </w:rPr>
      </w:pPr>
      <w:r>
        <w:rPr>
          <w:rFonts w:ascii="Arial" w:cs="Arial" w:eastAsia="Arial" w:hAnsi="Arial"/>
          <w:sz w:val="16"/>
          <w:szCs w:val="16"/>
          <w:color w:val="auto"/>
        </w:rPr>
        <w:t>This Quarterly Report on Form 10-Q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the timing or outcome of our ongoing or planned clinical trials for IMM-1-104, any of our other pipeline product candidates and any future product candidates, the clinical utility of our product candidates, the ongoing impact of the pandemic related to COVID-19 and its variants on our business and operations, including manufacturing, research and development, clinical trials and employees, our cash needs and availability, and the plans and objectives of management for future operations, are forward-looking statements.</w:t>
      </w:r>
    </w:p>
    <w:p>
      <w:pPr>
        <w:spacing w:after="0" w:line="143" w:lineRule="exact"/>
        <w:rPr>
          <w:sz w:val="20"/>
          <w:szCs w:val="20"/>
          <w:color w:val="auto"/>
        </w:rPr>
      </w:pPr>
    </w:p>
    <w:p>
      <w:pPr>
        <w:ind w:left="600" w:right="599"/>
        <w:spacing w:after="0" w:line="270" w:lineRule="auto"/>
        <w:rPr>
          <w:sz w:val="20"/>
          <w:szCs w:val="20"/>
          <w:color w:val="auto"/>
        </w:rPr>
      </w:pPr>
      <w:r>
        <w:rPr>
          <w:rFonts w:ascii="Arial" w:cs="Arial" w:eastAsia="Arial" w:hAnsi="Arial"/>
          <w:sz w:val="16"/>
          <w:szCs w:val="16"/>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40" w:lineRule="exact"/>
        <w:rPr>
          <w:sz w:val="20"/>
          <w:szCs w:val="20"/>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operating history;</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history of operating losses;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pandemic related to COVID-19 and its variants;</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the substantial additional capital that will be required to finance our operations;</w:t>
      </w:r>
    </w:p>
    <w:p>
      <w:pPr>
        <w:spacing w:after="0" w:line="194" w:lineRule="exact"/>
        <w:rPr>
          <w:rFonts w:ascii="Arial" w:cs="Arial" w:eastAsia="Arial" w:hAnsi="Arial"/>
          <w:sz w:val="16"/>
          <w:szCs w:val="16"/>
          <w:color w:val="auto"/>
        </w:rPr>
      </w:pPr>
    </w:p>
    <w:p>
      <w:pPr>
        <w:ind w:left="1260" w:hanging="31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obtaining regulatory approval for any of our current or future product candidates;</w:t>
      </w:r>
    </w:p>
    <w:p>
      <w:pPr>
        <w:spacing w:after="0" w:line="194" w:lineRule="exact"/>
        <w:rPr>
          <w:rFonts w:ascii="Arial" w:cs="Arial" w:eastAsia="Arial" w:hAnsi="Arial"/>
          <w:sz w:val="16"/>
          <w:szCs w:val="16"/>
          <w:color w:val="auto"/>
        </w:rPr>
      </w:pPr>
    </w:p>
    <w:p>
      <w:pPr>
        <w:ind w:left="1260" w:right="75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file INDs or IND amendments or comparable documents in foreign jurisdictions in order to commence clinical trials on the timelines we expect;</w:t>
      </w:r>
    </w:p>
    <w:p>
      <w:pPr>
        <w:spacing w:after="0" w:line="134"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limited experience in designing clinical trials;</w:t>
      </w:r>
    </w:p>
    <w:p>
      <w:pPr>
        <w:spacing w:after="0" w:line="182" w:lineRule="exact"/>
        <w:rPr>
          <w:rFonts w:ascii="Arial" w:cs="Arial" w:eastAsia="Arial" w:hAnsi="Arial"/>
          <w:sz w:val="17"/>
          <w:szCs w:val="17"/>
          <w:color w:val="auto"/>
        </w:rPr>
      </w:pPr>
    </w:p>
    <w:p>
      <w:pPr>
        <w:ind w:left="1260" w:right="97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of substantial delays in completing, if at all, the development and commercialization of our current or future product candidates;</w:t>
      </w:r>
    </w:p>
    <w:p>
      <w:pPr>
        <w:spacing w:after="0" w:line="134" w:lineRule="exact"/>
        <w:rPr>
          <w:rFonts w:ascii="Arial" w:cs="Arial" w:eastAsia="Arial" w:hAnsi="Arial"/>
          <w:sz w:val="17"/>
          <w:szCs w:val="17"/>
          <w:color w:val="auto"/>
        </w:rPr>
      </w:pPr>
    </w:p>
    <w:p>
      <w:pPr>
        <w:ind w:left="1260" w:right="619" w:hanging="319"/>
        <w:spacing w:after="0" w:line="274"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adverse events, toxicities or other undesirable side effects caused by our current or future product candidates;</w:t>
      </w:r>
    </w:p>
    <w:p>
      <w:pPr>
        <w:spacing w:after="0" w:line="134"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of delays or difficulties in the enrollment and/or maintenance of patients in clinical trials;</w:t>
      </w:r>
    </w:p>
    <w:p>
      <w:pPr>
        <w:spacing w:after="0" w:line="182" w:lineRule="exact"/>
        <w:rPr>
          <w:rFonts w:ascii="Arial" w:cs="Arial" w:eastAsia="Arial" w:hAnsi="Arial"/>
          <w:sz w:val="17"/>
          <w:szCs w:val="17"/>
          <w:color w:val="auto"/>
        </w:rPr>
      </w:pPr>
    </w:p>
    <w:p>
      <w:pPr>
        <w:ind w:left="1260" w:right="759" w:hanging="319"/>
        <w:spacing w:after="0" w:line="342" w:lineRule="auto"/>
        <w:tabs>
          <w:tab w:leader="none" w:pos="12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substantial reliance on the successful development of our current and future product candidates, as well as our platform, including our proprietary technologies such as DCT and Fluency;</w:t>
      </w:r>
    </w:p>
    <w:p>
      <w:pPr>
        <w:spacing w:after="0" w:line="88" w:lineRule="exact"/>
        <w:rPr>
          <w:rFonts w:ascii="Arial" w:cs="Arial" w:eastAsia="Arial" w:hAnsi="Arial"/>
          <w:sz w:val="15"/>
          <w:szCs w:val="15"/>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competition in our industry;</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market opportunity for our product candidates, if approved;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manufacturing;</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reliance on third parties; and</w:t>
      </w:r>
    </w:p>
    <w:p>
      <w:pPr>
        <w:spacing w:after="0" w:line="182" w:lineRule="exact"/>
        <w:rPr>
          <w:rFonts w:ascii="Arial" w:cs="Arial" w:eastAsia="Arial" w:hAnsi="Arial"/>
          <w:sz w:val="17"/>
          <w:szCs w:val="17"/>
          <w:color w:val="auto"/>
        </w:rPr>
      </w:pPr>
    </w:p>
    <w:p>
      <w:pPr>
        <w:ind w:left="1260" w:hanging="319"/>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our intellectual property.</w:t>
      </w:r>
    </w:p>
    <w:p>
      <w:pPr>
        <w:spacing w:after="0" w:line="196" w:lineRule="exact"/>
        <w:rPr>
          <w:sz w:val="20"/>
          <w:szCs w:val="20"/>
          <w:color w:val="auto"/>
        </w:rPr>
      </w:pPr>
    </w:p>
    <w:p>
      <w:pPr>
        <w:ind w:left="600" w:right="719"/>
        <w:spacing w:after="0" w:line="252"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56" w:lineRule="exact"/>
        <w:rPr>
          <w:sz w:val="20"/>
          <w:szCs w:val="20"/>
          <w:color w:val="auto"/>
        </w:rPr>
      </w:pPr>
    </w:p>
    <w:p>
      <w:pPr>
        <w:ind w:left="600" w:right="819"/>
        <w:spacing w:after="0" w:line="274" w:lineRule="auto"/>
        <w:rPr>
          <w:sz w:val="20"/>
          <w:szCs w:val="20"/>
          <w:color w:val="auto"/>
        </w:rPr>
      </w:pPr>
      <w:r>
        <w:rPr>
          <w:rFonts w:ascii="Arial" w:cs="Arial" w:eastAsia="Arial" w:hAnsi="Arial"/>
          <w:sz w:val="17"/>
          <w:szCs w:val="17"/>
          <w:color w:val="auto"/>
        </w:rPr>
        <w:t>Unless otherwise stated or the context requires otherwise, references to “Immuneering,” the “Company,” “we,” “us,” and “our,” refer to Immuneering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Class A common stock. The principal risks and uncertainties affecting our business include the following:</w:t>
      </w:r>
    </w:p>
    <w:p>
      <w:pPr>
        <w:spacing w:after="0" w:line="187" w:lineRule="exact"/>
        <w:rPr>
          <w:sz w:val="20"/>
          <w:szCs w:val="20"/>
          <w:color w:val="auto"/>
        </w:rPr>
      </w:pPr>
    </w:p>
    <w:p>
      <w:pPr>
        <w:jc w:val="both"/>
        <w:ind w:left="60" w:right="59" w:hanging="10"/>
        <w:spacing w:after="0" w:line="263" w:lineRule="auto"/>
        <w:tabs>
          <w:tab w:leader="none" w:pos="19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not completed any clinical trials and have no products approved for commercial sale, which may make it difficult for you to evaluate our current business and predict our future success and viability.</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for the past several years and we expect to continue to incur significant net losses for the foreseeable future and may never attain profitability.</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72"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9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201" w:lineRule="exact"/>
        <w:rPr>
          <w:sz w:val="20"/>
          <w:szCs w:val="20"/>
          <w:color w:val="auto"/>
        </w:rPr>
      </w:pPr>
    </w:p>
    <w:p>
      <w:pPr>
        <w:ind w:left="60" w:right="59" w:hanging="10"/>
        <w:spacing w:after="0" w:line="277" w:lineRule="auto"/>
        <w:tabs>
          <w:tab w:leader="none" w:pos="19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substantial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97" w:lineRule="exact"/>
        <w:rPr>
          <w:rFonts w:ascii="Arial" w:cs="Arial" w:eastAsia="Arial" w:hAnsi="Arial"/>
          <w:sz w:val="18"/>
          <w:szCs w:val="18"/>
          <w:color w:val="auto"/>
        </w:rPr>
      </w:pPr>
    </w:p>
    <w:p>
      <w:pPr>
        <w:jc w:val="both"/>
        <w:ind w:left="60" w:right="59" w:hanging="10"/>
        <w:spacing w:after="0" w:line="259" w:lineRule="auto"/>
        <w:tabs>
          <w:tab w:leader="none" w:pos="17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00" w:lineRule="exact"/>
        <w:rPr>
          <w:rFonts w:ascii="Arial" w:cs="Arial" w:eastAsia="Arial" w:hAnsi="Arial"/>
          <w:sz w:val="18"/>
          <w:szCs w:val="18"/>
          <w:color w:val="auto"/>
        </w:rPr>
      </w:pPr>
    </w:p>
    <w:p>
      <w:pPr>
        <w:jc w:val="both"/>
        <w:ind w:left="60" w:right="59" w:hanging="10"/>
        <w:spacing w:after="0" w:line="257" w:lineRule="auto"/>
        <w:tabs>
          <w:tab w:leader="none" w:pos="17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87"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long-term prospects depend in part upon discovering, developing and commercializing product candidates, which may fail in development or suffer delays that adversely affect their commercial viability.</w:t>
      </w:r>
    </w:p>
    <w:p>
      <w:pPr>
        <w:spacing w:after="0" w:line="183" w:lineRule="exact"/>
        <w:rPr>
          <w:rFonts w:ascii="Arial" w:cs="Arial" w:eastAsia="Arial" w:hAnsi="Arial"/>
          <w:sz w:val="18"/>
          <w:szCs w:val="18"/>
          <w:color w:val="auto"/>
        </w:rPr>
      </w:pPr>
    </w:p>
    <w:p>
      <w:pPr>
        <w:ind w:left="60" w:right="79" w:hanging="10"/>
        <w:spacing w:after="0" w:line="308" w:lineRule="auto"/>
        <w:tabs>
          <w:tab w:leader="none" w:pos="171"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approach to the discovery and development of product candidates is unproven, and we may not be successful in our efforts to use and expand our DCT platform to build a pipeline of product candidates with commercial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183"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and potential future pandemics could continue to adversely impact our business, including our anticipated clinical trials, supply chain and business development activities.</w:t>
      </w:r>
    </w:p>
    <w:p>
      <w:pPr>
        <w:spacing w:after="0" w:line="183" w:lineRule="exact"/>
        <w:rPr>
          <w:rFonts w:ascii="Arial" w:cs="Arial" w:eastAsia="Arial" w:hAnsi="Arial"/>
          <w:sz w:val="18"/>
          <w:szCs w:val="18"/>
          <w:color w:val="auto"/>
        </w:rPr>
      </w:pPr>
    </w:p>
    <w:p>
      <w:pPr>
        <w:jc w:val="both"/>
        <w:ind w:left="60" w:right="59" w:hanging="10"/>
        <w:spacing w:after="0" w:line="275" w:lineRule="auto"/>
        <w:tabs>
          <w:tab w:leader="none" w:pos="18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substantially rely, and expect to continue to rely, on third parties, including independent clinical investigators and contract research organizations, or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89" w:lineRule="exact"/>
        <w:rPr>
          <w:rFonts w:ascii="Arial" w:cs="Arial" w:eastAsia="Arial" w:hAnsi="Arial"/>
          <w:sz w:val="17"/>
          <w:szCs w:val="17"/>
          <w:color w:val="auto"/>
        </w:rPr>
      </w:pPr>
    </w:p>
    <w:p>
      <w:pPr>
        <w:jc w:val="both"/>
        <w:ind w:left="60" w:right="59" w:hanging="10"/>
        <w:spacing w:after="0" w:line="257"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01" w:lineRule="exact"/>
        <w:rPr>
          <w:rFonts w:ascii="Arial" w:cs="Arial" w:eastAsia="Arial" w:hAnsi="Arial"/>
          <w:sz w:val="18"/>
          <w:szCs w:val="18"/>
          <w:color w:val="auto"/>
        </w:rPr>
      </w:pPr>
    </w:p>
    <w:p>
      <w:pPr>
        <w:jc w:val="both"/>
        <w:ind w:left="60" w:right="59" w:hanging="10"/>
        <w:spacing w:after="0" w:line="286" w:lineRule="auto"/>
        <w:tabs>
          <w:tab w:leader="none" w:pos="17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78" w:lineRule="exact"/>
        <w:rPr>
          <w:rFonts w:ascii="Arial" w:cs="Arial" w:eastAsia="Arial" w:hAnsi="Arial"/>
          <w:sz w:val="17"/>
          <w:szCs w:val="17"/>
          <w:color w:val="auto"/>
        </w:rPr>
      </w:pPr>
    </w:p>
    <w:p>
      <w:pPr>
        <w:jc w:val="both"/>
        <w:ind w:left="60" w:right="79" w:hanging="10"/>
        <w:spacing w:after="0" w:line="257" w:lineRule="auto"/>
        <w:tabs>
          <w:tab w:leader="none" w:pos="17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50,245,103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495,105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Prepaids and other 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51,436,892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37,731,219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960,386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53,042,125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1,432,516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3,318,870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 liability, current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4,831,991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2,255,851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5,335,204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B preferred stock, $0.001 par value, 6,032,183 shares authorized, 6,032,145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5"/>
              </w:rPr>
              <w:t>3,619,292 shares issued and outstanding at June 30, 2021 and December 31, 2020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61,772,761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36,983,910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Arial" w:cs="Arial" w:eastAsia="Arial" w:hAnsi="Arial"/>
                <w:sz w:val="18"/>
                <w:szCs w:val="18"/>
                <w:color w:val="auto"/>
                <w:w w:val="95"/>
              </w:rPr>
              <w:t>Series A preferred stock, $0.001 par value, 2,495,933 shares authorized, 2,495,933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shares issued and outstanding at June 30, 2021 and December 31,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21,119,940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21,119,940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82,892,701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58,103,850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common stock, $0.001 par value, 22,026,200 shares authorized, 5,275,936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5"/>
              </w:rPr>
              <w:t>4,950,129 shares issued and outstanding at June 30, 2021 and December 31, 2020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spacing w:after="0" w:line="201" w:lineRule="exact"/>
              <w:rPr>
                <w:sz w:val="20"/>
                <w:szCs w:val="20"/>
                <w:color w:val="auto"/>
              </w:rPr>
            </w:pPr>
            <w:r>
              <w:rPr>
                <w:rFonts w:ascii="Arial" w:cs="Arial" w:eastAsia="Arial" w:hAnsi="Arial"/>
                <w:sz w:val="18"/>
                <w:szCs w:val="18"/>
                <w:color w:val="auto"/>
                <w:w w:val="90"/>
              </w:rPr>
              <w:t>Class B common stock, $0.001 par value, 6,032,183 shares authorized, 0 shares issued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and outstanding at June 30, 2021 and December 31,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4,763,900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(39,954,956)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(25,737,640)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(35,185,780)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(22,481,450)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53,042,125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38,423,018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727,763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6,991,965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12,382,985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6,044,254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2,524,422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1,273,412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8,332,363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3,850,403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14,907,407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7,317,666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(7,990,924)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(3,606,630)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(14,226,930)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(6,845,870)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(7,987,665)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(3,604,162)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(14,217,316)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(6,804,882)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94"/>
              </w:rPr>
              <w:t>Net loss per share attributable to common stockholders,</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(0.73)</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6"/>
              </w:rPr>
              <w:t>Weighted-average common shares outstanding, basic and</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4,954,553</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4,950,129</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4,952,352</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4,950,129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IMMUNEERING CORPORATION</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ind w:left="380"/>
              <w:spacing w:after="0"/>
              <w:rPr>
                <w:sz w:val="20"/>
                <w:szCs w:val="20"/>
                <w:color w:val="auto"/>
              </w:rPr>
            </w:pPr>
            <w:r>
              <w:rPr>
                <w:rFonts w:ascii="Arial" w:cs="Arial" w:eastAsia="Arial" w:hAnsi="Arial"/>
                <w:sz w:val="11"/>
                <w:szCs w:val="11"/>
                <w:b w:val="1"/>
                <w:bCs w:val="1"/>
                <w:color w:val="auto"/>
              </w:rPr>
              <w:t>Convertible Preferred Stock</w:t>
            </w: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jc w:val="right"/>
              <w:ind w:right="226"/>
              <w:spacing w:after="0"/>
              <w:rPr>
                <w:sz w:val="20"/>
                <w:szCs w:val="20"/>
                <w:color w:val="auto"/>
              </w:rPr>
            </w:pPr>
            <w:r>
              <w:rPr>
                <w:rFonts w:ascii="Arial" w:cs="Arial" w:eastAsia="Arial" w:hAnsi="Arial"/>
                <w:sz w:val="11"/>
                <w:szCs w:val="11"/>
                <w:b w:val="1"/>
                <w:bCs w:val="1"/>
                <w:color w:val="auto"/>
                <w:w w:val="91"/>
              </w:rPr>
              <w:t>Stockholders' Deficit</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91"/>
              </w:rPr>
              <w:t>Total</w:t>
            </w:r>
          </w:p>
        </w:tc>
        <w:tc>
          <w:tcPr>
            <w:tcW w:w="20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1"/>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28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w w:val="81"/>
              </w:rPr>
              <w:t>Series B</w:t>
            </w:r>
          </w:p>
        </w:tc>
        <w:tc>
          <w:tcPr>
            <w:tcW w:w="1380" w:type="dxa"/>
            <w:vAlign w:val="bottom"/>
            <w:gridSpan w:val="4"/>
          </w:tcPr>
          <w:p>
            <w:pPr>
              <w:ind w:left="460"/>
              <w:spacing w:after="0"/>
              <w:rPr>
                <w:sz w:val="20"/>
                <w:szCs w:val="20"/>
                <w:color w:val="auto"/>
              </w:rPr>
            </w:pPr>
            <w:r>
              <w:rPr>
                <w:rFonts w:ascii="Arial" w:cs="Arial" w:eastAsia="Arial" w:hAnsi="Arial"/>
                <w:sz w:val="11"/>
                <w:szCs w:val="11"/>
                <w:b w:val="1"/>
                <w:bCs w:val="1"/>
                <w:color w:val="auto"/>
              </w:rPr>
              <w:t>Series A</w:t>
            </w:r>
          </w:p>
        </w:tc>
        <w:tc>
          <w:tcPr>
            <w:tcW w:w="60" w:type="dxa"/>
            <w:vAlign w:val="bottom"/>
          </w:tcPr>
          <w:p>
            <w:pPr>
              <w:spacing w:after="0"/>
              <w:rPr>
                <w:sz w:val="11"/>
                <w:szCs w:val="11"/>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2"/>
              </w:rPr>
              <w:t>Convertible</w:t>
            </w:r>
          </w:p>
        </w:tc>
        <w:tc>
          <w:tcPr>
            <w:tcW w:w="1180" w:type="dxa"/>
            <w:vAlign w:val="bottom"/>
            <w:gridSpan w:val="4"/>
          </w:tcPr>
          <w:p>
            <w:pPr>
              <w:jc w:val="right"/>
              <w:ind w:right="6"/>
              <w:spacing w:after="0"/>
              <w:rPr>
                <w:sz w:val="20"/>
                <w:szCs w:val="20"/>
                <w:color w:val="auto"/>
              </w:rPr>
            </w:pPr>
            <w:r>
              <w:rPr>
                <w:rFonts w:ascii="Arial" w:cs="Arial" w:eastAsia="Arial" w:hAnsi="Arial"/>
                <w:sz w:val="11"/>
                <w:szCs w:val="11"/>
                <w:b w:val="1"/>
                <w:bCs w:val="1"/>
                <w:color w:val="auto"/>
                <w:w w:val="88"/>
              </w:rPr>
              <w:t>Class A Common Stock</w:t>
            </w:r>
          </w:p>
        </w:tc>
        <w:tc>
          <w:tcPr>
            <w:tcW w:w="1260" w:type="dxa"/>
            <w:vAlign w:val="bottom"/>
            <w:gridSpan w:val="6"/>
          </w:tcPr>
          <w:p>
            <w:pPr>
              <w:ind w:left="100"/>
              <w:spacing w:after="0"/>
              <w:rPr>
                <w:sz w:val="20"/>
                <w:szCs w:val="20"/>
                <w:color w:val="auto"/>
              </w:rPr>
            </w:pPr>
            <w:r>
              <w:rPr>
                <w:rFonts w:ascii="Arial" w:cs="Arial" w:eastAsia="Arial" w:hAnsi="Arial"/>
                <w:sz w:val="11"/>
                <w:szCs w:val="11"/>
                <w:b w:val="1"/>
                <w:bCs w:val="1"/>
                <w:color w:val="auto"/>
                <w:w w:val="91"/>
              </w:rPr>
              <w:t>Class B Common Stock</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Accumulated</w:t>
            </w:r>
          </w:p>
        </w:tc>
        <w:tc>
          <w:tcPr>
            <w:tcW w:w="20" w:type="dxa"/>
            <w:vAlign w:val="bottom"/>
          </w:tcPr>
          <w:p>
            <w:pPr>
              <w:spacing w:after="0"/>
              <w:rPr>
                <w:sz w:val="11"/>
                <w:szCs w:val="11"/>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15"/>
        </w:trPr>
        <w:tc>
          <w:tcPr>
            <w:tcW w:w="2100" w:type="dxa"/>
            <w:vAlign w:val="bottom"/>
          </w:tcPr>
          <w:p>
            <w:pPr>
              <w:spacing w:after="0"/>
              <w:rPr>
                <w:sz w:val="10"/>
                <w:szCs w:val="10"/>
                <w:color w:val="auto"/>
              </w:rPr>
            </w:pPr>
          </w:p>
        </w:tc>
        <w:tc>
          <w:tcPr>
            <w:tcW w:w="580" w:type="dxa"/>
            <w:vAlign w:val="bottom"/>
            <w:tcBorders>
              <w:top w:val="single" w:sz="8" w:color="auto"/>
            </w:tcBorders>
            <w:gridSpan w:val="2"/>
          </w:tcPr>
          <w:p>
            <w:pPr>
              <w:ind w:left="80"/>
              <w:spacing w:after="0" w:line="115" w:lineRule="exact"/>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0"/>
                <w:szCs w:val="10"/>
                <w:color w:val="auto"/>
              </w:rPr>
            </w:pPr>
          </w:p>
        </w:tc>
        <w:tc>
          <w:tcPr>
            <w:tcW w:w="56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92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Preferred Stock</w:t>
            </w:r>
          </w:p>
        </w:tc>
        <w:tc>
          <w:tcPr>
            <w:tcW w:w="56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Par Value</w:t>
            </w:r>
          </w:p>
        </w:tc>
        <w:tc>
          <w:tcPr>
            <w:tcW w:w="10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w w:val="97"/>
              </w:rPr>
              <w:t>Shares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ind w:right="6"/>
              <w:spacing w:after="0" w:line="115" w:lineRule="exact"/>
              <w:rPr>
                <w:sz w:val="20"/>
                <w:szCs w:val="20"/>
                <w:color w:val="auto"/>
              </w:rPr>
            </w:pPr>
            <w:r>
              <w:rPr>
                <w:rFonts w:ascii="Arial" w:cs="Arial" w:eastAsia="Arial" w:hAnsi="Arial"/>
                <w:sz w:val="11"/>
                <w:szCs w:val="11"/>
                <w:b w:val="1"/>
                <w:bCs w:val="1"/>
                <w:color w:val="auto"/>
                <w:w w:val="91"/>
              </w:rPr>
              <w:t>Par Value</w:t>
            </w:r>
          </w:p>
        </w:tc>
        <w:tc>
          <w:tcPr>
            <w:tcW w:w="8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10"/>
                <w:szCs w:val="10"/>
                <w:color w:val="auto"/>
              </w:rPr>
            </w:pPr>
          </w:p>
        </w:tc>
        <w:tc>
          <w:tcPr>
            <w:tcW w:w="660" w:type="dxa"/>
            <w:vAlign w:val="bottom"/>
            <w:gridSpan w:val="2"/>
          </w:tcPr>
          <w:p>
            <w:pPr>
              <w:jc w:val="center"/>
              <w:ind w:right="40"/>
              <w:spacing w:after="0" w:line="115" w:lineRule="exact"/>
              <w:rPr>
                <w:sz w:val="20"/>
                <w:szCs w:val="20"/>
                <w:color w:val="auto"/>
              </w:rPr>
            </w:pPr>
            <w:r>
              <w:rPr>
                <w:rFonts w:ascii="Arial" w:cs="Arial" w:eastAsia="Arial" w:hAnsi="Arial"/>
                <w:sz w:val="11"/>
                <w:szCs w:val="11"/>
                <w:b w:val="1"/>
                <w:bCs w:val="1"/>
                <w:color w:val="auto"/>
                <w:w w:val="89"/>
              </w:rPr>
              <w:t>Deficit</w:t>
            </w:r>
          </w:p>
        </w:tc>
        <w:tc>
          <w:tcPr>
            <w:tcW w:w="0" w:type="dxa"/>
            <w:vAlign w:val="bottom"/>
          </w:tcPr>
          <w:p>
            <w:pPr>
              <w:spacing w:after="0"/>
              <w:rPr>
                <w:sz w:val="1"/>
                <w:szCs w:val="1"/>
                <w:color w:val="auto"/>
              </w:rPr>
            </w:pPr>
          </w:p>
        </w:tc>
      </w:tr>
      <w:tr>
        <w:trPr>
          <w:trHeight w:val="115"/>
        </w:trPr>
        <w:tc>
          <w:tcPr>
            <w:tcW w:w="2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at December 31, 2019</w:t>
            </w: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1,966,043</w:t>
            </w: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$ 16,611,832</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16,611,832</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4,950,129</w:t>
            </w:r>
          </w:p>
        </w:tc>
        <w:tc>
          <w:tcPr>
            <w:tcW w:w="2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4,950</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9"/>
              </w:rPr>
              <w:t>$ 2,164,471</w:t>
            </w:r>
          </w:p>
        </w:tc>
        <w:tc>
          <w:tcPr>
            <w:tcW w:w="8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  (8,697,742)</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3"/>
              </w:rPr>
              <w:t>$  (6,528,321)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Series A convertible preferred</w:t>
            </w: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100" w:type="dxa"/>
            <w:vAlign w:val="bottom"/>
            <w:shd w:val="clear" w:color="auto" w:fill="CCEEFF"/>
          </w:tcPr>
          <w:p>
            <w:pPr>
              <w:spacing w:after="0"/>
              <w:rPr>
                <w:sz w:val="20"/>
                <w:szCs w:val="20"/>
                <w:color w:val="auto"/>
              </w:rPr>
            </w:pPr>
            <w:r>
              <w:rPr>
                <w:rFonts w:ascii="Arial" w:cs="Arial" w:eastAsia="Arial" w:hAnsi="Arial"/>
                <w:sz w:val="11"/>
                <w:szCs w:val="11"/>
                <w:color w:val="auto"/>
              </w:rPr>
              <w:t>stock, net of issuance costs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529,890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4,508,108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4,508,108</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272,143</w:t>
            </w:r>
          </w:p>
        </w:tc>
        <w:tc>
          <w:tcPr>
            <w:tcW w:w="7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272,143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(3,200,720)</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(3,200,720)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March 31, 2020</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2,495,933</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21,119,940</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21,119,940</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4,950,129</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4,950</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2,436,614</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(11,898,462)</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(9,456,898)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287,554</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287,554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(3,604,162)</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(3,604,162)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at June 30, 2020</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2,495,933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7"/>
              </w:rPr>
              <w:t>$ 21,119,940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21,119,940</w:t>
            </w:r>
          </w:p>
        </w:tc>
        <w:tc>
          <w:tcPr>
            <w:tcW w:w="1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4,950,129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ind w:left="30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9"/>
              </w:rPr>
              <w:t>$ 2,724,168</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2"/>
              </w:rPr>
              <w:t>$ (15,502,624)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6"/>
              </w:rPr>
              <w:t>$ (12,773,506)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10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2000" w:type="dxa"/>
            <w:vAlign w:val="bottom"/>
            <w:tcBorders>
              <w:bottom w:val="single" w:sz="8" w:color="auto"/>
            </w:tcBorders>
            <w:gridSpan w:val="6"/>
            <w:shd w:val="clear" w:color="auto" w:fill="CCEEFF"/>
          </w:tcPr>
          <w:p>
            <w:pPr>
              <w:ind w:left="380"/>
              <w:spacing w:after="0" w:line="122" w:lineRule="exact"/>
              <w:rPr>
                <w:sz w:val="20"/>
                <w:szCs w:val="20"/>
                <w:color w:val="auto"/>
              </w:rPr>
            </w:pPr>
            <w:r>
              <w:rPr>
                <w:rFonts w:ascii="Arial" w:cs="Arial" w:eastAsia="Arial" w:hAnsi="Arial"/>
                <w:sz w:val="11"/>
                <w:szCs w:val="11"/>
                <w:b w:val="1"/>
                <w:bCs w:val="1"/>
                <w:color w:val="auto"/>
              </w:rPr>
              <w:t>Convertible Preferred Stock</w:t>
            </w:r>
          </w:p>
        </w:tc>
        <w:tc>
          <w:tcPr>
            <w:tcW w:w="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gridSpan w:val="5"/>
            <w:shd w:val="clear" w:color="auto" w:fill="CCEEFF"/>
          </w:tcPr>
          <w:p>
            <w:pPr>
              <w:jc w:val="right"/>
              <w:ind w:right="226"/>
              <w:spacing w:after="0" w:line="122" w:lineRule="exact"/>
              <w:rPr>
                <w:sz w:val="20"/>
                <w:szCs w:val="20"/>
                <w:color w:val="auto"/>
              </w:rPr>
            </w:pPr>
            <w:r>
              <w:rPr>
                <w:rFonts w:ascii="Arial" w:cs="Arial" w:eastAsia="Arial" w:hAnsi="Arial"/>
                <w:sz w:val="11"/>
                <w:szCs w:val="11"/>
                <w:b w:val="1"/>
                <w:bCs w:val="1"/>
                <w:color w:val="auto"/>
                <w:w w:val="91"/>
              </w:rPr>
              <w:t>Stockholders' Deficit</w:t>
            </w:r>
          </w:p>
        </w:tc>
        <w:tc>
          <w:tcPr>
            <w:tcW w:w="8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6"/>
              <w:spacing w:after="0" w:line="115" w:lineRule="exact"/>
              <w:rPr>
                <w:sz w:val="20"/>
                <w:szCs w:val="20"/>
                <w:color w:val="auto"/>
              </w:rPr>
            </w:pPr>
            <w:r>
              <w:rPr>
                <w:rFonts w:ascii="Arial" w:cs="Arial" w:eastAsia="Arial" w:hAnsi="Arial"/>
                <w:sz w:val="11"/>
                <w:szCs w:val="11"/>
                <w:b w:val="1"/>
                <w:bCs w:val="1"/>
                <w:color w:val="auto"/>
                <w:w w:val="91"/>
              </w:rPr>
              <w:t>Total</w:t>
            </w:r>
          </w:p>
        </w:tc>
        <w:tc>
          <w:tcPr>
            <w:tcW w:w="20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rPr>
                <w:sz w:val="10"/>
                <w:szCs w:val="10"/>
                <w:color w:val="auto"/>
              </w:rPr>
            </w:pPr>
          </w:p>
        </w:tc>
        <w:tc>
          <w:tcPr>
            <w:tcW w:w="1280" w:type="dxa"/>
            <w:vAlign w:val="bottom"/>
            <w:gridSpan w:val="6"/>
            <w:shd w:val="clear" w:color="auto" w:fill="CCEEFF"/>
          </w:tcPr>
          <w:p>
            <w:pPr>
              <w:jc w:val="center"/>
              <w:ind w:right="80"/>
              <w:spacing w:after="0" w:line="122" w:lineRule="exact"/>
              <w:rPr>
                <w:sz w:val="20"/>
                <w:szCs w:val="20"/>
                <w:color w:val="auto"/>
              </w:rPr>
            </w:pPr>
            <w:r>
              <w:rPr>
                <w:rFonts w:ascii="Arial" w:cs="Arial" w:eastAsia="Arial" w:hAnsi="Arial"/>
                <w:sz w:val="11"/>
                <w:szCs w:val="11"/>
                <w:b w:val="1"/>
                <w:bCs w:val="1"/>
                <w:color w:val="auto"/>
                <w:w w:val="81"/>
              </w:rPr>
              <w:t>Series B</w:t>
            </w:r>
          </w:p>
        </w:tc>
        <w:tc>
          <w:tcPr>
            <w:tcW w:w="1380" w:type="dxa"/>
            <w:vAlign w:val="bottom"/>
            <w:gridSpan w:val="4"/>
            <w:shd w:val="clear" w:color="auto" w:fill="CCEEFF"/>
          </w:tcPr>
          <w:p>
            <w:pPr>
              <w:ind w:left="460"/>
              <w:spacing w:after="0" w:line="122" w:lineRule="exact"/>
              <w:rPr>
                <w:sz w:val="20"/>
                <w:szCs w:val="20"/>
                <w:color w:val="auto"/>
              </w:rPr>
            </w:pPr>
            <w:r>
              <w:rPr>
                <w:rFonts w:ascii="Arial" w:cs="Arial" w:eastAsia="Arial" w:hAnsi="Arial"/>
                <w:sz w:val="11"/>
                <w:szCs w:val="11"/>
                <w:b w:val="1"/>
                <w:bCs w:val="1"/>
                <w:color w:val="auto"/>
              </w:rPr>
              <w:t>Series A</w:t>
            </w:r>
          </w:p>
        </w:tc>
        <w:tc>
          <w:tcPr>
            <w:tcW w:w="6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180" w:type="dxa"/>
            <w:vAlign w:val="bottom"/>
            <w:gridSpan w:val="4"/>
            <w:shd w:val="clear" w:color="auto" w:fill="CCEEFF"/>
          </w:tcPr>
          <w:p>
            <w:pPr>
              <w:jc w:val="right"/>
              <w:ind w:right="6"/>
              <w:spacing w:after="0" w:line="122" w:lineRule="exact"/>
              <w:rPr>
                <w:sz w:val="20"/>
                <w:szCs w:val="20"/>
                <w:color w:val="auto"/>
              </w:rPr>
            </w:pPr>
            <w:r>
              <w:rPr>
                <w:rFonts w:ascii="Arial" w:cs="Arial" w:eastAsia="Arial" w:hAnsi="Arial"/>
                <w:sz w:val="11"/>
                <w:szCs w:val="11"/>
                <w:b w:val="1"/>
                <w:bCs w:val="1"/>
                <w:color w:val="auto"/>
                <w:w w:val="88"/>
              </w:rPr>
              <w:t>Class A Common Stock</w:t>
            </w:r>
          </w:p>
        </w:tc>
        <w:tc>
          <w:tcPr>
            <w:tcW w:w="1260" w:type="dxa"/>
            <w:vAlign w:val="bottom"/>
            <w:gridSpan w:val="6"/>
            <w:shd w:val="clear" w:color="auto" w:fill="CCEEFF"/>
          </w:tcPr>
          <w:p>
            <w:pPr>
              <w:ind w:left="100"/>
              <w:spacing w:after="0" w:line="122" w:lineRule="exact"/>
              <w:rPr>
                <w:sz w:val="20"/>
                <w:szCs w:val="20"/>
                <w:color w:val="auto"/>
              </w:rPr>
            </w:pPr>
            <w:r>
              <w:rPr>
                <w:rFonts w:ascii="Arial" w:cs="Arial" w:eastAsia="Arial" w:hAnsi="Arial"/>
                <w:sz w:val="11"/>
                <w:szCs w:val="11"/>
                <w:b w:val="1"/>
                <w:bCs w:val="1"/>
                <w:color w:val="auto"/>
                <w:w w:val="91"/>
              </w:rPr>
              <w:t>Class B Common Stock</w:t>
            </w:r>
          </w:p>
        </w:tc>
        <w:tc>
          <w:tcPr>
            <w:tcW w:w="58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b w:val="1"/>
                <w:bCs w:val="1"/>
                <w:color w:val="auto"/>
                <w:w w:val="92"/>
              </w:rPr>
              <w:t>Paid-In</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Pr>
          <w:p>
            <w:pPr>
              <w:spacing w:after="0"/>
              <w:rPr>
                <w:sz w:val="10"/>
                <w:szCs w:val="10"/>
                <w:color w:val="auto"/>
              </w:rPr>
            </w:pPr>
          </w:p>
        </w:tc>
        <w:tc>
          <w:tcPr>
            <w:tcW w:w="580" w:type="dxa"/>
            <w:vAlign w:val="bottom"/>
            <w:tcBorders>
              <w:top w:val="single" w:sz="8" w:color="auto"/>
            </w:tcBorders>
            <w:gridSpan w:val="2"/>
          </w:tcPr>
          <w:p>
            <w:pPr>
              <w:ind w:left="80"/>
              <w:spacing w:after="0" w:line="115" w:lineRule="exact"/>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0"/>
                <w:szCs w:val="10"/>
                <w:color w:val="auto"/>
              </w:rPr>
            </w:pPr>
          </w:p>
        </w:tc>
        <w:tc>
          <w:tcPr>
            <w:tcW w:w="56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92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Preferred Stock</w:t>
            </w:r>
          </w:p>
        </w:tc>
        <w:tc>
          <w:tcPr>
            <w:tcW w:w="56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Par Value</w:t>
            </w:r>
          </w:p>
        </w:tc>
        <w:tc>
          <w:tcPr>
            <w:tcW w:w="10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w w:val="97"/>
              </w:rPr>
              <w:t>Shares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ind w:right="6"/>
              <w:spacing w:after="0" w:line="115" w:lineRule="exact"/>
              <w:rPr>
                <w:sz w:val="20"/>
                <w:szCs w:val="20"/>
                <w:color w:val="auto"/>
              </w:rPr>
            </w:pPr>
            <w:r>
              <w:rPr>
                <w:rFonts w:ascii="Arial" w:cs="Arial" w:eastAsia="Arial" w:hAnsi="Arial"/>
                <w:sz w:val="11"/>
                <w:szCs w:val="11"/>
                <w:b w:val="1"/>
                <w:bCs w:val="1"/>
                <w:color w:val="auto"/>
                <w:w w:val="91"/>
              </w:rPr>
              <w:t>Par Value</w:t>
            </w:r>
          </w:p>
        </w:tc>
        <w:tc>
          <w:tcPr>
            <w:tcW w:w="8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5"/>
              </w:rPr>
              <w:t>Deficit</w:t>
            </w:r>
          </w:p>
        </w:tc>
        <w:tc>
          <w:tcPr>
            <w:tcW w:w="20" w:type="dxa"/>
            <w:vAlign w:val="bottom"/>
          </w:tcPr>
          <w:p>
            <w:pPr>
              <w:spacing w:after="0"/>
              <w:rPr>
                <w:sz w:val="10"/>
                <w:szCs w:val="10"/>
                <w:color w:val="auto"/>
              </w:rPr>
            </w:pPr>
          </w:p>
        </w:tc>
        <w:tc>
          <w:tcPr>
            <w:tcW w:w="6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at December 31, 2020</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w w:val="85"/>
              </w:rPr>
              <w:t>3,619,292</w:t>
            </w:r>
          </w:p>
        </w:tc>
        <w:tc>
          <w:tcPr>
            <w:tcW w:w="100" w:type="dxa"/>
            <w:vAlign w:val="bottom"/>
          </w:tcPr>
          <w:p>
            <w:pPr>
              <w:spacing w:after="0"/>
              <w:rPr>
                <w:sz w:val="10"/>
                <w:szCs w:val="10"/>
                <w:color w:val="auto"/>
              </w:rPr>
            </w:pPr>
          </w:p>
        </w:tc>
        <w:tc>
          <w:tcPr>
            <w:tcW w:w="60" w:type="dxa"/>
            <w:vAlign w:val="bottom"/>
          </w:tcPr>
          <w:p>
            <w:pPr>
              <w:jc w:val="center"/>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36,983,910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2,495,933</w:t>
            </w: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$ 21,119,940</w:t>
            </w: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58,103,850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4,950,129</w:t>
            </w:r>
          </w:p>
        </w:tc>
        <w:tc>
          <w:tcPr>
            <w:tcW w:w="2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4,950</w:t>
            </w:r>
          </w:p>
        </w:tc>
        <w:tc>
          <w:tcPr>
            <w:tcW w:w="100" w:type="dxa"/>
            <w:vAlign w:val="bottom"/>
          </w:tcPr>
          <w:p>
            <w:pPr>
              <w:spacing w:after="0"/>
              <w:rPr>
                <w:sz w:val="10"/>
                <w:szCs w:val="10"/>
                <w:color w:val="auto"/>
              </w:rPr>
            </w:pPr>
          </w:p>
        </w:tc>
        <w:tc>
          <w:tcPr>
            <w:tcW w:w="440" w:type="dxa"/>
            <w:vAlign w:val="bottom"/>
          </w:tcPr>
          <w:p>
            <w:pPr>
              <w:ind w:left="300"/>
              <w:spacing w:after="0" w:line="122"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w w:val="89"/>
              </w:rPr>
              <w:t>$ 3,251,240</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 (25,737,640)</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89"/>
              </w:rPr>
              <w:t>$ (22,481,450)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tcBorders>
              <w:right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182,225</w:t>
            </w:r>
          </w:p>
        </w:tc>
        <w:tc>
          <w:tcPr>
            <w:tcW w:w="8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182,225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tcBorders>
              <w:right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(6,229,651)</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(6,229,651)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Pr>
          <w:p>
            <w:pPr>
              <w:spacing w:after="0" w:line="115" w:lineRule="exact"/>
              <w:rPr>
                <w:sz w:val="20"/>
                <w:szCs w:val="20"/>
                <w:color w:val="auto"/>
              </w:rPr>
            </w:pPr>
            <w:r>
              <w:rPr>
                <w:rFonts w:ascii="Arial" w:cs="Arial" w:eastAsia="Arial" w:hAnsi="Arial"/>
                <w:sz w:val="11"/>
                <w:szCs w:val="11"/>
                <w:b w:val="1"/>
                <w:bCs w:val="1"/>
                <w:color w:val="auto"/>
              </w:rPr>
              <w:t>Balance at March 31, 2021</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w w:val="85"/>
              </w:rPr>
              <w:t>3,619,292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spacing w:after="0" w:line="115" w:lineRule="exact"/>
              <w:rPr>
                <w:sz w:val="20"/>
                <w:szCs w:val="20"/>
                <w:color w:val="auto"/>
              </w:rPr>
            </w:pPr>
            <w:r>
              <w:rPr>
                <w:rFonts w:ascii="Arial" w:cs="Arial" w:eastAsia="Arial" w:hAnsi="Arial"/>
                <w:sz w:val="11"/>
                <w:szCs w:val="11"/>
                <w:color w:val="auto"/>
                <w:w w:val="90"/>
              </w:rPr>
              <w:t>36,983,910</w:t>
            </w:r>
          </w:p>
        </w:tc>
        <w:tc>
          <w:tcPr>
            <w:tcW w:w="8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2,495,933</w:t>
            </w:r>
          </w:p>
        </w:tc>
        <w:tc>
          <w:tcPr>
            <w:tcW w:w="10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21,119,940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58,103,850</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4,950,129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Arial" w:cs="Arial" w:eastAsia="Arial" w:hAnsi="Arial"/>
                <w:sz w:val="11"/>
                <w:szCs w:val="11"/>
                <w:color w:val="auto"/>
              </w:rPr>
              <w:t>4,950</w:t>
            </w:r>
          </w:p>
        </w:tc>
        <w:tc>
          <w:tcPr>
            <w:tcW w:w="100" w:type="dxa"/>
            <w:vAlign w:val="bottom"/>
          </w:tcPr>
          <w:p>
            <w:pPr>
              <w:spacing w:after="0"/>
              <w:rPr>
                <w:sz w:val="10"/>
                <w:szCs w:val="10"/>
                <w:color w:val="auto"/>
              </w:rPr>
            </w:pPr>
          </w:p>
        </w:tc>
        <w:tc>
          <w:tcPr>
            <w:tcW w:w="440" w:type="dxa"/>
            <w:vAlign w:val="bottom"/>
          </w:tcPr>
          <w:p>
            <w:pPr>
              <w:ind w:left="300"/>
              <w:spacing w:after="0" w:line="11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3,433,465</w:t>
            </w:r>
          </w:p>
        </w:tc>
        <w:tc>
          <w:tcPr>
            <w:tcW w:w="8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(31,967,291)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w w:val="99"/>
              </w:rPr>
              <w:t>(28,528,876)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line="112" w:lineRule="exact"/>
              <w:rPr>
                <w:sz w:val="20"/>
                <w:szCs w:val="20"/>
                <w:color w:val="auto"/>
              </w:rPr>
            </w:pPr>
            <w:r>
              <w:rPr>
                <w:rFonts w:ascii="Arial" w:cs="Arial" w:eastAsia="Arial" w:hAnsi="Arial"/>
                <w:sz w:val="11"/>
                <w:szCs w:val="11"/>
                <w:color w:val="auto"/>
              </w:rPr>
              <w:t>Issuance of Series B convertible preferred</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100" w:type="dxa"/>
            <w:vAlign w:val="bottom"/>
          </w:tcPr>
          <w:p>
            <w:pPr>
              <w:spacing w:after="0"/>
              <w:rPr>
                <w:sz w:val="20"/>
                <w:szCs w:val="20"/>
                <w:color w:val="auto"/>
              </w:rPr>
            </w:pPr>
            <w:r>
              <w:rPr>
                <w:rFonts w:ascii="Arial" w:cs="Arial" w:eastAsia="Arial" w:hAnsi="Arial"/>
                <w:sz w:val="11"/>
                <w:szCs w:val="11"/>
                <w:color w:val="auto"/>
              </w:rPr>
              <w:t>stock, net of issuance costs</w:t>
            </w:r>
          </w:p>
        </w:tc>
        <w:tc>
          <w:tcPr>
            <w:tcW w:w="480" w:type="dxa"/>
            <w:vAlign w:val="bottom"/>
          </w:tcPr>
          <w:p>
            <w:pPr>
              <w:jc w:val="right"/>
              <w:spacing w:after="0"/>
              <w:rPr>
                <w:sz w:val="20"/>
                <w:szCs w:val="20"/>
                <w:color w:val="auto"/>
              </w:rPr>
            </w:pPr>
            <w:r>
              <w:rPr>
                <w:rFonts w:ascii="Arial" w:cs="Arial" w:eastAsia="Arial" w:hAnsi="Arial"/>
                <w:sz w:val="11"/>
                <w:szCs w:val="11"/>
                <w:color w:val="auto"/>
                <w:w w:val="85"/>
              </w:rPr>
              <w:t>2,412,853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w w:val="90"/>
              </w:rPr>
              <w:t>24,788,851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24,788,851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line="112" w:lineRule="exact"/>
              <w:rPr>
                <w:sz w:val="20"/>
                <w:szCs w:val="20"/>
                <w:color w:val="auto"/>
              </w:rPr>
            </w:pPr>
            <w:r>
              <w:rPr>
                <w:rFonts w:ascii="Arial" w:cs="Arial" w:eastAsia="Arial" w:hAnsi="Arial"/>
                <w:sz w:val="11"/>
                <w:szCs w:val="11"/>
                <w:color w:val="auto"/>
                <w:w w:val="97"/>
              </w:rPr>
              <w:t>Issuance of common stock upon exercise of</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100" w:type="dxa"/>
            <w:vAlign w:val="bottom"/>
          </w:tcPr>
          <w:p>
            <w:pPr>
              <w:spacing w:after="0"/>
              <w:rPr>
                <w:sz w:val="20"/>
                <w:szCs w:val="20"/>
                <w:color w:val="auto"/>
              </w:rPr>
            </w:pPr>
            <w:r>
              <w:rPr>
                <w:rFonts w:ascii="Arial" w:cs="Arial" w:eastAsia="Arial" w:hAnsi="Arial"/>
                <w:sz w:val="11"/>
                <w:szCs w:val="11"/>
                <w:color w:val="auto"/>
              </w:rPr>
              <w:t>stock options</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17,499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1"/>
                <w:szCs w:val="11"/>
                <w:color w:val="auto"/>
              </w:rPr>
            </w:pPr>
          </w:p>
        </w:tc>
        <w:tc>
          <w:tcPr>
            <w:tcW w:w="440" w:type="dxa"/>
            <w:vAlign w:val="bottom"/>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52,609</w:t>
            </w: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52,627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00" w:type="dxa"/>
            <w:vAlign w:val="bottom"/>
          </w:tcPr>
          <w:p>
            <w:pPr>
              <w:spacing w:after="0" w:line="112" w:lineRule="exact"/>
              <w:rPr>
                <w:sz w:val="20"/>
                <w:szCs w:val="20"/>
                <w:color w:val="auto"/>
              </w:rPr>
            </w:pPr>
            <w:r>
              <w:rPr>
                <w:rFonts w:ascii="Arial" w:cs="Arial" w:eastAsia="Arial" w:hAnsi="Arial"/>
                <w:sz w:val="11"/>
                <w:szCs w:val="11"/>
                <w:color w:val="auto"/>
                <w:w w:val="97"/>
              </w:rPr>
              <w:t>Issuance of common stock upon exercise of</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100" w:type="dxa"/>
            <w:vAlign w:val="bottom"/>
          </w:tcPr>
          <w:p>
            <w:pPr>
              <w:spacing w:after="0"/>
              <w:rPr>
                <w:sz w:val="20"/>
                <w:szCs w:val="20"/>
                <w:color w:val="auto"/>
              </w:rPr>
            </w:pPr>
            <w:r>
              <w:rPr>
                <w:rFonts w:ascii="Arial" w:cs="Arial" w:eastAsia="Arial" w:hAnsi="Arial"/>
                <w:sz w:val="11"/>
                <w:szCs w:val="11"/>
                <w:color w:val="auto"/>
              </w:rPr>
              <w:t>warrants</w:t>
            </w: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308,308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308</w:t>
            </w:r>
          </w:p>
        </w:tc>
        <w:tc>
          <w:tcPr>
            <w:tcW w:w="100" w:type="dxa"/>
            <w:vAlign w:val="bottom"/>
          </w:tcPr>
          <w:p>
            <w:pPr>
              <w:spacing w:after="0"/>
              <w:rPr>
                <w:sz w:val="11"/>
                <w:szCs w:val="11"/>
                <w:color w:val="auto"/>
              </w:rPr>
            </w:pPr>
          </w:p>
        </w:tc>
        <w:tc>
          <w:tcPr>
            <w:tcW w:w="440" w:type="dxa"/>
            <w:vAlign w:val="bottom"/>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926,817</w:t>
            </w: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927,125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line="122" w:lineRule="exact"/>
              <w:rPr>
                <w:sz w:val="20"/>
                <w:szCs w:val="20"/>
                <w:color w:val="auto"/>
              </w:rPr>
            </w:pPr>
            <w:r>
              <w:rPr>
                <w:rFonts w:ascii="Arial" w:cs="Arial" w:eastAsia="Arial" w:hAnsi="Arial"/>
                <w:sz w:val="11"/>
                <w:szCs w:val="11"/>
                <w:color w:val="auto"/>
              </w:rPr>
              <w:t>Stock-based compensation expense</w:t>
            </w: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tcBorders>
              <w:right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351,009</w:t>
            </w:r>
          </w:p>
        </w:tc>
        <w:tc>
          <w:tcPr>
            <w:tcW w:w="8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351,009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tcBorders>
              <w:right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(7,987,665)</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(7,987,665)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Pr>
          <w:p>
            <w:pPr>
              <w:spacing w:after="0" w:line="115" w:lineRule="exact"/>
              <w:rPr>
                <w:sz w:val="20"/>
                <w:szCs w:val="20"/>
                <w:color w:val="auto"/>
              </w:rPr>
            </w:pPr>
            <w:r>
              <w:rPr>
                <w:rFonts w:ascii="Arial" w:cs="Arial" w:eastAsia="Arial" w:hAnsi="Arial"/>
                <w:sz w:val="11"/>
                <w:szCs w:val="11"/>
                <w:b w:val="1"/>
                <w:bCs w:val="1"/>
                <w:color w:val="auto"/>
              </w:rPr>
              <w:t>Balance at June 30, 2021</w:t>
            </w:r>
          </w:p>
        </w:tc>
        <w:tc>
          <w:tcPr>
            <w:tcW w:w="4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6,032,145</w:t>
            </w:r>
          </w:p>
        </w:tc>
        <w:tc>
          <w:tcPr>
            <w:tcW w:w="100" w:type="dxa"/>
            <w:vAlign w:val="bottom"/>
          </w:tcPr>
          <w:p>
            <w:pPr>
              <w:spacing w:after="0"/>
              <w:rPr>
                <w:sz w:val="10"/>
                <w:szCs w:val="10"/>
                <w:color w:val="auto"/>
              </w:rPr>
            </w:pPr>
          </w:p>
        </w:tc>
        <w:tc>
          <w:tcPr>
            <w:tcW w:w="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w w:val="90"/>
              </w:rPr>
              <w:t>61,772,761</w:t>
            </w:r>
          </w:p>
        </w:tc>
        <w:tc>
          <w:tcPr>
            <w:tcW w:w="8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2,495,933</w:t>
            </w:r>
          </w:p>
        </w:tc>
        <w:tc>
          <w:tcPr>
            <w:tcW w:w="10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7"/>
              </w:rPr>
              <w:t>$ 21,119,940</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82,892,701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5,275,936</w:t>
            </w: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60"/>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5,276</w:t>
            </w:r>
          </w:p>
        </w:tc>
        <w:tc>
          <w:tcPr>
            <w:tcW w:w="100" w:type="dxa"/>
            <w:vAlign w:val="bottom"/>
          </w:tcPr>
          <w:p>
            <w:pPr>
              <w:spacing w:after="0"/>
              <w:rPr>
                <w:sz w:val="10"/>
                <w:szCs w:val="10"/>
                <w:color w:val="auto"/>
              </w:rPr>
            </w:pPr>
          </w:p>
        </w:tc>
        <w:tc>
          <w:tcPr>
            <w:tcW w:w="440" w:type="dxa"/>
            <w:vAlign w:val="bottom"/>
            <w:tcBorders>
              <w:bottom w:val="single" w:sz="8" w:color="auto"/>
            </w:tcBorders>
          </w:tcPr>
          <w:p>
            <w:pPr>
              <w:ind w:left="300"/>
              <w:spacing w:after="0" w:line="11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20" w:type="dxa"/>
            <w:vAlign w:val="bottom"/>
            <w:tcBorders>
              <w:bottom w:val="single" w:sz="8" w:color="auto"/>
            </w:tcBorders>
          </w:tcPr>
          <w:p>
            <w:pPr>
              <w:jc w:val="right"/>
              <w:ind w:right="140"/>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9"/>
              </w:rPr>
              <w:t>$ 4,763,900</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2"/>
              </w:rPr>
              <w:t>$ (39,954,956)</w:t>
            </w: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6"/>
              </w:rPr>
              <w:t>$ (35,185,780)</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2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CONSOLIDATED STATEMENTS OF CASH FLOWS FOR THE SIX MONTHS ENDED JUNE 30, 2021 and 2020 (Unaudited)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(14,217,316)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(6,804,882)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 to reconcile to net loss to net cash used in operating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Right-of-use asset amortization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Stock based compensation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533,234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assets and liabilities: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(Increase) decrease in: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(555,726)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Arial" w:cs="Arial" w:eastAsia="Arial" w:hAnsi="Arial"/>
                <w:sz w:val="18"/>
                <w:szCs w:val="18"/>
                <w:color w:val="auto"/>
              </w:rPr>
              <w:t>Increase (decrease) in: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2,619,878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Lease liability</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(12,577,263)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(5,681,681)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Proceeds from the issuance of Series A preferred stock, net of issuance costs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w w:val="97"/>
              </w:rPr>
              <w:t>Proceeds from the issuance of Series B preferred stock, net of issuance costs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24,788,851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exercise of warrants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25,768,603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13,154,952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(4,693,129)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37,090,151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13,782,175</w:t>
            </w:r>
          </w:p>
        </w:tc>
        <w:tc>
          <w:tcPr>
            <w:tcW w:w="0" w:type="dxa"/>
            <w:vAlign w:val="bottom"/>
          </w:tcPr>
          <w:p>
            <w:pPr>
              <w:spacing w:after="0"/>
              <w:rPr>
                <w:sz w:val="1"/>
                <w:szCs w:val="1"/>
                <w:color w:val="auto"/>
              </w:rPr>
            </w:pPr>
          </w:p>
        </w:tc>
      </w:tr>
      <w:tr>
        <w:trPr>
          <w:trHeight w:val="249"/>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50,245,103</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9,089,046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noncash information:</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20" w:type="dxa"/>
            <w:vAlign w:val="bottom"/>
          </w:tcPr>
          <w:p>
            <w:pPr>
              <w:ind w:left="80"/>
              <w:spacing w:after="0"/>
              <w:rPr>
                <w:sz w:val="20"/>
                <w:szCs w:val="20"/>
                <w:color w:val="auto"/>
              </w:rPr>
            </w:pPr>
            <w:r>
              <w:rPr>
                <w:rFonts w:ascii="Arial" w:cs="Arial" w:eastAsia="Arial" w:hAnsi="Arial"/>
                <w:sz w:val="18"/>
                <w:szCs w:val="18"/>
                <w:color w:val="auto"/>
              </w:rPr>
              <w:t>Reclassification of liability for Series A preferred stock</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3,509,802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Deferred offering costs included in accounts payable and accrued expenses</w:t>
            </w: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875,078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IMMUNEERING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Nature of Business</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Immuneering Corporation, a Delaware corporation, (“Immuneering” or the “Company”) was incorporated in 2008. The Company is a biopharmaceutical company with an emerging pipeline focused on improving patient outcomes across a spectrum of debilitating oncologic and neurologic diseases by applying the Company’s deep knowledge of translational bioinformatics to every stage of the drug development process. The Company has more than a decade of experience in translational bioinformatics and generating insights into drug mechanisms of action and patient treatment responses. Building on this experience, the Company developed a disease agnostic platform that enables the Company to utilize human data, novel biology and chemistry, and translational planning to create and advance the Company’s wholly owned pipeline.</w:t>
      </w:r>
    </w:p>
    <w:p>
      <w:pPr>
        <w:spacing w:after="0" w:line="192"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On October 30, 2019, Immuneering formed a wholly owned subsidiary, Immuneering Securities Corporation (“ISC”), a Massachusetts securities corporation, for the sole purpose of buying, selling and holding securities on the Company’s behalf. Immuneering and ISC are collectively referred to as “the Company” throughout these consolidated financial statements.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Since inception, the Company has devoted substantially all of its efforts to business planning, service revenue generation, research and development, recruiting management and technical staff, and raising capital. The Company has financed its operations through service revenues, the issuance of convertible debt and the sale of convertible preferred stock and common stock.</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16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are estimated to be $2,000,000. Upon the closing of the IPO, all 8,528,078 shares of the Company’s convertible preferred stock then outstanding automatically converted into 11,939,281 shares of Class A common stock (see Note 11).</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June 30, 2021, the Company had an accumulated deficit of $39,954,956.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considers that there are no conditions or events, in the aggregate, that raise substantial doubt about the entity’s ability to continue as a going concern and estimates that its cash and cash equivalents will be sufficient to fund its operating expenses and capital expenditure requirements for at least 12 months from the issuance date of the interim consolidated financial statements. The full extent to which coronavirus (“COVID-19”) pandemic will directly or indirectly impact the Company’s business, results of operations and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financial 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consolidated financial statements have been prepared in accordance with accounting standards set by the Financial Accounting Standards Board (“FASB”). The FASB sets generally accepted accounting principles (“GAAP”) to ensure the consolidated financial statements are consistently reported. References to GAAP issued by the FASB in these footnotes are to the FASB Accounting Standards Codifications (“ASC”). The consolidated financial statements include the accounts of the Company and its wholly owned subsidiary. All intercompany balances and transactions have been eliminated in consolidation.</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There have been no material changes to the accounting policies of the Company as those set forth in Note 2 to the audited consolidated financial statements contained in the final prospectus, dated July 29, 2021, filed with the SEC on July 30, 2021 pursuant to Rule 424(b) relating to our Registration Statement on Form S-1 (File No. 333-257791) (the “Prospectus”).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unaudited interim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consolidated financial statements, as is permitted by such rules and regulations. While we believe that the disclosures presented are adequate in order to make the information not misleading, these unaudited interim consolidated financial statements should be read in conjunction with the Company’s audited consolidated financial statements and notes for the year ended December 31, 2020.</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w:t>
      </w:r>
    </w:p>
    <w:p>
      <w:pPr>
        <w:spacing w:after="0" w:line="3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with in-process equity financings as deferred offering costs until such financings are consummated. After consummation of an equity financing, these costs are recorded as a reduction of the proceeds from the offering, either as a reduction of the carrying value of the preferred stock or in stockholder’s equity (deficit) as a reduction of additional paid-in capital generated as a result of the offering. Should the in-process equity financing be abandoned, the deferred offering costs would be expensed immediately as a charge to operating expenses in the statements of operations and comprehensive loss. There were no deferred offering costs as of December 31,2020. As of June 30, 2021, deferred offering costs of $946,053 related to the IPO were recorded in the Company’s consolidated balance sheets.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On July 23, 2021, the Company approved a one-for-1.4 stock split which was consummated in connection with the Company’s IPO. All information in the accompanying financial statements and notes thereto regarding share amounts of common stock, price per share of common stock and the conversion factor for Series A and Series B Preferred Stock into common stock have been adjusted to reflect the application of the stock split on a retroactive basis.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 to be reasonable under the circumstances, the results of which form the basis for making judgements about the carrying values of assets liabilities and the recording of expenses that are not readily apparent from other sources. Significant estimates reflected in these consolidated financial statements included but are not limited to, the research and development expenses, determination of fair value of stock-based awards, the valuation of common stock, and the right-to-use assets and operating lease liability. Actual results may differ materially and adversely from these estimates.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Instruments-Overall, applied on an instrument-by-instrument basis for eligible instruments. ASU No. 2016-13, Financial Instruments - Credit Losses (Topic 326) will become effective for the Company on January 1, 2023. The Company is currently assessing the impact of the adoption of this guidance on its consolidated financial statements.</w:t>
      </w:r>
    </w:p>
    <w:p>
      <w:pPr>
        <w:spacing w:after="0" w:line="19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which simplifies the accounting for income taxes by removing certain exceptions to the general principles in the existing guidance for income taxes and making other minor improvements. The amendments are effective for annual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reporting periods beginning after December 15, 2020 with early adoption permitted. The Company is currently assessing the impact of the adoption of this guidance on its consolidated financial statements.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Property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210"/>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174,317</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18,798</w:t>
            </w:r>
          </w:p>
        </w:tc>
      </w:tr>
      <w:tr>
        <w:trPr>
          <w:trHeight w:val="209"/>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(147,426)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(128,752)</w:t>
            </w:r>
          </w:p>
        </w:tc>
      </w:tr>
      <w:tr>
        <w:trPr>
          <w:trHeight w:val="209"/>
        </w:trPr>
        <w:tc>
          <w:tcPr>
            <w:tcW w:w="6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64,363</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expense totaled $9,807 and $5,916 for the three months ended June 30, 2021 and 2020, respectively.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expense totaled $18,674 and $11,223 for the six months ended June 30, 2021 and 2020, respectively.</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Accrued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r>
      <w:tr>
        <w:trPr>
          <w:trHeight w:val="210"/>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1,110,157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269,302</w:t>
            </w: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Accrued employee expenses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1,685,293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w w:val="95"/>
              </w:rPr>
              <w:t>163,668</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contract research expenses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523,420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5"/>
              </w:rPr>
              <w:t>266,022</w:t>
            </w:r>
          </w:p>
        </w:tc>
      </w:tr>
      <w:tr>
        <w:trPr>
          <w:trHeight w:val="210"/>
        </w:trPr>
        <w:tc>
          <w:tcPr>
            <w:tcW w:w="680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3,318,870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698,992</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Convertible Preferred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September 2019, the Company authorized the sale and issuance of up to 1,987,979 shares of Series A Preferred Stock, $0.001 par value per share, at an original issuance price of $8.5514 per share. In January 2020, the number of shares authorized for the Series A Preferred Stock was increased to 2,495,933 shares. The Series A Preferred Stock financing was structured to be issued in rolling closes during 2019 and 2020.</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September 20, 2019, the Company issued an additional 1,122,458 shares of Series A Preferred Stock for gross cash proceeds of $9,598,847 and issued 785,706 shares of Series A Preferred Stock in conjunction with the conversion of the outstanding amount of the Convertible Notes. In 2019, the Company incurred issuance costs of $200,587 in connection with this offering.</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received funds for issuance of an additional 468,315 shares of Series A Preferred Stock for gross cash proceeds of $4,004,975 through December 31, 2019. Of these shares, 410,436 shares of Series A Preferred Stock for gross cash proceeds of $3,509,802 exceeded the authorized amount allowed by the articles of incorporation, resulting in a liability of $3,509,802 and a total of 1,966,043 shares of Series A Preferred Stock outstanding at December 31, 2019. In January 2020, the shares that were previously classified as a liability as of December 31, 2019 were reclassified to temporary equity upon the approved increase to authorized shares of Series A Preferred Stock.</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January 2020, the Company issued 119,454 additional shares of Series A Preferred Stock for gross cash proceeds of $1,021,413. The Company incurred issuance costs of $23,610 in connection with the financing in January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Series B Preferred Stock</w:t>
      </w:r>
    </w:p>
    <w:p>
      <w:pPr>
        <w:spacing w:after="0" w:line="22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In December 2020, the Company authorized the sale and issuance of up to 6,032,183 shares of Series B Preferred Stock, $0.001 par value per share, at an original issuance price of $10.2782 per share. The Series B Preferred Stock financing was structured to close in two tranches. The first tranche closed in December 2020 and the Company issued 3,619,292 shares of Series B Preferred Stock for gross cash proceeds of $37,199,929. The Company incurred issuance costs of $216,019 in connection with the financing in December 2020.</w:t>
      </w:r>
    </w:p>
    <w:p>
      <w:pPr>
        <w:spacing w:after="0" w:line="1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determined the right of the investors to purchase 2,412,853 shares of Series B Preferred Stock in the second tranche does not meet the definition of a freestanding financial instrument as it is not separable from the Series B Preferred Stock issued in the first tranche. The issuance of the second tranche is subject to the Company meeting certain development milestones or at the election of the holders of at least a majority of the then outstanding shares of Series B Preferred Stock which must include one specific shareholder (the “Requisite Holders”). Each holder of Series B Preferred Stock may elect to purchase their requisite shares of the second tranche at any time. As of March 31, 2021, the Company has not met these development milestones nor did the Requisite Holders elect to purchase the second tranche prior to meeting these milestones and therefore no shares of the second tranche were issued.</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April and May 2021, all 2,412,853 shares of the second tranche of Series B Preferred Stock were issued based on the voluntary election of substantially all of the holders of Series B Preferred Stock. The Company received gross proceeds of $24,799,786. The Company incurred issuance costs of $10,935 in connection with the second tranche of Series B Preferred Stock.</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of June 30, 2021, the rights and preferences of the Series A Preferred Stock and Series B Preferred Stock (“Preferred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are as follows: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Conversion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Each share of Preferred Stock may be converted at any time, at the option of the holder, into shares of Class A common stock, subject to the applicable conversion rate as determined by dividing the original issue price by the conversion price. The conversion price for the Series A Preferred Stock and Series B Preferred Stock (as may be adjusted for certain customary dilutive events) is $6.1081 and $7.3416, respectively. The Preferred Stock automatically convert into shares of Class A common stock at the then effective conversion rate upon the closing of a public offering of the Company’s securities with gross proceeds to the Company of at least $75,000,000 and a share price of at least $7.3416 or at the election of the holders of the Requisite Holders.</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Holders of Series B Preferred Stock that would beneficially own at least 9.9% of any then outstanding class of equity securities may elect to receive a portion of their converted Series B Preferred Stock as Class B common stock upon conversion.</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Upon the closing of the IPO on August 3, 2021, all 8,528,078 shares of the Company’s convertible preferred stock then outstanding automatically converted into 11,939,281 shares of Class A common stock (see Note 11).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Preferred Stockholders are entitled to receive per annum dividends of 7% of the original issue price share, payable only when, as and if declared by the Board of Directors. The right to receive these dividends is not cumulative, and therefore, if not declared in any year, the right to receive such dividends shall terminate and not carry forward into the next year. As of June 30, 2021 and December 31, 2020, no dividends had been declared.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Voting Rights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Preferred Stock and common stock vote together as one class on an as converted basis. Common stock voting rights on certain matters are subject to the powers, preferences, and rights of the Preferred Stock. Preferred Stockholders are entitled to vote on all matters and shall have the number of votes equal to the number of shares of common stock into which the shares of Preferred Stock held by such holder are then convertible. As long as 2,132,029 shares of Preferred Stock are outstanding, certain actions such as mergers, acquisition, liquidation, dissolution, wind up of business, and deemed liquidation events, must be approved by the holders of at least a majority of the then-outstanding shares of Preferred Stock.</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Liquidation Preference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Upon liquidation, dissolution, or winding up of business, holders of Preferred Stock are entitled to receive a liquidation preference in priority to holders of common stock at the original respective Preferred Stock issue price for such series. If assets available for distribution are insufficient to satisfy the liquidation payment to holders of Preferred Stock in full, assets available for distribution will be allocated among holders of Preferred Stock on a pari passu basis at an amount per share equal to the greater of the respective original Preferred Stock issue price for such series plus any declared but unpaid dividends or such amount had all shares been converted to common stock.</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When holders of Preferred Stock are satisfied in full, any excess assets available for distribution will be allocated ratably among common stock holders based on their pro rata shareholdings. Upon a deemed liquidation event, as defined in the articles of incorporation, holders have the option to redeem their shares at the liquidation payment amounts summarized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than described above, the shares of Preferred Stock are not redeemable.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Common Stock</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of June 30, 2021 and December 31, 2020, the Company has 22,026,200 authorized shares of Class A common stock, $0.001 par value per share, of which 5,275,936 and 4,950,129 are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June 30, 2021 and December 31, 2020, the following number of shares of Class A common stock have been reserved: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20" w:type="dxa"/>
            <w:vAlign w:val="bottom"/>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10"/>
        </w:trPr>
        <w:tc>
          <w:tcPr>
            <w:tcW w:w="6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A Preferred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3,494,284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3,494,284</w:t>
            </w: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Conversion of Series B Preferred</w:t>
            </w:r>
          </w:p>
        </w:tc>
        <w:tc>
          <w:tcPr>
            <w:tcW w:w="920" w:type="dxa"/>
            <w:vAlign w:val="bottom"/>
          </w:tcPr>
          <w:p>
            <w:pPr>
              <w:jc w:val="right"/>
              <w:spacing w:after="0"/>
              <w:rPr>
                <w:sz w:val="20"/>
                <w:szCs w:val="20"/>
                <w:color w:val="auto"/>
              </w:rPr>
            </w:pPr>
            <w:r>
              <w:rPr>
                <w:rFonts w:ascii="Arial" w:cs="Arial" w:eastAsia="Arial" w:hAnsi="Arial"/>
                <w:sz w:val="18"/>
                <w:szCs w:val="18"/>
                <w:color w:val="auto"/>
              </w:rPr>
              <w:t>8,444,997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5,066,995</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common stock warrants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308,308</w:t>
            </w:r>
          </w:p>
        </w:tc>
      </w:tr>
      <w:tr>
        <w:trPr>
          <w:trHeight w:val="21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 of common stock options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2,668,327</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1,801,263</w:t>
            </w:r>
          </w:p>
        </w:tc>
      </w:tr>
      <w:tr>
        <w:trPr>
          <w:trHeight w:val="210"/>
        </w:trPr>
        <w:tc>
          <w:tcPr>
            <w:tcW w:w="69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14,607,608</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10,670,850</w:t>
            </w:r>
          </w:p>
        </w:tc>
      </w:tr>
      <w:tr>
        <w:trPr>
          <w:trHeight w:val="20"/>
        </w:trPr>
        <w:tc>
          <w:tcPr>
            <w:tcW w:w="6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June 30, 2021 and December 31, 2020, the Company has 6,032,183 authorized shares of Class B common stock, $0.001 par value per share,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During 2019, the Company issued warrants to purchase an aggregate of 308,308 shares of Class A common stock at an exercise price of $3.01 per share to several advisors, including 200,984 shares to entities related to members of the Board of Directors of the Company, in lieu of cash payments. These warrants vested immediately upon issuance, became exercisable on January 9, 2021 and have a 10-year term set to expire on January 9, 2030. The Company evaluated the terms of these warrants and determined that equity classification was appropriate. As of December 31, 2020, no warrants had been exercised. During June 2021, all warrant holders exercised their warrants to purchase an aggregate of 308,308 shares of common stock. As of June 30, 2021, there were no warrants outstanding.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Net Loss Per Share Attributable to Common Stockholders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participating securities include the Company’s Preferred Stock, as the holders are entitled to receive noncumulative dividends in the event that a dividend is paid on common stock. The holders of Preferred Stock do not have a contractual obligation to share in losses of the Company, and therefore during periods of loss there is no allocation required under the two-class method.</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at June 30, 2021 and 2020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(7,987,665)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1"/>
              </w:rPr>
              <w:t>(3,604,162)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(14,217,316)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(6,804,882)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Denominator - basic and 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ind w:left="100"/>
              <w:spacing w:after="0" w:line="201" w:lineRule="exact"/>
              <w:rPr>
                <w:sz w:val="20"/>
                <w:szCs w:val="20"/>
                <w:color w:val="auto"/>
              </w:rPr>
            </w:pPr>
            <w:r>
              <w:rPr>
                <w:rFonts w:ascii="Arial" w:cs="Arial" w:eastAsia="Arial" w:hAnsi="Arial"/>
                <w:sz w:val="18"/>
                <w:szCs w:val="18"/>
                <w:color w:val="auto"/>
                <w:w w:val="89"/>
              </w:rPr>
              <w:t>Weighted-average common shares outstanding, basic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4,954,553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4,950,129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4,952,352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4,950,129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80" w:type="dxa"/>
            <w:vAlign w:val="bottom"/>
            <w:gridSpan w:val="3"/>
          </w:tcPr>
          <w:p>
            <w:pPr>
              <w:jc w:val="center"/>
              <w:ind w:right="697"/>
              <w:spacing w:after="0"/>
              <w:rPr>
                <w:sz w:val="20"/>
                <w:szCs w:val="20"/>
                <w:color w:val="auto"/>
              </w:rPr>
            </w:pPr>
            <w:r>
              <w:rPr>
                <w:rFonts w:ascii="Arial" w:cs="Arial" w:eastAsia="Arial" w:hAnsi="Arial"/>
                <w:sz w:val="18"/>
                <w:szCs w:val="18"/>
                <w:color w:val="auto"/>
                <w:w w:val="89"/>
              </w:rPr>
              <w:t>17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following table sets forth the potentially dilutive securities that have been excluded from the calculation of diluted net loss per share because to include them would be anti-dilutive (in common stock equivalent shares) at June 30, 2021 and 2020:</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3,494,284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3,494,306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Series B Preferred</w:t>
            </w:r>
          </w:p>
        </w:tc>
        <w:tc>
          <w:tcPr>
            <w:tcW w:w="920" w:type="dxa"/>
            <w:vAlign w:val="bottom"/>
          </w:tcPr>
          <w:p>
            <w:pPr>
              <w:jc w:val="right"/>
              <w:spacing w:after="0"/>
              <w:rPr>
                <w:sz w:val="20"/>
                <w:szCs w:val="20"/>
                <w:color w:val="auto"/>
              </w:rPr>
            </w:pPr>
            <w:r>
              <w:rPr>
                <w:rFonts w:ascii="Arial" w:cs="Arial" w:eastAsia="Arial" w:hAnsi="Arial"/>
                <w:sz w:val="18"/>
                <w:szCs w:val="18"/>
                <w:color w:val="auto"/>
              </w:rPr>
              <w:t>8,444,997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to purchase common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2,668,327</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1,766,234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shares of common stock equivalents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14,607,608</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5,568,848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June 30, 2021, the maximum number of shares available for issuance under the Incentive Plan was 2,825,173 shares. As of June 30, 2021, the number of shares available for future grants under the Incentive Plan was 137,947 shares. However, from and after the effectiveness of the Company’s 2021 Incentive Award Plan, no additional awards will be granted under the Incentive Plan.</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During the three and six months ended June 30, 2021, the Company recognized stock-based compensation expense of $351,009 and $533,234, respectively. During the three and six months ended June 30, 2020, the Company recognized stock-based compensation expense of $287,554 and $559,697, respectively As of June 30, 2021, compensation expense remaining to be recognized for outstanding stock options was $6,765,850 and to be recognized over a weighted-average period of 2.4 years.</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fair value of options granted is calculated on the grant date using the Black-Scholes option valuation model. For the six months ended June 30, 2021, the Company granted 1,160,894 shares of stock options at a weighted-average grant date fair value of $8.66. For the six months ended June 30, 2020, the Company granted 285,740 shares at a weighted-average grant date fair value of $3.01.</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used the following assumptions in its application of the Black-Scholes option pricing model for grants during the six months ended June 30, 2021 and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4020" w:type="dxa"/>
            <w:vAlign w:val="bottom"/>
            <w:gridSpan w:val="2"/>
            <w:shd w:val="clear" w:color="auto" w:fill="CCEEFF"/>
          </w:tcPr>
          <w:p>
            <w:pPr>
              <w:jc w:val="center"/>
              <w:ind w:left="2810"/>
              <w:spacing w:after="0"/>
              <w:rPr>
                <w:sz w:val="20"/>
                <w:szCs w:val="20"/>
                <w:color w:val="auto"/>
              </w:rPr>
            </w:pPr>
            <w:r>
              <w:rPr>
                <w:rFonts w:ascii="Arial" w:cs="Arial" w:eastAsia="Arial" w:hAnsi="Arial"/>
                <w:sz w:val="18"/>
                <w:szCs w:val="18"/>
                <w:color w:val="auto"/>
                <w:w w:val="91"/>
              </w:rPr>
              <w:t>1.04% - 1.71%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9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5.83 - 10 years</w:t>
            </w:r>
          </w:p>
        </w:tc>
        <w:tc>
          <w:tcPr>
            <w:tcW w:w="1080" w:type="dxa"/>
            <w:vAlign w:val="bottom"/>
          </w:tcPr>
          <w:p>
            <w:pPr>
              <w:ind w:left="160"/>
              <w:spacing w:after="0"/>
              <w:rPr>
                <w:sz w:val="20"/>
                <w:szCs w:val="20"/>
                <w:color w:val="auto"/>
              </w:rPr>
            </w:pPr>
            <w:r>
              <w:rPr>
                <w:rFonts w:ascii="Arial" w:cs="Arial" w:eastAsia="Arial" w:hAnsi="Arial"/>
                <w:sz w:val="18"/>
                <w:szCs w:val="18"/>
                <w:color w:val="auto"/>
              </w:rPr>
              <w:t>6.01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20" w:type="dxa"/>
            <w:vAlign w:val="bottom"/>
            <w:gridSpan w:val="2"/>
            <w:shd w:val="clear" w:color="auto" w:fill="CCEEFF"/>
          </w:tcPr>
          <w:p>
            <w:pPr>
              <w:jc w:val="center"/>
              <w:ind w:left="2810"/>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volatility</w:t>
            </w:r>
          </w:p>
        </w:tc>
        <w:tc>
          <w:tcPr>
            <w:tcW w:w="4220" w:type="dxa"/>
            <w:vAlign w:val="bottom"/>
            <w:gridSpan w:val="3"/>
          </w:tcPr>
          <w:p>
            <w:pPr>
              <w:ind w:left="2900"/>
              <w:spacing w:after="0"/>
              <w:rPr>
                <w:sz w:val="20"/>
                <w:szCs w:val="20"/>
                <w:color w:val="auto"/>
              </w:rPr>
            </w:pPr>
            <w:r>
              <w:rPr>
                <w:rFonts w:ascii="Arial" w:cs="Arial" w:eastAsia="Arial" w:hAnsi="Arial"/>
                <w:sz w:val="18"/>
                <w:szCs w:val="18"/>
                <w:color w:val="auto"/>
                <w:w w:val="94"/>
              </w:rPr>
              <w:t>68.92% - 80.99%</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67.30%</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00" w:type="dxa"/>
            <w:vAlign w:val="bottom"/>
          </w:tcPr>
          <w:p>
            <w:pPr>
              <w:jc w:val="right"/>
              <w:ind w:right="1870"/>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stock option activity during the six months ended June 30, 2021 under the Plan:</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9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Exercise Price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Outstanding at of December 31, 2020</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1,801,263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1,160,894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(17,499)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Cancelled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(276,331)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Outstanding at June 30, 2021</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2,668,327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11,548,289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Vested and exercisable at June 30, 2021</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1,059,428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7,128,724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2,668,327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11,548,289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For the three and six months ended June 30, 2021 and 2020, the Company recognized share-based compensation expense recognized on the accompanying condensed consolidated statements of operations as follows: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46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78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44,882</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168,725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131,182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222,732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159,917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128,731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265,620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244,775</w:t>
            </w: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351,009</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287,554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533,234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559,697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leases office space in Cambridge, Massachusetts, New York, New York and as of July 2021, San Francisco, California, pursuant to short-term arrangements. The Cambridge and San Francisco leases are on a month-to-month basis, requiring one month’s notice before termination. The New York lease is renewable on a quarterly basis and the last renewal was on June 15, 2021 which extended the lease term until September 30, 2021. These lease agreements include payments for lease and non-lease components and the Company has elected to not separate such components and these payments were recognized as rent expense.</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of June 30, 2021, total future minimum lease payments for its short-term leases in Cambridge, Massachusetts, New York, New York and San Francisco, California was $26,040 due in 2021 and $11,040 due in 2022. The Company leases storage space for its electronic data equipment in Somerville, Massachusetts. This lease is renewable on an annual basis effective every March 1st. Prior to June 30, 2021, the Company renewed the lease through March 31, 2022. As of June 30, 2021, total future minimum lease payments for this lease were $10,708 due in 2021 and $3,569 due in 2022.</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July 2019, the Company entered into an office lease in San Diego, California (“2019 San Diego Lease”) with a lease term of 24 months with no escalations and variable costs based on additional number of employees using the facility. This lease was cancelable upon a 30-day notice period. Upon adoption of ASC 842 on January 1, 2020, a right-to-use asset and lease liability based on the fixed costs was recognized by the Company for $61,822. Effective September 20, 2020, the lease was terminated, and the remaining right-of-use asset and lease liability were derecognized. No gain or loss was recognized for the termination of this lease.</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October 2020, the Company entered into an office lease in San Diego, California (“2020 San Diego Lease”) with a lease term of 67 months. At the lease commencement date, a right-to-use asset and lease liability was recognized by the Company for $637,863.</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Maturities of the lease liabilities due under the Company’s 2020 San Diego Lease as of June 30, 2021 are as follows:</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115,430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161,498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683,238</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(99,420)</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583,818</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Current portion lease liability</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80,605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503,213</w:t>
            </w:r>
          </w:p>
        </w:tc>
        <w:tc>
          <w:tcPr>
            <w:tcW w:w="0" w:type="dxa"/>
            <w:vAlign w:val="bottom"/>
          </w:tcPr>
          <w:p>
            <w:pPr>
              <w:spacing w:after="0"/>
              <w:rPr>
                <w:sz w:val="1"/>
                <w:szCs w:val="1"/>
                <w:color w:val="auto"/>
              </w:rPr>
            </w:pPr>
          </w:p>
        </w:tc>
      </w:tr>
      <w:tr>
        <w:trPr>
          <w:trHeight w:val="210"/>
        </w:trPr>
        <w:tc>
          <w:tcPr>
            <w:tcW w:w="7820" w:type="dxa"/>
            <w:vAlign w:val="bottom"/>
          </w:tcPr>
          <w:p>
            <w:pPr>
              <w:ind w:left="100"/>
              <w:spacing w:after="0"/>
              <w:rPr>
                <w:sz w:val="20"/>
                <w:szCs w:val="20"/>
                <w:color w:val="auto"/>
              </w:rPr>
            </w:pPr>
            <w:r>
              <w:rPr>
                <w:rFonts w:ascii="Arial" w:cs="Arial" w:eastAsia="Arial" w:hAnsi="Arial"/>
                <w:sz w:val="18"/>
                <w:szCs w:val="18"/>
                <w:color w:val="auto"/>
              </w:rPr>
              <w:t>Total lease liability</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583,818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Quantitative information regarding the Company’s leases for the six months ended June 30, 2021 and 2020 is as follows: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58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Lease costs: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Operating lease cost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68,502</w:t>
            </w:r>
          </w:p>
        </w:tc>
        <w:tc>
          <w:tcPr>
            <w:tcW w:w="3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117,352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138,995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185,854</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168,795</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55,440</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cash flows from short-term leases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117,352</w:t>
            </w: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138,995</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172,792</w:t>
            </w:r>
          </w:p>
        </w:tc>
        <w:tc>
          <w:tcPr>
            <w:tcW w:w="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160,595</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81"/>
              </w:rPr>
              <w:t>years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1"/>
              </w:rPr>
              <w:t>years</w:t>
            </w: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5.83</w:t>
            </w: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operating leases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Clinical Research Contracts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An officer of the Company is a board member of a contract research organization (“CRO”) that provides contract services to the Company. Research and development expenses in the accompanying condensed consolidated statement of operations include the cost of services provided by the CRO to the Company which amounted to $2,096,425 and $1,212,433 for the six months ended June 30, 2021 and 2020, respectively. As of June 30, 2021 and December 31, 2020, $352,642 and $279,153, respectively, was owed to the CRO and is included in accounts payable or accrued contract research expenses in the accompanying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On August 3, 2021, the Company completed its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approximately $120,318,750, after deducting underwriting discounts and commissions, but before deducting offering costs payable by the Company, which are estimated to be $2,000,000. Upon the closing of the IPO, all of the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Increase in Authorized Number of Shares of Common Stock and Changes in Authorized Preferred Stock</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July 23,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20,000,000 shares of Class B common stock, par value $0.001 per share (the “Class B Common Stock”), and (ii) authorize 10,000,000 shares of Preferred Stock; and (iii) authorize the Board to establish the rights, preferences and restrictions on any unissued series of Preferred Stock.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is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July 23, 2021, the Company’s board of directors adopted, and on July 23, 2021 its stockholders approved, the 2021 Employee Stock Purchase Plan (the “2021 ESPP”), which became effective on July 29, 2021. A total of 250,000</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July 30, 2021 (the “Prospectus”).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are a biopharmaceutical company with an emerging pipeline focused on improving patient outcomes across a spectrum of debilitating oncologic and neurologic diseases by applying our deep knowledge of translational bioinformatics to every stage of the drug development process. We have more than a decade of experience in translational bioinformatics and generating insights into drug mechanisms of action and patient treatment responses. Building on this experience, we developed a disease agnostic platform that enables us to utilize human data, novel biology and chemistry, and translational planning to create and advance our wholly owned pipeline. Our current development programs in oncology are focused on providing treatments for patients with solid tumors caused by mutations of the RAS/RAF/MEK/ERK pathway and other oncologic signaling pathways. Our lead product candidate, IMM-1-104, is designed to be a highly selective dual-MEK inhibitor that further disrupts the kinase suppressor of RAS 1 and 2 for the treatment of advanced solid tumors in patients harboring RAS mutant tumors. We plan to submit an Investigational New Drug, or IND, for IMM-1-104 to the U.S. Food and Drug Administration, or the FDA, in the first quarter of 2022. In addition, we anticipate filing at least two additional INDs for our other oncology programs, one in each of 2023 and 2024.</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exercise of stock options and most recently, with proceeds from our completed initial public offering (“IPO”). On August 3,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are estimated to be $2.0 million.</w:t>
      </w:r>
    </w:p>
    <w:p>
      <w:pPr>
        <w:spacing w:after="0" w:line="19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Since inception, we have had significant annual operating losses. Our net loss was approximately $14.2 million, for the six months ended June 30, 2021 and $17 million for the year ended December 31, 2020. As of June 30, 2021, we had an accumulated deficit of approximately $40.0 million and approximately $50.2 million in cash and cash equivalents.</w:t>
      </w:r>
    </w:p>
    <w:p>
      <w:pPr>
        <w:spacing w:after="0" w:line="14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informational systems and personnel to support our product development as well as support our transition to a public company.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Based upon our current business plans, we believe that our existing cash and cash equivalents, inclusive of the net proceeds from the IPO, will be sufficient to fund our development activities and other operations into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5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service revenue,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March 2020, the World Health Organization declared the COVID-19 outbreak a pandemic. In particular, the ongoing pandemic related to COVID-19 and its variants has resulted in federal, state and local governments and private entities mandating various restrictions, including travel restrictions, access restrictions, restrictions on public gatherings, and stay at home orders. The effect of these orders, government imposed quarantines and measures we have taken, such as implementing work-at-home policies, may negatively impact productivity, disrupt our business and/or could adversely affect our development plans and results. We cannot presently predict the scope and severity of any potential business shutdowns or disruptions, but if we or any of the third parties with whom we engage, including personnel at third-party manufacturing facilities and other third parties with whom we conduct business, were to experience shutdowns or other business disruptions, our ability to conduct our business in the manner and on the timeline presently planned could be materially and adversely impacted. It is unknown how long these conditions will last and what the complete effect will be on us. While to date we have been able to continue to execute our overall business plan, some of our business activities have been slowed and taken longer to complete, particularly with respect to our process for recruiting new employees, and we continue to adjust to the challenges of operating in a largely remote setting with our employees. Overall, we recognize the challenges the pandemic may pose to our business, will continue to closely monitor events as they develop and plan for alternative and mitigating measures that we can implement if needed.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revenue is generated by providing computational biology professional services to pharmaceutical and biotechnology companies. We charge an agreed upon rate per hour based on the aggregate level of personnel assigned to work on the project or a fixed fee for a defined scope of work. Our contracts specify the period of time over which these professional services will be provided. We recognize revenue over time by measuring the progress toward complete satisfaction of the performance obligation using a single method of measuring progress, which depicts the performance in transferring control of the associated services to the customer. We use input methods to measure the progress toward the complete satisfaction of performance obligations and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expect revenue to remain similar to prior years in the near-term as we continue to provide services to our existing customers and these revenues could decrease as we have deprioritized new services work in order to focus on developing our wholly owned pipeline.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cost of revenue expenses consists primarily of costs related to providing professional services to our customers. These costs include salaries, bonuses, benefits, and equity-based compensation expense, depreciation, facilities, and other outside services.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operating expenses consist of (i) research and development expenses and (ii) general and administrative expenses.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Research and development expenses account for a significant portion of our operating expenses. Our research and development expenses consist primarily of direct and indirect costs incurred in connection with the development of our research platform, product candidates, discovery efforts and preclinical studies related to our program pipeline.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direct costs include:</w:t>
      </w:r>
    </w:p>
    <w:p>
      <w:pPr>
        <w:spacing w:after="0" w:line="225" w:lineRule="exact"/>
        <w:rPr>
          <w:sz w:val="20"/>
          <w:szCs w:val="20"/>
          <w:color w:val="auto"/>
        </w:rPr>
      </w:pPr>
    </w:p>
    <w:p>
      <w:pPr>
        <w:ind w:left="1040" w:right="79" w:hanging="315"/>
        <w:spacing w:after="0" w:line="274"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incurred under agreements with CROs and other vendors that conduct our preclinical activities on our behalf; including laboratory expenses related to the execution of preclinical studies on our behalf;</w:t>
      </w:r>
    </w:p>
    <w:p>
      <w:pPr>
        <w:ind w:left="1040" w:right="79" w:hanging="315"/>
        <w:spacing w:after="0" w:line="25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the manufacturing of our product candidates and preclinical material, including fees paid to contract manufacturers; and</w:t>
      </w: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consulting fees and expenses related to preparation of initiation of clinical trials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indirect costs include:</w:t>
      </w:r>
    </w:p>
    <w:p>
      <w:pPr>
        <w:spacing w:after="0" w:line="225" w:lineRule="exact"/>
        <w:rPr>
          <w:sz w:val="20"/>
          <w:szCs w:val="20"/>
          <w:color w:val="auto"/>
        </w:rPr>
      </w:pPr>
    </w:p>
    <w:p>
      <w:pPr>
        <w:jc w:val="both"/>
        <w:ind w:left="1040" w:right="79" w:hanging="315"/>
        <w:spacing w:after="0" w:line="29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personnel-related expenses, consisting of employee salaries, bonuses, benefits and equity-based compensation expense and recruiting costs for personnel engaged in research and development activities; and</w:t>
      </w:r>
    </w:p>
    <w:p>
      <w:pPr>
        <w:ind w:left="1040" w:right="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facility and equipment related expenses, consisting of indirect and allocated expenses for rent, depreciation, maintenance of facilities, insurance, and other supplies.</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expense research and development costs as incurred. Our direct research and development expenses are not currently tracked on a program-by-program basis, but we anticipate tracking costs on a program-by-program basis at the time IMM-1-104 enters clinical trials, which we expect to occur in the first half of 2022. We use our personnel and infrastructure resources across multiple research and development programs directed toward identifying and developing product candidates.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duration, costs and timing of preclinical studies and clinical trials and development of our product candidates will depend on a variety of factors, such as:</w:t>
      </w:r>
    </w:p>
    <w:p>
      <w:pPr>
        <w:spacing w:after="0" w:line="170"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 completion of preclinical studies and initiation of clinical trials for future product candidates;</w:t>
      </w:r>
    </w:p>
    <w:p>
      <w:pPr>
        <w:spacing w:after="0" w:line="34" w:lineRule="exact"/>
        <w:rPr>
          <w:rFonts w:ascii="Arial" w:cs="Arial" w:eastAsia="Arial" w:hAnsi="Arial"/>
          <w:sz w:val="17"/>
          <w:szCs w:val="17"/>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for our current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from our clinical programs that support an acceptable risk-benefit profile of our product candidates in the intended patient populations;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by the FDA or other applicable regulatory agencies of IND applications, clinical trial applications and/or other regulatory filings for our product candidates;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and maintenance of a workforce of experienced scientists and others to continue to develop our product candidates;</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application for and receipt of marketing approvals from applicable regulatory authorities;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obtainment and maintenance of intellectual property protection and regulatory exclusivity for our product candidates;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of arrangements with contract manufacturing organizations for, or establishment of, commercial manufacturing capabilities;</w:t>
      </w:r>
    </w:p>
    <w:p>
      <w:pPr>
        <w:ind w:left="1040" w:right="79" w:hanging="315"/>
        <w:spacing w:after="0" w:line="265"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establishment of sales, marketing and distribution capabilities and successful launch of commercial sales of our product candidates, if and when approved, whether alone or in collaboration with others;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obtainment and maintenance of coverage, adequate pricing and adequate reimbursement from third-party payors, including government payors;</w:t>
      </w: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maintenance, enforcement, defense and protection of our rights in our intellectual property portfolio;</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avoidance of infringement, misappropriation or other violations with respect to others’ intellectual property or proprietary rights; and</w:t>
      </w:r>
    </w:p>
    <w:p>
      <w:pPr>
        <w:ind w:left="1040" w:right="7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products following receipt of any marketing approvals.</w:t>
      </w:r>
    </w:p>
    <w:p>
      <w:pPr>
        <w:spacing w:after="0" w:line="18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4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4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6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prospectus,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general and administrative expenses consist primarily of personnel-related expenses, including employee salaries, bonuses, benefits, equity-based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 Sarbanes-Oxley Act, director and officer insurance costs, and investor and public relations costs.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income (expense), net consists primarily of interest income earned on our cash and cash equivalents carried at fair value, and interest expense related to the conversion of notes payable and a loss on the extinguishment of the convertible note.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520" w:type="dxa"/>
            <w:vAlign w:val="bottom"/>
            <w:gridSpan w:val="6"/>
          </w:tcPr>
          <w:p>
            <w:pPr>
              <w:ind w:left="162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90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73"/>
              </w:rPr>
              <w:t>percentages)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1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3"/>
              </w:rPr>
              <w:t>113 %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b w:val="1"/>
                <w:bCs w:val="1"/>
                <w:color w:val="auto"/>
              </w:rPr>
              <w:t>Loss from operations</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(4,384)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income</w:t>
            </w:r>
          </w:p>
        </w:tc>
        <w:tc>
          <w:tcPr>
            <w:tcW w:w="1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240" w:type="dxa"/>
            <w:vAlign w:val="bottom"/>
            <w:gridSpan w:val="6"/>
          </w:tcPr>
          <w:p>
            <w:pPr>
              <w:ind w:left="234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900" w:type="dxa"/>
            <w:vAlign w:val="bottom"/>
            <w:gridSpan w:val="3"/>
          </w:tcPr>
          <w:p>
            <w:pPr>
              <w:ind w:left="420"/>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79"/>
              </w:rPr>
              <w:t>thousands, except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percentages)</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5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Revenue increased by approximately $0.2 million, or 37%, to approximately $0.7 million for the three months ended June 30, 2021 compared to approximately $0.5 million for the three months ended June 30, 2020. The increase in revenue was due to an increase of approximately $0.3 million of revenue from new customers in 2021 and, growth in existing customers of $0.1 million which was partially offset by approximately $0.2 million decrease due to customer agreements that were completed in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components of cost of revenue expenses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320" w:type="dxa"/>
            <w:vAlign w:val="bottom"/>
            <w:gridSpan w:val="7"/>
          </w:tcPr>
          <w:p>
            <w:pPr>
              <w:ind w:left="128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ind w:left="26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(in</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81"/>
              </w:rPr>
              <w:t>thousands, except</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71"/>
              </w:rPr>
              <w:t>percentages)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 allocated expenses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520"/>
              <w:spacing w:after="0"/>
              <w:rPr>
                <w:sz w:val="20"/>
                <w:szCs w:val="20"/>
                <w:color w:val="auto"/>
              </w:rPr>
            </w:pPr>
            <w:r>
              <w:rPr>
                <w:rFonts w:ascii="Arial" w:cs="Arial" w:eastAsia="Arial" w:hAnsi="Arial"/>
                <w:sz w:val="18"/>
                <w:szCs w:val="18"/>
                <w:color w:val="auto"/>
              </w:rPr>
              <w:t>Total cost of revenue</w:t>
            </w: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Cost of revenue increased by approximately $0.1 million, or 34.6%, to approximately $0.3 million for the three months ended June 30, 2021 compared to approximately $0.2 million for the three months June 30, 2020. The increase was primarily due to increased employee related costs of approximately $0.1 million, partially offset by a decrease in equity-based compensation and facilities.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research and development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140" w:type="dxa"/>
            <w:vAlign w:val="bottom"/>
            <w:gridSpan w:val="6"/>
          </w:tcPr>
          <w:p>
            <w:pPr>
              <w:ind w:left="124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32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71"/>
              </w:rPr>
              <w:t>percentages)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Outside contract research services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research and development</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$ 3,771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Research and development expenses increased by approximately $3.8 million, or 117.0%, to approximately $7.0 million for the three months ended June 30, 2021 as compared to approximately $3.2 million for the three months ended June 30, 2020. The increase of approximately $3.8 million was primarily due to approximately $2.9 million of outside contract research services for our preclinical candidates due to an increased number of discovery programs and increased spending on later stage preclinical efforts. The increase also includes approximately $0.8 million of additional employee related costs, primarily due to an increase in headcount.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our general and administrative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180" w:type="dxa"/>
            <w:vAlign w:val="bottom"/>
            <w:gridSpan w:val="6"/>
          </w:tcPr>
          <w:p>
            <w:pPr>
              <w:ind w:left="128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79"/>
              </w:rPr>
              <w:t>thousands, except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74"/>
              </w:rPr>
              <w:t>percentages)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148.9 %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Public relations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102.0 %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Outside consultants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general and administrative</w:t>
            </w: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113.0 %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General and administrative expenses increased by approximately $0.7 million, or 113%, to approximately $1.3 million for the three months ended June 30, 2021 compared to approximately $0.6 million for the three months ended June 30, 2020. The increase of approximately $0.7 million was primarily due to increased employee related costs of approximately $0.3 million, increased professional fees incurred for accounting, auditing, legal, public relations and tax services of approximately $0.3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income decreased by approximately $1,000, or 50% due to a decrease in interest rates earned from our cash and cash equivalents balances due to changes in interest rates.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June 30, 2021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78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380"/>
              <w:spacing w:after="0"/>
              <w:rPr>
                <w:sz w:val="20"/>
                <w:szCs w:val="20"/>
                <w:color w:val="auto"/>
              </w:rPr>
            </w:pPr>
            <w:r>
              <w:rPr>
                <w:rFonts w:ascii="Arial" w:cs="Arial" w:eastAsia="Arial" w:hAnsi="Arial"/>
                <w:sz w:val="14"/>
                <w:szCs w:val="14"/>
                <w:b w:val="1"/>
                <w:bCs w:val="1"/>
                <w:color w:val="auto"/>
                <w:w w:val="97"/>
              </w:rPr>
              <w:t>Change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thousands, except</w:t>
            </w: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7"/>
              </w:rPr>
              <w:t>percentages)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Cost of revenue</w:t>
            </w:r>
          </w:p>
        </w:tc>
        <w:tc>
          <w:tcPr>
            <w:tcW w:w="2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Gross profit</w:t>
            </w:r>
          </w:p>
        </w:tc>
        <w:tc>
          <w:tcPr>
            <w:tcW w:w="2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General and administrative</w:t>
            </w:r>
          </w:p>
        </w:tc>
        <w:tc>
          <w:tcPr>
            <w:tcW w:w="2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b w:val="1"/>
                <w:bCs w:val="1"/>
                <w:color w:val="auto"/>
              </w:rPr>
              <w:t>Loss from operations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(7,381)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2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b w:val="1"/>
                <w:bCs w:val="1"/>
                <w:color w:val="auto"/>
              </w:rPr>
              <w:t>Net loss</w:t>
            </w:r>
          </w:p>
        </w:tc>
        <w:tc>
          <w:tcPr>
            <w:tcW w:w="20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(14,217)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60" w:type="dxa"/>
            <w:vAlign w:val="bottom"/>
          </w:tcPr>
          <w:p>
            <w:pPr>
              <w:jc w:val="right"/>
              <w:ind w:right="756"/>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revenue recognized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80" w:type="dxa"/>
            <w:vAlign w:val="bottom"/>
            <w:gridSpan w:val="5"/>
          </w:tcPr>
          <w:p>
            <w:pPr>
              <w:ind w:left="2360"/>
              <w:spacing w:after="0"/>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3"/>
          </w:tcPr>
          <w:p>
            <w:pPr>
              <w:ind w:left="14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Arial" w:cs="Arial" w:eastAsia="Arial" w:hAnsi="Arial"/>
                <w:sz w:val="14"/>
                <w:szCs w:val="14"/>
                <w:b w:val="1"/>
                <w:bCs w:val="1"/>
                <w:color w:val="auto"/>
                <w:w w:val="81"/>
              </w:rPr>
              <w:t>(in</w:t>
            </w:r>
          </w:p>
        </w:tc>
        <w:tc>
          <w:tcPr>
            <w:tcW w:w="1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73"/>
              </w:rPr>
              <w:t>thousands, except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0"/>
              </w:rPr>
              <w:t>percentages)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   1,408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Revenue increased by approximately $0.4 million, or 46%, to approximately $1.4 million for the six months ended June 30, 2021 compared to approximately $1.0 million for the six months ended June 30, 2020. The increase in revenue was due to an increase by approximately $0.4 million from new customers during 2021 and, a $0.2 million increase in existing customers partially offset by an approximately $0.2 million decrease due to customer agreements that were completed in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Costs of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components of cost of revenue expenses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820" w:type="dxa"/>
            <w:vAlign w:val="bottom"/>
            <w:gridSpan w:val="3"/>
          </w:tcPr>
          <w:p>
            <w:pPr>
              <w:ind w:left="300"/>
              <w:spacing w:after="0"/>
              <w:rPr>
                <w:sz w:val="20"/>
                <w:szCs w:val="20"/>
                <w:color w:val="auto"/>
              </w:rPr>
            </w:pPr>
            <w:r>
              <w:rPr>
                <w:rFonts w:ascii="Arial" w:cs="Arial" w:eastAsia="Arial" w:hAnsi="Arial"/>
                <w:sz w:val="14"/>
                <w:szCs w:val="14"/>
                <w:b w:val="1"/>
                <w:bCs w:val="1"/>
                <w:color w:val="auto"/>
                <w:w w:val="97"/>
              </w:rPr>
              <w:t>Change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76"/>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(in</w:t>
            </w:r>
          </w:p>
        </w:tc>
        <w:tc>
          <w:tcPr>
            <w:tcW w:w="920" w:type="dxa"/>
            <w:vAlign w:val="bottom"/>
            <w:gridSpan w:val="3"/>
          </w:tcPr>
          <w:p>
            <w:pPr>
              <w:spacing w:after="0"/>
              <w:rPr>
                <w:sz w:val="20"/>
                <w:szCs w:val="20"/>
                <w:color w:val="auto"/>
              </w:rPr>
            </w:pPr>
            <w:r>
              <w:rPr>
                <w:rFonts w:ascii="Arial" w:cs="Arial" w:eastAsia="Arial" w:hAnsi="Arial"/>
                <w:sz w:val="14"/>
                <w:szCs w:val="14"/>
                <w:color w:val="auto"/>
                <w:w w:val="79"/>
              </w:rPr>
              <w:t>thousands, except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5"/>
              </w:rPr>
              <w:t>percentages)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62.1 %</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(15.1)%</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 allocated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(24.2)%</w:t>
            </w:r>
          </w:p>
        </w:tc>
      </w:tr>
      <w:tr>
        <w:trPr>
          <w:trHeight w:val="216"/>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50.0 %</w:t>
            </w:r>
          </w:p>
        </w:tc>
      </w:tr>
      <w:tr>
        <w:trPr>
          <w:trHeight w:val="210"/>
        </w:trPr>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48.0 %</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Cost of revenue increased by approximately $0.2 million, or 48%, to approximately $0.7 million for the six months ended June 30, 2021 compared to approximately $0.5 million for the six months ended June 30, 2020. The increase was primarily due to increased employee related costs of approximately $0.3 million, partially offset by decreases in equity-based compensation, facilities, depreciation, and outside contract research services.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research and development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20" w:type="dxa"/>
            <w:vAlign w:val="bottom"/>
            <w:gridSpan w:val="6"/>
          </w:tcPr>
          <w:p>
            <w:pPr>
              <w:ind w:left="1300"/>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(in</w:t>
            </w:r>
          </w:p>
        </w:tc>
        <w:tc>
          <w:tcPr>
            <w:tcW w:w="920" w:type="dxa"/>
            <w:vAlign w:val="bottom"/>
            <w:gridSpan w:val="3"/>
          </w:tcPr>
          <w:p>
            <w:pPr>
              <w:spacing w:after="0"/>
              <w:rPr>
                <w:sz w:val="20"/>
                <w:szCs w:val="20"/>
                <w:color w:val="auto"/>
              </w:rPr>
            </w:pPr>
            <w:r>
              <w:rPr>
                <w:rFonts w:ascii="Arial" w:cs="Arial" w:eastAsia="Arial" w:hAnsi="Arial"/>
                <w:sz w:val="14"/>
                <w:szCs w:val="14"/>
                <w:color w:val="auto"/>
                <w:w w:val="79"/>
              </w:rPr>
              <w:t>thousands, except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5"/>
              </w:rPr>
              <w:t>percentages)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Outside contract research services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12,383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104.9 %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Research and development expenses increased by approximately $6.3 million, or 104.9%, to approximately $12.4 million for the six months ended June 30, 2021 as compared to approximately $6.0 million for the year ended June 30, 2020. The increase of approximately $6.3 million was primarily due to approximately $4.8 million of outside contract research</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services for our preclinical candidates due to an increased number of discovery programs and increased spending on later stage preclinical efforts. The increase also includes approximately $1.5 million of additional employee related costs, primarily due to higher headcount and increased equity-based compensation and facilities and other allocated expense of approximately $0.1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components of general and administrative expenses for the periods indicated:</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20" w:type="dxa"/>
            <w:vAlign w:val="bottom"/>
            <w:gridSpan w:val="6"/>
          </w:tcPr>
          <w:p>
            <w:pPr>
              <w:ind w:left="1300"/>
              <w:spacing w:after="0"/>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(in</w:t>
            </w:r>
          </w:p>
        </w:tc>
        <w:tc>
          <w:tcPr>
            <w:tcW w:w="940" w:type="dxa"/>
            <w:vAlign w:val="bottom"/>
            <w:gridSpan w:val="3"/>
          </w:tcPr>
          <w:p>
            <w:pPr>
              <w:spacing w:after="0"/>
              <w:rPr>
                <w:sz w:val="20"/>
                <w:szCs w:val="20"/>
                <w:color w:val="auto"/>
              </w:rPr>
            </w:pPr>
            <w:r>
              <w:rPr>
                <w:rFonts w:ascii="Arial" w:cs="Arial" w:eastAsia="Arial" w:hAnsi="Arial"/>
                <w:sz w:val="14"/>
                <w:szCs w:val="14"/>
                <w:color w:val="auto"/>
                <w:w w:val="80"/>
              </w:rPr>
              <w:t>thousands, except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5"/>
              </w:rPr>
              <w:t>percentages)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costs</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Public relations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Outside consultants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Facilities and other allocated expenses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650.0 %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general and administrative</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General and administrative expenses increased by approximately $1.3 million, or 98.3%, to approximately $2.5 million for the six months ended June 30, 2021 compared to approximately $1.3 million for the six months ended June 30, 2020. The increase of approximately $1.3 million was primarily due to increased employee related costs of approximately $0.6 million, increased professional fees incurred for accounting, auditing, legal, and tax services of approximately $06 million, increased public relation costs of approximately $0.1 million, partially offset by a decrease in equity-based compensation expense..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Other income decreased by approximately $31,000, or 77% due to a decrease in interest rates earned from our cash and cash equivalents balances due to changes in interest rates.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Since our inception, we have financed our operations through service revenues, the issuance of convertible notes payable, convertible preferred stock, common stock, and the exercise of stock options. As of June 30, 2021, we had an accumulated deficit of $40.0 million and $50.2 million in cash and cash equivalents.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the exercise of stock options and most recently, the proceeds from our IPO. In August, 2021,</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completed our IPO pursuant to which we issued and sold 8,625,000 shares of Class A common stock, inclusive of 1,150,000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are estimated to be $2.0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sources and uses of cash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4"/>
          </w:tcPr>
          <w:p>
            <w:pPr>
              <w:jc w:val="right"/>
              <w:ind w:right="514"/>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(12,577)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Financing activities</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13,155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six months ended June 30, 2021, operating activities used approximately $12.6 million of cash, primarily resulting from our net loss of approximately $14.2 million and cash provided by changes in our operating assets and liabilities of approximately $1.0 million, partially offset by equity-based compensation expense of approximately $0.5 million.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six months ended June 30, 2020, operating activities used approximately $5.7 million of cash, primarily resulting from our net loss of approximately $6.8 million, partially offset by equity-based compensation expense of approximately $0.6 million and cash provided by changes in our operating assets and liabilities of approximately $0.6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six months ended June 30, 2021 and 2020, investing activities used approximately $36,388, and $9,754 respectively, for the purchase of property and equipment.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During the six months ended June 30, 2021, net cash provided by financing activities was approximately $25.8 million, consisting primarily of approximately $24.8 million in net proceeds received from the issuance of Series B preferred stock and approximately $1.0 million in net proceeds from the exercise of warrants and approximately $52,625 from the exercise of stock options.</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During the six months ended June 30, 2020, net cash provided by financing activities was approximately $1.0 million, consisting primarily of proceeds received from the issuance of Series A preferred stock, net of issuance costs.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Funding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84"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impacts of the pandemic related to COVID-19 and its variants and potential future pandemics;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results of our potential future clinical trials for our other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research, preclinical development, laboratory testing and clinical trials for our other product candidates;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enter into contract manufacturing arrangements for supply of active pharmaceutical ingredient, or API, and manufacture of our product candidates and the terms of such arrangements;</w:t>
      </w: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or receipt of milestones and receipt of other collaboration-based revenues, if any;</w:t>
      </w:r>
    </w:p>
    <w:p>
      <w:pPr>
        <w:spacing w:after="0" w:line="9" w:lineRule="exact"/>
        <w:rPr>
          <w:rFonts w:ascii="Arial" w:cs="Arial" w:eastAsia="Arial" w:hAnsi="Arial"/>
          <w:sz w:val="18"/>
          <w:szCs w:val="18"/>
          <w:color w:val="auto"/>
        </w:rPr>
      </w:pPr>
    </w:p>
    <w:p>
      <w:pPr>
        <w:ind w:left="1040" w:right="79" w:hanging="315"/>
        <w:spacing w:after="0" w:line="281"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and timing of any future commercialization activities, including product manufacturing, sales, marketing and distribution, for any of our product candidates for which we may receive marketing approval;</w:t>
      </w:r>
    </w:p>
    <w:p>
      <w:pPr>
        <w:spacing w:after="0" w:line="1" w:lineRule="exact"/>
        <w:rPr>
          <w:rFonts w:ascii="Arial" w:cs="Arial" w:eastAsia="Arial" w:hAnsi="Arial"/>
          <w:sz w:val="16"/>
          <w:szCs w:val="16"/>
          <w:color w:val="auto"/>
        </w:rPr>
      </w:pPr>
    </w:p>
    <w:p>
      <w:pPr>
        <w:ind w:left="1040" w:right="7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revenue, if any, received from commercial sales of our product candidates for which we receive marketing approval;</w:t>
      </w:r>
    </w:p>
    <w:p>
      <w:pPr>
        <w:ind w:left="1040" w:right="79" w:hanging="315"/>
        <w:spacing w:after="0" w:line="26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and proprietary rights and defending any intellectual property related claims;</w:t>
      </w:r>
    </w:p>
    <w:p>
      <w:pPr>
        <w:ind w:left="1040" w:right="7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ind w:left="1040" w:right="7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such arrangements;</w:t>
      </w:r>
    </w:p>
    <w:p>
      <w:pPr>
        <w:ind w:left="1040" w:right="7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access the private and public capital markets or to obtain financing at commercially reasonable rate;</w:t>
      </w:r>
    </w:p>
    <w:p>
      <w:pPr>
        <w:ind w:left="1040" w:right="7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 and</w:t>
      </w: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believe that our existing cash, cash equivalents and marketable securities, including the net proceeds from our IPO, will enable us to fund our operating expenses and capital expenditure requirements into 2024. We have based this estimate on assumptions that may prove to be wrong, and we could utilize our available capital resources sooner than we expect.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material changes from the contractual commitments and obligations previously disclosed in the Prospectus.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Significant Judgments and Estimates” in our Prospectus.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the Prospectus.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may remain classified as an EGC until the end of the fiscal year following the fifth anniversary of this offering, although if the market value of our common stock that is held by non-affiliates exceeds $700 million as of June 30 of any year before that time, or if we have annual gross revenues of $1.07 billion or more in any fiscal year, we would cease to be an EGC as of December 31 of the applicable year. We also would cease to be an EGC if we issue more than $1.0 billion of non-convertible debt over a three-year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of June 30, 2021, our cash and cash equivalent consists of cash held as deposits at a major financial banking institution and highly liquid investments with an original maturity of three months or less at the date of purchase. As a result, the fair value of our portfolio is relatively insensitive to interest rate changes. As of June 30, 2021, we had no variable-rate debt outstanding and are therefore not exposed to interest rate risk with respect to debt. We believe a hypothetical 100 basis point increase or decrease in interest rates during the period presented would not have had a material impact on our financial results.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Exchange Act) as of June 30, 2021. Based on that evaluation, our Chief Executive Officer and Chief Financial Officer concluded that, as of June 30, 2021, our disclosure controls and procedures were effective at the reasonable assurance level.</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June 30, 2021 that has materially affected, or is reasonably likely to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party to any material legal proceedings</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8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Pharmaceutical product development is a highly speculative undertaking and involves a substantial degree of risk. We are a biopharmaceutical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of our product candidates, including the anticipated Phase 1 clinical trial of IMM-1-104 for the treatment of advanced solid tumors in patients harboring RAS mutant tumors. We have not yet demonstrated our ability to successfully initiate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70"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$17.0 million and $7.7 million for the years ended December 31, 2020 and 2019, respectively, and net loss of approximately $14.2 million for the six months ended June 30, 2021. As of June 30, 2021, we had an accumulated deficit of approximately $40.0 million. Our losses have resulted principally from expenses incurred in research and development of our product candidates, from management and administrative costs and other expenses that we have incurred while building our business infrastructure. Our lead product candidate, IMM-1-104, is undergoing IND-enabling studies and we expect to submit an IND to the FDA in the first quarter of 2022. We intend to initiate a Phase 1 clinical trial of IMM-1-104 in the first half of 2022 for the treatment of advanced solid tumors in patients harboring RAS mutant tumors, if our IND for IMM-1-104 is accepted.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4"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substantially if and as we:</w:t>
      </w:r>
    </w:p>
    <w:p>
      <w:pPr>
        <w:spacing w:after="0" w:line="185" w:lineRule="exact"/>
        <w:rPr>
          <w:sz w:val="20"/>
          <w:szCs w:val="20"/>
          <w:color w:val="auto"/>
        </w:rPr>
      </w:pPr>
    </w:p>
    <w:p>
      <w:pPr>
        <w:jc w:val="both"/>
        <w:ind w:left="60" w:right="79" w:hanging="10"/>
        <w:spacing w:after="0" w:line="263" w:lineRule="auto"/>
        <w:tabs>
          <w:tab w:leader="none" w:pos="1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IMM-1-104, and our other product candidates through preclinical and clinical development, and, if approved by the FDA or other comparable foreign regulatory authorities, commercialization;</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manufacturing costs for our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research and development activities to identify and develop new product candidates;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252"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manufacturing and develop our commercialization efforts;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as a public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8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June 30, 2021, we had approximately $50.2 million in cash and cash equivalents. Based on our current business plans, we believe that our existing cash and cash equivalents, including the net proceeds from our IPO, will be sufficient to fund our operating expenses and capital expenditures requirements into 2024.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3" w:lineRule="exact"/>
        <w:rPr>
          <w:sz w:val="20"/>
          <w:szCs w:val="20"/>
          <w:color w:val="auto"/>
        </w:rPr>
      </w:pPr>
    </w:p>
    <w:p>
      <w:pPr>
        <w:ind w:left="160" w:hanging="110"/>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our clinical trials for our product candidates;</w:t>
      </w:r>
    </w:p>
    <w:p>
      <w:pPr>
        <w:spacing w:after="0" w:line="224"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timeline, cost and results of additional research and preclinical studies related to pipeline development and other research programs we initiate in the future;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manufacturing activities as we advance our product candidates through preclinical and clinical development, and commercialization;</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expansion of our current development programs to seek new indications;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negative impact of the COVID-19 pandemic or future pandemics on our business;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patent claims and other intellectual property rights, in-licensed or otherwise;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of licensing fees, potential royalty payments and potential milestone payments;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general operating expenses;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operating as a public company.</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Advancing the development of our product candidates will require a significant amount of capital. Our existing cash and cash equivalents will not be sufficient to fund all of the activities that are necessary to complete the development of our product candidates.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Additionally, the impact of the pandemic related to COVID-19 and its variants on the capital markets may affect the availability, amount and type of financing available to us in the future.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offering,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losses and other tax attributes may be limited.</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 of December 31, 2020, we had approximately $22.0 million of federal and $14.3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2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40"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9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development of our product candidates and/or regulatory approval may be delayed for reasons beyond our control. For example, a U.S. federal government shutdown or budget sequestration, such as ones that occurred during 2013, 2018 and 2019, may result in significant reductions to the FDA’s budget, employees and operations, which may lead to slower response times and longer review periods, potentially affecting our ability to progress development of our product candidates or obtain regulatory approval for our product candidates.</w:t>
      </w:r>
    </w:p>
    <w:p>
      <w:pPr>
        <w:spacing w:after="0" w:line="3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184" w:lineRule="exact"/>
        <w:rPr>
          <w:sz w:val="20"/>
          <w:szCs w:val="20"/>
          <w:color w:val="auto"/>
        </w:rPr>
      </w:pPr>
    </w:p>
    <w:p>
      <w:pPr>
        <w:jc w:val="both"/>
        <w:ind w:left="60" w:right="59" w:hanging="10"/>
        <w:spacing w:after="0" w:line="263" w:lineRule="auto"/>
        <w:tabs>
          <w:tab w:leader="none" w:pos="1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hanging="10"/>
        <w:spacing w:after="0" w:line="263" w:lineRule="auto"/>
        <w:tabs>
          <w:tab w:leader="none" w:pos="1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a product candidate’s risk-benefit ratio for its proposed indication is acceptable;</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92" w:lineRule="exact"/>
        <w:rPr>
          <w:sz w:val="20"/>
          <w:szCs w:val="20"/>
          <w:color w:val="auto"/>
        </w:rPr>
      </w:pPr>
    </w:p>
    <w:p>
      <w:pPr>
        <w:jc w:val="both"/>
        <w:ind w:left="60" w:right="79"/>
        <w:spacing w:after="0" w:line="381" w:lineRule="auto"/>
        <w:rPr>
          <w:sz w:val="20"/>
          <w:szCs w:val="20"/>
          <w:color w:val="auto"/>
        </w:rPr>
      </w:pPr>
      <w:r>
        <w:rPr>
          <w:rFonts w:ascii="Arial" w:cs="Arial" w:eastAsia="Arial" w:hAnsi="Arial"/>
          <w:sz w:val="15"/>
          <w:szCs w:val="15"/>
          <w:b w:val="1"/>
          <w:bCs w:val="1"/>
          <w:i w:val="1"/>
          <w:iCs w:val="1"/>
          <w:color w:val="auto"/>
        </w:rPr>
        <w:t>We may not be able to file INDs or IND amendments or comparable documents in foreign jurisdictions to commence additional clinical trials on the timelines we expect, and even if we are able to, the FDA may not permit us to proceed.</w:t>
      </w:r>
    </w:p>
    <w:p>
      <w:pPr>
        <w:spacing w:after="0" w:line="1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While we plan to submit INDs or comparable documents for our potential product candidates, we may not be able to file such INDs or comparable documents on the timeline we expect. For example, we may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company has limited experience in designing clinical trials and may experience delays or unexpected difficulties in obtaining regulatory approval for our current and future product candidates.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have limited experience in designing clinical trials and may be unable to design and execute a clinical trial to support marketing approval. We cannot be certain that our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completing, or ultimately be unable to complete, the development and commercialization of our product candidates.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9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19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84" w:lineRule="exact"/>
        <w:rPr>
          <w:sz w:val="20"/>
          <w:szCs w:val="20"/>
          <w:color w:val="auto"/>
        </w:rPr>
      </w:pPr>
    </w:p>
    <w:p>
      <w:pPr>
        <w:ind w:left="60" w:right="59" w:hanging="10"/>
        <w:spacing w:after="0" w:line="277" w:lineRule="auto"/>
        <w:tabs>
          <w:tab w:leader="none" w:pos="1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studies;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w:t>
      </w:r>
    </w:p>
    <w:p>
      <w:pPr>
        <w:spacing w:after="0" w:line="21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•IRBs refusing to approve, suspending or terminating the trial at an investigational site, precluding enrollment of additional subjects, or withdrawing their approval of the trial;</w:t>
      </w:r>
    </w:p>
    <w:p>
      <w:pPr>
        <w:spacing w:after="0" w:line="18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•delays in enrollment due to travel or quarantine policies, or other factors related to COVID-19 and its variants, other pandemics or other events outside our control;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to clinical trial protocol;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•clinical sites deviating from trial protocol or dropping out of a trial;</w:t>
      </w:r>
    </w:p>
    <w:p>
      <w:pPr>
        <w:spacing w:after="0" w:line="23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•manufacturing sufficient quantities of product candidates or obtaining sufficient quantities of combination therapies for use in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•subjects failing to enroll or remain in our trial at the rate we expect, or failing to return for post-treatment follow-up;</w:t>
      </w:r>
    </w:p>
    <w:p>
      <w:pPr>
        <w:spacing w:after="0" w:line="25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•subjects choosing an alternative treatment for the indication for which we are developing our product candidates, or participating in competing clinical trials;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•subjects experiencing severe or unexpected drug-related adverse effects;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23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•selection of clinical end points that require prolonged periods of clinical observation or analysis of the resulting data;</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changes to our manufacturing process that may be necessary or desired;</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instance, the ongoing pandemic related to COVID-19 and its variants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9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70" w:lineRule="exact"/>
        <w:rPr>
          <w:sz w:val="20"/>
          <w:szCs w:val="20"/>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REMS;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23"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51" w:lineRule="exact"/>
        <w:rPr>
          <w:rFonts w:ascii="Arial" w:cs="Arial" w:eastAsia="Arial" w:hAnsi="Arial"/>
          <w:sz w:val="18"/>
          <w:szCs w:val="18"/>
          <w:color w:val="auto"/>
        </w:rPr>
      </w:pPr>
    </w:p>
    <w:p>
      <w:pPr>
        <w:ind w:left="160" w:hanging="110"/>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3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or rejection, of our marketing applications by the FDA or comparable foreign regulatory authorities, as the case may be, and may ultimately lead to the denial of marketing approval of one or more of our product candidates.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78"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0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pacing w:after="0" w:line="19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88"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4"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trading price of our Class A common stock.</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4"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9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94" w:lineRule="exact"/>
        <w:rPr>
          <w:sz w:val="20"/>
          <w:szCs w:val="20"/>
          <w:color w:val="auto"/>
        </w:rPr>
      </w:pPr>
    </w:p>
    <w:p>
      <w:pPr>
        <w:ind w:left="60" w:right="79" w:hanging="10"/>
        <w:spacing w:after="0" w:line="277" w:lineRule="auto"/>
        <w:tabs>
          <w:tab w:leader="none" w:pos="1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be forced to or decide to remove the product form the marketplace;</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or change their approvals of that product in one or more countries;</w:t>
      </w:r>
    </w:p>
    <w:p>
      <w:pPr>
        <w:spacing w:after="0" w:line="238" w:lineRule="exact"/>
        <w:rPr>
          <w:rFonts w:ascii="Arial" w:cs="Arial" w:eastAsia="Arial" w:hAnsi="Arial"/>
          <w:sz w:val="18"/>
          <w:szCs w:val="18"/>
          <w:color w:val="auto"/>
        </w:rPr>
      </w:pPr>
    </w:p>
    <w:p>
      <w:pPr>
        <w:ind w:left="60" w:right="79" w:hanging="10"/>
        <w:spacing w:after="0" w:line="263" w:lineRule="auto"/>
        <w:tabs>
          <w:tab w:leader="none" w:pos="1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97"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the product for patients, or to conduct post-marketing studies;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be sued and held liable for harm caused to subjects or patients;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3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81"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87" w:lineRule="exact"/>
        <w:rPr>
          <w:sz w:val="20"/>
          <w:szCs w:val="20"/>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3"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96"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enrollment of prospective patients by clinical trial sites;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hanging="10"/>
        <w:spacing w:after="0" w:line="277" w:lineRule="auto"/>
        <w:tabs>
          <w:tab w:leader="none" w:pos="1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enrollment and completion of studies due to the pandemic related to COVID-19 and its variants or any future pandemic.</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8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84" w:lineRule="exact"/>
        <w:rPr>
          <w:sz w:val="20"/>
          <w:szCs w:val="20"/>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as well as pricing, by third-party payors, including government authorities;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34" w:lineRule="exact"/>
        <w:rPr>
          <w:rFonts w:ascii="Arial" w:cs="Arial" w:eastAsia="Arial" w:hAnsi="Arial"/>
          <w:sz w:val="17"/>
          <w:szCs w:val="17"/>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64"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our product candidates.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9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9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4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2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and preclinical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19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have not commenced clinical trials for any product candidates developed with our DCT platform. 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types of challenges and risks that we may encounter during development of our product candidates. For example, we have not tested any of the product candidates being developed using our DCT platform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19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develop our current and future product candidates in combination with other therapies, which exposes us to additional risks.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even if any product candidate we develop were to receive marketing approval or be commercialized for use in combination with other existing therapies, we would continue to be subject to the risks that the FDA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77"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78"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w:t>
      </w:r>
    </w:p>
    <w:p>
      <w:pPr>
        <w:spacing w:after="0" w:line="8"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9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9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390" w:lineRule="auto"/>
        <w:rPr>
          <w:sz w:val="20"/>
          <w:szCs w:val="20"/>
          <w:color w:val="auto"/>
        </w:rPr>
      </w:pPr>
      <w:r>
        <w:rPr>
          <w:rFonts w:ascii="Arial" w:cs="Arial" w:eastAsia="Arial" w:hAnsi="Arial"/>
          <w:sz w:val="13"/>
          <w:szCs w:val="13"/>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0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early in our development efforts and we have not yet completed our IND-enabling studies for our lead product candidate, IMM-1-104. Our other product candidates are in earlier stages of drug development. We have invested substantially all of our efforts and financial resources in the identification of targets and preclinical development of small molecules targeting the MAPK and mTOR pathways in cancer therapy and small molecules targeting central nervous system disorders, including AD.</w:t>
      </w:r>
    </w:p>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and timely completion of additional preclinical studies;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initiation, patient enrollment and completion of our anticipated clinical trials on a timely basis, including any delays arising out of the pandemic related to COVID-19 and its variants or any future pandemic;</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clinical development,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frequency and severity of adverse events in the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hanging="10"/>
        <w:spacing w:after="0" w:line="277" w:lineRule="auto"/>
        <w:tabs>
          <w:tab w:leader="none" w:pos="1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safety and tolerability profiles that are satisfactory to the FDA or any comparable foreign regulatory authority for marketing approval;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timely receipt of marketing approvals from applicable regulatory authorities;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extent of any required post-marketing approval commitments to applicable regulatory authorities;</w:t>
      </w:r>
    </w:p>
    <w:p>
      <w:pPr>
        <w:spacing w:after="0" w:line="239" w:lineRule="exact"/>
        <w:rPr>
          <w:sz w:val="20"/>
          <w:szCs w:val="20"/>
          <w:color w:val="auto"/>
        </w:rPr>
      </w:pPr>
    </w:p>
    <w:p>
      <w:pPr>
        <w:ind w:left="60" w:right="79" w:hanging="10"/>
        <w:spacing w:after="0" w:line="277" w:lineRule="auto"/>
        <w:tabs>
          <w:tab w:leader="none" w:pos="2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w:t>
      </w:r>
    </w:p>
    <w:p>
      <w:pPr>
        <w:spacing w:after="0" w:line="183" w:lineRule="exact"/>
        <w:rPr>
          <w:rFonts w:ascii="Arial" w:cs="Arial" w:eastAsia="Arial" w:hAnsi="Arial"/>
          <w:sz w:val="18"/>
          <w:szCs w:val="18"/>
          <w:color w:val="auto"/>
        </w:rPr>
      </w:pPr>
    </w:p>
    <w:p>
      <w:pPr>
        <w:jc w:val="both"/>
        <w:ind w:left="60" w:right="79" w:hanging="10"/>
        <w:spacing w:after="0" w:line="263" w:lineRule="auto"/>
        <w:tabs>
          <w:tab w:leader="none" w:pos="2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3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ultimately delay our drug discovery process. Any failure of our information technology systems and proprietary technologies will materially harm our business.</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4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success of the product candidates we have or may develop will depend on many factors, including the following:</w:t>
      </w:r>
    </w:p>
    <w:p>
      <w:pPr>
        <w:spacing w:after="0" w:line="237" w:lineRule="exact"/>
        <w:rPr>
          <w:sz w:val="20"/>
          <w:szCs w:val="20"/>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research methodology in identifying potential indications or product candidates;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events in the clinical trials; and</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potential interruptions or delays resulting from factors related to the pandemic related to COVID-19 and its variants or any future pandemic.</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suitable partners for the commercialization of our product candidates, we may not generate revenues from them or be able to reach or sustain profitability.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84" w:lineRule="exact"/>
        <w:rPr>
          <w:sz w:val="20"/>
          <w:szCs w:val="20"/>
          <w:color w:val="auto"/>
        </w:rPr>
      </w:pPr>
    </w:p>
    <w:p>
      <w:pPr>
        <w:jc w:val="both"/>
        <w:ind w:left="60" w:right="59"/>
        <w:spacing w:after="0" w:line="258"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proprietary and novel products and product candidates. Our</w:t>
      </w:r>
    </w:p>
    <w:p>
      <w:pPr>
        <w:spacing w:after="0" w:line="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and neuroscience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9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spacing w:after="0" w:line="18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If we are unable to compete effectively, our opportunity to generate revenue from the sale of our products we may develop, if approved, could be adversely affected.</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We believe our approach of treating conditions or diseases through neuroregeneration is novel and, as a result, the process for, and the outcome of, FDA approval is especially uncertain.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94"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and potential future pandemics could continue to adversely impact our business, including our anticipated clinical trials, supply chain and business development activities.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We may experience limitations on employee resources in the future, including because of sickness of employees or their families. The effects of government actions and our own policies and those of third parties to reduce the spread of COVID-19 and its variants may negatively impact productivity and slow down or delay our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18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COVID-19 and its variants continues to spread, we may experience ongoing disruptions that could severely impact our business, preclinical studies and clinical trials, including: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hanging="10"/>
        <w:spacing w:after="0" w:line="277" w:lineRule="auto"/>
        <w:tabs>
          <w:tab w:leader="none" w:pos="1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or delays in our operations, which may impact our ability to conduct and produce preclinical results required for submission of an IND;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70"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pandemic related to COVID-19 and its variants which may require us to change the ways in which our clinical trials are conducted, which may result in unexpected costs, or to discontinue the clinical trials altogether;</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23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results of operations and financial condition.</w:t>
      </w:r>
    </w:p>
    <w:p>
      <w:pPr>
        <w:spacing w:after="0" w:line="170" w:lineRule="exact"/>
        <w:rPr>
          <w:sz w:val="20"/>
          <w:szCs w:val="20"/>
          <w:color w:val="auto"/>
        </w:rPr>
      </w:pPr>
    </w:p>
    <w:p>
      <w:pPr>
        <w:jc w:val="both"/>
        <w:ind w:left="60" w:right="79"/>
        <w:spacing w:after="0" w:line="269" w:lineRule="auto"/>
        <w:rPr>
          <w:sz w:val="20"/>
          <w:szCs w:val="20"/>
          <w:color w:val="auto"/>
        </w:rPr>
      </w:pPr>
      <w:r>
        <w:rPr>
          <w:rFonts w:ascii="Arial" w:cs="Arial" w:eastAsia="Arial" w:hAnsi="Arial"/>
          <w:sz w:val="17"/>
          <w:szCs w:val="17"/>
          <w:color w:val="auto"/>
        </w:rPr>
        <w:t>Our future clinical trials may be affected by the pandemic related to COVID-19 and its variants or any future pandemic. For example, some clinical trial sites have slowed down or stopped further enrollment of new patients in clinical trials, denied access to site monitors and otherwise curtailed certain operations. Similarly, our ability to recruit and retain principal investigators and site staff who, as healthcare providers, may have heightened exposure to COVID-19 and its variants, may be adversely impacted. Our planned clinical trials may also be impacted by interruptions or delays in the operations of the FDA and comparable foreign regulatory agencies. We and our CROs will act in accordance with the guidance issued by the FDA in our future clinical trials to ensure the monitoring and safety of patients and minimize risks to trial integrity during the pandemic related to COVID-19 and its variants. This may have unforeseen effects on the enrollment, progress and completion of these trials and the findings. These events could delay our clinical trials, increase the cost of completing our clinical trials and negatively impact the integrity, reliability or robustness of the data from our clinical trials.</w:t>
      </w:r>
    </w:p>
    <w:p>
      <w:pPr>
        <w:spacing w:after="0" w:line="18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addition, quarantines, shelter-in-place and similar government orders, or the perception that such orders, shutdowns or other restrictions on the conduct of business operations could occur, related to COVID-19 and its variants or other infectious diseases could impact personnel at third-party manufacturing facilities upon which we may rely in the future, or the availability or cost of materials, which could disrupt the supply chain for our product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candidates. To the extent our future suppliers and service providers are unable to comply with their obligations under our future agreements with them or they are otherwise unable to deliver or are delayed in delivering goods and services to us due to the pandemic related to COVID-19 and its variants, our future ability to continue meeting clinical supply demand for our product candidates or otherwise advancing development of our product candidates may become impaired.</w:t>
      </w:r>
    </w:p>
    <w:p>
      <w:pPr>
        <w:spacing w:after="0" w:line="188"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The spread of COVID-19 and its variants and actions taken to reduce its spread may also materially affect us economically. 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 As a result, we may face difficulties raising capital through sales of our Class A common stock or such sales may be on unfavorable terms.</w:t>
      </w:r>
    </w:p>
    <w:p>
      <w:pPr>
        <w:spacing w:after="0" w:line="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COVID-19 and its variants and actions taken to reduce their spread continue to rapidly evolve. The extent to which COVID-19 and its variants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pandemic related to COVID-19 and its variants adversely affects our business and financial results, it may also have the effect of heightening many of the other risks described in this “Risk Factors” section, such as those relating to the timing and results of our clinical trials and our financing needs</w:t>
      </w:r>
    </w:p>
    <w:p>
      <w:pPr>
        <w:spacing w:after="0" w:line="18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fail to adequately meet the requirements under our computational biology service contracts to pharmaceutical and biotechnology companies, which may harm our reputation, growth opportunities and prospects, possibly resulting in related losses.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Over a decade ago, we began to offer computational biology services to pharmaceutical and biotechnology companies. We have deprioritized this business and plan to gradually wind down our computational biology services to pharmaceutical and biotechnology companies in the future. However, we are currently servicing several companies and in doing so, we must:</w:t>
      </w:r>
    </w:p>
    <w:p>
      <w:pPr>
        <w:spacing w:after="0" w:line="187" w:lineRule="exact"/>
        <w:rPr>
          <w:sz w:val="20"/>
          <w:szCs w:val="20"/>
          <w:color w:val="auto"/>
        </w:rPr>
      </w:pPr>
    </w:p>
    <w:p>
      <w:pPr>
        <w:ind w:left="160" w:hanging="110"/>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accurately assess and meet the customer’s needs;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ensure our computational biology services meet industry standards and practices for performance of similar services;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retain the proper personnel to fulfill these service contracts;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compete effectively with other computational biology service providers performing similar services.</w:t>
      </w:r>
    </w:p>
    <w:p>
      <w:pPr>
        <w:spacing w:after="0" w:line="23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fail to adequately meet the requirements under our computational biology service contracts to our typical high standards, our reputation, growth opportunities and prospects could be adversely affected, possibly resulting in related losses. In addition, as is typical for contracts of this nature, there are inherent legal risks and potential liabilities associated with our work under each of our past, present and future contracts.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We substantially rely, and expect to continue to rely, on third parties, including independent clinical investigators and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76"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3"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3"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4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9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w:t>
      </w:r>
    </w:p>
    <w:p>
      <w:pPr>
        <w:jc w:val="both"/>
        <w:ind w:left="60" w:right="59"/>
        <w:spacing w:after="0" w:line="253" w:lineRule="auto"/>
        <w:rPr>
          <w:sz w:val="20"/>
          <w:szCs w:val="20"/>
          <w:color w:val="auto"/>
        </w:rPr>
      </w:pPr>
      <w:r>
        <w:rPr>
          <w:rFonts w:ascii="Arial" w:cs="Arial" w:eastAsia="Arial" w:hAnsi="Arial"/>
          <w:sz w:val="18"/>
          <w:szCs w:val="18"/>
          <w:color w:val="auto"/>
        </w:rPr>
        <w:t>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91" w:lineRule="exact"/>
        <w:rPr>
          <w:sz w:val="20"/>
          <w:szCs w:val="20"/>
          <w:color w:val="auto"/>
        </w:rPr>
      </w:pPr>
    </w:p>
    <w:p>
      <w:pPr>
        <w:ind w:left="60" w:right="79" w:hanging="10"/>
        <w:spacing w:after="0" w:line="277" w:lineRule="auto"/>
        <w:tabs>
          <w:tab w:leader="none" w:pos="1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183" w:lineRule="exact"/>
        <w:rPr>
          <w:rFonts w:ascii="Arial" w:cs="Arial" w:eastAsia="Arial" w:hAnsi="Arial"/>
          <w:sz w:val="18"/>
          <w:szCs w:val="18"/>
          <w:color w:val="auto"/>
        </w:rPr>
      </w:pPr>
    </w:p>
    <w:p>
      <w:pPr>
        <w:jc w:val="both"/>
        <w:ind w:left="60" w:right="59" w:hanging="10"/>
        <w:spacing w:after="0" w:line="257" w:lineRule="auto"/>
        <w:tabs>
          <w:tab w:leader="none" w:pos="1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1"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7" w:lineRule="exact"/>
        <w:rPr>
          <w:rFonts w:ascii="Arial" w:cs="Arial" w:eastAsia="Arial" w:hAnsi="Arial"/>
          <w:sz w:val="18"/>
          <w:szCs w:val="18"/>
          <w:color w:val="auto"/>
        </w:rPr>
      </w:pPr>
    </w:p>
    <w:p>
      <w:pPr>
        <w:jc w:val="both"/>
        <w:ind w:left="60" w:right="79" w:hanging="10"/>
        <w:spacing w:after="0" w:line="263" w:lineRule="auto"/>
        <w:tabs>
          <w:tab w:leader="none" w:pos="2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183" w:lineRule="exact"/>
        <w:rPr>
          <w:rFonts w:ascii="Arial" w:cs="Arial" w:eastAsia="Arial" w:hAnsi="Arial"/>
          <w:sz w:val="18"/>
          <w:szCs w:val="18"/>
          <w:color w:val="auto"/>
        </w:rPr>
      </w:pPr>
    </w:p>
    <w:p>
      <w:pPr>
        <w:jc w:val="both"/>
        <w:ind w:left="60" w:right="59" w:hanging="10"/>
        <w:spacing w:after="0" w:line="259"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0" w:lineRule="exact"/>
        <w:rPr>
          <w:rFonts w:ascii="Arial" w:cs="Arial" w:eastAsia="Arial" w:hAnsi="Arial"/>
          <w:sz w:val="18"/>
          <w:szCs w:val="18"/>
          <w:color w:val="auto"/>
        </w:rPr>
      </w:pPr>
    </w:p>
    <w:p>
      <w:pPr>
        <w:jc w:val="both"/>
        <w:ind w:left="60" w:right="59" w:hanging="10"/>
        <w:spacing w:after="0" w:line="263" w:lineRule="auto"/>
        <w:tabs>
          <w:tab w:leader="none" w:pos="2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97"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77" w:lineRule="auto"/>
        <w:tabs>
          <w:tab w:leader="none" w:pos="1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and</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49"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4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71" w:lineRule="exact"/>
        <w:rPr>
          <w:sz w:val="20"/>
          <w:szCs w:val="20"/>
          <w:color w:val="auto"/>
        </w:rPr>
      </w:pPr>
    </w:p>
    <w:p>
      <w:pPr>
        <w:jc w:val="both"/>
        <w:ind w:left="60" w:right="59" w:hanging="10"/>
        <w:spacing w:after="0" w:line="286" w:lineRule="auto"/>
        <w:tabs>
          <w:tab w:leader="none" w:pos="1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8" w:lineRule="exact"/>
        <w:rPr>
          <w:rFonts w:ascii="Arial" w:cs="Arial" w:eastAsia="Arial" w:hAnsi="Arial"/>
          <w:sz w:val="17"/>
          <w:szCs w:val="17"/>
          <w:color w:val="auto"/>
        </w:rPr>
      </w:pPr>
    </w:p>
    <w:p>
      <w:pPr>
        <w:ind w:left="60" w:right="79" w:hanging="10"/>
        <w:spacing w:after="0" w:line="277" w:lineRule="auto"/>
        <w:tabs>
          <w:tab w:leader="none" w:pos="1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83" w:lineRule="exact"/>
        <w:rPr>
          <w:rFonts w:ascii="Arial" w:cs="Arial" w:eastAsia="Arial" w:hAnsi="Arial"/>
          <w:sz w:val="18"/>
          <w:szCs w:val="18"/>
          <w:color w:val="auto"/>
        </w:rPr>
      </w:pPr>
    </w:p>
    <w:p>
      <w:pPr>
        <w:ind w:left="60" w:right="79" w:hanging="10"/>
        <w:spacing w:after="0" w:line="258" w:lineRule="auto"/>
        <w:tabs>
          <w:tab w:leader="none" w:pos="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1" w:lineRule="exact"/>
        <w:rPr>
          <w:rFonts w:ascii="Arial" w:cs="Arial" w:eastAsia="Arial" w:hAnsi="Arial"/>
          <w:sz w:val="18"/>
          <w:szCs w:val="18"/>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237" w:lineRule="exact"/>
        <w:rPr>
          <w:rFonts w:ascii="Arial" w:cs="Arial" w:eastAsia="Arial" w:hAnsi="Arial"/>
          <w:sz w:val="18"/>
          <w:szCs w:val="18"/>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278" w:lineRule="exact"/>
        <w:rPr>
          <w:rFonts w:ascii="Arial" w:cs="Arial" w:eastAsia="Arial" w:hAnsi="Arial"/>
          <w:sz w:val="18"/>
          <w:szCs w:val="18"/>
          <w:color w:val="auto"/>
        </w:rPr>
      </w:pPr>
    </w:p>
    <w:p>
      <w:pPr>
        <w:ind w:left="60" w:right="639" w:hanging="10"/>
        <w:spacing w:after="0" w:line="277" w:lineRule="auto"/>
        <w:tabs>
          <w:tab w:leader="none" w:pos="1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60" w:hanging="110"/>
        <w:spacing w:after="0"/>
        <w:tabs>
          <w:tab w:leader="none" w:pos="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3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7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200" w:lineRule="exact"/>
        <w:rPr>
          <w:sz w:val="20"/>
          <w:szCs w:val="20"/>
          <w:color w:val="auto"/>
        </w:rPr>
      </w:pPr>
    </w:p>
    <w:p>
      <w:pPr>
        <w:spacing w:after="0" w:line="20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84" w:lineRule="exact"/>
        <w:rPr>
          <w:sz w:val="20"/>
          <w:szCs w:val="20"/>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meet our product specifications and quality requirements consistently;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initiate or continue clinical trials of our product candidates under development;</w:t>
      </w:r>
    </w:p>
    <w:p>
      <w:pPr>
        <w:spacing w:after="0" w:line="23"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delays in submitting regulatory applications, or receiving marketing approvals, for our product candidates, if at all;</w:t>
      </w:r>
    </w:p>
    <w:p>
      <w:pPr>
        <w:spacing w:after="0" w:line="249" w:lineRule="exact"/>
        <w:rPr>
          <w:rFonts w:ascii="Arial" w:cs="Arial" w:eastAsia="Arial" w:hAnsi="Arial"/>
          <w:sz w:val="17"/>
          <w:szCs w:val="17"/>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commercialize any product candidates that receive marketing approval on a timely basis;</w:t>
      </w:r>
    </w:p>
    <w:p>
      <w:pPr>
        <w:spacing w:after="0" w:line="252" w:lineRule="exact"/>
        <w:rPr>
          <w:rFonts w:ascii="Arial" w:cs="Arial" w:eastAsia="Arial" w:hAnsi="Arial"/>
          <w:sz w:val="18"/>
          <w:szCs w:val="18"/>
          <w:color w:val="auto"/>
        </w:rPr>
      </w:pPr>
    </w:p>
    <w:p>
      <w:pPr>
        <w:ind w:left="180" w:hanging="130"/>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the cooperation of future collaborators;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70"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profit margins.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24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29" w:lineRule="exact"/>
        <w:rPr>
          <w:sz w:val="20"/>
          <w:szCs w:val="20"/>
          <w:color w:val="auto"/>
        </w:rPr>
      </w:pPr>
    </w:p>
    <w:p>
      <w:pPr>
        <w:jc w:val="both"/>
        <w:ind w:left="60" w:right="59"/>
        <w:spacing w:after="0" w:line="320" w:lineRule="auto"/>
        <w:rPr>
          <w:sz w:val="20"/>
          <w:szCs w:val="20"/>
          <w:color w:val="auto"/>
        </w:rPr>
      </w:pPr>
      <w:r>
        <w:rPr>
          <w:rFonts w:ascii="Arial" w:cs="Arial" w:eastAsia="Arial" w:hAnsi="Arial"/>
          <w:sz w:val="15"/>
          <w:szCs w:val="15"/>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78" w:lineRule="exact"/>
        <w:rPr>
          <w:sz w:val="20"/>
          <w:szCs w:val="20"/>
          <w:color w:val="auto"/>
        </w:rPr>
      </w:pPr>
    </w:p>
    <w:p>
      <w:pPr>
        <w:jc w:val="both"/>
        <w:ind w:left="60" w:right="79" w:hanging="10"/>
        <w:spacing w:after="0" w:line="254"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208" w:lineRule="exact"/>
        <w:rPr>
          <w:rFonts w:ascii="Arial" w:cs="Arial" w:eastAsia="Arial" w:hAnsi="Arial"/>
          <w:sz w:val="18"/>
          <w:szCs w:val="18"/>
          <w:color w:val="auto"/>
        </w:rPr>
      </w:pPr>
    </w:p>
    <w:p>
      <w:pPr>
        <w:jc w:val="both"/>
        <w:ind w:left="60" w:right="59" w:hanging="10"/>
        <w:spacing w:after="0" w:line="254"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205" w:lineRule="exact"/>
        <w:rPr>
          <w:rFonts w:ascii="Arial" w:cs="Arial" w:eastAsia="Arial" w:hAnsi="Arial"/>
          <w:sz w:val="18"/>
          <w:szCs w:val="18"/>
          <w:color w:val="auto"/>
        </w:rPr>
      </w:pPr>
    </w:p>
    <w:p>
      <w:pPr>
        <w:jc w:val="both"/>
        <w:ind w:left="60" w:right="59" w:hanging="10"/>
        <w:spacing w:after="0" w:line="257" w:lineRule="auto"/>
        <w:tabs>
          <w:tab w:leader="none" w:pos="2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4" w:lineRule="auto"/>
        <w:rPr>
          <w:sz w:val="20"/>
          <w:szCs w:val="20"/>
          <w:color w:val="auto"/>
        </w:rPr>
      </w:pPr>
      <w:r>
        <w:rPr>
          <w:rFonts w:ascii="Arial" w:cs="Arial" w:eastAsia="Arial" w:hAnsi="Arial"/>
          <w:sz w:val="17"/>
          <w:szCs w:val="17"/>
          <w:color w:val="auto"/>
        </w:rPr>
        <w:t>• the federal Civil Monetary Penalties Law, which authorizes the imposition of substantial civil monetary penalties against an entity, such as a pharmaceutical manufacturer, that engages in activities including, among others</w:t>
      </w:r>
    </w:p>
    <w:p>
      <w:pPr>
        <w:jc w:val="both"/>
        <w:ind w:left="60" w:right="59" w:hanging="10"/>
        <w:spacing w:after="0" w:line="273" w:lineRule="auto"/>
        <w:tabs>
          <w:tab w:leader="none" w:pos="329" w:val="left"/>
        </w:tabs>
        <w:numPr>
          <w:ilvl w:val="0"/>
          <w:numId w:val="37"/>
        </w:numPr>
        <w:rPr>
          <w:rFonts w:ascii="Arial" w:cs="Arial" w:eastAsia="Arial" w:hAnsi="Arial"/>
          <w:sz w:val="17"/>
          <w:szCs w:val="17"/>
          <w:color w:val="auto"/>
        </w:rPr>
      </w:pPr>
      <w:r>
        <w:rPr>
          <w:rFonts w:ascii="Arial" w:cs="Arial" w:eastAsia="Arial" w:hAnsi="Arial"/>
          <w:sz w:val="17"/>
          <w:szCs w:val="17"/>
          <w:color w:val="auto"/>
        </w:rPr>
        <w:t>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90" w:lineRule="exact"/>
        <w:rPr>
          <w:sz w:val="20"/>
          <w:szCs w:val="20"/>
          <w:color w:val="auto"/>
        </w:rPr>
      </w:pPr>
    </w:p>
    <w:p>
      <w:pPr>
        <w:jc w:val="both"/>
        <w:ind w:left="60" w:right="59" w:hanging="10"/>
        <w:spacing w:after="0" w:line="279" w:lineRule="auto"/>
        <w:tabs>
          <w:tab w:leader="none" w:pos="1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84" w:lineRule="exact"/>
        <w:rPr>
          <w:rFonts w:ascii="Arial" w:cs="Arial" w:eastAsia="Arial" w:hAnsi="Arial"/>
          <w:sz w:val="17"/>
          <w:szCs w:val="17"/>
          <w:color w:val="auto"/>
        </w:rPr>
      </w:pPr>
    </w:p>
    <w:p>
      <w:pPr>
        <w:jc w:val="both"/>
        <w:ind w:left="60" w:right="79" w:hanging="10"/>
        <w:spacing w:after="0" w:line="263" w:lineRule="auto"/>
        <w:tabs>
          <w:tab w:leader="none" w:pos="1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their implementing regulations,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jc w:val="both"/>
        <w:ind w:left="60" w:right="59" w:hanging="10"/>
        <w:spacing w:after="0" w:line="272" w:lineRule="auto"/>
        <w:tabs>
          <w:tab w:leader="none" w:pos="1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other healthcare providers starting in 2022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190" w:lineRule="exact"/>
        <w:rPr>
          <w:rFonts w:ascii="Arial" w:cs="Arial" w:eastAsia="Arial" w:hAnsi="Arial"/>
          <w:sz w:val="17"/>
          <w:szCs w:val="17"/>
          <w:color w:val="auto"/>
        </w:rPr>
      </w:pPr>
    </w:p>
    <w:p>
      <w:pPr>
        <w:jc w:val="both"/>
        <w:ind w:left="60" w:right="59" w:hanging="10"/>
        <w:spacing w:after="0" w:line="273" w:lineRule="auto"/>
        <w:tabs>
          <w:tab w:leader="none" w:pos="1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191" w:lineRule="exact"/>
        <w:rPr>
          <w:rFonts w:ascii="Arial" w:cs="Arial" w:eastAsia="Arial" w:hAnsi="Arial"/>
          <w:sz w:val="17"/>
          <w:szCs w:val="17"/>
          <w:color w:val="auto"/>
        </w:rPr>
      </w:pPr>
    </w:p>
    <w:p>
      <w:pPr>
        <w:jc w:val="both"/>
        <w:ind w:left="60" w:right="59" w:hanging="10"/>
        <w:spacing w:after="0" w:line="257" w:lineRule="auto"/>
        <w:tabs>
          <w:tab w:leader="none" w:pos="2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20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ensuring compliance with the GDPR. This may be onerous, and if our efforts to comply with GDPR or other applicable European Union laws and regulations are not successful, it could adversely affect our business in the European Union.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following the United Kingdom’s departure from the EU on January 31, 2020 without a deal. However, the United Kingdom has transposed the GDPR into domestic law with the Data Protection Act 2018, which remains in force following the United Kingdom’s departure from the EU. 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w:t>
      </w:r>
    </w:p>
    <w:p>
      <w:pPr>
        <w:spacing w:after="0" w:line="178"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4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9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7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9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face potential liability related to the privacy of health information we obtain from clinical trials sponsored by us.</w:t>
      </w:r>
    </w:p>
    <w:p>
      <w:pPr>
        <w:spacing w:after="0" w:line="248"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Most healthcare providers, including research institutions from which we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9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 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FDA or other comparable foreign regulatory authorities may not accept data from trials conducted in locations outside of their jurisdiction.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w:t>
      </w:r>
    </w:p>
    <w:p>
      <w:pPr>
        <w:spacing w:after="0" w:line="3" w:lineRule="exact"/>
        <w:rPr>
          <w:sz w:val="20"/>
          <w:szCs w:val="20"/>
          <w:color w:val="auto"/>
        </w:rPr>
      </w:pPr>
    </w:p>
    <w:p>
      <w:pPr>
        <w:jc w:val="both"/>
        <w:ind w:left="60" w:right="59" w:hanging="10"/>
        <w:spacing w:after="0" w:line="251" w:lineRule="auto"/>
        <w:tabs>
          <w:tab w:leader="none" w:pos="3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trials are performed by clinical investigators of recognized competence; and (3) the data may be considered valid without the need for an on-site inspection by the FDA, or if the FDA considers such an inspection to be necessary, the FDA is able to validate the data through an on-site inspection or other appropriate means. In addition, such foreign trials would be subject to the applicable local laws of the foreign jurisdictions where the trials are conducted. There can be no assurance that the FDA or any other comparable foreign regulatory authority will accept data from trials conducted outside of its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9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will be subject to significant post-marketing regulatory requirements and oversight.</w:t>
      </w:r>
    </w:p>
    <w:p>
      <w:pPr>
        <w:spacing w:after="0" w:line="170"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spacing w:after="0" w:line="187" w:lineRule="exact"/>
        <w:rPr>
          <w:sz w:val="20"/>
          <w:szCs w:val="20"/>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3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The FDA and other regulatory agencies actively enforce the laws and regulations prohibiting the promotion of off-label uses.</w:t>
      </w:r>
    </w:p>
    <w:p>
      <w:pPr>
        <w:spacing w:after="0" w:line="260"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0"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9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required reporting of certain financial arrangements between manufacturers of biologics, physicians and teaching hospitals under the federal Physician Payments Sunshine Act;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8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By way of example, the Tax Cuts and Jobs Act, or the Tax Act, was signed into law,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Texas U.S. District Court Judge ruled that the ACA is unconstitutional in its entirety because the “individual mandate” was eliminated by Congress as part of the Tax Act. Additionally, on December 18, 2019, the U.S. Court of Appeals for the 5</w:t>
      </w:r>
      <w:r>
        <w:rPr>
          <w:rFonts w:ascii="Arial" w:cs="Arial" w:eastAsia="Arial" w:hAnsi="Arial"/>
          <w:sz w:val="12"/>
          <w:szCs w:val="12"/>
          <w:color w:val="auto"/>
        </w:rPr>
        <w:t>th</w:t>
      </w:r>
      <w:r>
        <w:rPr>
          <w:rFonts w:ascii="Arial" w:cs="Arial" w:eastAsia="Arial" w:hAnsi="Arial"/>
          <w:sz w:val="17"/>
          <w:szCs w:val="17"/>
          <w:color w:val="auto"/>
        </w:rPr>
        <w:t xml:space="preserve"> Circuit affirmed the District Court’s ruling that the individual mandate was unconstitutional and remanded the case back to the District Court to determine whether the mandate could be severed from the ACA (i.e., whether the remaining provisions of the ACA are unconstitutional as well). The U.S. Supreme Court is currently reviewing this case. The case is expected to be decided in 2021, although it is unclear how the Supreme Court will rule. It is also unclear how other efforts, if any, to challenge, repeal or replace the ACA will impact the ACA or our business.</w:t>
      </w:r>
    </w:p>
    <w:p>
      <w:pPr>
        <w:spacing w:after="0" w:line="17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with the exception of a temporary suspension from May 1, 2020 through December 31, 2021 due to the coronavirus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2" w:lineRule="auto"/>
        <w:rPr>
          <w:sz w:val="20"/>
          <w:szCs w:val="20"/>
          <w:color w:val="auto"/>
        </w:rPr>
      </w:pPr>
      <w:r>
        <w:rPr>
          <w:rFonts w:ascii="Arial" w:cs="Arial" w:eastAsia="Arial" w:hAnsi="Arial"/>
          <w:sz w:val="18"/>
          <w:szCs w:val="18"/>
          <w:color w:val="auto"/>
        </w:rPr>
        <w:t>review the relationship between pricing and manufacturer patient programs, and reform government program reimbursement methodologies for drug products. The likelihood of success of these and other measures initiated by the former Trump administration is uncertain, particularly in light of the new Biden administration. Since the Presidential inauguration, the Biden administration has taken several recent executive actions that signal changes in policy from the prior administration. For example, on January 20, 2021, the Biden administration directed all federal departments and agencies to consider taking steps to withdraw or delay certain regulations and guidance issued by the Trump administration that had not become effective as of January 20, 2021 to permit the Biden administration to review such actions for questions of fact, law, and policy.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4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As of June 30, 2021, we owned pending patent applications, in the United States only, related to our platform technologies, as well as pending patent applications related to our product candidates. We currently do not have any issued patents related to our product candidates or platform technologies.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19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pacing w:after="0" w:line="1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84" w:lineRule="exact"/>
        <w:rPr>
          <w:sz w:val="20"/>
          <w:szCs w:val="20"/>
          <w:color w:val="auto"/>
        </w:rPr>
      </w:pPr>
    </w:p>
    <w:p>
      <w:pPr>
        <w:jc w:val="both"/>
        <w:ind w:left="60" w:right="59" w:hanging="10"/>
        <w:spacing w:after="0" w:line="259" w:lineRule="auto"/>
        <w:tabs>
          <w:tab w:leader="none" w:pos="1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0" w:lineRule="exact"/>
        <w:rPr>
          <w:rFonts w:ascii="Arial" w:cs="Arial" w:eastAsia="Arial" w:hAnsi="Arial"/>
          <w:sz w:val="18"/>
          <w:szCs w:val="18"/>
          <w:color w:val="auto"/>
        </w:rPr>
      </w:pPr>
    </w:p>
    <w:p>
      <w:pPr>
        <w:ind w:left="160" w:hanging="110"/>
        <w:spacing w:after="0"/>
        <w:tabs>
          <w:tab w:leader="none" w:pos="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65" w:lineRule="exact"/>
        <w:rPr>
          <w:rFonts w:ascii="Arial" w:cs="Arial" w:eastAsia="Arial" w:hAnsi="Arial"/>
          <w:sz w:val="18"/>
          <w:szCs w:val="18"/>
          <w:color w:val="auto"/>
        </w:rPr>
      </w:pPr>
    </w:p>
    <w:p>
      <w:pPr>
        <w:ind w:left="60" w:right="279" w:hanging="10"/>
        <w:spacing w:after="0" w:line="277" w:lineRule="auto"/>
        <w:tabs>
          <w:tab w:leader="none" w:pos="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83" w:lineRule="exact"/>
        <w:rPr>
          <w:rFonts w:ascii="Arial" w:cs="Arial" w:eastAsia="Arial" w:hAnsi="Arial"/>
          <w:sz w:val="18"/>
          <w:szCs w:val="18"/>
          <w:color w:val="auto"/>
        </w:rPr>
      </w:pPr>
    </w:p>
    <w:p>
      <w:pPr>
        <w:jc w:val="both"/>
        <w:ind w:left="60" w:right="59" w:hanging="10"/>
        <w:spacing w:after="0" w:line="263" w:lineRule="auto"/>
        <w:tabs>
          <w:tab w:leader="none" w:pos="1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hanging="10"/>
        <w:spacing w:after="0" w:line="263" w:lineRule="auto"/>
        <w:tabs>
          <w:tab w:leader="none" w:pos="1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97"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9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8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9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9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(including as a result of COVID-19 and its variants impacting our operations),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or platform, and we cannot provide any assurances that third-party patents do not exist that might be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3" w:lineRule="exact"/>
        <w:rPr>
          <w:sz w:val="20"/>
          <w:szCs w:val="20"/>
          <w:color w:val="auto"/>
        </w:rPr>
      </w:pPr>
    </w:p>
    <w:p>
      <w:pPr>
        <w:jc w:val="both"/>
        <w:ind w:left="60" w:right="79"/>
        <w:spacing w:after="0" w:line="260" w:lineRule="auto"/>
        <w:rPr>
          <w:sz w:val="20"/>
          <w:szCs w:val="20"/>
          <w:color w:val="auto"/>
        </w:rPr>
      </w:pPr>
      <w:r>
        <w:rPr>
          <w:rFonts w:ascii="Arial" w:cs="Arial" w:eastAsia="Arial" w:hAnsi="Arial"/>
          <w:sz w:val="18"/>
          <w:szCs w:val="18"/>
          <w:color w:val="auto"/>
        </w:rPr>
        <w:t>In addition, disputes may arise between us and any future licensors regarding intellectual property subject to a license agreement, including:</w:t>
      </w:r>
    </w:p>
    <w:p>
      <w:pPr>
        <w:spacing w:after="0" w:line="185" w:lineRule="exact"/>
        <w:rPr>
          <w:sz w:val="20"/>
          <w:szCs w:val="20"/>
          <w:color w:val="auto"/>
        </w:rPr>
      </w:pPr>
    </w:p>
    <w:p>
      <w:pPr>
        <w:ind w:left="60" w:right="59" w:hanging="10"/>
        <w:spacing w:after="0" w:line="277" w:lineRule="auto"/>
        <w:tabs>
          <w:tab w:leader="none" w:pos="1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and obligations imposed under the license agreement and other interpretation-related issues;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intellectual property of the licensor that is not subject to the licensing agreement;</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if any, we owe to a potential licensor in respect of sublicense fees or income or in respect of backup product;</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its affiliates and sublicensees and by us and our partners and sublicensees.</w:t>
      </w:r>
    </w:p>
    <w:p>
      <w:pPr>
        <w:spacing w:after="0" w:line="184"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our future licensors and third parties.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82"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19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4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8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8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8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Further, third parties may obtain patents in the future and claim that use of our technologies infringes upon these patents. Any claims of patent infringement asserted by third parties would be time-consuming and could:</w:t>
      </w:r>
    </w:p>
    <w:p>
      <w:pPr>
        <w:spacing w:after="0" w:line="170" w:lineRule="exact"/>
        <w:rPr>
          <w:sz w:val="20"/>
          <w:szCs w:val="20"/>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unenforceable or not infringed in a court of law;</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3" w:lineRule="auto"/>
        <w:tabs>
          <w:tab w:leader="none" w:pos="1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9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8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9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36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92"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0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8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9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3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9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 addition, Congress or other foreign legislative bodies may pass patent reform legislation that is unfavorable to us. For example, the U.S. Supreme Court has ruled on several patent cases in recent years, either narrowing the scope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7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70" w:lineRule="exact"/>
        <w:rPr>
          <w:sz w:val="20"/>
          <w:szCs w:val="20"/>
          <w:color w:val="auto"/>
        </w:rPr>
      </w:pPr>
    </w:p>
    <w:p>
      <w:pPr>
        <w:jc w:val="both"/>
        <w:ind w:left="60" w:right="59"/>
        <w:spacing w:after="0" w:line="258"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w:t>
      </w:r>
    </w:p>
    <w:p>
      <w:pPr>
        <w:spacing w:after="0" w:line="1"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94"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FDA-approved product as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left="60" w:right="79"/>
        <w:spacing w:after="0" w:line="269" w:lineRule="auto"/>
        <w:rPr>
          <w:sz w:val="20"/>
          <w:szCs w:val="20"/>
          <w:color w:val="auto"/>
        </w:rPr>
      </w:pPr>
      <w:r>
        <w:rPr>
          <w:rFonts w:ascii="Arial" w:cs="Arial" w:eastAsia="Arial" w:hAnsi="Arial"/>
          <w:sz w:val="17"/>
          <w:szCs w:val="17"/>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200"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26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8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9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confidence in these individuals, organizations and systems, agreements or security measures may be breached, and we may not have adequate remedies for any breach.</w:t>
      </w:r>
    </w:p>
    <w:p>
      <w:pPr>
        <w:spacing w:after="0" w:line="38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6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use third-party open source software, which could negatively affect our ability to offer our solutions and subject us to litigation or other actions.</w:t>
      </w:r>
    </w:p>
    <w:p>
      <w:pPr>
        <w:spacing w:after="0" w:line="170"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84" w:lineRule="exact"/>
        <w:rPr>
          <w:sz w:val="20"/>
          <w:szCs w:val="20"/>
          <w:color w:val="auto"/>
        </w:rPr>
      </w:pPr>
    </w:p>
    <w:p>
      <w:pPr>
        <w:ind w:left="60" w:right="79" w:hanging="10"/>
        <w:spacing w:after="0" w:line="277" w:lineRule="auto"/>
        <w:tabs>
          <w:tab w:leader="none" w:pos="1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may own or license;</w:t>
      </w:r>
    </w:p>
    <w:p>
      <w:pPr>
        <w:spacing w:after="0" w:line="183" w:lineRule="exact"/>
        <w:rPr>
          <w:rFonts w:ascii="Arial" w:cs="Arial" w:eastAsia="Arial" w:hAnsi="Arial"/>
          <w:sz w:val="18"/>
          <w:szCs w:val="18"/>
          <w:color w:val="auto"/>
        </w:rPr>
      </w:pPr>
    </w:p>
    <w:p>
      <w:pPr>
        <w:ind w:left="60" w:right="59" w:hanging="10"/>
        <w:spacing w:after="0" w:line="277" w:lineRule="auto"/>
        <w:tabs>
          <w:tab w:leader="none" w:pos="1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make the inventions covered by the issued patents or patent application that we may own or license;</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potential future licensors might not have been the first to file patent applications covering certain of our inventions;</w:t>
      </w:r>
    </w:p>
    <w:p>
      <w:pPr>
        <w:spacing w:after="0" w:line="170" w:lineRule="exact"/>
        <w:rPr>
          <w:rFonts w:ascii="Arial" w:cs="Arial" w:eastAsia="Arial" w:hAnsi="Arial"/>
          <w:sz w:val="18"/>
          <w:szCs w:val="18"/>
          <w:color w:val="auto"/>
        </w:rPr>
      </w:pPr>
    </w:p>
    <w:p>
      <w:pPr>
        <w:ind w:left="60" w:right="259" w:hanging="10"/>
        <w:spacing w:after="0" w:line="277" w:lineRule="auto"/>
        <w:tabs>
          <w:tab w:leader="none" w:pos="1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or our future licensors’ pending patent applications will not lead to issued patents;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issued patents that we own or license may be held invalid or unenforceable, as a result of legal challenges by our competitors;</w:t>
      </w:r>
    </w:p>
    <w:p>
      <w:pPr>
        <w:spacing w:after="0" w:line="183" w:lineRule="exact"/>
        <w:rPr>
          <w:rFonts w:ascii="Arial" w:cs="Arial" w:eastAsia="Arial" w:hAnsi="Arial"/>
          <w:sz w:val="18"/>
          <w:szCs w:val="18"/>
          <w:color w:val="auto"/>
        </w:rPr>
      </w:pPr>
    </w:p>
    <w:p>
      <w:pPr>
        <w:jc w:val="both"/>
        <w:ind w:left="60" w:right="79" w:hanging="10"/>
        <w:spacing w:after="0" w:line="263" w:lineRule="auto"/>
        <w:tabs>
          <w:tab w:leader="none" w:pos="1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jc w:val="both"/>
        <w:ind w:left="60" w:right="79"/>
        <w:spacing w:after="0" w:line="476" w:lineRule="auto"/>
        <w:rPr>
          <w:sz w:val="20"/>
          <w:szCs w:val="20"/>
          <w:color w:val="auto"/>
        </w:rPr>
      </w:pPr>
      <w:r>
        <w:rPr>
          <w:rFonts w:ascii="Arial" w:cs="Arial" w:eastAsia="Arial" w:hAnsi="Arial"/>
          <w:sz w:val="13"/>
          <w:szCs w:val="13"/>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5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71"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success is highly dependent on our ability to attract and retain highly skilled executive officers and employees.</w:t>
      </w:r>
    </w:p>
    <w:p>
      <w:pPr>
        <w:spacing w:after="0" w:line="24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success of our business. We could in the future have difficulty attracting experienced personnel to our company and may be required to expend significant financial resources in our employee recruitment and retention efforts.</w:t>
      </w:r>
    </w:p>
    <w:p>
      <w:pPr>
        <w:spacing w:after="0" w:line="170"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June 30, 2021, we have 34 full-time employees, including 29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88" w:lineRule="exact"/>
        <w:rPr>
          <w:sz w:val="20"/>
          <w:szCs w:val="20"/>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8" w:lineRule="exact"/>
        <w:rPr>
          <w:rFonts w:ascii="Arial" w:cs="Arial" w:eastAsia="Arial" w:hAnsi="Arial"/>
          <w:sz w:val="18"/>
          <w:szCs w:val="18"/>
          <w:color w:val="auto"/>
        </w:rPr>
      </w:pPr>
    </w:p>
    <w:p>
      <w:pPr>
        <w:jc w:val="both"/>
        <w:ind w:left="60" w:right="79" w:hanging="10"/>
        <w:spacing w:after="0" w:line="263" w:lineRule="auto"/>
        <w:tabs>
          <w:tab w:leader="none" w:pos="1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of IMM-1-104 and any other product candidate we develop, while complying with any contractual obligations to contractors and other third parties we may have; and</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3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 party service providers, we may not be able to successfully implement the tasks necessary to further develop and commercialize IMM-1-104 and any other current or future product candidates and, accordingly, may not achieve our research, development and commercialization goals.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Class A common stock or what the market price of our Class A common stock will be and as a result it may be difficult for you to sell your shares of our Class A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An active trading market for our Class A common stock may never develop or be sustained. The market value of our Class A common stock may decrease from the initial public offering price and you may be unable to resell your shares of our Class A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common stock of other pharmaceutical and biotechnology companies have also been highly volatile as a result of the pandemic related to COVID-19 and its variants.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spacing w:after="0" w:line="184" w:lineRule="exact"/>
        <w:rPr>
          <w:sz w:val="20"/>
          <w:szCs w:val="20"/>
          <w:color w:val="auto"/>
        </w:rPr>
      </w:pPr>
    </w:p>
    <w:p>
      <w:pPr>
        <w:ind w:left="160" w:hanging="110"/>
        <w:spacing w:after="0"/>
        <w:tabs>
          <w:tab w:leader="none" w:pos="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timing and results of preclinical studies and clinical trials of our product candidates or those of our competitors;</w:t>
      </w:r>
    </w:p>
    <w:p>
      <w:pPr>
        <w:spacing w:after="0" w:line="250" w:lineRule="exact"/>
        <w:rPr>
          <w:rFonts w:ascii="Arial" w:cs="Arial" w:eastAsia="Arial" w:hAnsi="Arial"/>
          <w:sz w:val="17"/>
          <w:szCs w:val="17"/>
          <w:color w:val="auto"/>
        </w:rPr>
      </w:pPr>
    </w:p>
    <w:p>
      <w:pPr>
        <w:ind w:left="60" w:right="79" w:hanging="10"/>
        <w:spacing w:after="0" w:line="277" w:lineRule="auto"/>
        <w:tabs>
          <w:tab w:leader="none" w:pos="1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2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252" w:lineRule="exact"/>
        <w:rPr>
          <w:rFonts w:ascii="Arial" w:cs="Arial" w:eastAsia="Arial" w:hAnsi="Arial"/>
          <w:sz w:val="18"/>
          <w:szCs w:val="18"/>
          <w:color w:val="auto"/>
        </w:rPr>
      </w:pPr>
    </w:p>
    <w:p>
      <w:pPr>
        <w:ind w:left="160" w:hanging="110"/>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ongoing and future impact of the pandemic related to COVID-19 and its variants, or any future pandemics, and actions taken to slow their spread;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3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1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2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September 3, 2021, our executive officers, directors, holders of 5% or more of our capital stock and their respective affiliates beneficially owned approximately 60%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3"/>
          <w:szCs w:val="13"/>
          <w:b w:val="1"/>
          <w:bCs w:val="1"/>
          <w:i w:val="1"/>
          <w:iCs w:val="1"/>
          <w:color w:val="auto"/>
        </w:rPr>
        <w:t>Sales of a substantial number of shares of our Class A common stock in the public market could cause our stock price to fall.</w:t>
      </w:r>
    </w:p>
    <w:p>
      <w:pPr>
        <w:spacing w:after="0" w:line="28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Class A common stock price could decline as a result of sales of a large number of shares of Class A and/or Class B common stock (collectively, including Class A common stock shares issuable upon conversion of the Class B common stock, the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All shares of Class A common stock sold in our IPO are freely tradable without restriction or further registration under the Securities Act of 1933, as amended, or the Securities Act, unless held by our “affiliates” as defined in Rule 144 under the Securities Act. The resale of the remaining 16,889,410 shares, or approximately 65.1% of our outstanding shares of common stock, is currently prohibited or otherwise restricted as a result of securities law provisions, market standoff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agreements entered into by certain of our stockholders with us or lock-up agreements entered into by our stockholders with the underwriters in connection with the IPO. However, subject to applicable securities law restrictions, these shares will be able to be sold in the public market beginning 181 days after the date of the Prospectus.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16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holders of approximately 11,939,281 shares, or approximately 46.0% of our outstanding shares of our common stock have rights, subject to some conditions, to require us to file registration statements covering the sale of their shares or to include their shares in registration statements that we may file for ourselves or our other stockholders. Once we register the offer and sale of shares for the holders of registration rights, these shares will be able to be sold in the public market upon issuance, subject to the lock-up agreements described above.</w:t>
      </w:r>
    </w:p>
    <w:p>
      <w:pPr>
        <w:spacing w:after="0" w:line="17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3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65" w:lineRule="exact"/>
        <w:rPr>
          <w:sz w:val="20"/>
          <w:szCs w:val="20"/>
          <w:color w:val="auto"/>
        </w:rPr>
      </w:pPr>
    </w:p>
    <w:p>
      <w:pPr>
        <w:ind w:left="160" w:hanging="110"/>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238" w:lineRule="exact"/>
        <w:rPr>
          <w:rFonts w:ascii="Arial" w:cs="Arial" w:eastAsia="Arial" w:hAnsi="Arial"/>
          <w:sz w:val="18"/>
          <w:szCs w:val="18"/>
          <w:color w:val="auto"/>
        </w:rPr>
      </w:pPr>
    </w:p>
    <w:p>
      <w:pPr>
        <w:ind w:left="160" w:hanging="110"/>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2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238" w:lineRule="exact"/>
        <w:rPr>
          <w:rFonts w:ascii="Arial" w:cs="Arial" w:eastAsia="Arial" w:hAnsi="Arial"/>
          <w:sz w:val="18"/>
          <w:szCs w:val="18"/>
          <w:color w:val="auto"/>
        </w:rPr>
      </w:pPr>
    </w:p>
    <w:p>
      <w:pPr>
        <w:ind w:left="60" w:right="59" w:hanging="10"/>
        <w:spacing w:after="0" w:line="277" w:lineRule="auto"/>
        <w:tabs>
          <w:tab w:leader="none" w:pos="1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prohibit cumulative voting;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238" w:lineRule="exact"/>
        <w:rPr>
          <w:rFonts w:ascii="Arial" w:cs="Arial" w:eastAsia="Arial" w:hAnsi="Arial"/>
          <w:sz w:val="18"/>
          <w:szCs w:val="18"/>
          <w:color w:val="auto"/>
        </w:rPr>
      </w:pPr>
    </w:p>
    <w:p>
      <w:pPr>
        <w:ind w:left="60" w:right="79" w:hanging="10"/>
        <w:spacing w:after="0" w:line="277" w:lineRule="auto"/>
        <w:tabs>
          <w:tab w:leader="none" w:pos="1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183" w:lineRule="exact"/>
        <w:rPr>
          <w:rFonts w:ascii="Arial" w:cs="Arial" w:eastAsia="Arial" w:hAnsi="Arial"/>
          <w:sz w:val="18"/>
          <w:szCs w:val="18"/>
          <w:color w:val="auto"/>
        </w:rPr>
      </w:pPr>
    </w:p>
    <w:p>
      <w:pPr>
        <w:ind w:left="160" w:hanging="110"/>
        <w:spacing w:after="0"/>
        <w:tabs>
          <w:tab w:leader="none" w:pos="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87"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3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or amended and restated bylaws preclude stockholders that assert claims under the Exchange Act from bringing such claims in state or federal court, subject to applicable law.</w:t>
      </w:r>
    </w:p>
    <w:p>
      <w:pPr>
        <w:spacing w:after="0" w:line="19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4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any future CROs and other contractors, consultants, collaborators and third-party service providers, are vulnerable to damage from computer viruses, cybersecurity threats, unauthorized access, natural disasters, terrorism, war and telecommunication and electrical failure. If such an event were to occur and cause interruptions in our operations or result in the unauthorized acquisition of or access to personally identifiable information or individually identifiable health information (violating certain privacy laws such as HIPAA, HITECH and GDPR), it could result in a material disruption of our drug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9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84" w:lineRule="exact"/>
        <w:rPr>
          <w:sz w:val="20"/>
          <w:szCs w:val="20"/>
          <w:color w:val="auto"/>
        </w:rPr>
      </w:pPr>
    </w:p>
    <w:p>
      <w:pPr>
        <w:jc w:val="both"/>
        <w:ind w:left="60" w:right="79" w:hanging="10"/>
        <w:spacing w:after="0" w:line="263" w:lineRule="auto"/>
        <w:tabs>
          <w:tab w:leader="none" w:pos="1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97" w:lineRule="exact"/>
        <w:rPr>
          <w:rFonts w:ascii="Arial" w:cs="Arial" w:eastAsia="Arial" w:hAnsi="Arial"/>
          <w:sz w:val="18"/>
          <w:szCs w:val="18"/>
          <w:color w:val="auto"/>
        </w:rPr>
      </w:pPr>
    </w:p>
    <w:p>
      <w:pPr>
        <w:ind w:left="160" w:hanging="110"/>
        <w:spacing w:after="0"/>
        <w:tabs>
          <w:tab w:leader="none" w:pos="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w:t>
      </w:r>
    </w:p>
    <w:p>
      <w:pPr>
        <w:spacing w:after="0" w:line="250" w:lineRule="exact"/>
        <w:rPr>
          <w:rFonts w:ascii="Arial" w:cs="Arial" w:eastAsia="Arial" w:hAnsi="Arial"/>
          <w:sz w:val="17"/>
          <w:szCs w:val="17"/>
          <w:color w:val="auto"/>
        </w:rPr>
      </w:pPr>
    </w:p>
    <w:p>
      <w:pPr>
        <w:jc w:val="both"/>
        <w:ind w:left="60" w:right="79" w:hanging="10"/>
        <w:spacing w:after="0" w:line="308" w:lineRule="auto"/>
        <w:tabs>
          <w:tab w:leader="none" w:pos="198"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59" w:lineRule="exact"/>
        <w:rPr>
          <w:rFonts w:ascii="Arial" w:cs="Arial" w:eastAsia="Arial" w:hAnsi="Arial"/>
          <w:sz w:val="17"/>
          <w:szCs w:val="17"/>
          <w:color w:val="auto"/>
        </w:rPr>
      </w:pPr>
    </w:p>
    <w:p>
      <w:pPr>
        <w:ind w:left="60" w:right="79" w:hanging="10"/>
        <w:spacing w:after="0" w:line="277" w:lineRule="auto"/>
        <w:tabs>
          <w:tab w:leader="none" w:pos="1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and proxy statements; and</w:t>
      </w:r>
    </w:p>
    <w:p>
      <w:pPr>
        <w:spacing w:after="0" w:line="183" w:lineRule="exact"/>
        <w:rPr>
          <w:rFonts w:ascii="Arial" w:cs="Arial" w:eastAsia="Arial" w:hAnsi="Arial"/>
          <w:sz w:val="18"/>
          <w:szCs w:val="18"/>
          <w:color w:val="auto"/>
        </w:rPr>
      </w:pPr>
    </w:p>
    <w:p>
      <w:pPr>
        <w:ind w:left="60" w:right="79" w:hanging="10"/>
        <w:spacing w:after="0" w:line="277" w:lineRule="auto"/>
        <w:tabs>
          <w:tab w:leader="none" w:pos="1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4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will be required to disclose changes made in our internal controls and procedures on a quarterly basis and our management will be required to assess the effectiveness of these controls annually. However, for as long as we are a smaller reporting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tax legislation may impact our results of operations and financial condition.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April and May 2021, we issued 2,412,853 shares of our Series B Preferred Stock, upon the voluntary election of substantially all of the holders of Series B Preferred Stock, pursuant to the terms of such Series B Preferred Stock. We received gross proceeds of $24,799,786 in connection with this issuance, and incurred issuance costs of $10,935.</w:t>
      </w:r>
    </w:p>
    <w:p>
      <w:pPr>
        <w:spacing w:after="0" w:line="165"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In June 2021, all warrant holders exercised their warrants, resulting in the purchase of an aggregate of 308,308 shares of our Class A common stock. We received total proceeds from the warrant exercises of $927,125.</w:t>
      </w:r>
    </w:p>
    <w:p>
      <w:pPr>
        <w:spacing w:after="0" w:line="14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In June 2021, we issued 17,499 shares of Class A common stock upon the exercise of stock options. We received total proceeds from the exercises of stock options of $52,127.</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On August 3, 2021, we completed the IPO, in which we issued and sold 8,625,000 shares of our Class A common stock, inclusive of 1,125,000 shares we sold pursuant to the full exercise of the underwriters’ option to purchase additional shares, at a price to the public of $15.00 per share.</w:t>
      </w:r>
    </w:p>
    <w:p>
      <w:pPr>
        <w:spacing w:after="0" w:line="184"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offer and sale of all of the shares of our Class A common stock in the IPO were registered under the Securities Act pursuant to a registration statement on Form S-1, as amended (File No. 333-257791), which was declared effective by the SEC on July 29, 2021, and a registration statement on Form S-1 MEF (File No. 333-257791), which was automatically effective upon filing with the SEC on July 29, 2021. Morgan Stanley &amp; Co. LLC, Jefferies LLC and Cowen and Company, LLC acted as representatives of the underwriters for the offering. Following the sale of all of the shares offered in connection with the closing of our IPO, the offering terminated.</w:t>
      </w:r>
    </w:p>
    <w:p>
      <w:pPr>
        <w:spacing w:after="0" w:line="178"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received aggregate gross proceeds from our IPO of $129.4 million, or aggregate net proceeds of $118.3 million after deducting underwriting discounts and commissions and other estimated offering expenses. No payments for such expenses were made directly or indirectly to (i) any of our officers or directors or their associates, (ii) any persons owning 10% or more of any class of our equity securities or (iii) any of our affiliates. There has been no material change in the planned use of IPO proceeds from that described in the Prospectus.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19"/>
        </w:trPr>
        <w:tc>
          <w:tcPr>
            <w:tcW w:w="88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880" w:type="dxa"/>
            <w:vAlign w:val="bottom"/>
          </w:tcPr>
          <w:p>
            <w:pPr>
              <w:spacing w:after="0"/>
              <w:rPr>
                <w:sz w:val="10"/>
                <w:szCs w:val="10"/>
                <w:color w:val="auto"/>
              </w:rPr>
            </w:pPr>
          </w:p>
        </w:tc>
        <w:tc>
          <w:tcPr>
            <w:tcW w:w="3240" w:type="dxa"/>
            <w:vAlign w:val="bottom"/>
            <w:gridSpan w:val="10"/>
            <w:vMerge w:val="restart"/>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Furnished</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39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Amended and Restated Certificate of Incorporation of</w:t>
              </w:r>
            </w:hyperlink>
          </w:p>
        </w:tc>
        <w:tc>
          <w:tcPr>
            <w:tcW w:w="18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Immuneering Corporation</w:t>
              </w:r>
            </w:hyperlink>
          </w:p>
        </w:tc>
        <w:tc>
          <w:tcPr>
            <w:tcW w:w="2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120" w:type="dxa"/>
            <w:vAlign w:val="bottom"/>
            <w:gridSpan w:val="1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Amended and Restated Bylaws of Immuneering</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Corporation</w:t>
              </w:r>
            </w:hyperlink>
          </w:p>
        </w:tc>
        <w:tc>
          <w:tcPr>
            <w:tcW w:w="2580" w:type="dxa"/>
            <w:vAlign w:val="bottom"/>
            <w:tcBorders>
              <w:top w:val="single" w:sz="8" w:color="0000EE"/>
            </w:tcBorders>
            <w:gridSpan w:val="4"/>
          </w:tcPr>
          <w:p>
            <w:pPr>
              <w:spacing w:after="0"/>
              <w:rPr>
                <w:sz w:val="17"/>
                <w:szCs w:val="17"/>
                <w:color w:val="auto"/>
              </w:rPr>
            </w:pPr>
          </w:p>
        </w:tc>
        <w:tc>
          <w:tcPr>
            <w:tcW w:w="6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4120" w:type="dxa"/>
            <w:vAlign w:val="bottom"/>
            <w:gridSpan w:val="1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Specimen Stock Certificate</w:t>
              </w:r>
            </w:hyperlink>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820" w:type="dxa"/>
            <w:vAlign w:val="bottom"/>
          </w:tcPr>
          <w:p>
            <w:pPr>
              <w:jc w:val="center"/>
              <w:ind w:left="16"/>
              <w:spacing w:after="0" w:line="196" w:lineRule="exact"/>
              <w:rPr>
                <w:sz w:val="20"/>
                <w:szCs w:val="20"/>
                <w:color w:val="auto"/>
              </w:rPr>
            </w:pPr>
            <w:r>
              <w:rPr>
                <w:rFonts w:ascii="Arial" w:cs="Arial" w:eastAsia="Arial" w:hAnsi="Arial"/>
                <w:sz w:val="18"/>
                <w:szCs w:val="18"/>
                <w:color w:val="auto"/>
                <w:w w:val="88"/>
              </w:rPr>
              <w:t>333-</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0"/>
              </w:rPr>
              <w:t>07/26/2021</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center"/>
              <w:ind w:left="36"/>
              <w:spacing w:after="0"/>
              <w:rPr>
                <w:sz w:val="20"/>
                <w:szCs w:val="20"/>
                <w:color w:val="auto"/>
              </w:rPr>
            </w:pPr>
            <w:r>
              <w:rPr>
                <w:rFonts w:ascii="Arial" w:cs="Arial" w:eastAsia="Arial" w:hAnsi="Arial"/>
                <w:sz w:val="18"/>
                <w:szCs w:val="18"/>
                <w:color w:val="auto"/>
                <w:w w:val="89"/>
              </w:rPr>
              <w:t>257791</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402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Amended and Restated Investors' Rights Agreement, as</w:t>
              </w:r>
            </w:hyperlink>
          </w:p>
        </w:tc>
        <w:tc>
          <w:tcPr>
            <w:tcW w:w="100" w:type="dxa"/>
            <w:vAlign w:val="bottom"/>
            <w:gridSpan w:val="2"/>
          </w:tcPr>
          <w:p>
            <w:pPr>
              <w:spacing w:after="0"/>
              <w:rPr>
                <w:sz w:val="16"/>
                <w:szCs w:val="16"/>
                <w:color w:val="auto"/>
              </w:rPr>
            </w:pPr>
          </w:p>
        </w:tc>
        <w:tc>
          <w:tcPr>
            <w:tcW w:w="620" w:type="dxa"/>
            <w:vAlign w:val="bottom"/>
            <w:gridSpan w:val="2"/>
          </w:tcPr>
          <w:p>
            <w:pPr>
              <w:spacing w:after="0" w:line="190" w:lineRule="exact"/>
              <w:rPr>
                <w:sz w:val="20"/>
                <w:szCs w:val="20"/>
                <w:color w:val="auto"/>
              </w:rPr>
            </w:pPr>
            <w:r>
              <w:rPr>
                <w:rFonts w:ascii="Arial" w:cs="Arial" w:eastAsia="Arial" w:hAnsi="Arial"/>
                <w:sz w:val="18"/>
                <w:szCs w:val="18"/>
                <w:color w:val="auto"/>
              </w:rPr>
              <w:t>S-1/A</w:t>
            </w:r>
          </w:p>
        </w:tc>
        <w:tc>
          <w:tcPr>
            <w:tcW w:w="820" w:type="dxa"/>
            <w:vAlign w:val="bottom"/>
          </w:tcPr>
          <w:p>
            <w:pPr>
              <w:jc w:val="center"/>
              <w:ind w:left="16"/>
              <w:spacing w:after="0" w:line="190" w:lineRule="exact"/>
              <w:rPr>
                <w:sz w:val="20"/>
                <w:szCs w:val="20"/>
                <w:color w:val="auto"/>
              </w:rPr>
            </w:pPr>
            <w:r>
              <w:rPr>
                <w:rFonts w:ascii="Arial" w:cs="Arial" w:eastAsia="Arial" w:hAnsi="Arial"/>
                <w:sz w:val="18"/>
                <w:szCs w:val="18"/>
                <w:color w:val="auto"/>
                <w:w w:val="88"/>
              </w:rPr>
              <w:t>333-</w:t>
            </w:r>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000" w:type="dxa"/>
            <w:vAlign w:val="bottom"/>
          </w:tcPr>
          <w:p>
            <w:pPr>
              <w:jc w:val="center"/>
              <w:spacing w:after="0" w:line="190" w:lineRule="exact"/>
              <w:rPr>
                <w:sz w:val="20"/>
                <w:szCs w:val="20"/>
                <w:color w:val="auto"/>
              </w:rPr>
            </w:pPr>
            <w:r>
              <w:rPr>
                <w:rFonts w:ascii="Arial" w:cs="Arial" w:eastAsia="Arial" w:hAnsi="Arial"/>
                <w:sz w:val="18"/>
                <w:szCs w:val="18"/>
                <w:color w:val="auto"/>
                <w:w w:val="90"/>
              </w:rPr>
              <w:t>07/26/2021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20" w:type="dxa"/>
            <w:vAlign w:val="bottom"/>
            <w:gridSpan w:val="11"/>
          </w:tcPr>
          <w:p>
            <w:pPr>
              <w:spacing w:after="0" w:line="196" w:lineRule="exact"/>
              <w:rPr>
                <w:rFonts w:ascii="Arial" w:cs="Arial" w:eastAsia="Arial" w:hAnsi="Arial"/>
                <w:sz w:val="18"/>
                <w:szCs w:val="18"/>
                <w:color w:val="0000EE"/>
                <w:w w:val="98"/>
              </w:rPr>
            </w:pPr>
            <w:hyperlink r:id="rId111">
              <w:r>
                <w:rPr>
                  <w:rFonts w:ascii="Arial" w:cs="Arial" w:eastAsia="Arial" w:hAnsi="Arial"/>
                  <w:sz w:val="18"/>
                  <w:szCs w:val="18"/>
                  <w:color w:val="0000EE"/>
                  <w:w w:val="98"/>
                </w:rPr>
                <w:t>amended, dated December 21, 2020, by and among</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center"/>
              <w:ind w:left="36"/>
              <w:spacing w:after="0" w:line="196" w:lineRule="exact"/>
              <w:rPr>
                <w:sz w:val="20"/>
                <w:szCs w:val="20"/>
                <w:color w:val="auto"/>
              </w:rPr>
            </w:pPr>
            <w:r>
              <w:rPr>
                <w:rFonts w:ascii="Arial" w:cs="Arial" w:eastAsia="Arial" w:hAnsi="Arial"/>
                <w:sz w:val="18"/>
                <w:szCs w:val="18"/>
                <w:color w:val="auto"/>
                <w:w w:val="89"/>
              </w:rPr>
              <w:t>257791</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120" w:type="dxa"/>
            <w:vAlign w:val="bottom"/>
            <w:gridSpan w:val="11"/>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Immuneering Corporation and the other parties thereto</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4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50">
              <w:r>
                <w:rPr>
                  <w:rFonts w:ascii="Arial" w:cs="Arial" w:eastAsia="Arial" w:hAnsi="Arial"/>
                  <w:sz w:val="18"/>
                  <w:szCs w:val="18"/>
                  <w:color w:val="0000EE"/>
                  <w:w w:val="93"/>
                </w:rPr>
                <w:t>Certification of Chief Executive Officer pursuant to Rule</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13a-14(a)/15d-14(a).</w:t>
              </w:r>
            </w:hyperlink>
          </w:p>
        </w:tc>
        <w:tc>
          <w:tcPr>
            <w:tcW w:w="26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120" w:type="dxa"/>
            <w:vAlign w:val="bottom"/>
            <w:gridSpan w:val="11"/>
          </w:tcPr>
          <w:p>
            <w:pPr>
              <w:spacing w:after="0" w:line="196" w:lineRule="exact"/>
              <w:rPr>
                <w:rFonts w:ascii="Arial" w:cs="Arial" w:eastAsia="Arial" w:hAnsi="Arial"/>
                <w:sz w:val="18"/>
                <w:szCs w:val="18"/>
                <w:color w:val="0000EE"/>
                <w:w w:val="94"/>
              </w:rPr>
            </w:pPr>
            <w:hyperlink w:anchor="page151">
              <w:r>
                <w:rPr>
                  <w:rFonts w:ascii="Arial" w:cs="Arial" w:eastAsia="Arial" w:hAnsi="Arial"/>
                  <w:sz w:val="18"/>
                  <w:szCs w:val="18"/>
                  <w:color w:val="0000EE"/>
                  <w:w w:val="94"/>
                </w:rPr>
                <w:t>Certification of Chief Financial Officer pursuant to Rule</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13a-14(a)/15d-14(a).</w:t>
              </w:r>
            </w:hyperlink>
          </w:p>
        </w:tc>
        <w:tc>
          <w:tcPr>
            <w:tcW w:w="254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9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Certification of Chief Executive Officer pursuant to 18</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20" w:type="dxa"/>
            <w:vAlign w:val="bottom"/>
            <w:gridSpan w:val="11"/>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120" w:type="dxa"/>
            <w:vAlign w:val="bottom"/>
            <w:gridSpan w:val="11"/>
          </w:tcPr>
          <w:p>
            <w:pPr>
              <w:spacing w:after="0" w:line="196" w:lineRule="exact"/>
              <w:rPr>
                <w:rFonts w:ascii="Arial" w:cs="Arial" w:eastAsia="Arial" w:hAnsi="Arial"/>
                <w:sz w:val="18"/>
                <w:szCs w:val="18"/>
                <w:color w:val="0000EE"/>
                <w:w w:val="98"/>
              </w:rPr>
            </w:pPr>
            <w:hyperlink w:anchor="page153">
              <w:r>
                <w:rPr>
                  <w:rFonts w:ascii="Arial" w:cs="Arial" w:eastAsia="Arial" w:hAnsi="Arial"/>
                  <w:sz w:val="18"/>
                  <w:szCs w:val="18"/>
                  <w:color w:val="0000EE"/>
                  <w:w w:val="98"/>
                </w:rPr>
                <w:t>Certification of Chief Financial Officer pursuant to 18</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9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U.S.C. Section 1350.</w:t>
              </w:r>
            </w:hyperlink>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12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w w:val="95"/>
              </w:rPr>
              <w:t>document does not appear in the Interactive Data File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w w:val="94"/>
              </w:rPr>
              <w:t>because its XBRL tags are embedded within the Inline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XBRL document.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120" w:type="dxa"/>
            <w:vAlign w:val="bottom"/>
            <w:gridSpan w:val="11"/>
          </w:tcPr>
          <w:p>
            <w:pPr>
              <w:spacing w:after="0"/>
              <w:rPr>
                <w:sz w:val="20"/>
                <w:szCs w:val="20"/>
                <w:color w:val="auto"/>
              </w:rPr>
            </w:pPr>
            <w:r>
              <w:rPr>
                <w:rFonts w:ascii="Arial" w:cs="Arial" w:eastAsia="Arial" w:hAnsi="Arial"/>
                <w:sz w:val="18"/>
                <w:szCs w:val="18"/>
                <w:color w:val="auto"/>
                <w:w w:val="95"/>
              </w:rPr>
              <w:t>Inline XBRL Taxonomy Extension Schema Document.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120" w:type="dxa"/>
            <w:vAlign w:val="bottom"/>
            <w:gridSpan w:val="11"/>
          </w:tcPr>
          <w:p>
            <w:pPr>
              <w:spacing w:after="0"/>
              <w:rPr>
                <w:sz w:val="20"/>
                <w:szCs w:val="20"/>
                <w:color w:val="auto"/>
              </w:rPr>
            </w:pPr>
            <w:r>
              <w:rPr>
                <w:rFonts w:ascii="Arial" w:cs="Arial" w:eastAsia="Arial" w:hAnsi="Arial"/>
                <w:sz w:val="18"/>
                <w:szCs w:val="18"/>
                <w:color w:val="auto"/>
                <w:w w:val="93"/>
              </w:rPr>
              <w:t>Inline XBRL Taxonomy Extension Calculation Linkbase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120" w:type="dxa"/>
            <w:vAlign w:val="bottom"/>
            <w:gridSpan w:val="11"/>
          </w:tcPr>
          <w:p>
            <w:pPr>
              <w:spacing w:after="0"/>
              <w:rPr>
                <w:sz w:val="20"/>
                <w:szCs w:val="20"/>
                <w:color w:val="auto"/>
              </w:rPr>
            </w:pPr>
            <w:r>
              <w:rPr>
                <w:rFonts w:ascii="Arial" w:cs="Arial" w:eastAsia="Arial" w:hAnsi="Arial"/>
                <w:sz w:val="18"/>
                <w:szCs w:val="18"/>
                <w:color w:val="auto"/>
                <w:w w:val="96"/>
              </w:rPr>
              <w:t>Inline XBRL Taxonomy Extension Definition Linkbase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1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1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120" w:type="dxa"/>
            <w:vAlign w:val="bottom"/>
            <w:gridSpan w:val="11"/>
          </w:tcPr>
          <w:p>
            <w:pPr>
              <w:spacing w:after="0"/>
              <w:rPr>
                <w:sz w:val="20"/>
                <w:szCs w:val="20"/>
                <w:color w:val="auto"/>
              </w:rPr>
            </w:pPr>
            <w:r>
              <w:rPr>
                <w:rFonts w:ascii="Arial" w:cs="Arial" w:eastAsia="Arial" w:hAnsi="Arial"/>
                <w:sz w:val="18"/>
                <w:szCs w:val="18"/>
                <w:color w:val="auto"/>
                <w:w w:val="97"/>
              </w:rPr>
              <w:t>Cover Page Interactive Data File (formatted as Inline</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120" w:type="dxa"/>
            <w:vAlign w:val="bottom"/>
            <w:gridSpan w:val="11"/>
          </w:tcPr>
          <w:p>
            <w:pPr>
              <w:spacing w:after="0"/>
              <w:rPr>
                <w:sz w:val="20"/>
                <w:szCs w:val="20"/>
                <w:color w:val="auto"/>
              </w:rPr>
            </w:pPr>
            <w:r>
              <w:rPr>
                <w:rFonts w:ascii="Arial" w:cs="Arial" w:eastAsia="Arial" w:hAnsi="Arial"/>
                <w:sz w:val="18"/>
                <w:szCs w:val="18"/>
                <w:color w:val="auto"/>
              </w:rPr>
              <w:t>XBRL and contained in Exhibit 101)</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80" w:hanging="730"/>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730"/>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060" w:type="dxa"/>
            <w:vAlign w:val="bottom"/>
            <w:gridSpan w:val="2"/>
          </w:tcPr>
          <w:p>
            <w:pPr>
              <w:ind w:left="1060"/>
              <w:spacing w:after="0"/>
              <w:rPr>
                <w:sz w:val="20"/>
                <w:szCs w:val="20"/>
                <w:color w:val="auto"/>
              </w:rPr>
            </w:pPr>
            <w:r>
              <w:rPr>
                <w:rFonts w:ascii="Arial" w:cs="Arial" w:eastAsia="Arial" w:hAnsi="Arial"/>
                <w:sz w:val="18"/>
                <w:szCs w:val="18"/>
                <w:b w:val="1"/>
                <w:bCs w:val="1"/>
                <w:color w:val="auto"/>
              </w:rPr>
              <w:t>IMMUNEERING CORPORATION</w:t>
            </w:r>
          </w:p>
        </w:tc>
      </w:tr>
      <w:tr>
        <w:trPr>
          <w:trHeight w:val="648"/>
        </w:trPr>
        <w:tc>
          <w:tcPr>
            <w:tcW w:w="2820" w:type="dxa"/>
            <w:vAlign w:val="bottom"/>
          </w:tcPr>
          <w:p>
            <w:pPr>
              <w:spacing w:after="0"/>
              <w:rPr>
                <w:sz w:val="20"/>
                <w:szCs w:val="20"/>
                <w:color w:val="auto"/>
              </w:rPr>
            </w:pPr>
            <w:r>
              <w:rPr>
                <w:rFonts w:ascii="Arial" w:cs="Arial" w:eastAsia="Arial" w:hAnsi="Arial"/>
                <w:sz w:val="18"/>
                <w:szCs w:val="18"/>
                <w:color w:val="auto"/>
              </w:rPr>
              <w:t>Date: September 9, 2021</w:t>
            </w:r>
          </w:p>
        </w:tc>
        <w:tc>
          <w:tcPr>
            <w:tcW w:w="1640" w:type="dxa"/>
            <w:vAlign w:val="bottom"/>
          </w:tcPr>
          <w:p>
            <w:pPr>
              <w:ind w:left="106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J. Zeskind</w:t>
            </w:r>
          </w:p>
        </w:tc>
      </w:tr>
      <w:tr>
        <w:trPr>
          <w:trHeight w:val="195"/>
        </w:trPr>
        <w:tc>
          <w:tcPr>
            <w:tcW w:w="2820" w:type="dxa"/>
            <w:vAlign w:val="bottom"/>
          </w:tcPr>
          <w:p>
            <w:pPr>
              <w:spacing w:after="0"/>
              <w:rPr>
                <w:sz w:val="16"/>
                <w:szCs w:val="16"/>
                <w:color w:val="auto"/>
              </w:rPr>
            </w:pPr>
          </w:p>
        </w:tc>
        <w:tc>
          <w:tcPr>
            <w:tcW w:w="1640" w:type="dxa"/>
            <w:vAlign w:val="bottom"/>
          </w:tcPr>
          <w:p>
            <w:pPr>
              <w:ind w:left="1060"/>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Benjamin J. Zeskind, Ph.D.</w:t>
            </w:r>
          </w:p>
        </w:tc>
      </w:tr>
      <w:tr>
        <w:trPr>
          <w:trHeight w:val="216"/>
        </w:trPr>
        <w:tc>
          <w:tcPr>
            <w:tcW w:w="2820" w:type="dxa"/>
            <w:vAlign w:val="bottom"/>
          </w:tcPr>
          <w:p>
            <w:pPr>
              <w:spacing w:after="0"/>
              <w:rPr>
                <w:sz w:val="18"/>
                <w:szCs w:val="18"/>
                <w:color w:val="auto"/>
              </w:rPr>
            </w:pPr>
          </w:p>
        </w:tc>
        <w:tc>
          <w:tcPr>
            <w:tcW w:w="1640" w:type="dxa"/>
            <w:vAlign w:val="bottom"/>
          </w:tcPr>
          <w:p>
            <w:pPr>
              <w:ind w:left="106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w w:val="92"/>
              </w:rPr>
              <w:t>Co-Founder, President, Chief Executive Officer and Director</w:t>
            </w:r>
          </w:p>
        </w:tc>
      </w:tr>
      <w:tr>
        <w:trPr>
          <w:trHeight w:val="230"/>
        </w:trPr>
        <w:tc>
          <w:tcPr>
            <w:tcW w:w="2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Date: September 9, 2021</w:t>
            </w:r>
          </w:p>
        </w:tc>
        <w:tc>
          <w:tcPr>
            <w:tcW w:w="1640" w:type="dxa"/>
            <w:vAlign w:val="bottom"/>
          </w:tcPr>
          <w:p>
            <w:pPr>
              <w:ind w:left="106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Biren Amin</w:t>
            </w:r>
          </w:p>
        </w:tc>
      </w:tr>
      <w:tr>
        <w:trPr>
          <w:trHeight w:val="195"/>
        </w:trPr>
        <w:tc>
          <w:tcPr>
            <w:tcW w:w="2820" w:type="dxa"/>
            <w:vAlign w:val="bottom"/>
          </w:tcPr>
          <w:p>
            <w:pPr>
              <w:spacing w:after="0"/>
              <w:rPr>
                <w:sz w:val="16"/>
                <w:szCs w:val="16"/>
                <w:color w:val="auto"/>
              </w:rPr>
            </w:pPr>
          </w:p>
        </w:tc>
        <w:tc>
          <w:tcPr>
            <w:tcW w:w="1640" w:type="dxa"/>
            <w:vAlign w:val="bottom"/>
          </w:tcPr>
          <w:p>
            <w:pPr>
              <w:ind w:left="1060"/>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Biren Amin</w:t>
            </w:r>
          </w:p>
        </w:tc>
      </w:tr>
      <w:tr>
        <w:trPr>
          <w:trHeight w:val="216"/>
        </w:trPr>
        <w:tc>
          <w:tcPr>
            <w:tcW w:w="2820" w:type="dxa"/>
            <w:vAlign w:val="bottom"/>
          </w:tcPr>
          <w:p>
            <w:pPr>
              <w:spacing w:after="0"/>
              <w:rPr>
                <w:sz w:val="18"/>
                <w:szCs w:val="18"/>
                <w:color w:val="auto"/>
              </w:rPr>
            </w:pPr>
          </w:p>
        </w:tc>
        <w:tc>
          <w:tcPr>
            <w:tcW w:w="1640" w:type="dxa"/>
            <w:vAlign w:val="bottom"/>
          </w:tcPr>
          <w:p>
            <w:pPr>
              <w:ind w:left="1060"/>
              <w:spacing w:after="0"/>
              <w:rPr>
                <w:sz w:val="20"/>
                <w:szCs w:val="20"/>
                <w:color w:val="auto"/>
              </w:rPr>
            </w:pPr>
            <w:r>
              <w:rPr>
                <w:rFonts w:ascii="Arial" w:cs="Arial" w:eastAsia="Arial" w:hAnsi="Arial"/>
                <w:sz w:val="18"/>
                <w:szCs w:val="18"/>
                <w:color w:val="auto"/>
              </w:rPr>
              <w:t>Title:</w:t>
            </w:r>
          </w:p>
        </w:tc>
        <w:tc>
          <w:tcPr>
            <w:tcW w:w="44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w:t>
            </w:r>
          </w:p>
        </w:tc>
      </w:tr>
      <w:tr>
        <w:trPr>
          <w:trHeight w:val="230"/>
        </w:trPr>
        <w:tc>
          <w:tcPr>
            <w:tcW w:w="2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IMMUNEERING CORPORATION</w:t>
      </w:r>
    </w:p>
    <w:p>
      <w:pPr>
        <w:spacing w:after="0" w:line="200" w:lineRule="exact"/>
        <w:rPr>
          <w:sz w:val="20"/>
          <w:szCs w:val="20"/>
          <w:color w:val="auto"/>
        </w:rPr>
      </w:pPr>
    </w:p>
    <w:p>
      <w:pPr>
        <w:spacing w:after="0" w:line="231" w:lineRule="exact"/>
        <w:rPr>
          <w:sz w:val="20"/>
          <w:szCs w:val="20"/>
          <w:color w:val="auto"/>
        </w:rPr>
      </w:pPr>
    </w:p>
    <w:p>
      <w:pPr>
        <w:ind w:right="400" w:firstLine="648"/>
        <w:spacing w:after="0" w:line="274" w:lineRule="auto"/>
        <w:rPr>
          <w:sz w:val="20"/>
          <w:szCs w:val="20"/>
          <w:color w:val="auto"/>
        </w:rPr>
      </w:pPr>
      <w:r>
        <w:rPr>
          <w:rFonts w:ascii="Arial" w:cs="Arial" w:eastAsia="Arial" w:hAnsi="Arial"/>
          <w:sz w:val="21"/>
          <w:szCs w:val="21"/>
          <w:color w:val="auto"/>
        </w:rPr>
        <w:t>Immuneering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a corporation organized and existing under the General Corporation Law of the State of Delaware (the “</w:t>
      </w:r>
      <w:r>
        <w:rPr>
          <w:rFonts w:ascii="Arial" w:cs="Arial" w:eastAsia="Arial" w:hAnsi="Arial"/>
          <w:sz w:val="21"/>
          <w:szCs w:val="21"/>
          <w:u w:val="single" w:color="auto"/>
          <w:color w:val="auto"/>
        </w:rPr>
        <w:t>DGCL</w:t>
      </w:r>
      <w:r>
        <w:rPr>
          <w:rFonts w:ascii="Arial" w:cs="Arial" w:eastAsia="Arial" w:hAnsi="Arial"/>
          <w:sz w:val="21"/>
          <w:szCs w:val="21"/>
          <w:color w:val="auto"/>
        </w:rPr>
        <w:t>”), does hereby certify as follows:</w:t>
      </w:r>
    </w:p>
    <w:p>
      <w:pPr>
        <w:spacing w:after="0" w:line="151" w:lineRule="exact"/>
        <w:rPr>
          <w:sz w:val="20"/>
          <w:szCs w:val="20"/>
          <w:color w:val="auto"/>
        </w:rPr>
      </w:pPr>
    </w:p>
    <w:p>
      <w:pPr>
        <w:ind w:right="520" w:firstLine="656"/>
        <w:spacing w:after="0"/>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name of the Corporation is Immuneering Corporation. The Corporation was incorporated under the name Immuneering Corporation by the filing of its original Certificate of Incorporation with the Secretary of State of the State of Delaware on February 14, 2008.</w:t>
      </w:r>
    </w:p>
    <w:p>
      <w:pPr>
        <w:spacing w:after="0" w:line="186" w:lineRule="exact"/>
        <w:rPr>
          <w:rFonts w:ascii="Arial" w:cs="Arial" w:eastAsia="Arial" w:hAnsi="Arial"/>
          <w:sz w:val="22"/>
          <w:szCs w:val="22"/>
          <w:color w:val="auto"/>
        </w:rPr>
      </w:pPr>
    </w:p>
    <w:p>
      <w:pPr>
        <w:ind w:right="260" w:firstLine="656"/>
        <w:spacing w:after="0" w:line="249"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This Amended and Restated Certificate of Incorporation (the “</w:t>
      </w:r>
      <w:r>
        <w:rPr>
          <w:rFonts w:ascii="Arial" w:cs="Arial" w:eastAsia="Arial" w:hAnsi="Arial"/>
          <w:sz w:val="21"/>
          <w:szCs w:val="21"/>
          <w:u w:val="single" w:color="auto"/>
          <w:color w:val="auto"/>
        </w:rPr>
        <w:t>Restated Certificate</w:t>
      </w:r>
      <w:r>
        <w:rPr>
          <w:rFonts w:ascii="Arial" w:cs="Arial" w:eastAsia="Arial" w:hAnsi="Arial"/>
          <w:sz w:val="21"/>
          <w:szCs w:val="21"/>
          <w:color w:val="auto"/>
        </w:rPr>
        <w:t>”), which amends, restates and further integrates the certificate of incorporation of the Corporation as heretofore in effect, has been approved by the Board of Directors of the Corporation (the “</w:t>
      </w:r>
      <w:r>
        <w:rPr>
          <w:rFonts w:ascii="Arial" w:cs="Arial" w:eastAsia="Arial" w:hAnsi="Arial"/>
          <w:sz w:val="21"/>
          <w:szCs w:val="21"/>
          <w:u w:val="single" w:color="auto"/>
          <w:color w:val="auto"/>
        </w:rPr>
        <w:t>Board of Directors</w:t>
      </w:r>
      <w:r>
        <w:rPr>
          <w:rFonts w:ascii="Arial" w:cs="Arial" w:eastAsia="Arial" w:hAnsi="Arial"/>
          <w:sz w:val="21"/>
          <w:szCs w:val="21"/>
          <w:color w:val="auto"/>
        </w:rPr>
        <w:t>”) in accordance with Sections 242 and 245 of the DGCL, and has been adopted by the written consent of the stockholders of the Corporation in accordance with Section 228 of the DGCL.</w:t>
      </w:r>
    </w:p>
    <w:p>
      <w:pPr>
        <w:spacing w:after="0" w:line="178" w:lineRule="exact"/>
        <w:rPr>
          <w:rFonts w:ascii="Arial" w:cs="Arial" w:eastAsia="Arial" w:hAnsi="Arial"/>
          <w:sz w:val="21"/>
          <w:szCs w:val="21"/>
          <w:color w:val="auto"/>
        </w:rPr>
      </w:pPr>
    </w:p>
    <w:p>
      <w:pPr>
        <w:ind w:right="20" w:firstLine="656"/>
        <w:spacing w:after="0" w:line="328" w:lineRule="auto"/>
        <w:tabs>
          <w:tab w:leader="none" w:pos="129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text of the certificate of incorporation of the Corporation, as heretofore amended, is hereby amended and restated by this Restated Certificate to read in its entirety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105" w:lineRule="exact"/>
        <w:rPr>
          <w:sz w:val="20"/>
          <w:szCs w:val="20"/>
          <w:color w:val="auto"/>
        </w:rPr>
      </w:pPr>
    </w:p>
    <w:p>
      <w:pPr>
        <w:ind w:right="640"/>
        <w:spacing w:after="0" w:line="328" w:lineRule="auto"/>
        <w:rPr>
          <w:sz w:val="20"/>
          <w:szCs w:val="20"/>
          <w:color w:val="auto"/>
        </w:rPr>
      </w:pPr>
      <w:r>
        <w:rPr>
          <w:rFonts w:ascii="Arial" w:cs="Arial" w:eastAsia="Arial" w:hAnsi="Arial"/>
          <w:sz w:val="19"/>
          <w:szCs w:val="19"/>
          <w:color w:val="auto"/>
        </w:rPr>
        <w:t>IN WITNESS WHEREOF, Immuneering Corporation has caused this Amended and Restated Certificate of Incorporation to be signed by a duly authorized officer of the Corporation, on August 3, 2021.</w:t>
      </w:r>
    </w:p>
    <w:p>
      <w:pPr>
        <w:spacing w:after="0" w:line="200" w:lineRule="exact"/>
        <w:rPr>
          <w:sz w:val="20"/>
          <w:szCs w:val="20"/>
          <w:color w:val="auto"/>
        </w:rPr>
      </w:pPr>
    </w:p>
    <w:p>
      <w:pPr>
        <w:spacing w:after="0" w:line="35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Immuneering Corporation</w:t>
      </w:r>
      <w:r>
        <w:rPr>
          <w:rFonts w:ascii="Arial" w:cs="Arial" w:eastAsia="Arial" w:hAnsi="Arial"/>
          <w:sz w:val="22"/>
          <w:szCs w:val="22"/>
          <w:color w:val="auto"/>
        </w:rPr>
        <w:t>, a Delaware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Benjamin J. Zeskind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-17780</wp:posOffset>
            </wp:positionV>
            <wp:extent cx="2202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202180" cy="8890"/>
                    </a:xfrm>
                    <a:prstGeom prst="rect">
                      <a:avLst/>
                    </a:prstGeom>
                    <a:noFill/>
                  </pic:spPr>
                </pic:pic>
              </a:graphicData>
            </a:graphic>
          </wp:anchor>
        </w:drawing>
      </w:r>
    </w:p>
    <w:p>
      <w:pPr>
        <w:ind w:left="4540"/>
        <w:spacing w:after="0" w:line="238" w:lineRule="auto"/>
        <w:rPr>
          <w:sz w:val="20"/>
          <w:szCs w:val="20"/>
          <w:color w:val="auto"/>
        </w:rPr>
      </w:pPr>
      <w:r>
        <w:rPr>
          <w:rFonts w:ascii="Arial" w:cs="Arial" w:eastAsia="Arial" w:hAnsi="Arial"/>
          <w:sz w:val="22"/>
          <w:szCs w:val="22"/>
          <w:color w:val="auto"/>
        </w:rPr>
        <w:t>Name: Benjamin J. Zeskind, Ph.D.</w:t>
      </w:r>
    </w:p>
    <w:p>
      <w:pPr>
        <w:ind w:left="454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1" w:name="page102"/>
    <w:bookmarkEnd w:id="101"/>
    <w:p>
      <w:pPr>
        <w:ind w:left="44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ARTICLE I</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Immuneering Corporation (the “</w:t>
      </w:r>
      <w:r>
        <w:rPr>
          <w:rFonts w:ascii="Arial" w:cs="Arial" w:eastAsia="Arial" w:hAnsi="Arial"/>
          <w:sz w:val="22"/>
          <w:szCs w:val="22"/>
          <w:u w:val="single" w:color="auto"/>
          <w:color w:val="auto"/>
        </w:rPr>
        <w:t>Corporation</w:t>
      </w:r>
      <w:r>
        <w:rPr>
          <w:rFonts w:ascii="Arial" w:cs="Arial" w:eastAsia="Arial" w:hAnsi="Arial"/>
          <w:sz w:val="22"/>
          <w:szCs w:val="22"/>
          <w:color w:val="auto"/>
        </w:rPr>
        <w:t>”).</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ARTICLE II</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address of the Corporation’s registered office in the State of Delaware is 1209 Orange Street, in the City of Wilmington, County of New Castle, 19801, and the name of its registered agent at such address is The Corporation Trust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as it now exists or may hereafter be amended and supplemented.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Corporation is authorized to issue three classes of stock to be designated, respectively, “</w:t>
      </w:r>
      <w:r>
        <w:rPr>
          <w:rFonts w:ascii="Arial" w:cs="Arial" w:eastAsia="Arial" w:hAnsi="Arial"/>
          <w:sz w:val="19"/>
          <w:szCs w:val="19"/>
          <w:u w:val="single" w:color="auto"/>
          <w:color w:val="auto"/>
        </w:rPr>
        <w:t>Class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Common Stock</w:t>
      </w:r>
      <w:r>
        <w:rPr>
          <w:rFonts w:ascii="Arial" w:cs="Arial" w:eastAsia="Arial" w:hAnsi="Arial"/>
          <w:sz w:val="19"/>
          <w:szCs w:val="19"/>
          <w:color w:val="auto"/>
        </w:rPr>
        <w:t>,” “</w:t>
      </w:r>
      <w:r>
        <w:rPr>
          <w:rFonts w:ascii="Arial" w:cs="Arial" w:eastAsia="Arial" w:hAnsi="Arial"/>
          <w:sz w:val="19"/>
          <w:szCs w:val="19"/>
          <w:u w:val="single" w:color="auto"/>
          <w:color w:val="auto"/>
        </w:rPr>
        <w:t>Class B Common Stock</w:t>
      </w:r>
      <w:r>
        <w:rPr>
          <w:rFonts w:ascii="Arial" w:cs="Arial" w:eastAsia="Arial" w:hAnsi="Arial"/>
          <w:sz w:val="19"/>
          <w:szCs w:val="19"/>
          <w:color w:val="auto"/>
        </w:rPr>
        <w:t>,” and “</w:t>
      </w:r>
      <w:r>
        <w:rPr>
          <w:rFonts w:ascii="Arial" w:cs="Arial" w:eastAsia="Arial" w:hAnsi="Arial"/>
          <w:sz w:val="19"/>
          <w:szCs w:val="19"/>
          <w:u w:val="single" w:color="auto"/>
          <w:color w:val="auto"/>
        </w:rPr>
        <w:t>Preferred Stock</w:t>
      </w:r>
      <w:r>
        <w:rPr>
          <w:rFonts w:ascii="Arial" w:cs="Arial" w:eastAsia="Arial" w:hAnsi="Arial"/>
          <w:sz w:val="19"/>
          <w:szCs w:val="19"/>
          <w:color w:val="auto"/>
        </w:rPr>
        <w:t>.” The total number of shares of all classes of capital stock which the Corporation shall have authority to issue is 230 million (230,000,000), consisting of 200 million (200,000,000) shares of Class A Common Stock, having a par value of $0.001 per share, 20 million (20,000,000) shares of Class B Common Stock, having a par value of $0.001 per share, and ten million</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(10,000,000) shares of Preferred Stock, having a par value of $0.001 per share. Any references to “</w:t>
      </w:r>
      <w:r>
        <w:rPr>
          <w:rFonts w:ascii="Arial" w:cs="Arial" w:eastAsia="Arial" w:hAnsi="Arial"/>
          <w:sz w:val="22"/>
          <w:szCs w:val="22"/>
          <w:u w:val="single" w:color="auto"/>
          <w:color w:val="auto"/>
        </w:rPr>
        <w:t>Common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w:t>
      </w:r>
      <w:r>
        <w:rPr>
          <w:rFonts w:ascii="Arial" w:cs="Arial" w:eastAsia="Arial" w:hAnsi="Arial"/>
          <w:sz w:val="22"/>
          <w:szCs w:val="22"/>
          <w:color w:val="auto"/>
        </w:rPr>
        <w:t>” in this Amended and Restated Certificate of Incorporation shall mean Class A Common Stock or Class B Common Stock unless specifically stated otherwise.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designations and the powers, privileges and rights, and the qualifications, limitations or restrictions thereof in respect of each class of capital stock of the Corporation are as follows:</w:t>
      </w:r>
    </w:p>
    <w:p>
      <w:pPr>
        <w:spacing w:after="0" w:line="202"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38" w:lineRule="auto"/>
        <w:tabs>
          <w:tab w:leader="none" w:pos="1620"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voting, dividend, liquidation, and other rights and powers of the Class A Common Stock and Class B Common Stock are subject to and qualified by the rights, powers and preferences of any series of Preferred Stock as may be designated by the Board of Directors of the Corporation (the “</w:t>
      </w:r>
      <w:r>
        <w:rPr>
          <w:rFonts w:ascii="Arial" w:cs="Arial" w:eastAsia="Arial" w:hAnsi="Arial"/>
          <w:sz w:val="22"/>
          <w:szCs w:val="22"/>
          <w:u w:val="single" w:color="auto"/>
          <w:color w:val="auto"/>
        </w:rPr>
        <w:t>Board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Directors</w:t>
      </w:r>
      <w:r>
        <w:rPr>
          <w:rFonts w:ascii="Arial" w:cs="Arial" w:eastAsia="Arial" w:hAnsi="Arial"/>
          <w:sz w:val="22"/>
          <w:szCs w:val="22"/>
          <w:color w:val="auto"/>
        </w:rPr>
        <w:t>”) and outstanding from time to time.</w:t>
      </w:r>
    </w:p>
    <w:p>
      <w:pPr>
        <w:spacing w:after="0" w:line="184" w:lineRule="exact"/>
        <w:rPr>
          <w:rFonts w:ascii="Arial" w:cs="Arial" w:eastAsia="Arial" w:hAnsi="Arial"/>
          <w:sz w:val="22"/>
          <w:szCs w:val="22"/>
          <w:color w:val="auto"/>
        </w:rPr>
      </w:pPr>
    </w:p>
    <w:p>
      <w:pPr>
        <w:jc w:val="both"/>
        <w:ind w:firstLine="1304"/>
        <w:spacing w:after="0" w:line="236" w:lineRule="auto"/>
        <w:tabs>
          <w:tab w:leader="none" w:pos="1620"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 Except as otherwise provided herein or expressly required by law, each holder of Class A Common Stock, as such, shall be entitled to vote on each matter submitted to a vote of stockholders and shall be entitled to one (1) vote for each share of Class A Common Stock held of record by such holder as of the record date for determining stockholders entitled to vote on such matter. Except as otherwise required by law, holders of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2" w:name="page103"/>
    <w:bookmarkEnd w:id="102"/>
    <w:p>
      <w:pPr>
        <w:jc w:val="both"/>
        <w:spacing w:after="0" w:line="248" w:lineRule="auto"/>
        <w:rPr>
          <w:sz w:val="20"/>
          <w:szCs w:val="20"/>
          <w:color w:val="auto"/>
        </w:rPr>
      </w:pPr>
      <w:r>
        <w:rPr>
          <w:rFonts w:ascii="Arial" w:cs="Arial" w:eastAsia="Arial" w:hAnsi="Arial"/>
          <w:sz w:val="21"/>
          <w:szCs w:val="21"/>
          <w:color w:val="auto"/>
        </w:rPr>
        <w:t>Common Stock, as such, shall not be entitled to vote on any amendment to this Amended and Restated Certificate of Incorporation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Restated Certificate (including any Certificate of Designation) or pursuant to the DGCL.</w:t>
      </w:r>
    </w:p>
    <w:p>
      <w:pPr>
        <w:spacing w:after="0" w:line="177"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9"/>
          <w:szCs w:val="19"/>
          <w:color w:val="auto"/>
        </w:rPr>
        <w:t>Except as otherwise required by law, holders of Class B Common Stock shall not be entitled to vote on any matter on which the holders of Class A Common Stock or Preferred Stock shall be entitled to vote, and shares of Class B Common Stock shall not be included in determining the number of shares of common stock voting or entitled to vote on any such matters. Shares of Class B Common Stock shall not be certificated, but shall instead be held in book-entry form on the books and records of the Corporation.</w:t>
      </w:r>
    </w:p>
    <w:p>
      <w:pPr>
        <w:spacing w:after="0" w:line="14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Subject to the rights of any holders of any outstanding series of Preferred Stock, the number of authorized shares of Class A Common Stock and/or Class B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4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Except as expressly set forth in this Article V with respect to voting rights only, the Class B Common Stock shall have the same rights and powers of, rank equally to, share ratably with and be identical in all respects and as to all matters to Class A Common Stock. If the Corporation in any manner subdivides or combines the shares of Class A Common Stock, then the shares of Class B Common Stock will be subdivided or combined in the same proportion and manner, and if the Corporation in any manner subdivides or combines the shares of Class B Common Stock, then the outstanding shares of Class A Common Stock will be subdivided or combined in the same proportion and manner.</w:t>
      </w:r>
    </w:p>
    <w:p>
      <w:pPr>
        <w:spacing w:after="0" w:line="184" w:lineRule="exact"/>
        <w:rPr>
          <w:sz w:val="20"/>
          <w:szCs w:val="20"/>
          <w:color w:val="auto"/>
        </w:rPr>
      </w:pPr>
    </w:p>
    <w:p>
      <w:pPr>
        <w:jc w:val="both"/>
        <w:ind w:firstLine="1304"/>
        <w:spacing w:after="0" w:line="238" w:lineRule="auto"/>
        <w:tabs>
          <w:tab w:leader="none" w:pos="1620"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84" w:lineRule="exact"/>
        <w:rPr>
          <w:rFonts w:ascii="Arial" w:cs="Arial" w:eastAsia="Arial" w:hAnsi="Arial"/>
          <w:sz w:val="22"/>
          <w:szCs w:val="22"/>
          <w:color w:val="auto"/>
        </w:rPr>
      </w:pPr>
    </w:p>
    <w:p>
      <w:pPr>
        <w:jc w:val="both"/>
        <w:ind w:firstLine="1304"/>
        <w:spacing w:after="0" w:line="282" w:lineRule="auto"/>
        <w:tabs>
          <w:tab w:leader="none" w:pos="1620"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Liquidation</w:t>
      </w:r>
      <w:r>
        <w:rPr>
          <w:rFonts w:ascii="Arial" w:cs="Arial" w:eastAsia="Arial" w:hAnsi="Arial"/>
          <w:sz w:val="19"/>
          <w:szCs w:val="19"/>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accordance with the number of shares of Common Stock held by each such holder.</w:t>
      </w:r>
    </w:p>
    <w:p>
      <w:pPr>
        <w:spacing w:after="0" w:line="147" w:lineRule="exact"/>
        <w:rPr>
          <w:rFonts w:ascii="Arial" w:cs="Arial" w:eastAsia="Arial" w:hAnsi="Arial"/>
          <w:sz w:val="19"/>
          <w:szCs w:val="19"/>
          <w:color w:val="auto"/>
        </w:rPr>
      </w:pPr>
    </w:p>
    <w:p>
      <w:pPr>
        <w:ind w:left="980" w:hanging="324"/>
        <w:spacing w:after="0"/>
        <w:tabs>
          <w:tab w:leader="none" w:pos="9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PREFERRED STOCK</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3" w:name="page104"/>
    <w:bookmarkEnd w:id="103"/>
    <w:p>
      <w:pPr>
        <w:jc w:val="both"/>
        <w:ind w:firstLine="648"/>
        <w:spacing w:after="0" w:line="271" w:lineRule="auto"/>
        <w:rPr>
          <w:sz w:val="20"/>
          <w:szCs w:val="20"/>
          <w:color w:val="auto"/>
        </w:rPr>
      </w:pPr>
      <w:r>
        <w:rPr>
          <w:rFonts w:ascii="Arial" w:cs="Arial" w:eastAsia="Arial" w:hAnsi="Arial"/>
          <w:sz w:val="19"/>
          <w:szCs w:val="19"/>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Arial" w:cs="Arial" w:eastAsia="Arial" w:hAnsi="Arial"/>
          <w:sz w:val="19"/>
          <w:szCs w:val="19"/>
          <w:u w:val="single" w:color="auto"/>
          <w:color w:val="auto"/>
        </w:rPr>
        <w:t>Certificate of Designation</w:t>
      </w:r>
      <w:r>
        <w:rPr>
          <w:rFonts w:ascii="Arial" w:cs="Arial" w:eastAsia="Arial" w:hAnsi="Arial"/>
          <w:sz w:val="19"/>
          <w:szCs w:val="19"/>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spacing w:after="0" w:line="1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Subject to the terms of this Article VI, shares of Class B Common Stock shall be convertible into a corresponding number of Class A Common Stock upon written notice by the holder thereof.</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 Notwithstanding anything to the contrary herein (but subject to Section B of this Article VI), no holder of Class B Common Stock shall be entitled to receive, and the Corporation shall not deliver to any such holder, any Class A Common Stock upon conversion of the Class B Common Stock to the extent (but only to the extent) that, after such receipt, such converting holder and its Affiliates (as defined below) (together, the “</w:t>
      </w:r>
      <w:r>
        <w:rPr>
          <w:rFonts w:ascii="Arial" w:cs="Arial" w:eastAsia="Arial" w:hAnsi="Arial"/>
          <w:sz w:val="19"/>
          <w:szCs w:val="19"/>
          <w:u w:val="single" w:color="auto"/>
          <w:color w:val="auto"/>
        </w:rPr>
        <w:t>Related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Holders</w:t>
      </w:r>
      <w:r>
        <w:rPr>
          <w:rFonts w:ascii="Arial" w:cs="Arial" w:eastAsia="Arial" w:hAnsi="Arial"/>
          <w:sz w:val="19"/>
          <w:szCs w:val="19"/>
          <w:color w:val="auto"/>
        </w:rPr>
        <w:t>”) would beneficially own in the aggregate, directly or indirectly, shares of Class A Common Stock in excess of 9.9% of such shares outstanding at such time (the “</w:t>
      </w:r>
      <w:r>
        <w:rPr>
          <w:rFonts w:ascii="Arial" w:cs="Arial" w:eastAsia="Arial" w:hAnsi="Arial"/>
          <w:sz w:val="19"/>
          <w:szCs w:val="19"/>
          <w:u w:val="single" w:color="auto"/>
          <w:color w:val="auto"/>
        </w:rPr>
        <w:t>Section 16 Limitation</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 For avoidance of doubt, in the event that the Related Holders beneficially own in the aggregate, directly or indirectly, shares of Class A Common Stock in excess of the Section 16 Limitation without taking into account the conversion of Class B Common Stock, then none of the Class B Common Stock shall be convertible until such time as the Related Holders no longer beneficially own in the aggregate, directly or indirectly, shares of Class A Common Stock in excess of the Section 16 Limitation. Any conversion notice provided by a converting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under this Article VI shall constitute the holder’s acknowledgement and confirmation to the Corporation that</w:t>
      </w:r>
    </w:p>
    <w:p>
      <w:pPr>
        <w:spacing w:after="0" w:line="43" w:lineRule="exact"/>
        <w:rPr>
          <w:sz w:val="20"/>
          <w:szCs w:val="20"/>
          <w:color w:val="auto"/>
        </w:rPr>
      </w:pPr>
    </w:p>
    <w:p>
      <w:pPr>
        <w:jc w:val="both"/>
        <w:ind w:firstLine="8"/>
        <w:spacing w:after="0" w:line="269" w:lineRule="auto"/>
        <w:tabs>
          <w:tab w:leader="none" w:pos="29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acquisition of the shares of Class A Common Stock sought in the conversion notice will not result in Related Holders becoming in the aggregate, directly or indirectly, the beneficial owner of more shares of Class A Common Stock than permitted by the Section 16 Limitation and (ii) any Class A Common Stock to which the holder would be entitled but for the Section 16 Limitation will remain Class B Common Stock. Any purported delivery of shares of Class A Common Stock upon conversion of Class B Common Stock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shall have no effect to the extent (but only to the extent) that such delivery would result in the Related Holders becoming in the aggregate, directly or indirectly, the beneficial owner of more shares of Class A Common Stock than permitted by the Section 16 Limitation. Before any holder shall be entitled to exchange any shares of such Class B Common Stock pursuant to this provision, such holder shall give written notice to the Corporation at its principal corporate office, of the election to exchange the same and shall state therein the name or names in which the certificate or certificates for shares of Class A Common Stock are to be issued. The Corporation shall, as soon as practicable thereafter, issue and deliver to the holder, or to the nominee or nominees of such holder, a certificate or certificates (unless shares of Class A Common Stock are then maintained in book-entry form) for the number of shares of Class A Common Stock to which such holder shall be entitled as aforesaid. Such exchange shall be deemed to have been made immediately prior to the close of business on the date of such written notice,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B of Article VI shall be retired by the Corporation and shall not be available for reissuance. Within two business days of any request by a holder of Class B Common Stock, the Corporation shall inform such holder in writing of the then current number of outstanding shares of Class A Common Stock and Class B Common Stock.</w:t>
      </w:r>
    </w:p>
    <w:p>
      <w:pPr>
        <w:spacing w:after="0" w:line="158" w:lineRule="exact"/>
        <w:rPr>
          <w:rFonts w:ascii="Arial" w:cs="Arial" w:eastAsia="Arial" w:hAnsi="Arial"/>
          <w:sz w:val="19"/>
          <w:szCs w:val="19"/>
          <w:color w:val="auto"/>
        </w:rPr>
      </w:pPr>
    </w:p>
    <w:p>
      <w:pPr>
        <w:jc w:val="both"/>
        <w:ind w:firstLine="656"/>
        <w:spacing w:after="0" w:line="272" w:lineRule="auto"/>
        <w:tabs>
          <w:tab w:leader="none" w:pos="902"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Any shares of Class B Common Stock shall be exchanged for a corresponding number of fully paid and nonassessable shares of Class A Common Stock immediately upon request following a Non-Affiliate Transfer. A “</w:t>
      </w:r>
      <w:r>
        <w:rPr>
          <w:rFonts w:ascii="Arial" w:cs="Arial" w:eastAsia="Arial" w:hAnsi="Arial"/>
          <w:sz w:val="19"/>
          <w:szCs w:val="19"/>
          <w:u w:val="single" w:color="auto"/>
          <w:color w:val="auto"/>
        </w:rPr>
        <w:t>Non-Affiliate Transfer</w:t>
      </w:r>
      <w:r>
        <w:rPr>
          <w:rFonts w:ascii="Arial" w:cs="Arial" w:eastAsia="Arial" w:hAnsi="Arial"/>
          <w:sz w:val="19"/>
          <w:szCs w:val="19"/>
          <w:color w:val="auto"/>
        </w:rPr>
        <w:t>” shall mean a transfer of shares of Class B Common Stock to any Person (as defined below) that is not an Affiliate of a holder of the Class B Common Stock immediately following the issuance thereof. The Corporation shall, upon the request of each such holder and a certification from such transferee holder of such holder’s non-affiliation with the original holder of such Class B Common Stock, issue and deliver to such holder new certificates (unless shares of Class A Common Stock are then maintained in book-entry form) representing such non-Affiliate holder’s shares of Class A Common Stock. Such exchange shall be deemed to have been made immediately prior to the close of business on the date of such request and certification, and the person or persons entitled to receive the shares of Class A Common Stock issuable upon such exchange shall be treated for all purposes as the record holder or holders of such shares of Class A Common Stock as of such date. Each share of Class B Common Stock that is exchanged pursuant to this Section C of Article VI shall be retired and canceled by the Corporation and shall not be available for reissuance.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746760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5" w:name="page106"/>
    <w:bookmarkEnd w:id="105"/>
    <w:p>
      <w:pPr>
        <w:ind w:left="660"/>
        <w:spacing w:after="0"/>
        <w:rPr>
          <w:sz w:val="20"/>
          <w:szCs w:val="20"/>
          <w:color w:val="auto"/>
        </w:rPr>
      </w:pPr>
      <w:r>
        <w:rPr>
          <w:rFonts w:ascii="Arial" w:cs="Arial" w:eastAsia="Arial" w:hAnsi="Arial"/>
          <w:sz w:val="22"/>
          <w:szCs w:val="22"/>
          <w:color w:val="auto"/>
        </w:rPr>
        <w:t>D. For purposes of this Article VI, the following definitions shall apply:</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shall mean,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or account or registered investment company now or hereafter existing which is controlled by one or more general partners, managing members or investment advisers of, or shares the same management company or investment adviser with, such Person.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trust, limited liability company, association or other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For the management of the business and for the conduct of the affairs of the Corporation it is further provided that:</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the stockholders following the initial registration of the Corporation’s Class A Common Stock pursuant to the Securities Exchange Act of 1934, as amended; the initial Class II directors shall serve for a term expiring at the second annual meeting of the stockholders following such registration; and the initial Class III directors shall serve for a term expiring at the third annual meeting following such registration.</w:t>
      </w:r>
    </w:p>
    <w:p>
      <w:pPr>
        <w:spacing w:after="0" w:line="5" w:lineRule="exact"/>
        <w:rPr>
          <w:sz w:val="20"/>
          <w:szCs w:val="20"/>
          <w:color w:val="auto"/>
        </w:rPr>
      </w:pPr>
    </w:p>
    <w:p>
      <w:pPr>
        <w:jc w:val="both"/>
        <w:ind w:firstLine="110"/>
        <w:spacing w:after="0" w:line="272" w:lineRule="auto"/>
        <w:rPr>
          <w:sz w:val="20"/>
          <w:szCs w:val="20"/>
          <w:color w:val="auto"/>
        </w:rPr>
      </w:pPr>
      <w:r>
        <w:rPr>
          <w:rFonts w:ascii="Arial" w:cs="Arial" w:eastAsia="Arial" w:hAnsi="Arial"/>
          <w:sz w:val="19"/>
          <w:szCs w:val="19"/>
          <w:color w:val="auto"/>
        </w:rPr>
        <w:t>At each annual meeting of stockholders of the Corporation beginning with the first annual meeting of stockholders following the Effective Time,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assign members of the Board of Directors already in office to Class I, Class II and Class III.</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B. Except as otherwise expressly provided by the DGCL or this Restated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6" w:name="page107"/>
    <w:bookmarkEnd w:id="106"/>
    <w:p>
      <w:pPr>
        <w:jc w:val="both"/>
        <w:ind w:firstLine="648"/>
        <w:spacing w:after="0" w:line="274" w:lineRule="auto"/>
        <w:rPr>
          <w:sz w:val="20"/>
          <w:szCs w:val="20"/>
          <w:color w:val="auto"/>
        </w:rPr>
      </w:pPr>
      <w:r>
        <w:rPr>
          <w:rFonts w:ascii="Arial" w:cs="Arial" w:eastAsia="Arial" w:hAnsi="Arial"/>
          <w:sz w:val="19"/>
          <w:szCs w:val="19"/>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VII, the number of directors that may be elected by the holders of any such series of Preferred Stock shall be in addition to the number fixed pursuant to </w:t>
      </w:r>
      <w:r>
        <w:rPr>
          <w:rFonts w:ascii="Arial" w:cs="Arial" w:eastAsia="Arial" w:hAnsi="Arial"/>
          <w:sz w:val="19"/>
          <w:szCs w:val="19"/>
          <w:u w:val="single" w:color="auto"/>
          <w:color w:val="auto"/>
        </w:rPr>
        <w:t>paragraph B of this Article VII</w:t>
      </w:r>
      <w:r>
        <w:rPr>
          <w:rFonts w:ascii="Arial" w:cs="Arial" w:eastAsia="Arial" w:hAnsi="Arial"/>
          <w:sz w:val="19"/>
          <w:szCs w:val="19"/>
          <w:color w:val="auto"/>
        </w:rPr>
        <w:t>,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200" w:lineRule="exact"/>
        <w:rPr>
          <w:sz w:val="20"/>
          <w:szCs w:val="20"/>
          <w:color w:val="auto"/>
        </w:rPr>
      </w:pPr>
    </w:p>
    <w:p>
      <w:pPr>
        <w:spacing w:after="0" w:line="207" w:lineRule="exact"/>
        <w:rPr>
          <w:sz w:val="20"/>
          <w:szCs w:val="20"/>
          <w:color w:val="auto"/>
        </w:rPr>
      </w:pPr>
    </w:p>
    <w:p>
      <w:pPr>
        <w:jc w:val="both"/>
        <w:ind w:firstLine="656"/>
        <w:spacing w:after="0" w:line="277" w:lineRule="auto"/>
        <w:tabs>
          <w:tab w:leader="none" w:pos="992"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spacing w:after="0" w:line="151" w:lineRule="exact"/>
        <w:rPr>
          <w:rFonts w:ascii="Arial" w:cs="Arial" w:eastAsia="Arial" w:hAnsi="Arial"/>
          <w:sz w:val="19"/>
          <w:szCs w:val="19"/>
          <w:color w:val="auto"/>
        </w:rPr>
      </w:pPr>
    </w:p>
    <w:p>
      <w:pPr>
        <w:ind w:left="920" w:hanging="264"/>
        <w:spacing w:after="0"/>
        <w:tabs>
          <w:tab w:leader="none" w:pos="9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directors of the Corporation need not be elected by written ballot unless the Bylaws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800735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b w:val="1"/>
          <w:bCs w:val="1"/>
          <w:color w:val="auto"/>
        </w:rPr>
        <w:t>ARTICLE VIII</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Corporation renounces any interest or expectancy of the Corporation in, or in being offered an opportunity to participate in, any Excluded Opportunity. An “</w:t>
      </w:r>
      <w:r>
        <w:rPr>
          <w:rFonts w:ascii="Arial" w:cs="Arial" w:eastAsia="Arial" w:hAnsi="Arial"/>
          <w:sz w:val="21"/>
          <w:szCs w:val="21"/>
          <w:u w:val="single" w:color="auto"/>
          <w:color w:val="auto"/>
        </w:rPr>
        <w:t>Excluded Opportunity</w:t>
      </w:r>
      <w:r>
        <w:rPr>
          <w:rFonts w:ascii="Arial" w:cs="Arial" w:eastAsia="Arial" w:hAnsi="Arial"/>
          <w:sz w:val="21"/>
          <w:szCs w:val="21"/>
          <w:color w:val="auto"/>
        </w:rPr>
        <w:t>”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21"/>
          <w:szCs w:val="21"/>
          <w:u w:val="single" w:color="auto"/>
          <w:color w:val="auto"/>
        </w:rPr>
        <w:t>Covered Person</w:t>
      </w:r>
      <w:r>
        <w:rPr>
          <w:rFonts w:ascii="Arial" w:cs="Arial" w:eastAsia="Arial" w:hAnsi="Arial"/>
          <w:sz w:val="21"/>
          <w:szCs w:val="21"/>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B. 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or the Chief Executive Officer, and shall not be called by any other person or persons.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 Advance notice of stockholder nominations for the election of directors and of other business proposed to be brought by stockholders before any meeting of the stockholders of the Corporation shall be given in the manner provided in the Bylaws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No director of the Corporation shall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Any amendment, repeal or modification of this Article X, or the adoption of any provision of the Restated Certificate inconsistent with this Article X, shall not adversely affect any right or protection of a director of the Corporation with respect to any act or omission occurring prior to such amendment, repeal, modification or adoption. If the DGCL is amended after approval by the stockholders of this Article X to authorize corporate action further eliminating or limiting the personal liability of directors, then the liability of a director of the Corporation shall be eliminated or limited to the fullest extent permitted by the DGCL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ARTICLE XI</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Unless the Corporation consents in writing to the selection of an alternative forum, (a) the Court of Chancery (the “</w:t>
      </w:r>
      <w:r>
        <w:rPr>
          <w:rFonts w:ascii="Arial" w:cs="Arial" w:eastAsia="Arial" w:hAnsi="Arial"/>
          <w:sz w:val="19"/>
          <w:szCs w:val="19"/>
          <w:u w:val="single" w:color="auto"/>
          <w:color w:val="auto"/>
        </w:rPr>
        <w:t>Chancery Court</w:t>
      </w:r>
      <w:r>
        <w:rPr>
          <w:rFonts w:ascii="Arial" w:cs="Arial" w:eastAsia="Arial" w:hAnsi="Arial"/>
          <w:sz w:val="19"/>
          <w:szCs w:val="19"/>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Restated Certificate (as either may be amended from time to time) or</w:t>
      </w:r>
    </w:p>
    <w:p>
      <w:pPr>
        <w:spacing w:after="0" w:line="3" w:lineRule="exact"/>
        <w:rPr>
          <w:sz w:val="20"/>
          <w:szCs w:val="20"/>
          <w:color w:val="auto"/>
        </w:rPr>
      </w:pPr>
    </w:p>
    <w:p>
      <w:pPr>
        <w:jc w:val="both"/>
        <w:ind w:firstLine="8"/>
        <w:spacing w:after="0" w:line="271" w:lineRule="auto"/>
        <w:tabs>
          <w:tab w:leader="none" w:pos="40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action, suit or proceeding asserting a claim against the Corporation governed by the internal affairs doctrine; and (b) subject to the preceding provisions of this Article XII, the federal district courts of the United States of America shall be the exclusive forum for the resolution of any complaint asserting a cause of action arising under the Securities Act of 1933, as amended. If any action the subject matter of which is within the scope of clause (a) of the immediately preceding sentence is filed in a court other than the courts in the State of Delaware (a “</w:t>
      </w:r>
      <w:r>
        <w:rPr>
          <w:rFonts w:ascii="Arial" w:cs="Arial" w:eastAsia="Arial" w:hAnsi="Arial"/>
          <w:sz w:val="19"/>
          <w:szCs w:val="19"/>
          <w:u w:val="single" w:color="auto"/>
          <w:color w:val="auto"/>
        </w:rPr>
        <w:t>Foreign Action</w:t>
      </w:r>
      <w:r>
        <w:rPr>
          <w:rFonts w:ascii="Arial" w:cs="Arial" w:eastAsia="Arial" w:hAnsi="Arial"/>
          <w:sz w:val="19"/>
          <w:szCs w:val="19"/>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6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Any person or entity purchasing or otherwise acquiring any interest in any security of the Corporation shall be deemed to have notice of and consented to this Article XII. Notwithstanding the foregoing, the provisions of this Article XII shall not apply to suits brought to enforce any liability or duty created by the Securities Exchange Act of 1934, as amended, or any other claim for which the federal courts of the United States have exclusive jurisdiction.</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any provision or provisions of this Article XII shall be held to be invalid, illegal or unenforceable as applied to any circumstance for any reason whatsoever, (a) the validity, legality and enforceability of such provisions in any other circumstance and of the remaining provisions of this Article XII (including, without limitation, each portion of any paragraph of this Article XII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b w:val="1"/>
          <w:bCs w:val="1"/>
          <w:color w:val="auto"/>
        </w:rPr>
        <w:t>ARTICLE XIII</w:t>
      </w:r>
    </w:p>
    <w:p>
      <w:pPr>
        <w:spacing w:after="0" w:line="212" w:lineRule="exact"/>
        <w:rPr>
          <w:sz w:val="20"/>
          <w:szCs w:val="20"/>
          <w:color w:val="auto"/>
        </w:rPr>
      </w:pPr>
    </w:p>
    <w:p>
      <w:pPr>
        <w:jc w:val="both"/>
        <w:ind w:firstLine="656"/>
        <w:spacing w:after="0" w:line="244" w:lineRule="auto"/>
        <w:tabs>
          <w:tab w:leader="none" w:pos="978" w:val="left"/>
        </w:tabs>
        <w:numPr>
          <w:ilvl w:val="0"/>
          <w:numId w:val="63"/>
        </w:numPr>
        <w:rPr>
          <w:rFonts w:ascii="Arial" w:cs="Arial" w:eastAsia="Arial" w:hAnsi="Arial"/>
          <w:sz w:val="21"/>
          <w:szCs w:val="21"/>
          <w:color w:val="auto"/>
        </w:rPr>
      </w:pPr>
      <w:r>
        <w:rPr>
          <w:rFonts w:ascii="Arial" w:cs="Arial" w:eastAsia="Arial" w:hAnsi="Arial"/>
          <w:sz w:val="21"/>
          <w:szCs w:val="21"/>
          <w:color w:val="auto"/>
        </w:rPr>
        <w:t>Notwithstanding anything contained in this Restated Certificate to the contrary, in addition to any vote required by applicable law, the following provisions in this Restated Certificate may be amended, altered, repealed or rescinded (whether by merger, consolidation or otherwise),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VII, Article IX, Article X, Article XI, Article XII, and this Article XIII; provided that neither (w) the second, third and/or fourth paragraph of part A.2 of Article V, nor (x) parts A.3 or A.4 of Article V (as it relates to the equal treatment of the Class B Common Stock), nor (y) Article VI, nor (z) this proviso of Part A of Article XIII shall be waived, altered, amended or repealed (whether by merger, consolidation or otherwise), in whole or in part, without the unanimous vote of the holders of the outstanding shares of Class B Common Stock.</w:t>
      </w:r>
    </w:p>
    <w:p>
      <w:pPr>
        <w:spacing w:after="0" w:line="188" w:lineRule="exact"/>
        <w:rPr>
          <w:rFonts w:ascii="Arial" w:cs="Arial" w:eastAsia="Arial" w:hAnsi="Arial"/>
          <w:sz w:val="21"/>
          <w:szCs w:val="21"/>
          <w:color w:val="auto"/>
        </w:rPr>
      </w:pPr>
    </w:p>
    <w:p>
      <w:pPr>
        <w:jc w:val="both"/>
        <w:ind w:firstLine="656"/>
        <w:spacing w:after="0" w:line="273" w:lineRule="auto"/>
        <w:tabs>
          <w:tab w:leader="none" w:pos="105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10" w:name="page111"/>
    <w:bookmarkEnd w:id="110"/>
    <w:p>
      <w:pPr>
        <w:jc w:val="right"/>
        <w:ind w:right="219"/>
        <w:spacing w:after="0"/>
        <w:rPr>
          <w:sz w:val="20"/>
          <w:szCs w:val="20"/>
          <w:color w:val="auto"/>
        </w:rPr>
      </w:pPr>
      <w:r>
        <w:rPr>
          <w:rFonts w:ascii="Arial" w:cs="Arial" w:eastAsia="Arial" w:hAnsi="Arial"/>
          <w:sz w:val="20"/>
          <w:szCs w:val="20"/>
          <w:b w:val="1"/>
          <w:bCs w:val="1"/>
          <w:color w:val="auto"/>
        </w:rPr>
        <w:t>Exhibit 3.2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IMMUNEERING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1073785</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11" w:name="page112"/>
    <w:bookmarkEnd w:id="111"/>
    <w:p>
      <w:pPr>
        <w:jc w:val="center"/>
        <w:ind w:right="-219"/>
        <w:spacing w:after="0"/>
        <w:rPr>
          <w:sz w:val="20"/>
          <w:szCs w:val="20"/>
          <w:color w:val="auto"/>
        </w:rPr>
      </w:pPr>
      <w:r>
        <w:rPr>
          <w:rFonts w:ascii="Arial" w:cs="Arial" w:eastAsia="Arial" w:hAnsi="Arial"/>
          <w:sz w:val="22"/>
          <w:szCs w:val="22"/>
          <w:b w:val="1"/>
          <w:bCs w:val="1"/>
          <w:color w:val="auto"/>
        </w:rPr>
        <w:t>TABLE OF CONTENTS</w:t>
      </w:r>
    </w:p>
    <w:tbl>
      <w:tblPr>
        <w:tblLayout w:type="fixed"/>
        <w:tblInd w:w="220" w:type="dxa"/>
        <w:tblCellMar>
          <w:top w:w="0" w:type="dxa"/>
          <w:left w:w="0" w:type="dxa"/>
          <w:bottom w:w="0" w:type="dxa"/>
          <w:right w:w="0" w:type="dxa"/>
        </w:tblCellMar>
      </w:tblPr>
      <w:tr>
        <w:trPr>
          <w:trHeight w:val="233"/>
        </w:trPr>
        <w:tc>
          <w:tcPr>
            <w:tcW w:w="11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440" w:type="dxa"/>
            <w:vAlign w:val="bottom"/>
            <w:tcBorders>
              <w:bottom w:val="single" w:sz="8" w:color="auto"/>
            </w:tcBorders>
            <w:gridSpan w:val="2"/>
          </w:tcPr>
          <w:p>
            <w:pPr>
              <w:jc w:val="right"/>
              <w:spacing w:after="0" w:line="233" w:lineRule="exact"/>
              <w:rPr>
                <w:sz w:val="20"/>
                <w:szCs w:val="20"/>
                <w:color w:val="auto"/>
              </w:rPr>
            </w:pPr>
            <w:r>
              <w:rPr>
                <w:rFonts w:ascii="Arial" w:cs="Arial" w:eastAsia="Arial" w:hAnsi="Arial"/>
                <w:sz w:val="22"/>
                <w:szCs w:val="22"/>
                <w:b w:val="1"/>
                <w:bCs w:val="1"/>
                <w:color w:val="auto"/>
                <w:w w:val="79"/>
              </w:rPr>
              <w:t>Page</w:t>
            </w:r>
          </w:p>
        </w:tc>
      </w:tr>
      <w:tr>
        <w:trPr>
          <w:trHeight w:val="618"/>
        </w:trPr>
        <w:tc>
          <w:tcPr>
            <w:tcW w:w="8680" w:type="dxa"/>
            <w:vAlign w:val="bottom"/>
            <w:gridSpan w:val="3"/>
          </w:tcPr>
          <w:p>
            <w:pPr>
              <w:spacing w:after="0"/>
              <w:rPr>
                <w:sz w:val="20"/>
                <w:szCs w:val="20"/>
                <w:color w:val="auto"/>
              </w:rPr>
            </w:pPr>
            <w:r>
              <w:rPr>
                <w:rFonts w:ascii="Arial" w:cs="Arial" w:eastAsia="Arial" w:hAnsi="Arial"/>
                <w:sz w:val="20"/>
                <w:szCs w:val="20"/>
                <w:color w:val="auto"/>
                <w:highlight w:val="white"/>
              </w:rPr>
              <w:t>ARTICLE I - CORPORATE OFFICES</w:t>
            </w:r>
          </w:p>
        </w:tc>
        <w:tc>
          <w:tcPr>
            <w:tcW w:w="2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15"/>
        </w:trPr>
        <w:tc>
          <w:tcPr>
            <w:tcW w:w="1120" w:type="dxa"/>
            <w:vAlign w:val="bottom"/>
          </w:tcPr>
          <w:p>
            <w:pPr>
              <w:ind w:left="640"/>
              <w:spacing w:after="0"/>
              <w:rPr>
                <w:sz w:val="20"/>
                <w:szCs w:val="20"/>
                <w:color w:val="auto"/>
              </w:rPr>
            </w:pPr>
            <w:r>
              <w:rPr>
                <w:rFonts w:ascii="Arial" w:cs="Arial" w:eastAsia="Arial" w:hAnsi="Arial"/>
                <w:sz w:val="20"/>
                <w:szCs w:val="20"/>
                <w:color w:val="auto"/>
              </w:rPr>
              <w:t>1.1</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REGISTERED OFFICE</w:t>
            </w:r>
          </w:p>
        </w:tc>
        <w:tc>
          <w:tcPr>
            <w:tcW w:w="2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rPr>
              <w:t>1.2</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OTHER OFFICES</w:t>
            </w:r>
          </w:p>
        </w:tc>
        <w:tc>
          <w:tcPr>
            <w:tcW w:w="2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8"/>
        </w:trPr>
        <w:tc>
          <w:tcPr>
            <w:tcW w:w="8680" w:type="dxa"/>
            <w:vAlign w:val="bottom"/>
            <w:gridSpan w:val="3"/>
          </w:tcPr>
          <w:p>
            <w:pPr>
              <w:spacing w:after="0"/>
              <w:rPr>
                <w:sz w:val="20"/>
                <w:szCs w:val="20"/>
                <w:color w:val="auto"/>
              </w:rPr>
            </w:pPr>
            <w:r>
              <w:rPr>
                <w:rFonts w:ascii="Arial" w:cs="Arial" w:eastAsia="Arial" w:hAnsi="Arial"/>
                <w:sz w:val="20"/>
                <w:szCs w:val="20"/>
                <w:color w:val="auto"/>
                <w:highlight w:val="white"/>
              </w:rPr>
              <w:t>ARTICLE II - MEETINGS OF STOCKHOLDERS</w:t>
            </w:r>
          </w:p>
        </w:tc>
        <w:tc>
          <w:tcPr>
            <w:tcW w:w="2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15"/>
        </w:trPr>
        <w:tc>
          <w:tcPr>
            <w:tcW w:w="1120" w:type="dxa"/>
            <w:vAlign w:val="bottom"/>
          </w:tcPr>
          <w:p>
            <w:pPr>
              <w:ind w:left="640"/>
              <w:spacing w:after="0"/>
              <w:rPr>
                <w:sz w:val="20"/>
                <w:szCs w:val="20"/>
                <w:color w:val="auto"/>
              </w:rPr>
            </w:pPr>
            <w:r>
              <w:rPr>
                <w:rFonts w:ascii="Arial" w:cs="Arial" w:eastAsia="Arial" w:hAnsi="Arial"/>
                <w:sz w:val="20"/>
                <w:szCs w:val="20"/>
                <w:color w:val="auto"/>
              </w:rPr>
              <w:t>2.1</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PLACE OF MEETINGS</w:t>
            </w:r>
          </w:p>
        </w:tc>
        <w:tc>
          <w:tcPr>
            <w:tcW w:w="2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2.2</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ANNUAL MEETING</w:t>
            </w:r>
          </w:p>
        </w:tc>
        <w:tc>
          <w:tcPr>
            <w:tcW w:w="2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2.3</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SPECIAL MEETING</w:t>
            </w:r>
          </w:p>
        </w:tc>
        <w:tc>
          <w:tcPr>
            <w:tcW w:w="2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2.4</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w w:val="94"/>
              </w:rPr>
              <w:t>ADVANCE NOTICE PROCEDURES FOR BUSINESS BROUGHT BEFORE A MEETING</w:t>
            </w:r>
          </w:p>
        </w:tc>
        <w:tc>
          <w:tcPr>
            <w:tcW w:w="2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2.5</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ADVANCE NOTICE PROCEDURES FOR NOMINATIONS OF DIRECTORS</w:t>
            </w:r>
          </w:p>
        </w:tc>
        <w:tc>
          <w:tcPr>
            <w:tcW w:w="2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2.6</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NOTICE OF STOCKHOLDERS’ MEETINGS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13</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2.7</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MANNER OF GIVING NOTICE; AFFIDAVIT OF NOTICE</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13</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2.8</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QUORUM</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14</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2.9</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ADJOURNED MEETING; NOTICE</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14</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2.10</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CONDUCT OF BUSINESS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14</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2.11</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VOTING</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15</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2.12</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STOCKHOLDER ACTION BY WRITTEN CONSENT WITHOUT A MEETING</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16</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2.13</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RECORD DATE FOR STOCKHOLDER NOTICE; VOTING</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16</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2.14</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PROXIES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16</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2.15</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LIST OF STOCKHOLDERS ENTITLED TO VOTE</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17</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2.16</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POSTPONEMENT, ADJOURNMENT AND CANCELLATION OF MEETING.</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17</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2.17</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INSPECTORS OF ELECTION</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17</w:t>
            </w:r>
          </w:p>
        </w:tc>
      </w:tr>
      <w:tr>
        <w:trPr>
          <w:trHeight w:val="337"/>
        </w:trPr>
        <w:tc>
          <w:tcPr>
            <w:tcW w:w="8680" w:type="dxa"/>
            <w:vAlign w:val="bottom"/>
            <w:gridSpan w:val="3"/>
          </w:tcPr>
          <w:p>
            <w:pPr>
              <w:spacing w:after="0"/>
              <w:rPr>
                <w:sz w:val="20"/>
                <w:szCs w:val="20"/>
                <w:color w:val="auto"/>
              </w:rPr>
            </w:pPr>
            <w:r>
              <w:rPr>
                <w:rFonts w:ascii="Arial" w:cs="Arial" w:eastAsia="Arial" w:hAnsi="Arial"/>
                <w:sz w:val="20"/>
                <w:szCs w:val="20"/>
                <w:color w:val="auto"/>
                <w:highlight w:val="white"/>
              </w:rPr>
              <w:t>ARTICLE III - DIRECTORS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18</w:t>
            </w:r>
          </w:p>
        </w:tc>
      </w:tr>
      <w:tr>
        <w:trPr>
          <w:trHeight w:val="315"/>
        </w:trPr>
        <w:tc>
          <w:tcPr>
            <w:tcW w:w="1120" w:type="dxa"/>
            <w:vAlign w:val="bottom"/>
          </w:tcPr>
          <w:p>
            <w:pPr>
              <w:ind w:left="640"/>
              <w:spacing w:after="0"/>
              <w:rPr>
                <w:sz w:val="20"/>
                <w:szCs w:val="20"/>
                <w:color w:val="auto"/>
              </w:rPr>
            </w:pPr>
            <w:r>
              <w:rPr>
                <w:rFonts w:ascii="Arial" w:cs="Arial" w:eastAsia="Arial" w:hAnsi="Arial"/>
                <w:sz w:val="20"/>
                <w:szCs w:val="20"/>
                <w:color w:val="auto"/>
              </w:rPr>
              <w:t>3.1</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POWERS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18</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3.2</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NUMBER OF DIRECTORS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18</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3.3</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ELECTION, QUALIFICATION AND TERM OF OFFICE OF DIRECTORS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18</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3.4</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RESIGNATION AND VACANCIES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18</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3.5</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PLACE OF MEETINGS; MEETINGS BY TELEPHONE</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19</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3.6</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REGULAR MEETINGS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19</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3.7</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SPECIAL MEETINGS; NOTICE</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19</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3.8</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QUORUM</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20</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3.9</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BOARD ACTION BY CONSENT WITHOUT A MEETING</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20</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3.10</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FEES AND COMPENSATION OF DIRECTORS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21</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3.11</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highlight w:val="white"/>
              </w:rPr>
              <w:t>REMOVAL OF DIRECTORS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21</w:t>
            </w:r>
          </w:p>
        </w:tc>
      </w:tr>
      <w:tr>
        <w:trPr>
          <w:trHeight w:val="338"/>
        </w:trPr>
        <w:tc>
          <w:tcPr>
            <w:tcW w:w="8680" w:type="dxa"/>
            <w:vAlign w:val="bottom"/>
            <w:gridSpan w:val="3"/>
          </w:tcPr>
          <w:p>
            <w:pPr>
              <w:spacing w:after="0"/>
              <w:rPr>
                <w:sz w:val="20"/>
                <w:szCs w:val="20"/>
                <w:color w:val="auto"/>
              </w:rPr>
            </w:pPr>
            <w:r>
              <w:rPr>
                <w:rFonts w:ascii="Arial" w:cs="Arial" w:eastAsia="Arial" w:hAnsi="Arial"/>
                <w:sz w:val="20"/>
                <w:szCs w:val="20"/>
                <w:color w:val="auto"/>
                <w:highlight w:val="white"/>
              </w:rPr>
              <w:t>ARTICLE IV - COMMITTEES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21</w:t>
            </w:r>
          </w:p>
        </w:tc>
      </w:tr>
      <w:tr>
        <w:trPr>
          <w:trHeight w:val="315"/>
        </w:trPr>
        <w:tc>
          <w:tcPr>
            <w:tcW w:w="1120" w:type="dxa"/>
            <w:vAlign w:val="bottom"/>
          </w:tcPr>
          <w:p>
            <w:pPr>
              <w:ind w:left="640"/>
              <w:spacing w:after="0"/>
              <w:rPr>
                <w:sz w:val="20"/>
                <w:szCs w:val="20"/>
                <w:color w:val="auto"/>
              </w:rPr>
            </w:pPr>
            <w:r>
              <w:rPr>
                <w:rFonts w:ascii="Arial" w:cs="Arial" w:eastAsia="Arial" w:hAnsi="Arial"/>
                <w:sz w:val="20"/>
                <w:szCs w:val="20"/>
                <w:color w:val="auto"/>
              </w:rPr>
              <w:t>4.1</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COMMITTEES OF DIRECTORS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21</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4.2</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COMMITTEE MINUTES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21</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rPr>
              <w:t>4.3</w:t>
            </w:r>
          </w:p>
        </w:tc>
        <w:tc>
          <w:tcPr>
            <w:tcW w:w="7560" w:type="dxa"/>
            <w:vAlign w:val="bottom"/>
            <w:gridSpan w:val="2"/>
          </w:tcPr>
          <w:p>
            <w:pPr>
              <w:ind w:left="120"/>
              <w:spacing w:after="0"/>
              <w:rPr>
                <w:sz w:val="20"/>
                <w:szCs w:val="20"/>
                <w:color w:val="auto"/>
              </w:rPr>
            </w:pPr>
            <w:r>
              <w:rPr>
                <w:rFonts w:ascii="Arial" w:cs="Arial" w:eastAsia="Arial" w:hAnsi="Arial"/>
                <w:sz w:val="20"/>
                <w:szCs w:val="20"/>
                <w:color w:val="auto"/>
              </w:rPr>
              <w:t>MEETINGS AND ACTION OF COMMITTEES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-5770880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-5770880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-5770880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-5770880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-5770880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-5770880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-5770880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-5770880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-5770880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-5770880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-5770880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-5770880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-5770880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-5770880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-5770880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-5770880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-5770880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-5770880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-5770880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-5770880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-5770880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-5770880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-5770880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-5770880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-5770880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-5770880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-5770880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-5770880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-5770880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-5770880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-5770880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-5770880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-5770880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-5770880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-5770880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-5770880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-5770880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-5770880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-5770880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-5770880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-5770880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-5770880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-5770880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-5770880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-5770880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-5770880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-5770880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-5770880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-5770880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-5770880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-5770880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-5770880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-5770880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-5770880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-5770880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-5770880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-5770880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-5770880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-5770880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-5770880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-5770880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-5770880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-5770880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-5770880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-5770880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-5770880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-5770880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-5770880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-5770880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-5770880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-5770880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-5770880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-5770880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-5770880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-5770880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-5770880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-5770880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-5770880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-5770880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-5770880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-5770880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-5770880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-5770880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-5770880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-5770880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-5770880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-5770880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-5770880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-5770880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-5770880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-5770880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-5770880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-5770880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-5770880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-5770880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-5770880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-5770880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-5770880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-5770880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-5770880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-5770880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-5770880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-5770880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-5770880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-5770880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-5770880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-5770880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-5770880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-5770880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-5770880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-5770880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-5770880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-5770880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-5770880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-5770880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-5770880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-5770880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-5770880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-5770880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-5770880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-5770880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-5770880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-5770880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-5770880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-5770880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-5770880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-5770880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-5770880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-5770880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-5770880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-5770880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-5770880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-5770880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-5770880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-5770880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-5770880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-5770880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-5770880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-5770880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-5770880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-5770880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-5770880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-5770880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-5770880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-5770880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-5770880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-5770880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-5770880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-5770880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-5770880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-5770880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-5770880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-5770880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-5770880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-5770880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-5770880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-5770880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-5770880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-5770880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-5770880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-5770880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-5770880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-5770880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-5770880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-5770880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-5770880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-5770880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-5770880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-5770880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-5770880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-5770880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-5770880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-5770880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-5770880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-5770880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-5770880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-5770880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-5770880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-5770880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-5770880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-5770880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-5770880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-5770880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-5770880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-5770880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-5770880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-5770880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-5770880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-5770880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-5770880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-5770880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-5770880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-5770880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-5770880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-5770880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-5770880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-5770880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-5770880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-5770880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-5770880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-5770880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-5770880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-5770880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-5770880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-5770880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-5770880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-5770880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-5770880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-5770880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-5770880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-5770880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-5770880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-5770880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-5770880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-5770880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-5770880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-5770880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-5770880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-5770880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-5770880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-5770880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-5770880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-5770880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-5770880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-5770880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-5770880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-5770880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-5770880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-5770880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-5770880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-5770880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-5770880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-5770880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-5770880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-5770880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-5770880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-5770880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-5770880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-5770880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-5770880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-5770880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-5770880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-5770880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-5770880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-5770880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-5770880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-5770880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-5770880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-5770880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-5770880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-5770880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-5770880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-5770880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-5770880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-5770880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-5770880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-5770880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-5770880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-5770880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-5770880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-5770880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-5770880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-5770880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-5770880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-5770880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-5770880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-5770880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-5770880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-5770880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-5770880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-5770880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-5770880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-5770880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-5770880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-5770880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-5770880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-5770880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-5770880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-5770880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-5770880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-5770880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-5770880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-5770880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-5770880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-5770880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-5770880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-5770880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-5770880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-5770880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-5770880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-5770880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-5770880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-5770880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-5770880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-5770880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-5770880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-5770880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-5770880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-5770880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-5770880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-5873750</wp:posOffset>
            </wp:positionV>
            <wp:extent cx="5254625" cy="5871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5254625" cy="5871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-5873750</wp:posOffset>
            </wp:positionV>
            <wp:extent cx="5254625" cy="5871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5254625" cy="5871845"/>
                    </a:xfrm>
                    <a:prstGeom prst="rect">
                      <a:avLst/>
                    </a:prstGeom>
                    <a:noFill/>
                  </pic:spPr>
                </pic:pic>
              </a:graphicData>
            </a:graphic>
          </wp:anchor>
        </w:drawing>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66610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120"/>
          </w:cols>
          <w:pgMar w:left="1440" w:top="895" w:right="1339" w:bottom="1440" w:gutter="0" w:footer="0" w:header="0"/>
        </w:sectPr>
      </w:pPr>
    </w:p>
    <w:bookmarkStart w:id="112" w:name="page113"/>
    <w:bookmarkEnd w:id="112"/>
    <w:p>
      <w:pPr>
        <w:jc w:val="center"/>
        <w:ind w:right="-219"/>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(continued)</w:t>
      </w:r>
    </w:p>
    <w:tbl>
      <w:tblPr>
        <w:tblLayout w:type="fixed"/>
        <w:tblInd w:w="2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20"/>
                <w:szCs w:val="20"/>
                <w:b w:val="1"/>
                <w:bCs w:val="1"/>
                <w:color w:val="auto"/>
                <w:w w:val="79"/>
              </w:rPr>
              <w:t>Page</w:t>
            </w:r>
          </w:p>
        </w:tc>
      </w:tr>
      <w:tr>
        <w:trPr>
          <w:trHeight w:val="484"/>
        </w:trPr>
        <w:tc>
          <w:tcPr>
            <w:tcW w:w="8500" w:type="dxa"/>
            <w:vAlign w:val="bottom"/>
            <w:gridSpan w:val="2"/>
          </w:tcPr>
          <w:p>
            <w:pPr>
              <w:spacing w:after="0"/>
              <w:rPr>
                <w:sz w:val="20"/>
                <w:szCs w:val="20"/>
                <w:color w:val="auto"/>
              </w:rPr>
            </w:pPr>
            <w:r>
              <w:rPr>
                <w:rFonts w:ascii="Arial" w:cs="Arial" w:eastAsia="Arial" w:hAnsi="Arial"/>
                <w:sz w:val="20"/>
                <w:szCs w:val="20"/>
                <w:color w:val="auto"/>
                <w:highlight w:val="white"/>
              </w:rPr>
              <w:t>ARTICLE V - OFFICERS</w:t>
            </w:r>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15"/>
        </w:trPr>
        <w:tc>
          <w:tcPr>
            <w:tcW w:w="1120" w:type="dxa"/>
            <w:vAlign w:val="bottom"/>
          </w:tcPr>
          <w:p>
            <w:pPr>
              <w:ind w:left="640"/>
              <w:spacing w:after="0"/>
              <w:rPr>
                <w:sz w:val="20"/>
                <w:szCs w:val="20"/>
                <w:color w:val="auto"/>
              </w:rPr>
            </w:pPr>
            <w:r>
              <w:rPr>
                <w:rFonts w:ascii="Arial" w:cs="Arial" w:eastAsia="Arial" w:hAnsi="Arial"/>
                <w:sz w:val="20"/>
                <w:szCs w:val="20"/>
                <w:color w:val="auto"/>
              </w:rPr>
              <w:t>5.1</w:t>
            </w:r>
          </w:p>
        </w:tc>
        <w:tc>
          <w:tcPr>
            <w:tcW w:w="7380" w:type="dxa"/>
            <w:vAlign w:val="bottom"/>
          </w:tcPr>
          <w:p>
            <w:pPr>
              <w:ind w:left="120"/>
              <w:spacing w:after="0"/>
              <w:rPr>
                <w:sz w:val="20"/>
                <w:szCs w:val="20"/>
                <w:color w:val="auto"/>
              </w:rPr>
            </w:pPr>
            <w:r>
              <w:rPr>
                <w:rFonts w:ascii="Arial" w:cs="Arial" w:eastAsia="Arial" w:hAnsi="Arial"/>
                <w:sz w:val="20"/>
                <w:szCs w:val="20"/>
                <w:color w:val="auto"/>
              </w:rPr>
              <w:t>OFFICERS</w:t>
            </w:r>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5.2</w:t>
            </w:r>
          </w:p>
        </w:tc>
        <w:tc>
          <w:tcPr>
            <w:tcW w:w="7380" w:type="dxa"/>
            <w:vAlign w:val="bottom"/>
          </w:tcPr>
          <w:p>
            <w:pPr>
              <w:ind w:left="120"/>
              <w:spacing w:after="0"/>
              <w:rPr>
                <w:sz w:val="20"/>
                <w:szCs w:val="20"/>
                <w:color w:val="auto"/>
              </w:rPr>
            </w:pPr>
            <w:r>
              <w:rPr>
                <w:rFonts w:ascii="Arial" w:cs="Arial" w:eastAsia="Arial" w:hAnsi="Arial"/>
                <w:sz w:val="20"/>
                <w:szCs w:val="20"/>
                <w:color w:val="auto"/>
              </w:rPr>
              <w:t>APPOINTMENT OF OFFICERS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5.3</w:t>
            </w:r>
          </w:p>
        </w:tc>
        <w:tc>
          <w:tcPr>
            <w:tcW w:w="7380" w:type="dxa"/>
            <w:vAlign w:val="bottom"/>
          </w:tcPr>
          <w:p>
            <w:pPr>
              <w:ind w:left="120"/>
              <w:spacing w:after="0"/>
              <w:rPr>
                <w:sz w:val="20"/>
                <w:szCs w:val="20"/>
                <w:color w:val="auto"/>
              </w:rPr>
            </w:pPr>
            <w:r>
              <w:rPr>
                <w:rFonts w:ascii="Arial" w:cs="Arial" w:eastAsia="Arial" w:hAnsi="Arial"/>
                <w:sz w:val="20"/>
                <w:szCs w:val="20"/>
                <w:color w:val="auto"/>
              </w:rPr>
              <w:t>SUBORDINATE OFFICERS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5.4</w:t>
            </w:r>
          </w:p>
        </w:tc>
        <w:tc>
          <w:tcPr>
            <w:tcW w:w="7380" w:type="dxa"/>
            <w:vAlign w:val="bottom"/>
          </w:tcPr>
          <w:p>
            <w:pPr>
              <w:ind w:left="120"/>
              <w:spacing w:after="0"/>
              <w:rPr>
                <w:sz w:val="20"/>
                <w:szCs w:val="20"/>
                <w:color w:val="auto"/>
              </w:rPr>
            </w:pPr>
            <w:r>
              <w:rPr>
                <w:rFonts w:ascii="Arial" w:cs="Arial" w:eastAsia="Arial" w:hAnsi="Arial"/>
                <w:sz w:val="20"/>
                <w:szCs w:val="20"/>
                <w:color w:val="auto"/>
              </w:rPr>
              <w:t>REMOVAL AND RESIGNATION OF OFFICERS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5.5</w:t>
            </w:r>
          </w:p>
        </w:tc>
        <w:tc>
          <w:tcPr>
            <w:tcW w:w="7380" w:type="dxa"/>
            <w:vAlign w:val="bottom"/>
          </w:tcPr>
          <w:p>
            <w:pPr>
              <w:ind w:left="120"/>
              <w:spacing w:after="0"/>
              <w:rPr>
                <w:sz w:val="20"/>
                <w:szCs w:val="20"/>
                <w:color w:val="auto"/>
              </w:rPr>
            </w:pPr>
            <w:r>
              <w:rPr>
                <w:rFonts w:ascii="Arial" w:cs="Arial" w:eastAsia="Arial" w:hAnsi="Arial"/>
                <w:sz w:val="20"/>
                <w:szCs w:val="20"/>
                <w:color w:val="auto"/>
              </w:rPr>
              <w:t>VACANCIES IN OFFICES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5.6</w:t>
            </w:r>
          </w:p>
        </w:tc>
        <w:tc>
          <w:tcPr>
            <w:tcW w:w="7380" w:type="dxa"/>
            <w:vAlign w:val="bottom"/>
          </w:tcPr>
          <w:p>
            <w:pPr>
              <w:ind w:left="120"/>
              <w:spacing w:after="0"/>
              <w:rPr>
                <w:sz w:val="20"/>
                <w:szCs w:val="20"/>
                <w:color w:val="auto"/>
              </w:rPr>
            </w:pPr>
            <w:r>
              <w:rPr>
                <w:rFonts w:ascii="Arial" w:cs="Arial" w:eastAsia="Arial" w:hAnsi="Arial"/>
                <w:sz w:val="20"/>
                <w:szCs w:val="20"/>
                <w:color w:val="auto"/>
              </w:rPr>
              <w:t>REPRESENTATION OF SHARES OF OTHER ENTITIES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rPr>
              <w:t>5.7</w:t>
            </w:r>
          </w:p>
        </w:tc>
        <w:tc>
          <w:tcPr>
            <w:tcW w:w="7380" w:type="dxa"/>
            <w:vAlign w:val="bottom"/>
          </w:tcPr>
          <w:p>
            <w:pPr>
              <w:ind w:left="120"/>
              <w:spacing w:after="0"/>
              <w:rPr>
                <w:sz w:val="20"/>
                <w:szCs w:val="20"/>
                <w:color w:val="auto"/>
              </w:rPr>
            </w:pPr>
            <w:r>
              <w:rPr>
                <w:rFonts w:ascii="Arial" w:cs="Arial" w:eastAsia="Arial" w:hAnsi="Arial"/>
                <w:sz w:val="20"/>
                <w:szCs w:val="20"/>
                <w:color w:val="auto"/>
              </w:rPr>
              <w:t>AUTHORITY AND DUTIES OF OFFICERS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38"/>
        </w:trPr>
        <w:tc>
          <w:tcPr>
            <w:tcW w:w="8500" w:type="dxa"/>
            <w:vAlign w:val="bottom"/>
            <w:gridSpan w:val="2"/>
          </w:tcPr>
          <w:p>
            <w:pPr>
              <w:spacing w:after="0"/>
              <w:rPr>
                <w:sz w:val="20"/>
                <w:szCs w:val="20"/>
                <w:color w:val="auto"/>
              </w:rPr>
            </w:pPr>
            <w:r>
              <w:rPr>
                <w:rFonts w:ascii="Arial" w:cs="Arial" w:eastAsia="Arial" w:hAnsi="Arial"/>
                <w:sz w:val="20"/>
                <w:szCs w:val="20"/>
                <w:color w:val="auto"/>
                <w:highlight w:val="white"/>
              </w:rPr>
              <w:t>ARTICLE VI - RECORDS AND REPORTS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38"/>
        </w:trPr>
        <w:tc>
          <w:tcPr>
            <w:tcW w:w="1120" w:type="dxa"/>
            <w:vAlign w:val="bottom"/>
          </w:tcPr>
          <w:p>
            <w:pPr>
              <w:ind w:left="640"/>
              <w:spacing w:after="0"/>
              <w:rPr>
                <w:sz w:val="20"/>
                <w:szCs w:val="20"/>
                <w:color w:val="auto"/>
              </w:rPr>
            </w:pPr>
            <w:r>
              <w:rPr>
                <w:rFonts w:ascii="Arial" w:cs="Arial" w:eastAsia="Arial" w:hAnsi="Arial"/>
                <w:sz w:val="20"/>
                <w:szCs w:val="20"/>
                <w:color w:val="auto"/>
              </w:rPr>
              <w:t>6.1</w:t>
            </w:r>
          </w:p>
        </w:tc>
        <w:tc>
          <w:tcPr>
            <w:tcW w:w="7380" w:type="dxa"/>
            <w:vAlign w:val="bottom"/>
          </w:tcPr>
          <w:p>
            <w:pPr>
              <w:ind w:left="120"/>
              <w:spacing w:after="0"/>
              <w:rPr>
                <w:sz w:val="20"/>
                <w:szCs w:val="20"/>
                <w:color w:val="auto"/>
              </w:rPr>
            </w:pPr>
            <w:r>
              <w:rPr>
                <w:rFonts w:ascii="Arial" w:cs="Arial" w:eastAsia="Arial" w:hAnsi="Arial"/>
                <w:sz w:val="20"/>
                <w:szCs w:val="20"/>
                <w:color w:val="auto"/>
              </w:rPr>
              <w:t>MAINTENANCE OF RECORDS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38"/>
        </w:trPr>
        <w:tc>
          <w:tcPr>
            <w:tcW w:w="8500" w:type="dxa"/>
            <w:vAlign w:val="bottom"/>
            <w:gridSpan w:val="2"/>
          </w:tcPr>
          <w:p>
            <w:pPr>
              <w:spacing w:after="0"/>
              <w:rPr>
                <w:sz w:val="20"/>
                <w:szCs w:val="20"/>
                <w:color w:val="auto"/>
              </w:rPr>
            </w:pPr>
            <w:r>
              <w:rPr>
                <w:rFonts w:ascii="Arial" w:cs="Arial" w:eastAsia="Arial" w:hAnsi="Arial"/>
                <w:sz w:val="20"/>
                <w:szCs w:val="20"/>
                <w:color w:val="auto"/>
                <w:highlight w:val="white"/>
              </w:rPr>
              <w:t>ARTICLE VII - GENERAL MATTERS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15"/>
        </w:trPr>
        <w:tc>
          <w:tcPr>
            <w:tcW w:w="1120" w:type="dxa"/>
            <w:vAlign w:val="bottom"/>
          </w:tcPr>
          <w:p>
            <w:pPr>
              <w:ind w:left="640"/>
              <w:spacing w:after="0"/>
              <w:rPr>
                <w:sz w:val="20"/>
                <w:szCs w:val="20"/>
                <w:color w:val="auto"/>
              </w:rPr>
            </w:pPr>
            <w:r>
              <w:rPr>
                <w:rFonts w:ascii="Arial" w:cs="Arial" w:eastAsia="Arial" w:hAnsi="Arial"/>
                <w:sz w:val="20"/>
                <w:szCs w:val="20"/>
                <w:color w:val="auto"/>
              </w:rPr>
              <w:t>7.1</w:t>
            </w:r>
          </w:p>
        </w:tc>
        <w:tc>
          <w:tcPr>
            <w:tcW w:w="7380" w:type="dxa"/>
            <w:vAlign w:val="bottom"/>
          </w:tcPr>
          <w:p>
            <w:pPr>
              <w:ind w:left="120"/>
              <w:spacing w:after="0"/>
              <w:rPr>
                <w:sz w:val="20"/>
                <w:szCs w:val="20"/>
                <w:color w:val="auto"/>
              </w:rPr>
            </w:pPr>
            <w:r>
              <w:rPr>
                <w:rFonts w:ascii="Arial" w:cs="Arial" w:eastAsia="Arial" w:hAnsi="Arial"/>
                <w:sz w:val="20"/>
                <w:szCs w:val="20"/>
                <w:color w:val="auto"/>
              </w:rPr>
              <w:t>EXECUTION OF CORPORATE CONTRACTS AND INSTRUMENTS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7.2</w:t>
            </w:r>
          </w:p>
        </w:tc>
        <w:tc>
          <w:tcPr>
            <w:tcW w:w="7380" w:type="dxa"/>
            <w:vAlign w:val="bottom"/>
          </w:tcPr>
          <w:p>
            <w:pPr>
              <w:ind w:left="120"/>
              <w:spacing w:after="0"/>
              <w:rPr>
                <w:sz w:val="20"/>
                <w:szCs w:val="20"/>
                <w:color w:val="auto"/>
              </w:rPr>
            </w:pPr>
            <w:r>
              <w:rPr>
                <w:rFonts w:ascii="Arial" w:cs="Arial" w:eastAsia="Arial" w:hAnsi="Arial"/>
                <w:sz w:val="20"/>
                <w:szCs w:val="20"/>
                <w:color w:val="auto"/>
              </w:rPr>
              <w:t>STOCK CERTIFICATES; PARTLY PAID SHARES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7.3</w:t>
            </w:r>
          </w:p>
        </w:tc>
        <w:tc>
          <w:tcPr>
            <w:tcW w:w="7380" w:type="dxa"/>
            <w:vAlign w:val="bottom"/>
          </w:tcPr>
          <w:p>
            <w:pPr>
              <w:ind w:left="120"/>
              <w:spacing w:after="0"/>
              <w:rPr>
                <w:sz w:val="20"/>
                <w:szCs w:val="20"/>
                <w:color w:val="auto"/>
              </w:rPr>
            </w:pPr>
            <w:r>
              <w:rPr>
                <w:rFonts w:ascii="Arial" w:cs="Arial" w:eastAsia="Arial" w:hAnsi="Arial"/>
                <w:sz w:val="20"/>
                <w:szCs w:val="20"/>
                <w:color w:val="auto"/>
              </w:rPr>
              <w:t>MULTIPLES CLASSES OR SERIES OF STOCK</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7.4</w:t>
            </w:r>
          </w:p>
        </w:tc>
        <w:tc>
          <w:tcPr>
            <w:tcW w:w="7380" w:type="dxa"/>
            <w:vAlign w:val="bottom"/>
          </w:tcPr>
          <w:p>
            <w:pPr>
              <w:ind w:left="120"/>
              <w:spacing w:after="0"/>
              <w:rPr>
                <w:sz w:val="20"/>
                <w:szCs w:val="20"/>
                <w:color w:val="auto"/>
              </w:rPr>
            </w:pPr>
            <w:r>
              <w:rPr>
                <w:rFonts w:ascii="Arial" w:cs="Arial" w:eastAsia="Arial" w:hAnsi="Arial"/>
                <w:sz w:val="20"/>
                <w:szCs w:val="20"/>
                <w:color w:val="auto"/>
              </w:rPr>
              <w:t>LOST CERTIFICATES</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7.5</w:t>
            </w:r>
          </w:p>
        </w:tc>
        <w:tc>
          <w:tcPr>
            <w:tcW w:w="7380" w:type="dxa"/>
            <w:vAlign w:val="bottom"/>
          </w:tcPr>
          <w:p>
            <w:pPr>
              <w:ind w:left="120"/>
              <w:spacing w:after="0"/>
              <w:rPr>
                <w:sz w:val="20"/>
                <w:szCs w:val="20"/>
                <w:color w:val="auto"/>
              </w:rPr>
            </w:pPr>
            <w:r>
              <w:rPr>
                <w:rFonts w:ascii="Arial" w:cs="Arial" w:eastAsia="Arial" w:hAnsi="Arial"/>
                <w:sz w:val="20"/>
                <w:szCs w:val="20"/>
                <w:color w:val="auto"/>
              </w:rPr>
              <w:t>CONSTRUCTION; DEFINITIONS</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7.6</w:t>
            </w:r>
          </w:p>
        </w:tc>
        <w:tc>
          <w:tcPr>
            <w:tcW w:w="7380" w:type="dxa"/>
            <w:vAlign w:val="bottom"/>
          </w:tcPr>
          <w:p>
            <w:pPr>
              <w:ind w:left="120"/>
              <w:spacing w:after="0"/>
              <w:rPr>
                <w:sz w:val="20"/>
                <w:szCs w:val="20"/>
                <w:color w:val="auto"/>
              </w:rPr>
            </w:pPr>
            <w:r>
              <w:rPr>
                <w:rFonts w:ascii="Arial" w:cs="Arial" w:eastAsia="Arial" w:hAnsi="Arial"/>
                <w:sz w:val="20"/>
                <w:szCs w:val="20"/>
                <w:color w:val="auto"/>
              </w:rPr>
              <w:t>DIVIDENDS</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7.7</w:t>
            </w:r>
          </w:p>
        </w:tc>
        <w:tc>
          <w:tcPr>
            <w:tcW w:w="7380" w:type="dxa"/>
            <w:vAlign w:val="bottom"/>
          </w:tcPr>
          <w:p>
            <w:pPr>
              <w:ind w:left="120"/>
              <w:spacing w:after="0"/>
              <w:rPr>
                <w:sz w:val="20"/>
                <w:szCs w:val="20"/>
                <w:color w:val="auto"/>
              </w:rPr>
            </w:pPr>
            <w:r>
              <w:rPr>
                <w:rFonts w:ascii="Arial" w:cs="Arial" w:eastAsia="Arial" w:hAnsi="Arial"/>
                <w:sz w:val="20"/>
                <w:szCs w:val="20"/>
                <w:color w:val="auto"/>
              </w:rPr>
              <w:t>FISCAL YEAR</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7.8</w:t>
            </w:r>
          </w:p>
        </w:tc>
        <w:tc>
          <w:tcPr>
            <w:tcW w:w="7380" w:type="dxa"/>
            <w:vAlign w:val="bottom"/>
          </w:tcPr>
          <w:p>
            <w:pPr>
              <w:ind w:left="120"/>
              <w:spacing w:after="0"/>
              <w:rPr>
                <w:sz w:val="20"/>
                <w:szCs w:val="20"/>
                <w:color w:val="auto"/>
              </w:rPr>
            </w:pPr>
            <w:r>
              <w:rPr>
                <w:rFonts w:ascii="Arial" w:cs="Arial" w:eastAsia="Arial" w:hAnsi="Arial"/>
                <w:sz w:val="20"/>
                <w:szCs w:val="20"/>
                <w:color w:val="auto"/>
              </w:rPr>
              <w:t>SEAL</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7.9</w:t>
            </w:r>
          </w:p>
        </w:tc>
        <w:tc>
          <w:tcPr>
            <w:tcW w:w="7380" w:type="dxa"/>
            <w:vAlign w:val="bottom"/>
          </w:tcPr>
          <w:p>
            <w:pPr>
              <w:ind w:left="120"/>
              <w:spacing w:after="0"/>
              <w:rPr>
                <w:sz w:val="20"/>
                <w:szCs w:val="20"/>
                <w:color w:val="auto"/>
              </w:rPr>
            </w:pPr>
            <w:r>
              <w:rPr>
                <w:rFonts w:ascii="Arial" w:cs="Arial" w:eastAsia="Arial" w:hAnsi="Arial"/>
                <w:sz w:val="20"/>
                <w:szCs w:val="20"/>
                <w:color w:val="auto"/>
              </w:rPr>
              <w:t>TRANSFER OF STOCK</w:t>
            </w:r>
          </w:p>
        </w:tc>
        <w:tc>
          <w:tcPr>
            <w:tcW w:w="4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7.10</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STOCK TRANSFER AGREEMENTS</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7.11</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REGISTERED STOCKHOLDERS</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7.12</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WAIVER OF NOTICE</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38"/>
        </w:trPr>
        <w:tc>
          <w:tcPr>
            <w:tcW w:w="8500" w:type="dxa"/>
            <w:vAlign w:val="bottom"/>
            <w:gridSpan w:val="2"/>
          </w:tcPr>
          <w:p>
            <w:pPr>
              <w:spacing w:after="0"/>
              <w:rPr>
                <w:sz w:val="20"/>
                <w:szCs w:val="20"/>
                <w:color w:val="auto"/>
              </w:rPr>
            </w:pPr>
            <w:r>
              <w:rPr>
                <w:rFonts w:ascii="Arial" w:cs="Arial" w:eastAsia="Arial" w:hAnsi="Arial"/>
                <w:sz w:val="20"/>
                <w:szCs w:val="20"/>
                <w:color w:val="auto"/>
                <w:highlight w:val="white"/>
              </w:rPr>
              <w:t>ARTICLE VIII - NOTICE BY ELECTRONIC TRANSMISSION</w:t>
            </w:r>
          </w:p>
        </w:tc>
        <w:tc>
          <w:tcPr>
            <w:tcW w:w="4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315"/>
        </w:trPr>
        <w:tc>
          <w:tcPr>
            <w:tcW w:w="1120" w:type="dxa"/>
            <w:vAlign w:val="bottom"/>
          </w:tcPr>
          <w:p>
            <w:pPr>
              <w:ind w:left="640"/>
              <w:spacing w:after="0"/>
              <w:rPr>
                <w:sz w:val="20"/>
                <w:szCs w:val="20"/>
                <w:color w:val="auto"/>
              </w:rPr>
            </w:pPr>
            <w:r>
              <w:rPr>
                <w:rFonts w:ascii="Arial" w:cs="Arial" w:eastAsia="Arial" w:hAnsi="Arial"/>
                <w:sz w:val="20"/>
                <w:szCs w:val="20"/>
                <w:color w:val="auto"/>
              </w:rPr>
              <w:t>8.1</w:t>
            </w:r>
          </w:p>
        </w:tc>
        <w:tc>
          <w:tcPr>
            <w:tcW w:w="7380" w:type="dxa"/>
            <w:vAlign w:val="bottom"/>
          </w:tcPr>
          <w:p>
            <w:pPr>
              <w:ind w:left="120"/>
              <w:spacing w:after="0"/>
              <w:rPr>
                <w:sz w:val="20"/>
                <w:szCs w:val="20"/>
                <w:color w:val="auto"/>
              </w:rPr>
            </w:pPr>
            <w:r>
              <w:rPr>
                <w:rFonts w:ascii="Arial" w:cs="Arial" w:eastAsia="Arial" w:hAnsi="Arial"/>
                <w:sz w:val="20"/>
                <w:szCs w:val="20"/>
                <w:color w:val="auto"/>
              </w:rPr>
              <w:t>NOTICE BY ELECTRONIC TRANSMISSION</w:t>
            </w:r>
          </w:p>
        </w:tc>
        <w:tc>
          <w:tcPr>
            <w:tcW w:w="4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rPr>
              <w:t>8.2</w:t>
            </w:r>
          </w:p>
        </w:tc>
        <w:tc>
          <w:tcPr>
            <w:tcW w:w="7380" w:type="dxa"/>
            <w:vAlign w:val="bottom"/>
          </w:tcPr>
          <w:p>
            <w:pPr>
              <w:ind w:left="120"/>
              <w:spacing w:after="0"/>
              <w:rPr>
                <w:sz w:val="20"/>
                <w:szCs w:val="20"/>
                <w:color w:val="auto"/>
              </w:rPr>
            </w:pPr>
            <w:r>
              <w:rPr>
                <w:rFonts w:ascii="Arial" w:cs="Arial" w:eastAsia="Arial" w:hAnsi="Arial"/>
                <w:sz w:val="20"/>
                <w:szCs w:val="20"/>
                <w:color w:val="auto"/>
              </w:rPr>
              <w:t>DEFINITION OF ELECTRONIC TRANSMISSION</w:t>
            </w:r>
          </w:p>
        </w:tc>
        <w:tc>
          <w:tcPr>
            <w:tcW w:w="4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7"/>
        </w:trPr>
        <w:tc>
          <w:tcPr>
            <w:tcW w:w="8500" w:type="dxa"/>
            <w:vAlign w:val="bottom"/>
            <w:gridSpan w:val="2"/>
          </w:tcPr>
          <w:p>
            <w:pPr>
              <w:spacing w:after="0"/>
              <w:rPr>
                <w:sz w:val="20"/>
                <w:szCs w:val="20"/>
                <w:color w:val="auto"/>
              </w:rPr>
            </w:pPr>
            <w:r>
              <w:rPr>
                <w:rFonts w:ascii="Arial" w:cs="Arial" w:eastAsia="Arial" w:hAnsi="Arial"/>
                <w:sz w:val="20"/>
                <w:szCs w:val="20"/>
                <w:color w:val="auto"/>
                <w:highlight w:val="white"/>
              </w:rPr>
              <w:t>ARTICLE IX - INDEMNIFICATION AND ADVANCEMENT</w:t>
            </w:r>
          </w:p>
        </w:tc>
        <w:tc>
          <w:tcPr>
            <w:tcW w:w="4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17"/>
        </w:trPr>
        <w:tc>
          <w:tcPr>
            <w:tcW w:w="1120" w:type="dxa"/>
            <w:vAlign w:val="bottom"/>
          </w:tcPr>
          <w:p>
            <w:pPr>
              <w:ind w:left="640"/>
              <w:spacing w:after="0"/>
              <w:rPr>
                <w:sz w:val="20"/>
                <w:szCs w:val="20"/>
                <w:color w:val="auto"/>
              </w:rPr>
            </w:pPr>
            <w:r>
              <w:rPr>
                <w:rFonts w:ascii="Arial" w:cs="Arial" w:eastAsia="Arial" w:hAnsi="Arial"/>
                <w:sz w:val="20"/>
                <w:szCs w:val="20"/>
                <w:color w:val="auto"/>
              </w:rPr>
              <w:t>9.1</w:t>
            </w:r>
          </w:p>
        </w:tc>
        <w:tc>
          <w:tcPr>
            <w:tcW w:w="7780" w:type="dxa"/>
            <w:vAlign w:val="bottom"/>
            <w:gridSpan w:val="2"/>
          </w:tcPr>
          <w:p>
            <w:pPr>
              <w:ind w:left="120"/>
              <w:spacing w:after="0"/>
              <w:rPr>
                <w:sz w:val="20"/>
                <w:szCs w:val="20"/>
                <w:color w:val="auto"/>
              </w:rPr>
            </w:pPr>
            <w:r>
              <w:rPr>
                <w:rFonts w:ascii="Arial" w:cs="Arial" w:eastAsia="Arial" w:hAnsi="Arial"/>
                <w:sz w:val="20"/>
                <w:szCs w:val="20"/>
                <w:color w:val="auto"/>
                <w:w w:val="97"/>
              </w:rPr>
              <w:t>ACTIONS, SUITS AND PROCEEDINGS OTHER THAN BY OR IN THE RIGHT OF THE</w:t>
            </w:r>
          </w:p>
        </w:tc>
      </w:tr>
      <w:tr>
        <w:trPr>
          <w:trHeight w:val="228"/>
        </w:trPr>
        <w:tc>
          <w:tcPr>
            <w:tcW w:w="1120" w:type="dxa"/>
            <w:vAlign w:val="bottom"/>
          </w:tcPr>
          <w:p>
            <w:pPr>
              <w:spacing w:after="0"/>
              <w:rPr>
                <w:sz w:val="19"/>
                <w:szCs w:val="19"/>
                <w:color w:val="auto"/>
              </w:rPr>
            </w:pPr>
          </w:p>
        </w:tc>
        <w:tc>
          <w:tcPr>
            <w:tcW w:w="7380" w:type="dxa"/>
            <w:vAlign w:val="bottom"/>
          </w:tcPr>
          <w:p>
            <w:pPr>
              <w:ind w:left="160"/>
              <w:spacing w:after="0" w:line="229" w:lineRule="exact"/>
              <w:rPr>
                <w:sz w:val="20"/>
                <w:szCs w:val="20"/>
                <w:color w:val="auto"/>
              </w:rPr>
            </w:pPr>
            <w:r>
              <w:rPr>
                <w:rFonts w:ascii="Arial" w:cs="Arial" w:eastAsia="Arial" w:hAnsi="Arial"/>
                <w:sz w:val="20"/>
                <w:szCs w:val="20"/>
                <w:color w:val="auto"/>
                <w:highlight w:val="white"/>
              </w:rPr>
              <w:t>CORPORATION.</w:t>
            </w:r>
          </w:p>
        </w:tc>
        <w:tc>
          <w:tcPr>
            <w:tcW w:w="400" w:type="dxa"/>
            <w:vAlign w:val="bottom"/>
          </w:tcPr>
          <w:p>
            <w:pPr>
              <w:jc w:val="right"/>
              <w:spacing w:after="0" w:line="229" w:lineRule="exact"/>
              <w:rPr>
                <w:sz w:val="20"/>
                <w:szCs w:val="20"/>
                <w:color w:val="auto"/>
              </w:rPr>
            </w:pPr>
            <w:r>
              <w:rPr>
                <w:rFonts w:ascii="Arial" w:cs="Arial" w:eastAsia="Arial" w:hAnsi="Arial"/>
                <w:sz w:val="20"/>
                <w:szCs w:val="20"/>
                <w:color w:val="auto"/>
              </w:rPr>
              <w:t>29</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9.2</w:t>
            </w:r>
          </w:p>
        </w:tc>
        <w:tc>
          <w:tcPr>
            <w:tcW w:w="7380" w:type="dxa"/>
            <w:vAlign w:val="bottom"/>
          </w:tcPr>
          <w:p>
            <w:pPr>
              <w:ind w:left="120"/>
              <w:spacing w:after="0"/>
              <w:rPr>
                <w:sz w:val="20"/>
                <w:szCs w:val="20"/>
                <w:color w:val="auto"/>
              </w:rPr>
            </w:pPr>
            <w:r>
              <w:rPr>
                <w:rFonts w:ascii="Arial" w:cs="Arial" w:eastAsia="Arial" w:hAnsi="Arial"/>
                <w:sz w:val="20"/>
                <w:szCs w:val="20"/>
                <w:color w:val="auto"/>
              </w:rPr>
              <w:t>ACTIONS OR SUITS BY OR IN THE RIGHT OF THE CORPORATION.</w:t>
            </w:r>
          </w:p>
        </w:tc>
        <w:tc>
          <w:tcPr>
            <w:tcW w:w="4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9.3</w:t>
            </w:r>
          </w:p>
        </w:tc>
        <w:tc>
          <w:tcPr>
            <w:tcW w:w="7380" w:type="dxa"/>
            <w:vAlign w:val="bottom"/>
          </w:tcPr>
          <w:p>
            <w:pPr>
              <w:ind w:left="120"/>
              <w:spacing w:after="0"/>
              <w:rPr>
                <w:sz w:val="20"/>
                <w:szCs w:val="20"/>
                <w:color w:val="auto"/>
              </w:rPr>
            </w:pPr>
            <w:r>
              <w:rPr>
                <w:rFonts w:ascii="Arial" w:cs="Arial" w:eastAsia="Arial" w:hAnsi="Arial"/>
                <w:sz w:val="20"/>
                <w:szCs w:val="20"/>
                <w:color w:val="auto"/>
              </w:rPr>
              <w:t>INDEMNIFICATION FOR EXPENSES OF SUCCESSFUL PARTY.</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9.4</w:t>
            </w:r>
          </w:p>
        </w:tc>
        <w:tc>
          <w:tcPr>
            <w:tcW w:w="7380" w:type="dxa"/>
            <w:vAlign w:val="bottom"/>
          </w:tcPr>
          <w:p>
            <w:pPr>
              <w:ind w:left="120"/>
              <w:spacing w:after="0"/>
              <w:rPr>
                <w:sz w:val="20"/>
                <w:szCs w:val="20"/>
                <w:color w:val="auto"/>
              </w:rPr>
            </w:pPr>
            <w:r>
              <w:rPr>
                <w:rFonts w:ascii="Arial" w:cs="Arial" w:eastAsia="Arial" w:hAnsi="Arial"/>
                <w:sz w:val="20"/>
                <w:szCs w:val="20"/>
                <w:color w:val="auto"/>
              </w:rPr>
              <w:t>NOTIFICATION AND DEFENSE OF CLAIM.</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9.5</w:t>
            </w:r>
          </w:p>
        </w:tc>
        <w:tc>
          <w:tcPr>
            <w:tcW w:w="7380" w:type="dxa"/>
            <w:vAlign w:val="bottom"/>
          </w:tcPr>
          <w:p>
            <w:pPr>
              <w:ind w:left="120"/>
              <w:spacing w:after="0"/>
              <w:rPr>
                <w:sz w:val="20"/>
                <w:szCs w:val="20"/>
                <w:color w:val="auto"/>
              </w:rPr>
            </w:pPr>
            <w:r>
              <w:rPr>
                <w:rFonts w:ascii="Arial" w:cs="Arial" w:eastAsia="Arial" w:hAnsi="Arial"/>
                <w:sz w:val="20"/>
                <w:szCs w:val="20"/>
                <w:color w:val="auto"/>
              </w:rPr>
              <w:t>ADVANCE OF EXPENSES.</w:t>
            </w: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9.6</w:t>
            </w:r>
          </w:p>
        </w:tc>
        <w:tc>
          <w:tcPr>
            <w:tcW w:w="7380" w:type="dxa"/>
            <w:vAlign w:val="bottom"/>
          </w:tcPr>
          <w:p>
            <w:pPr>
              <w:ind w:left="120"/>
              <w:spacing w:after="0"/>
              <w:rPr>
                <w:sz w:val="20"/>
                <w:szCs w:val="20"/>
                <w:color w:val="auto"/>
              </w:rPr>
            </w:pPr>
            <w:r>
              <w:rPr>
                <w:rFonts w:ascii="Arial" w:cs="Arial" w:eastAsia="Arial" w:hAnsi="Arial"/>
                <w:sz w:val="20"/>
                <w:szCs w:val="20"/>
                <w:color w:val="auto"/>
              </w:rPr>
              <w:t>PROCEDURE FOR INDEMNIFICATION AND ADVANCEMENT OF EXPENSES.</w:t>
            </w:r>
          </w:p>
        </w:tc>
        <w:tc>
          <w:tcPr>
            <w:tcW w:w="4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rPr>
              <w:t>9.7</w:t>
            </w:r>
          </w:p>
        </w:tc>
        <w:tc>
          <w:tcPr>
            <w:tcW w:w="7380" w:type="dxa"/>
            <w:vAlign w:val="bottom"/>
          </w:tcPr>
          <w:p>
            <w:pPr>
              <w:ind w:left="120"/>
              <w:spacing w:after="0"/>
              <w:rPr>
                <w:sz w:val="20"/>
                <w:szCs w:val="20"/>
                <w:color w:val="auto"/>
              </w:rPr>
            </w:pPr>
            <w:r>
              <w:rPr>
                <w:rFonts w:ascii="Arial" w:cs="Arial" w:eastAsia="Arial" w:hAnsi="Arial"/>
                <w:sz w:val="20"/>
                <w:szCs w:val="20"/>
                <w:color w:val="auto"/>
              </w:rPr>
              <w:t>REMEDIES.</w:t>
            </w:r>
          </w:p>
        </w:tc>
        <w:tc>
          <w:tcPr>
            <w:tcW w:w="4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rPr>
              <w:t>9.8</w:t>
            </w:r>
          </w:p>
        </w:tc>
        <w:tc>
          <w:tcPr>
            <w:tcW w:w="7380" w:type="dxa"/>
            <w:vAlign w:val="bottom"/>
          </w:tcPr>
          <w:p>
            <w:pPr>
              <w:ind w:left="120"/>
              <w:spacing w:after="0"/>
              <w:rPr>
                <w:sz w:val="20"/>
                <w:szCs w:val="20"/>
                <w:color w:val="auto"/>
              </w:rPr>
            </w:pPr>
            <w:r>
              <w:rPr>
                <w:rFonts w:ascii="Arial" w:cs="Arial" w:eastAsia="Arial" w:hAnsi="Arial"/>
                <w:sz w:val="20"/>
                <w:szCs w:val="20"/>
                <w:color w:val="auto"/>
              </w:rPr>
              <w:t>LIMITATIONS.</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rPr>
              <w:t>9.9</w:t>
            </w:r>
          </w:p>
        </w:tc>
        <w:tc>
          <w:tcPr>
            <w:tcW w:w="7380" w:type="dxa"/>
            <w:vAlign w:val="bottom"/>
          </w:tcPr>
          <w:p>
            <w:pPr>
              <w:ind w:left="120"/>
              <w:spacing w:after="0"/>
              <w:rPr>
                <w:sz w:val="20"/>
                <w:szCs w:val="20"/>
                <w:color w:val="auto"/>
              </w:rPr>
            </w:pPr>
            <w:r>
              <w:rPr>
                <w:rFonts w:ascii="Arial" w:cs="Arial" w:eastAsia="Arial" w:hAnsi="Arial"/>
                <w:sz w:val="20"/>
                <w:szCs w:val="20"/>
                <w:color w:val="auto"/>
              </w:rPr>
              <w:t>SUBSEQUENT AMENDMENT.</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-5908040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-5908040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-5908040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-5908040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-5908040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-5908040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-5908040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-5908040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-5908040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-5908040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-5908040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-5908040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-5908040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-5908040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-5908040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-5908040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-5908040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-5908040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-5908040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-5908040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-5908040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-5908040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-5908040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-5908040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-5908040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-5908040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-5908040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-5908040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-5908040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-5908040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-5908040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-5908040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-5908040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-5908040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-5908040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-5908040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-5908040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-5908040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-5908040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-5908040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-5908040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-5908040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-5908040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-5908040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-5908040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-5908040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-5908040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-5908040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-5908040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-5908040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-5908040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-5908040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-5908040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-5908040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-5908040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-5908040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-5908040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-5908040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-5908040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-5908040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-5908040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-5908040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-5908040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-5908040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-5908040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-5908040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-5908040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-5908040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-5908040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-5908040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-5908040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-5908040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-5908040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-5908040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-5908040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-5908040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-5908040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-5908040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-5908040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-5908040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-5908040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-5908040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-5908040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-5908040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-5908040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-5908040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-5908040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-5908040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-5908040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-5908040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-5908040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-5908040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-5908040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-5908040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-5908040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-5908040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-5908040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-5908040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-5908040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-5908040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-5908040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-5908040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-5908040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-5908040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-5908040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-5908040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-5908040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-5908040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-5908040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-5908040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-5908040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-5908040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-5908040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-5908040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-5908040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-5908040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-5908040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-5908040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-5908040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-5908040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-5908040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-5908040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-5908040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-5908040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-5908040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-5908040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-5908040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-5908040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-5908040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-5908040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-5908040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-5908040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-5908040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-5908040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-5908040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-5908040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-5908040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-5908040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-5908040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-5908040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-5908040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-5908040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-5908040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-5908040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-5908040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-5908040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-5908040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-5908040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-5908040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-5908040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-5908040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-5908040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-5908040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-5908040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-5908040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-5908040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-5908040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-5908040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-5908040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-5908040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-5908040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-5908040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-5908040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-5908040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-5908040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-5908040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-5908040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-5908040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-5908040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-5908040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-5908040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-5908040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-5908040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-5908040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-5908040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-5908040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-5908040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-5908040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-5908040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-5908040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-5908040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-5908040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-5908040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-5908040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-5908040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-5908040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-5908040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-5908040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-5908040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-5908040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-5908040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-5908040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-5908040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-5908040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-5908040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-5908040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-5908040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-5908040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-5908040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-5908040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-5908040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-5908040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-5908040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-5908040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-5908040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-5908040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-5908040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-5908040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-5908040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-5908040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-5908040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-5908040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-5908040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-5908040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-5908040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-5908040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-5908040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-5908040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-5908040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-5908040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-5908040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-5908040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-5908040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-5908040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-5908040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-5908040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-5908040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-5908040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-5908040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-5908040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-5908040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-5908040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-5908040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-5908040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-5908040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-5908040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-5908040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-5908040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-5908040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-5908040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-5908040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-5908040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-5908040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-5908040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-5908040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-5908040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-5908040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-5908040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-5908040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-5908040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-5908040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-5908040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-5908040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-5908040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-5908040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-5908040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-5908040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-5908040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-5908040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-5908040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-5908040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-5908040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-5908040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-5908040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-5908040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-5908040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-5908040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-5908040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-5908040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-5908040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-5908040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-5908040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-5908040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-5908040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-5908040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-5908040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-5908040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-5908040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-5908040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-5908040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-5908040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-5908040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-5908040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-5908040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-5908040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-5908040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-5908040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-5908040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-5908040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-5908040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-5908040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-5908040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-5908040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-5908040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-6010910</wp:posOffset>
            </wp:positionV>
            <wp:extent cx="5254625" cy="600900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5254625" cy="600900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-6010910</wp:posOffset>
            </wp:positionV>
            <wp:extent cx="5254625" cy="600900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5254625" cy="6009005"/>
                    </a:xfrm>
                    <a:prstGeom prst="rect">
                      <a:avLst/>
                    </a:prstGeom>
                    <a:noFill/>
                  </pic:spPr>
                </pic:pic>
              </a:graphicData>
            </a:graphic>
          </wp:anchor>
        </w:drawing>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66610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120"/>
          </w:cols>
          <w:pgMar w:left="1440" w:top="657" w:right="1339" w:bottom="1440" w:gutter="0" w:footer="0" w:header="0"/>
        </w:sectPr>
      </w:pPr>
    </w:p>
    <w:bookmarkStart w:id="113" w:name="page114"/>
    <w:bookmarkEnd w:id="113"/>
    <w:p>
      <w:pPr>
        <w:jc w:val="center"/>
        <w:ind w:right="-219"/>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(continued)</w:t>
      </w:r>
    </w:p>
    <w:tbl>
      <w:tblPr>
        <w:tblLayout w:type="fixed"/>
        <w:tblInd w:w="22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4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20"/>
                <w:szCs w:val="20"/>
                <w:b w:val="1"/>
                <w:bCs w:val="1"/>
                <w:color w:val="auto"/>
                <w:w w:val="79"/>
              </w:rPr>
              <w:t>Page</w:t>
            </w:r>
          </w:p>
        </w:tc>
      </w:tr>
      <w:tr>
        <w:trPr>
          <w:trHeight w:val="461"/>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9.10</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OTHER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9.11</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PARTIAL INDEMNIFICATION.</w:t>
            </w:r>
          </w:p>
        </w:tc>
        <w:tc>
          <w:tcPr>
            <w:tcW w:w="4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30"/>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9.12</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INSURANCE.</w:t>
            </w:r>
          </w:p>
        </w:tc>
        <w:tc>
          <w:tcPr>
            <w:tcW w:w="4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29"/>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9.13</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SAVINGS CLAUSE.</w:t>
            </w:r>
          </w:p>
        </w:tc>
        <w:tc>
          <w:tcPr>
            <w:tcW w:w="4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52"/>
        </w:trPr>
        <w:tc>
          <w:tcPr>
            <w:tcW w:w="1120" w:type="dxa"/>
            <w:vAlign w:val="bottom"/>
          </w:tcPr>
          <w:p>
            <w:pPr>
              <w:ind w:left="640"/>
              <w:spacing w:after="0"/>
              <w:rPr>
                <w:sz w:val="20"/>
                <w:szCs w:val="20"/>
                <w:color w:val="auto"/>
              </w:rPr>
            </w:pPr>
            <w:r>
              <w:rPr>
                <w:rFonts w:ascii="Arial" w:cs="Arial" w:eastAsia="Arial" w:hAnsi="Arial"/>
                <w:sz w:val="20"/>
                <w:szCs w:val="20"/>
                <w:color w:val="auto"/>
                <w:highlight w:val="white"/>
              </w:rPr>
              <w:t>9.14</w:t>
            </w:r>
          </w:p>
        </w:tc>
        <w:tc>
          <w:tcPr>
            <w:tcW w:w="7380" w:type="dxa"/>
            <w:vAlign w:val="bottom"/>
          </w:tcPr>
          <w:p>
            <w:pPr>
              <w:ind w:left="120"/>
              <w:spacing w:after="0"/>
              <w:rPr>
                <w:sz w:val="20"/>
                <w:szCs w:val="20"/>
                <w:color w:val="auto"/>
              </w:rPr>
            </w:pPr>
            <w:r>
              <w:rPr>
                <w:rFonts w:ascii="Arial" w:cs="Arial" w:eastAsia="Arial" w:hAnsi="Arial"/>
                <w:sz w:val="20"/>
                <w:szCs w:val="20"/>
                <w:color w:val="auto"/>
                <w:highlight w:val="white"/>
              </w:rPr>
              <w:t>DEFINITIONS.</w:t>
            </w:r>
          </w:p>
        </w:tc>
        <w:tc>
          <w:tcPr>
            <w:tcW w:w="4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338"/>
        </w:trPr>
        <w:tc>
          <w:tcPr>
            <w:tcW w:w="8500" w:type="dxa"/>
            <w:vAlign w:val="bottom"/>
            <w:gridSpan w:val="2"/>
          </w:tcPr>
          <w:p>
            <w:pPr>
              <w:spacing w:after="0"/>
              <w:rPr>
                <w:sz w:val="20"/>
                <w:szCs w:val="20"/>
                <w:color w:val="auto"/>
              </w:rPr>
            </w:pPr>
            <w:r>
              <w:rPr>
                <w:rFonts w:ascii="Arial" w:cs="Arial" w:eastAsia="Arial" w:hAnsi="Arial"/>
                <w:sz w:val="20"/>
                <w:szCs w:val="20"/>
                <w:color w:val="auto"/>
                <w:highlight w:val="white"/>
              </w:rPr>
              <w:t>ARTICLE X - AMENDMENTS</w:t>
            </w:r>
          </w:p>
        </w:tc>
        <w:tc>
          <w:tcPr>
            <w:tcW w:w="400" w:type="dxa"/>
            <w:vAlign w:val="bottom"/>
          </w:tcPr>
          <w:p>
            <w:pPr>
              <w:jc w:val="right"/>
              <w:spacing w:after="0"/>
              <w:rPr>
                <w:sz w:val="20"/>
                <w:szCs w:val="20"/>
                <w:color w:val="auto"/>
              </w:rPr>
            </w:pPr>
            <w:r>
              <w:rPr>
                <w:rFonts w:ascii="Arial" w:cs="Arial" w:eastAsia="Arial" w:hAnsi="Arial"/>
                <w:sz w:val="20"/>
                <w:szCs w:val="20"/>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-842010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-842010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-842010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-842010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-842010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-842010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-842010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-842010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-842010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-842010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-842010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-842010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-842010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-842010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-842010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-842010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-842010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-842010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-842010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-842010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-842010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-842010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-842010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-842010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-842010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-842010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-842010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-842010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-842010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-842010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-842010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-842010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-842010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-842010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-842010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-842010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-842010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-842010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-842010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-842010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-842010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-842010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-842010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-842010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-842010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-842010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-842010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-842010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-842010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-842010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-842010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-842010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-842010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-842010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-842010</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-842010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-842010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-842010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-842010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-842010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-842010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-842010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-842010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-842010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-842010</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-842010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-842010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-842010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-842010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-842010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-842010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-842010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-842010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-842010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-842010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-842010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-842010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-842010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-842010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-842010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-842010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-842010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-842010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-842010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-842010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-842010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-842010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-842010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-842010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-842010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-842010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-842010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-842010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-842010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-842010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-842010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-842010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-842010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-842010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-842010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-842010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-842010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-842010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-842010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-842010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-842010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-842010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-842010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-842010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-842010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-842010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-842010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-842010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-842010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-842010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-842010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-842010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-842010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-842010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-842010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-842010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-842010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-842010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-842010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-842010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-842010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-842010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-842010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-842010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-842010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-842010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-842010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-842010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-842010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-842010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-842010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-842010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-842010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-842010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-842010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-842010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-842010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-842010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-842010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-842010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-842010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-842010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-842010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-842010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-842010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-842010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-842010</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-842010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-842010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-842010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-842010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-842010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-842010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-842010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-842010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-842010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-842010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-842010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-842010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-842010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-842010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-842010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-842010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-842010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-842010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-842010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-842010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-842010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-842010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-842010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-842010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-842010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-842010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-842010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-842010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-842010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-842010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-842010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-842010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-842010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-842010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-842010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-842010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-842010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-842010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-842010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-842010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-842010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-842010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-842010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-842010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-842010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-842010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-842010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-842010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-842010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-842010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-842010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-842010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-842010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-842010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-842010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-842010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-842010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-842010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-842010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-842010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-842010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-842010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-842010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-842010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-842010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-842010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-842010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-842010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-842010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-842010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-842010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-842010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-842010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-842010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-842010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-842010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-842010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-842010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-842010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-842010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-842010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-842010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-842010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-842010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-842010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-842010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-842010</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-842010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-842010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-842010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-842010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-842010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-842010</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-842010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-842010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-842010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-842010</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-842010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-842010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-842010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-842010</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-842010</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-842010</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-842010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-842010</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-842010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-842010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-842010</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-842010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-842010</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-842010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-842010</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-842010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-842010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-842010</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-842010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-842010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-842010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-944880</wp:posOffset>
            </wp:positionV>
            <wp:extent cx="5254625" cy="94297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6">
                      <a:extLst>
                        <a:ext uri="{28A0092B-C50C-407E-A947-70E740481C1C}"/>
                      </a:extLst>
                    </a:blip>
                    <a:srcRect/>
                    <a:stretch>
                      <a:fillRect/>
                    </a:stretch>
                  </pic:blipFill>
                  <pic:spPr bwMode="auto">
                    <a:xfrm>
                      <a:off x="0" y="0"/>
                      <a:ext cx="5254625" cy="94297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-944880</wp:posOffset>
            </wp:positionV>
            <wp:extent cx="5254625" cy="9429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7">
                      <a:extLst>
                        <a:ext uri="{28A0092B-C50C-407E-A947-70E740481C1C}"/>
                      </a:extLst>
                    </a:blip>
                    <a:srcRect/>
                    <a:stretch>
                      <a:fillRect/>
                    </a:stretch>
                  </pic:blipFill>
                  <pic:spPr bwMode="auto">
                    <a:xfrm>
                      <a:off x="0" y="0"/>
                      <a:ext cx="5254625" cy="94297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666105" cy="260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8">
                      <a:extLst>
                        <a:ext uri="{28A0092B-C50C-407E-A947-70E740481C1C}"/>
                      </a:extLst>
                    </a:blip>
                    <a:srcRect/>
                    <a:stretch>
                      <a:fillRect/>
                    </a:stretch>
                  </pic:blipFill>
                  <pic:spPr bwMode="auto">
                    <a:xfrm>
                      <a:off x="0" y="0"/>
                      <a:ext cx="5666105" cy="26035"/>
                    </a:xfrm>
                    <a:prstGeom prst="rect">
                      <a:avLst/>
                    </a:prstGeom>
                    <a:noFill/>
                  </pic:spPr>
                </pic:pic>
              </a:graphicData>
            </a:graphic>
          </wp:anchor>
        </w:drawing>
      </w:r>
    </w:p>
    <w:p>
      <w:pPr>
        <w:sectPr>
          <w:pgSz w:w="11900" w:h="16838" w:orient="portrait"/>
          <w:cols w:equalWidth="0" w:num="1">
            <w:col w:w="9120"/>
          </w:cols>
          <w:pgMar w:left="1440" w:top="657" w:right="1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2"/>
          <w:szCs w:val="22"/>
          <w:b w:val="1"/>
          <w:bCs w:val="1"/>
          <w:color w:val="auto"/>
        </w:rPr>
        <w:t>AMENDED AND RESTATED 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IMMUNEERING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158750</wp:posOffset>
            </wp:positionV>
            <wp:extent cx="216027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9">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175895</wp:posOffset>
            </wp:positionV>
            <wp:extent cx="216027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60" w:right="2699" w:firstLine="1823"/>
        <w:spacing w:after="0" w:line="451" w:lineRule="auto"/>
        <w:rPr>
          <w:sz w:val="20"/>
          <w:szCs w:val="20"/>
          <w:color w:val="auto"/>
        </w:rPr>
      </w:pPr>
      <w:r>
        <w:rPr>
          <w:rFonts w:ascii="Arial" w:cs="Arial" w:eastAsia="Arial" w:hAnsi="Arial"/>
          <w:sz w:val="22"/>
          <w:szCs w:val="22"/>
          <w:b w:val="1"/>
          <w:bCs w:val="1"/>
          <w:color w:val="auto"/>
        </w:rPr>
        <w:t xml:space="preserve">ARTICLE I - CORPORATE OFFICES </w:t>
      </w:r>
      <w:r>
        <w:rPr>
          <w:rFonts w:ascii="Arial" w:cs="Arial" w:eastAsia="Arial" w:hAnsi="Arial"/>
          <w:sz w:val="22"/>
          <w:szCs w:val="22"/>
          <w:color w:val="auto"/>
        </w:rPr>
        <w:t>1.1 REGISTERED OFFICE</w:t>
      </w:r>
    </w:p>
    <w:p>
      <w:pPr>
        <w:jc w:val="both"/>
        <w:ind w:left="200" w:right="219" w:firstLine="648"/>
        <w:spacing w:after="0" w:line="253" w:lineRule="auto"/>
        <w:rPr>
          <w:sz w:val="20"/>
          <w:szCs w:val="20"/>
          <w:color w:val="auto"/>
        </w:rPr>
      </w:pPr>
      <w:r>
        <w:rPr>
          <w:rFonts w:ascii="Arial" w:cs="Arial" w:eastAsia="Arial" w:hAnsi="Arial"/>
          <w:sz w:val="22"/>
          <w:szCs w:val="22"/>
          <w:color w:val="auto"/>
        </w:rPr>
        <w:t>The registered office of Immuneering Corporation (the “</w:t>
      </w:r>
      <w:r>
        <w:rPr>
          <w:rFonts w:ascii="Arial" w:cs="Arial" w:eastAsia="Arial" w:hAnsi="Arial"/>
          <w:sz w:val="22"/>
          <w:szCs w:val="22"/>
          <w:u w:val="single" w:color="auto"/>
          <w:color w:val="auto"/>
        </w:rPr>
        <w:t>Corporation</w:t>
      </w:r>
      <w:r>
        <w:rPr>
          <w:rFonts w:ascii="Arial" w:cs="Arial" w:eastAsia="Arial" w:hAnsi="Arial"/>
          <w:sz w:val="22"/>
          <w:szCs w:val="22"/>
          <w:color w:val="auto"/>
        </w:rPr>
        <w:t>”) shall be fixed in the Corporation’s certificate of incorporation, as the same may be amended and/or restated from time to time (the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OTHER OFFICES</w:t>
      </w:r>
    </w:p>
    <w:p>
      <w:pPr>
        <w:spacing w:after="0" w:line="220"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The Corporation may have other offices at any place or places, either within or outside the State of Delaware, as the Corporation’s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shall from time to time determine or the business of the Corporation may from time to time require.</w:t>
      </w:r>
    </w:p>
    <w:p>
      <w:pPr>
        <w:spacing w:after="0" w:line="343" w:lineRule="exact"/>
        <w:rPr>
          <w:sz w:val="20"/>
          <w:szCs w:val="20"/>
          <w:color w:val="auto"/>
        </w:rPr>
      </w:pPr>
    </w:p>
    <w:p>
      <w:pPr>
        <w:ind w:left="860" w:right="2139" w:firstLine="1268"/>
        <w:spacing w:after="0" w:line="451" w:lineRule="auto"/>
        <w:rPr>
          <w:sz w:val="20"/>
          <w:szCs w:val="20"/>
          <w:color w:val="auto"/>
        </w:rPr>
      </w:pPr>
      <w:r>
        <w:rPr>
          <w:rFonts w:ascii="Arial" w:cs="Arial" w:eastAsia="Arial" w:hAnsi="Arial"/>
          <w:sz w:val="22"/>
          <w:szCs w:val="22"/>
          <w:b w:val="1"/>
          <w:bCs w:val="1"/>
          <w:color w:val="auto"/>
        </w:rPr>
        <w:t xml:space="preserve">ARTICLE II - MEETINGS OF STOCKHOLDERS </w:t>
      </w:r>
      <w:r>
        <w:rPr>
          <w:rFonts w:ascii="Arial" w:cs="Arial" w:eastAsia="Arial" w:hAnsi="Arial"/>
          <w:sz w:val="22"/>
          <w:szCs w:val="22"/>
          <w:color w:val="auto"/>
        </w:rPr>
        <w:t>2.1 PLACE OF MEETINGS</w:t>
      </w:r>
    </w:p>
    <w:p>
      <w:pPr>
        <w:jc w:val="both"/>
        <w:ind w:left="200" w:right="219" w:firstLine="648"/>
        <w:spacing w:after="0" w:line="294" w:lineRule="auto"/>
        <w:rPr>
          <w:sz w:val="20"/>
          <w:szCs w:val="20"/>
          <w:color w:val="auto"/>
        </w:rPr>
      </w:pPr>
      <w:r>
        <w:rPr>
          <w:rFonts w:ascii="Arial" w:cs="Arial" w:eastAsia="Arial" w:hAnsi="Arial"/>
          <w:sz w:val="19"/>
          <w:szCs w:val="19"/>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In the absence of any such designation or determination, stockholders’ meetings shall be held at the Corporation’s principal executive office.</w:t>
      </w:r>
    </w:p>
    <w:p>
      <w:pPr>
        <w:spacing w:after="0" w:line="14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ANNUAL MEETING</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SPECIAL MEETING</w:t>
      </w:r>
    </w:p>
    <w:p>
      <w:pPr>
        <w:spacing w:after="0" w:line="220" w:lineRule="exact"/>
        <w:rPr>
          <w:sz w:val="20"/>
          <w:szCs w:val="20"/>
          <w:color w:val="auto"/>
        </w:rPr>
      </w:pPr>
    </w:p>
    <w:p>
      <w:pPr>
        <w:jc w:val="both"/>
        <w:ind w:left="200" w:right="239" w:firstLine="648"/>
        <w:spacing w:after="0" w:line="343" w:lineRule="auto"/>
        <w:rPr>
          <w:sz w:val="20"/>
          <w:szCs w:val="20"/>
          <w:color w:val="auto"/>
        </w:rPr>
      </w:pPr>
      <w:r>
        <w:rPr>
          <w:rFonts w:ascii="Arial" w:cs="Arial" w:eastAsia="Arial" w:hAnsi="Arial"/>
          <w:sz w:val="19"/>
          <w:szCs w:val="19"/>
          <w:color w:val="auto"/>
        </w:rPr>
        <w:t>A special meeting of the stockholders may be called at any time by the Board, chairperson of the Board, chief executive officer or president (in the absence of a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697230</wp:posOffset>
            </wp:positionV>
            <wp:extent cx="5452110" cy="260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5" w:name="page116"/>
    <w:bookmarkEnd w:id="115"/>
    <w:p>
      <w:pPr>
        <w:jc w:val="both"/>
        <w:ind w:left="200" w:right="219"/>
        <w:spacing w:after="0" w:line="263" w:lineRule="auto"/>
        <w:rPr>
          <w:sz w:val="20"/>
          <w:szCs w:val="20"/>
          <w:color w:val="auto"/>
        </w:rPr>
      </w:pPr>
      <w:r>
        <w:rPr>
          <w:rFonts w:ascii="Arial" w:cs="Arial" w:eastAsia="Arial" w:hAnsi="Arial"/>
          <w:sz w:val="22"/>
          <w:szCs w:val="22"/>
          <w:color w:val="auto"/>
        </w:rPr>
        <w:t>officer) of the Corporation, but such special meetings may not be called by any other person or persons.</w:t>
      </w:r>
    </w:p>
    <w:p>
      <w:pPr>
        <w:spacing w:after="0" w:line="17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188" w:lineRule="exact"/>
        <w:rPr>
          <w:sz w:val="20"/>
          <w:szCs w:val="20"/>
          <w:color w:val="auto"/>
        </w:rPr>
      </w:pPr>
    </w:p>
    <w:p>
      <w:pPr>
        <w:ind w:left="460" w:right="519" w:firstLine="405"/>
        <w:spacing w:after="0" w:line="263" w:lineRule="auto"/>
        <w:rPr>
          <w:sz w:val="20"/>
          <w:szCs w:val="20"/>
          <w:color w:val="auto"/>
        </w:rPr>
      </w:pPr>
      <w:r>
        <w:rPr>
          <w:rFonts w:ascii="Arial" w:cs="Arial" w:eastAsia="Arial" w:hAnsi="Arial"/>
          <w:sz w:val="22"/>
          <w:szCs w:val="22"/>
          <w:color w:val="auto"/>
        </w:rPr>
        <w:t>2.4 ADVANCE NOTICE PROCEDURES FOR BUSINESS BROUGHT BEFORE A MEETING</w:t>
      </w:r>
    </w:p>
    <w:p>
      <w:pPr>
        <w:spacing w:after="0" w:line="175" w:lineRule="exact"/>
        <w:rPr>
          <w:sz w:val="20"/>
          <w:szCs w:val="20"/>
          <w:color w:val="auto"/>
        </w:rPr>
      </w:pPr>
    </w:p>
    <w:p>
      <w:pPr>
        <w:jc w:val="both"/>
        <w:ind w:left="200" w:right="219" w:firstLine="1305"/>
        <w:spacing w:after="0" w:line="283" w:lineRule="auto"/>
        <w:tabs>
          <w:tab w:leader="none" w:pos="2144" w:val="left"/>
        </w:tabs>
        <w:numPr>
          <w:ilvl w:val="1"/>
          <w:numId w:val="64"/>
        </w:numPr>
        <w:rPr>
          <w:rFonts w:ascii="Arial" w:cs="Arial" w:eastAsia="Arial" w:hAnsi="Arial"/>
          <w:sz w:val="19"/>
          <w:szCs w:val="19"/>
          <w:color w:val="auto"/>
        </w:rPr>
      </w:pPr>
      <w:r>
        <w:rPr>
          <w:rFonts w:ascii="Arial" w:cs="Arial" w:eastAsia="Arial" w:hAnsi="Arial"/>
          <w:sz w:val="19"/>
          <w:szCs w:val="19"/>
          <w:color w:val="auto"/>
        </w:rPr>
        <w:t>At an annual meeting of the stockholders, only such business shall be conducted as shall have been properly brought before the meeting. To be properly brought before an annual meeting, business must be (i) brought before the meeting by the Corporation and specified in a notice of meeting given by or at the direction of the Board, (ii) brought before the meeting by or at the direction of the Board (or a committee thereof) or (iii) otherwise properly brought before the meeting by a stockholder who (A) was a stockholder of record of the Corporation (and, with respect to any beneficial owner, if different, on whose behalf such business is proposed, only if such beneficial owner was the beneficial owner of shares of the Corporation) both at the time of giving the notice provided for in this Section 2.4 and at the time of the meeting,</w:t>
      </w:r>
    </w:p>
    <w:p>
      <w:pPr>
        <w:spacing w:after="0" w:line="7" w:lineRule="exact"/>
        <w:rPr>
          <w:rFonts w:ascii="Arial" w:cs="Arial" w:eastAsia="Arial" w:hAnsi="Arial"/>
          <w:sz w:val="19"/>
          <w:szCs w:val="19"/>
          <w:color w:val="auto"/>
        </w:rPr>
      </w:pPr>
    </w:p>
    <w:p>
      <w:pPr>
        <w:jc w:val="both"/>
        <w:ind w:left="200" w:right="219" w:firstLine="9"/>
        <w:spacing w:after="0" w:line="285" w:lineRule="auto"/>
        <w:tabs>
          <w:tab w:leader="none" w:pos="588" w:val="left"/>
        </w:tabs>
        <w:numPr>
          <w:ilvl w:val="0"/>
          <w:numId w:val="65"/>
        </w:numPr>
        <w:rPr>
          <w:rFonts w:ascii="Arial" w:cs="Arial" w:eastAsia="Arial" w:hAnsi="Arial"/>
          <w:sz w:val="19"/>
          <w:szCs w:val="19"/>
          <w:color w:val="auto"/>
        </w:rPr>
      </w:pPr>
      <w:r>
        <w:rPr>
          <w:rFonts w:ascii="Arial" w:cs="Arial" w:eastAsia="Arial" w:hAnsi="Arial"/>
          <w:sz w:val="19"/>
          <w:szCs w:val="19"/>
          <w:color w:val="auto"/>
        </w:rPr>
        <w:t>is entitled to vote at the meeting and (C)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200" w:right="219" w:firstLine="1305"/>
        <w:spacing w:after="0" w:line="292" w:lineRule="auto"/>
        <w:tabs>
          <w:tab w:leader="none" w:pos="2144" w:val="left"/>
        </w:tabs>
        <w:numPr>
          <w:ilvl w:val="1"/>
          <w:numId w:val="65"/>
        </w:numPr>
        <w:rPr>
          <w:rFonts w:ascii="Arial" w:cs="Arial" w:eastAsia="Arial" w:hAnsi="Arial"/>
          <w:sz w:val="19"/>
          <w:szCs w:val="19"/>
          <w:color w:val="auto"/>
        </w:rPr>
      </w:pPr>
      <w:r>
        <w:rPr>
          <w:rFonts w:ascii="Arial" w:cs="Arial" w:eastAsia="Arial" w:hAnsi="Arial"/>
          <w:sz w:val="19"/>
          <w:szCs w:val="19"/>
          <w:color w:val="auto"/>
        </w:rPr>
        <w:t>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at, the principal executive offices of the Corporation not less than ninety (90) days nor more than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6" w:name="page117"/>
    <w:bookmarkEnd w:id="116"/>
    <w:p>
      <w:pPr>
        <w:jc w:val="both"/>
        <w:ind w:left="200" w:right="219"/>
        <w:spacing w:after="0" w:line="243" w:lineRule="auto"/>
        <w:rPr>
          <w:sz w:val="20"/>
          <w:szCs w:val="20"/>
          <w:color w:val="auto"/>
        </w:rPr>
      </w:pPr>
      <w:r>
        <w:rPr>
          <w:rFonts w:ascii="Arial" w:cs="Arial" w:eastAsia="Arial" w:hAnsi="Arial"/>
          <w:sz w:val="20"/>
          <w:szCs w:val="20"/>
          <w:color w:val="auto"/>
        </w:rPr>
        <w:t xml:space="preserve">one hundred twenty (120) days prior to the first anniversary of the preceding year’s annual meeting; </w:t>
      </w:r>
      <w:r>
        <w:rPr>
          <w:rFonts w:ascii="Arial" w:cs="Arial" w:eastAsia="Arial" w:hAnsi="Arial"/>
          <w:sz w:val="20"/>
          <w:szCs w:val="20"/>
          <w:i w:val="1"/>
          <w:iCs w:val="1"/>
          <w:u w:val="single" w:color="auto"/>
          <w:color w:val="auto"/>
        </w:rPr>
        <w:t>provided, however</w:t>
      </w:r>
      <w:r>
        <w:rPr>
          <w:rFonts w:ascii="Arial" w:cs="Arial" w:eastAsia="Arial" w:hAnsi="Arial"/>
          <w:sz w:val="20"/>
          <w:szCs w:val="20"/>
          <w:color w:val="auto"/>
        </w:rPr>
        <w:t>, that, if the date of the annual meeting is more than thirty (30) days before or more than sixty (60) days after such anniversary date, notice by the stockholder to be timely must be so delivered, or mailed and received, not earlier than the close of business on the one hundred twentieth (120</w:t>
      </w:r>
      <w:r>
        <w:rPr>
          <w:rFonts w:ascii="Arial" w:cs="Arial" w:eastAsia="Arial" w:hAnsi="Arial"/>
          <w:sz w:val="30"/>
          <w:szCs w:val="30"/>
          <w:color w:val="auto"/>
          <w:vertAlign w:val="superscript"/>
        </w:rPr>
        <w:t>th</w:t>
      </w:r>
      <w:r>
        <w:rPr>
          <w:rFonts w:ascii="Arial" w:cs="Arial" w:eastAsia="Arial" w:hAnsi="Arial"/>
          <w:sz w:val="20"/>
          <w:szCs w:val="20"/>
          <w:color w:val="auto"/>
        </w:rPr>
        <w:t>) day prior to such annual meeting and not later than the later of the close of business on the ninetieth (90</w:t>
      </w:r>
      <w:r>
        <w:rPr>
          <w:rFonts w:ascii="Arial" w:cs="Arial" w:eastAsia="Arial" w:hAnsi="Arial"/>
          <w:sz w:val="30"/>
          <w:szCs w:val="30"/>
          <w:color w:val="auto"/>
          <w:vertAlign w:val="superscript"/>
        </w:rPr>
        <w:t>th</w:t>
      </w:r>
      <w:r>
        <w:rPr>
          <w:rFonts w:ascii="Arial" w:cs="Arial" w:eastAsia="Arial" w:hAnsi="Arial"/>
          <w:sz w:val="20"/>
          <w:szCs w:val="20"/>
          <w:color w:val="auto"/>
        </w:rPr>
        <w:t>) day prior to such annual meeting and the close of business on the tenth (10</w:t>
      </w:r>
      <w:r>
        <w:rPr>
          <w:rFonts w:ascii="Arial" w:cs="Arial" w:eastAsia="Arial" w:hAnsi="Arial"/>
          <w:sz w:val="30"/>
          <w:szCs w:val="30"/>
          <w:color w:val="auto"/>
          <w:vertAlign w:val="superscript"/>
        </w:rPr>
        <w:t>th</w:t>
      </w:r>
      <w:r>
        <w:rPr>
          <w:rFonts w:ascii="Arial" w:cs="Arial" w:eastAsia="Arial" w:hAnsi="Arial"/>
          <w:sz w:val="20"/>
          <w:szCs w:val="20"/>
          <w:color w:val="auto"/>
        </w:rPr>
        <w:t>) day following the day on which public disclosure of the date of such annual meeting was first made (such notice within such time periods, “</w:t>
      </w:r>
      <w:r>
        <w:rPr>
          <w:rFonts w:ascii="Arial" w:cs="Arial" w:eastAsia="Arial" w:hAnsi="Arial"/>
          <w:sz w:val="20"/>
          <w:szCs w:val="20"/>
          <w:u w:val="single" w:color="auto"/>
          <w:color w:val="auto"/>
        </w:rPr>
        <w:t>Timely Notice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further</w:t>
      </w:r>
      <w:r>
        <w:rPr>
          <w:rFonts w:ascii="Arial" w:cs="Arial" w:eastAsia="Arial" w:hAnsi="Arial"/>
          <w:sz w:val="20"/>
          <w:szCs w:val="20"/>
          <w:color w:val="auto"/>
        </w:rPr>
        <w:t>, that for the purposes of calculating Timely Notice for the first annual meeting held after the Company’s initial public offering of its shares pursuant to a registration statement on Form S-1, the date of the immediately preceding annual meeting shall be deemed to be June 5, 2021. In no event shall any adjournment or postponement of an annual meeting or the announcement thereof commence a new time period (or extend any time period) for the giving of Timely Notice as described above.</w:t>
      </w:r>
    </w:p>
    <w:p>
      <w:pPr>
        <w:spacing w:after="0" w:line="198" w:lineRule="exact"/>
        <w:rPr>
          <w:sz w:val="20"/>
          <w:szCs w:val="20"/>
          <w:color w:val="auto"/>
        </w:rPr>
      </w:pPr>
    </w:p>
    <w:p>
      <w:pPr>
        <w:ind w:left="200" w:right="219" w:firstLine="1305"/>
        <w:spacing w:after="0" w:line="263" w:lineRule="auto"/>
        <w:tabs>
          <w:tab w:leader="none" w:pos="21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2.4, a stockholder’s notice to the secretary of the Corporation shall set forth:</w:t>
      </w:r>
    </w:p>
    <w:p>
      <w:pPr>
        <w:spacing w:after="0" w:line="174" w:lineRule="exact"/>
        <w:rPr>
          <w:rFonts w:ascii="Arial" w:cs="Arial" w:eastAsia="Arial" w:hAnsi="Arial"/>
          <w:sz w:val="22"/>
          <w:szCs w:val="22"/>
          <w:color w:val="auto"/>
        </w:rPr>
      </w:pPr>
    </w:p>
    <w:p>
      <w:pPr>
        <w:jc w:val="both"/>
        <w:ind w:left="1500" w:right="219" w:firstLine="653"/>
        <w:spacing w:after="0" w:line="288" w:lineRule="auto"/>
        <w:tabs>
          <w:tab w:leader="none" w:pos="2472" w:val="left"/>
        </w:tabs>
        <w:numPr>
          <w:ilvl w:val="1"/>
          <w:numId w:val="66"/>
        </w:numPr>
        <w:rPr>
          <w:rFonts w:ascii="Arial" w:cs="Arial" w:eastAsia="Arial" w:hAnsi="Arial"/>
          <w:sz w:val="19"/>
          <w:szCs w:val="19"/>
          <w:color w:val="auto"/>
        </w:rPr>
      </w:pPr>
      <w:r>
        <w:rPr>
          <w:rFonts w:ascii="Arial" w:cs="Arial" w:eastAsia="Arial" w:hAnsi="Arial"/>
          <w:sz w:val="19"/>
          <w:szCs w:val="19"/>
          <w:color w:val="auto"/>
        </w:rPr>
        <w:t>As to each Proposing Person (as defined below), (A) the name and address of such Proposing Person (including, without limitation,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9"/>
          <w:szCs w:val="19"/>
          <w:u w:val="single" w:color="auto"/>
          <w:color w:val="auto"/>
        </w:rPr>
        <w:t>Stockholder Information</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left="1500" w:right="219" w:firstLine="653"/>
        <w:spacing w:after="0" w:line="288" w:lineRule="auto"/>
        <w:tabs>
          <w:tab w:leader="none" w:pos="2472" w:val="left"/>
        </w:tabs>
        <w:numPr>
          <w:ilvl w:val="1"/>
          <w:numId w:val="66"/>
        </w:numPr>
        <w:rPr>
          <w:rFonts w:ascii="Arial" w:cs="Arial" w:eastAsia="Arial" w:hAnsi="Arial"/>
          <w:sz w:val="19"/>
          <w:szCs w:val="19"/>
          <w:color w:val="auto"/>
        </w:rPr>
      </w:pPr>
      <w:r>
        <w:rPr>
          <w:rFonts w:ascii="Arial" w:cs="Arial" w:eastAsia="Arial" w:hAnsi="Arial"/>
          <w:sz w:val="19"/>
          <w:szCs w:val="19"/>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9"/>
          <w:szCs w:val="19"/>
          <w:u w:val="single" w:color="auto"/>
          <w:color w:val="auto"/>
        </w:rPr>
        <w:t>Synthetic Equity Interests</w:t>
      </w:r>
      <w:r>
        <w:rPr>
          <w:rFonts w:ascii="Arial" w:cs="Arial" w:eastAsia="Arial" w:hAnsi="Arial"/>
          <w:sz w:val="19"/>
          <w:szCs w:val="19"/>
          <w:color w:val="auto"/>
        </w:rPr>
        <w:t>”), which Synthetic</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17" w:name="page118"/>
    <w:bookmarkEnd w:id="117"/>
    <w:p>
      <w:pPr>
        <w:jc w:val="both"/>
        <w:ind w:left="1500" w:right="219"/>
        <w:spacing w:after="0" w:line="283" w:lineRule="auto"/>
        <w:rPr>
          <w:sz w:val="20"/>
          <w:szCs w:val="20"/>
          <w:color w:val="auto"/>
        </w:rPr>
      </w:pPr>
      <w:r>
        <w:rPr>
          <w:rFonts w:ascii="Arial" w:cs="Arial" w:eastAsia="Arial" w:hAnsi="Arial"/>
          <w:sz w:val="19"/>
          <w:szCs w:val="19"/>
          <w:color w:val="auto"/>
        </w:rPr>
        <w:t>Equity Interests shall be disclosed without regard to whether (x) the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9"/>
          <w:szCs w:val="19"/>
          <w:u w:val="single" w:color="auto"/>
          <w:color w:val="auto"/>
        </w:rPr>
        <w:t>Short Interests</w:t>
      </w:r>
      <w:r>
        <w:rPr>
          <w:rFonts w:ascii="Arial" w:cs="Arial" w:eastAsia="Arial" w:hAnsi="Arial"/>
          <w:sz w:val="19"/>
          <w:szCs w:val="19"/>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 such Proposing Person is entitled to based on any increase or decrease in the price or value of shares of any class or series of the Corporation, or any Synthetic Equity Interests or Short Interests, if any, (F)(x) if such Proposing Person is not a natural person, the identity of the natural person or persons associated with such Proposing Person responsible for the formulation of and decision to propose the business to be brought before the meeting (such person or persons, the “</w:t>
      </w:r>
      <w:r>
        <w:rPr>
          <w:rFonts w:ascii="Arial" w:cs="Arial" w:eastAsia="Arial" w:hAnsi="Arial"/>
          <w:sz w:val="19"/>
          <w:szCs w:val="19"/>
          <w:u w:val="single" w:color="auto"/>
          <w:color w:val="auto"/>
        </w:rPr>
        <w:t>Responsible Person</w:t>
      </w:r>
      <w:r>
        <w:rPr>
          <w:rFonts w:ascii="Arial" w:cs="Arial" w:eastAsia="Arial" w:hAnsi="Arial"/>
          <w:sz w:val="19"/>
          <w:szCs w:val="19"/>
          <w:color w:val="auto"/>
        </w:rPr>
        <w:t>”), the manner in which such Responsible Person was selected, any fiduciary duties owed by such Responsible Person to the equity holders or other beneficiaries of such Proposing Person, the qualifications and background of such Responsible Person and any material interests or relationships of such Responsible Person that are not shared generally by any other record or beneficial holder of the shares of any class or series of the Corporation and that reasonably could have influenced the decision of such Proposing Person to propose such business to be brought before the meeting, and</w:t>
      </w:r>
    </w:p>
    <w:p>
      <w:pPr>
        <w:spacing w:after="0" w:line="234" w:lineRule="exact"/>
        <w:rPr>
          <w:sz w:val="20"/>
          <w:szCs w:val="20"/>
          <w:color w:val="auto"/>
        </w:rPr>
      </w:pPr>
    </w:p>
    <w:p>
      <w:pPr>
        <w:jc w:val="both"/>
        <w:ind w:left="1500" w:right="219" w:firstLine="5"/>
        <w:spacing w:after="0" w:line="245" w:lineRule="auto"/>
        <w:tabs>
          <w:tab w:leader="none" w:pos="1819"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such Proposing Person is a natural person, the qualifications and background of such natural person and any material interests or relationships of such natural person that are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18" w:name="page119"/>
    <w:bookmarkEnd w:id="118"/>
    <w:p>
      <w:pPr>
        <w:jc w:val="both"/>
        <w:ind w:left="1500" w:right="219"/>
        <w:spacing w:after="0" w:line="283" w:lineRule="auto"/>
        <w:rPr>
          <w:sz w:val="20"/>
          <w:szCs w:val="20"/>
          <w:color w:val="auto"/>
        </w:rPr>
      </w:pPr>
      <w:r>
        <w:rPr>
          <w:rFonts w:ascii="Arial" w:cs="Arial" w:eastAsia="Arial" w:hAnsi="Arial"/>
          <w:sz w:val="19"/>
          <w:szCs w:val="19"/>
          <w:color w:val="auto"/>
        </w:rPr>
        <w:t>not shared generally by any other record or beneficial holder of the shares of any class or series of the Corporation and that reasonably could have influenced the decision of such Proposing Person to propose such business to be brought before the meeting, (G) any significant equity interests or any Synthetic Equity Interests or Short Interests in any principal competitor of the Corporation held by such Proposing Persons, (H) any direct or indirect interest of such Proposing Person in any contract with the Corporation, any affiliate of the Corporation or any principal competitor of the Corporation (including, without limitation, in any such case, any employment agreement, collective bargaining agreement or consulting agreement),</w:t>
      </w:r>
    </w:p>
    <w:p>
      <w:pPr>
        <w:spacing w:after="0" w:line="8" w:lineRule="exact"/>
        <w:rPr>
          <w:sz w:val="20"/>
          <w:szCs w:val="20"/>
          <w:color w:val="auto"/>
        </w:rPr>
      </w:pPr>
    </w:p>
    <w:p>
      <w:pPr>
        <w:jc w:val="both"/>
        <w:ind w:left="1500" w:right="219" w:firstLine="5"/>
        <w:spacing w:after="0" w:line="283" w:lineRule="auto"/>
        <w:tabs>
          <w:tab w:leader="none" w:pos="1772"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pending or threatened litigation in which such Proposing Person is a party or material participant involving the Corporation or any of its officers or directors, or any affiliate of the Corporation, (J) any material transaction occurring during the prior twelve months between such Proposing Person, on the one hand, and the Corporation, any affiliate of the Corporation or any principal competitor of the Corporation, on the other hand, (K)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without limitation, their names) and (L)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(L) are referred to as “</w:t>
      </w:r>
      <w:r>
        <w:rPr>
          <w:rFonts w:ascii="Arial" w:cs="Arial" w:eastAsia="Arial" w:hAnsi="Arial"/>
          <w:sz w:val="19"/>
          <w:szCs w:val="19"/>
          <w:u w:val="single" w:color="auto"/>
          <w:color w:val="auto"/>
        </w:rPr>
        <w:t>Disclosable Interests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0" w:lineRule="exact"/>
        <w:rPr>
          <w:sz w:val="20"/>
          <w:szCs w:val="20"/>
          <w:color w:val="auto"/>
        </w:rPr>
      </w:pPr>
    </w:p>
    <w:p>
      <w:pPr>
        <w:spacing w:after="0" w:line="232" w:lineRule="exact"/>
        <w:rPr>
          <w:sz w:val="20"/>
          <w:szCs w:val="20"/>
          <w:color w:val="auto"/>
        </w:rPr>
      </w:pPr>
    </w:p>
    <w:p>
      <w:pPr>
        <w:jc w:val="both"/>
        <w:ind w:left="1500" w:right="219" w:firstLine="648"/>
        <w:spacing w:after="0" w:line="286" w:lineRule="auto"/>
        <w:rPr>
          <w:sz w:val="20"/>
          <w:szCs w:val="20"/>
          <w:color w:val="auto"/>
        </w:rPr>
      </w:pPr>
      <w:r>
        <w:rPr>
          <w:rFonts w:ascii="Arial" w:cs="Arial" w:eastAsia="Arial" w:hAnsi="Arial"/>
          <w:sz w:val="19"/>
          <w:szCs w:val="19"/>
          <w:color w:val="auto"/>
        </w:rPr>
        <w:t>(iii)As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w:t>
      </w:r>
    </w:p>
    <w:p>
      <w:pPr>
        <w:spacing w:after="0" w:line="3" w:lineRule="exact"/>
        <w:rPr>
          <w:sz w:val="20"/>
          <w:szCs w:val="20"/>
          <w:color w:val="auto"/>
        </w:rPr>
      </w:pPr>
    </w:p>
    <w:p>
      <w:pPr>
        <w:jc w:val="both"/>
        <w:ind w:left="1500" w:right="219" w:firstLine="5"/>
        <w:spacing w:after="0" w:line="259" w:lineRule="auto"/>
        <w:tabs>
          <w:tab w:leader="none" w:pos="1869"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19" w:name="page120"/>
    <w:bookmarkEnd w:id="119"/>
    <w:p>
      <w:pPr>
        <w:jc w:val="both"/>
        <w:ind w:left="1500" w:right="219"/>
        <w:spacing w:after="0" w:line="285" w:lineRule="auto"/>
        <w:rPr>
          <w:sz w:val="20"/>
          <w:szCs w:val="20"/>
          <w:color w:val="auto"/>
        </w:rPr>
      </w:pPr>
      <w:r>
        <w:rPr>
          <w:rFonts w:ascii="Arial" w:cs="Arial" w:eastAsia="Arial" w:hAnsi="Arial"/>
          <w:sz w:val="19"/>
          <w:szCs w:val="19"/>
          <w:color w:val="auto"/>
        </w:rPr>
        <w:t xml:space="preserve">of all agreements, arrangements and understandings between or among any of the Proposing Persons or between or among any Proposing Person and any other person or entity (including, without limitation, their names) in connection with the proposal of such business by such stockholder, (D) a representation that the 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60" w:lineRule="exact"/>
        <w:rPr>
          <w:sz w:val="20"/>
          <w:szCs w:val="20"/>
          <w:color w:val="auto"/>
        </w:rPr>
      </w:pPr>
    </w:p>
    <w:p>
      <w:pPr>
        <w:ind w:left="2160" w:hanging="655"/>
        <w:spacing w:after="0"/>
        <w:tabs>
          <w:tab w:leader="none" w:pos="2160" w:val="left"/>
        </w:tabs>
        <w:numPr>
          <w:ilvl w:val="1"/>
          <w:numId w:val="70"/>
        </w:numPr>
        <w:rPr>
          <w:rFonts w:ascii="Arial" w:cs="Arial" w:eastAsia="Arial" w:hAnsi="Arial"/>
          <w:sz w:val="19"/>
          <w:szCs w:val="19"/>
          <w:color w:val="auto"/>
        </w:rPr>
      </w:pPr>
      <w:r>
        <w:rPr>
          <w:rFonts w:ascii="Arial" w:cs="Arial" w:eastAsia="Arial" w:hAnsi="Arial"/>
          <w:sz w:val="19"/>
          <w:szCs w:val="19"/>
          <w:color w:val="auto"/>
        </w:rPr>
        <w:t>For purposes of this Section 2.4, the term “</w:t>
      </w:r>
      <w:r>
        <w:rPr>
          <w:rFonts w:ascii="Arial" w:cs="Arial" w:eastAsia="Arial" w:hAnsi="Arial"/>
          <w:sz w:val="19"/>
          <w:szCs w:val="19"/>
          <w:u w:val="single" w:color="auto"/>
          <w:color w:val="auto"/>
        </w:rPr>
        <w:t>Proposing Person</w:t>
      </w:r>
      <w:r>
        <w:rPr>
          <w:rFonts w:ascii="Arial" w:cs="Arial" w:eastAsia="Arial" w:hAnsi="Arial"/>
          <w:sz w:val="19"/>
          <w:szCs w:val="19"/>
          <w:color w:val="auto"/>
        </w:rPr>
        <w:t>” shall mean</w:t>
      </w:r>
    </w:p>
    <w:p>
      <w:pPr>
        <w:spacing w:after="0" w:line="55" w:lineRule="exact"/>
        <w:rPr>
          <w:rFonts w:ascii="Arial" w:cs="Arial" w:eastAsia="Arial" w:hAnsi="Arial"/>
          <w:sz w:val="19"/>
          <w:szCs w:val="19"/>
          <w:color w:val="auto"/>
        </w:rPr>
      </w:pPr>
    </w:p>
    <w:p>
      <w:pPr>
        <w:jc w:val="both"/>
        <w:ind w:left="200" w:right="219" w:firstLine="9"/>
        <w:spacing w:after="0" w:line="243" w:lineRule="auto"/>
        <w:tabs>
          <w:tab w:leader="none" w:pos="504"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stockholder providing the notice of business proposed to be brought before an annual meeting, (ii) the beneficial owner or beneficial owners, if different, on whose behalf the notice of the business proposed to be brought before the annual meeting is made, (iii) any affiliate or associate (each within the meaning of Rule 12b-2 under the Exchange Act for the purposes of these bylaws) of such stockholder or beneficial owner and (iv) any other person with whom such stockholder or beneficial owner (or any of their respective affiliates or associates) is Acting in Concert (as defined below).</w:t>
      </w:r>
    </w:p>
    <w:p>
      <w:pPr>
        <w:spacing w:after="0" w:line="200" w:lineRule="exact"/>
        <w:rPr>
          <w:rFonts w:ascii="Arial" w:cs="Arial" w:eastAsia="Arial" w:hAnsi="Arial"/>
          <w:sz w:val="22"/>
          <w:szCs w:val="22"/>
          <w:color w:val="auto"/>
        </w:rPr>
      </w:pPr>
    </w:p>
    <w:p>
      <w:pPr>
        <w:jc w:val="both"/>
        <w:ind w:left="200" w:right="219" w:firstLine="1305"/>
        <w:spacing w:after="0" w:line="288" w:lineRule="auto"/>
        <w:tabs>
          <w:tab w:leader="none" w:pos="2144" w:val="left"/>
        </w:tabs>
        <w:numPr>
          <w:ilvl w:val="1"/>
          <w:numId w:val="71"/>
        </w:numPr>
        <w:rPr>
          <w:rFonts w:ascii="Arial" w:cs="Arial" w:eastAsia="Arial" w:hAnsi="Arial"/>
          <w:sz w:val="19"/>
          <w:szCs w:val="19"/>
          <w:color w:val="auto"/>
        </w:rPr>
      </w:pPr>
      <w:r>
        <w:rPr>
          <w:rFonts w:ascii="Arial" w:cs="Arial" w:eastAsia="Arial" w:hAnsi="Arial"/>
          <w:sz w:val="19"/>
          <w:szCs w:val="19"/>
          <w:color w:val="auto"/>
        </w:rPr>
        <w:t>A person shall be deemed to be “</w:t>
      </w:r>
      <w:r>
        <w:rPr>
          <w:rFonts w:ascii="Arial" w:cs="Arial" w:eastAsia="Arial" w:hAnsi="Arial"/>
          <w:sz w:val="19"/>
          <w:szCs w:val="19"/>
          <w:u w:val="single" w:color="auto"/>
          <w:color w:val="auto"/>
        </w:rPr>
        <w:t>Acting in Concert</w:t>
      </w:r>
      <w:r>
        <w:rPr>
          <w:rFonts w:ascii="Arial" w:cs="Arial" w:eastAsia="Arial" w:hAnsi="Arial"/>
          <w:sz w:val="19"/>
          <w:szCs w:val="19"/>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(i) each person is conscious of the other person’s conduct or intent and this awareness is an element in their decision-making processes and (ii)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that a person shall not be deemed to be Acting in Concert with any other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20" w:name="page121"/>
    <w:bookmarkEnd w:id="120"/>
    <w:p>
      <w:pPr>
        <w:jc w:val="both"/>
        <w:ind w:left="200" w:right="219"/>
        <w:spacing w:after="0" w:line="263" w:lineRule="auto"/>
        <w:rPr>
          <w:sz w:val="20"/>
          <w:szCs w:val="20"/>
          <w:color w:val="auto"/>
        </w:rPr>
      </w:pPr>
      <w:r>
        <w:rPr>
          <w:rFonts w:ascii="Arial" w:cs="Arial" w:eastAsia="Arial" w:hAnsi="Arial"/>
          <w:sz w:val="21"/>
          <w:szCs w:val="21"/>
          <w:color w:val="auto"/>
        </w:rPr>
        <w:t>person solely as a result of the solicitation or receipt of revocable proxies or consents from such other person in response to a solicitation made pursuant to, and in accordance with,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75" w:lineRule="exact"/>
        <w:rPr>
          <w:sz w:val="20"/>
          <w:szCs w:val="20"/>
          <w:color w:val="auto"/>
        </w:rPr>
      </w:pPr>
    </w:p>
    <w:p>
      <w:pPr>
        <w:jc w:val="both"/>
        <w:ind w:left="200" w:right="219" w:firstLine="1305"/>
        <w:spacing w:after="0" w:line="286" w:lineRule="auto"/>
        <w:tabs>
          <w:tab w:leader="none" w:pos="21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61" w:lineRule="exact"/>
        <w:rPr>
          <w:rFonts w:ascii="Arial" w:cs="Arial" w:eastAsia="Arial" w:hAnsi="Arial"/>
          <w:sz w:val="19"/>
          <w:szCs w:val="19"/>
          <w:color w:val="auto"/>
        </w:rPr>
      </w:pPr>
    </w:p>
    <w:p>
      <w:pPr>
        <w:jc w:val="both"/>
        <w:ind w:left="200" w:right="219" w:firstLine="1305"/>
        <w:spacing w:after="0" w:line="287" w:lineRule="auto"/>
        <w:tabs>
          <w:tab w:leader="none" w:pos="21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Notwithstanding anything in these bylaws to the contrary and except as otherwise expressly provided in any applicable rule or regulation promulgated under the Exchange Act, no business shall be conducted at an annual meeting except in accordance with this Section 2.4. The presiding officer of an annual meeting of stockholders shall have the power and duty (a) to determine that any business was not properly brought before the meeting in accordance with this Section 2.4 (including whether the stockholder or beneficial owner, if any, 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 (b) if any proposed business was not proposed in compliance with this Section 2.4 to declare to the meeting that any such business not properly brought before the meeting shall not be transacted.</w:t>
      </w:r>
    </w:p>
    <w:p>
      <w:pPr>
        <w:spacing w:after="0" w:line="158" w:lineRule="exact"/>
        <w:rPr>
          <w:rFonts w:ascii="Arial" w:cs="Arial" w:eastAsia="Arial" w:hAnsi="Arial"/>
          <w:sz w:val="19"/>
          <w:szCs w:val="19"/>
          <w:color w:val="auto"/>
        </w:rPr>
      </w:pPr>
    </w:p>
    <w:p>
      <w:pPr>
        <w:jc w:val="both"/>
        <w:ind w:left="200" w:right="219" w:firstLine="1305"/>
        <w:spacing w:after="0" w:line="294" w:lineRule="auto"/>
        <w:tabs>
          <w:tab w:leader="none" w:pos="21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21" w:name="page122"/>
    <w:bookmarkEnd w:id="121"/>
    <w:p>
      <w:pPr>
        <w:ind w:left="200" w:right="239"/>
        <w:spacing w:after="0" w:line="263" w:lineRule="auto"/>
        <w:rPr>
          <w:sz w:val="20"/>
          <w:szCs w:val="20"/>
          <w:color w:val="auto"/>
        </w:rPr>
      </w:pPr>
      <w:r>
        <w:rPr>
          <w:rFonts w:ascii="Arial" w:cs="Arial" w:eastAsia="Arial" w:hAnsi="Arial"/>
          <w:sz w:val="22"/>
          <w:szCs w:val="22"/>
          <w:color w:val="auto"/>
        </w:rPr>
        <w:t>deemed to affect the rights of stockholders to request inclusion of proposals in the Corporation’s proxy statement pursuant to Rule 14a-8 under the Exchange Act.</w:t>
      </w:r>
    </w:p>
    <w:p>
      <w:pPr>
        <w:spacing w:after="0" w:line="175" w:lineRule="exact"/>
        <w:rPr>
          <w:sz w:val="20"/>
          <w:szCs w:val="20"/>
          <w:color w:val="auto"/>
        </w:rPr>
      </w:pPr>
    </w:p>
    <w:p>
      <w:pPr>
        <w:jc w:val="both"/>
        <w:ind w:left="200" w:right="219" w:firstLine="1305"/>
        <w:spacing w:after="0" w:line="250" w:lineRule="auto"/>
        <w:tabs>
          <w:tab w:leader="none" w:pos="21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87" w:lineRule="exact"/>
        <w:rPr>
          <w:rFonts w:ascii="Arial" w:cs="Arial" w:eastAsia="Arial" w:hAnsi="Arial"/>
          <w:sz w:val="22"/>
          <w:szCs w:val="22"/>
          <w:color w:val="auto"/>
        </w:rPr>
      </w:pPr>
    </w:p>
    <w:p>
      <w:pPr>
        <w:jc w:val="both"/>
        <w:ind w:left="200" w:right="219" w:firstLine="1305"/>
        <w:spacing w:after="0" w:line="258" w:lineRule="auto"/>
        <w:tabs>
          <w:tab w:leader="none" w:pos="2144" w:val="left"/>
        </w:tabs>
        <w:numPr>
          <w:ilvl w:val="0"/>
          <w:numId w:val="73"/>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181" w:lineRule="exact"/>
        <w:rPr>
          <w:rFonts w:ascii="Arial" w:cs="Arial" w:eastAsia="Arial" w:hAnsi="Arial"/>
          <w:sz w:val="21"/>
          <w:szCs w:val="21"/>
          <w:color w:val="auto"/>
        </w:rPr>
      </w:pPr>
    </w:p>
    <w:p>
      <w:pPr>
        <w:jc w:val="both"/>
        <w:ind w:left="200" w:right="219" w:firstLine="1305"/>
        <w:spacing w:after="0" w:line="259" w:lineRule="auto"/>
        <w:tabs>
          <w:tab w:leader="none" w:pos="2144" w:val="left"/>
        </w:tabs>
        <w:numPr>
          <w:ilvl w:val="0"/>
          <w:numId w:val="73"/>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as provided in the first sentence of paragraph (h) of this Section 2.4, business brought properly under and in compliance with Rule 14a-8 of the Exchange Act, as may be amended from time to time).</w:t>
      </w:r>
    </w:p>
    <w:p>
      <w:pPr>
        <w:spacing w:after="0" w:line="17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ADVANCE NOTICE PROCEDURES FOR NOMINATIONS OF DIRECTORS.</w:t>
      </w:r>
    </w:p>
    <w:p>
      <w:pPr>
        <w:spacing w:after="0" w:line="220" w:lineRule="exact"/>
        <w:rPr>
          <w:sz w:val="20"/>
          <w:szCs w:val="20"/>
          <w:color w:val="auto"/>
        </w:rPr>
      </w:pPr>
    </w:p>
    <w:p>
      <w:pPr>
        <w:jc w:val="both"/>
        <w:ind w:left="200" w:right="219" w:firstLine="1305"/>
        <w:spacing w:after="0" w:line="289" w:lineRule="auto"/>
        <w:tabs>
          <w:tab w:leader="none" w:pos="2144"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was a stockholder of record of the Corporation (and, with respect to any beneficial owner, if different, on whose behalf such nomination is proposed to be made, only if such beneficial owner was the beneficial owner of shares of the Corporation) both at the time of giving the notice provided for in this Section 2.5 and at the time of the meeting, (B) is entitled to vote at the meeting and (C) has complied with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22" w:name="page123"/>
    <w:bookmarkEnd w:id="122"/>
    <w:p>
      <w:pPr>
        <w:jc w:val="both"/>
        <w:ind w:left="200" w:right="219"/>
        <w:spacing w:after="0" w:line="271" w:lineRule="auto"/>
        <w:rPr>
          <w:sz w:val="20"/>
          <w:szCs w:val="20"/>
          <w:color w:val="auto"/>
        </w:rPr>
      </w:pPr>
      <w:r>
        <w:rPr>
          <w:rFonts w:ascii="Arial" w:cs="Arial" w:eastAsia="Arial" w:hAnsi="Arial"/>
          <w:sz w:val="21"/>
          <w:szCs w:val="21"/>
          <w:color w:val="auto"/>
        </w:rPr>
        <w:t>this Section 2.5 as to such nomination. The foregoing clause (ii) shall be the exclusive means for a stockholder to make any nomination of a person or persons for election to the Board to be considered by the stockholders at an annual meeting or special meeting.</w:t>
      </w:r>
    </w:p>
    <w:p>
      <w:pPr>
        <w:spacing w:after="0" w:line="167" w:lineRule="exact"/>
        <w:rPr>
          <w:sz w:val="20"/>
          <w:szCs w:val="20"/>
          <w:color w:val="auto"/>
        </w:rPr>
      </w:pPr>
    </w:p>
    <w:p>
      <w:pPr>
        <w:jc w:val="both"/>
        <w:ind w:left="200" w:right="219" w:firstLine="1305"/>
        <w:spacing w:after="0" w:line="255" w:lineRule="auto"/>
        <w:tabs>
          <w:tab w:leader="none" w:pos="2144" w:val="left"/>
        </w:tabs>
        <w:numPr>
          <w:ilvl w:val="0"/>
          <w:numId w:val="75"/>
        </w:numPr>
        <w:rPr>
          <w:rFonts w:ascii="Arial" w:cs="Arial" w:eastAsia="Arial" w:hAnsi="Arial"/>
          <w:sz w:val="20"/>
          <w:szCs w:val="20"/>
          <w:color w:val="auto"/>
        </w:rPr>
      </w:pPr>
      <w:r>
        <w:rPr>
          <w:rFonts w:ascii="Arial" w:cs="Arial" w:eastAsia="Arial" w:hAnsi="Arial"/>
          <w:sz w:val="20"/>
          <w:szCs w:val="20"/>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close of business on the one hundred twentieth (120</w:t>
      </w:r>
      <w:r>
        <w:rPr>
          <w:rFonts w:ascii="Arial" w:cs="Arial" w:eastAsia="Arial" w:hAnsi="Arial"/>
          <w:sz w:val="30"/>
          <w:szCs w:val="30"/>
          <w:color w:val="auto"/>
          <w:vertAlign w:val="superscript"/>
        </w:rPr>
        <w:t>th</w:t>
      </w:r>
      <w:r>
        <w:rPr>
          <w:rFonts w:ascii="Arial" w:cs="Arial" w:eastAsia="Arial" w:hAnsi="Arial"/>
          <w:sz w:val="20"/>
          <w:szCs w:val="20"/>
          <w:color w:val="auto"/>
        </w:rPr>
        <w:t>) day prior to such special meeting and not later than the later of the close of business on the ninetieth (90</w:t>
      </w:r>
      <w:r>
        <w:rPr>
          <w:rFonts w:ascii="Arial" w:cs="Arial" w:eastAsia="Arial" w:hAnsi="Arial"/>
          <w:sz w:val="30"/>
          <w:szCs w:val="30"/>
          <w:color w:val="auto"/>
          <w:vertAlign w:val="superscript"/>
        </w:rPr>
        <w:t>th</w:t>
      </w:r>
      <w:r>
        <w:rPr>
          <w:rFonts w:ascii="Arial" w:cs="Arial" w:eastAsia="Arial" w:hAnsi="Arial"/>
          <w:sz w:val="20"/>
          <w:szCs w:val="20"/>
          <w:color w:val="auto"/>
        </w:rPr>
        <w:t>) day prior to such special meeting and the close of business on the tenth (10</w:t>
      </w:r>
      <w:r>
        <w:rPr>
          <w:rFonts w:ascii="Arial" w:cs="Arial" w:eastAsia="Arial" w:hAnsi="Arial"/>
          <w:sz w:val="30"/>
          <w:szCs w:val="30"/>
          <w:color w:val="auto"/>
          <w:vertAlign w:val="superscript"/>
        </w:rPr>
        <w:t>th</w:t>
      </w:r>
      <w:r>
        <w:rPr>
          <w:rFonts w:ascii="Arial" w:cs="Arial" w:eastAsia="Arial" w:hAnsi="Arial"/>
          <w:sz w:val="20"/>
          <w:szCs w:val="20"/>
          <w:color w:val="auto"/>
        </w:rPr>
        <w:t>) day following the day on which public disclosure (as defined in Section 2.4(i)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201" w:lineRule="exact"/>
        <w:rPr>
          <w:rFonts w:ascii="Arial" w:cs="Arial" w:eastAsia="Arial" w:hAnsi="Arial"/>
          <w:sz w:val="20"/>
          <w:szCs w:val="20"/>
          <w:color w:val="auto"/>
        </w:rPr>
      </w:pPr>
    </w:p>
    <w:p>
      <w:pPr>
        <w:ind w:left="200" w:right="219" w:firstLine="1305"/>
        <w:spacing w:after="0" w:line="263" w:lineRule="auto"/>
        <w:tabs>
          <w:tab w:leader="none" w:pos="214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2.5, a stockholder’s notice to the secretary of the Corporation shall set forth:</w:t>
      </w:r>
    </w:p>
    <w:p>
      <w:pPr>
        <w:spacing w:after="0" w:line="175" w:lineRule="exact"/>
        <w:rPr>
          <w:sz w:val="20"/>
          <w:szCs w:val="20"/>
          <w:color w:val="auto"/>
        </w:rPr>
      </w:pPr>
    </w:p>
    <w:p>
      <w:pPr>
        <w:ind w:left="1500" w:right="239" w:firstLine="653"/>
        <w:spacing w:after="0" w:line="287" w:lineRule="auto"/>
        <w:tabs>
          <w:tab w:leader="none" w:pos="2472" w:val="left"/>
        </w:tabs>
        <w:numPr>
          <w:ilvl w:val="0"/>
          <w:numId w:val="76"/>
        </w:numPr>
        <w:rPr>
          <w:rFonts w:ascii="Arial" w:cs="Arial" w:eastAsia="Arial" w:hAnsi="Arial"/>
          <w:sz w:val="21"/>
          <w:szCs w:val="21"/>
          <w:color w:val="auto"/>
        </w:rPr>
      </w:pPr>
      <w:r>
        <w:rPr>
          <w:rFonts w:ascii="Arial" w:cs="Arial" w:eastAsia="Arial" w:hAnsi="Arial"/>
          <w:sz w:val="21"/>
          <w:szCs w:val="21"/>
          <w:color w:val="auto"/>
        </w:rPr>
        <w:t>As to each Nominating Person (as defined below), the Stockholder Information (as defined in Section 2.4(c)(i) of these bylaws) except that for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23" w:name="page124"/>
    <w:bookmarkEnd w:id="123"/>
    <w:p>
      <w:pPr>
        <w:ind w:left="1500" w:right="219"/>
        <w:spacing w:after="0" w:line="343" w:lineRule="auto"/>
        <w:rPr>
          <w:sz w:val="20"/>
          <w:szCs w:val="20"/>
          <w:color w:val="auto"/>
        </w:rPr>
      </w:pPr>
      <w:r>
        <w:rPr>
          <w:rFonts w:ascii="Arial" w:cs="Arial" w:eastAsia="Arial" w:hAnsi="Arial"/>
          <w:sz w:val="19"/>
          <w:szCs w:val="19"/>
          <w:color w:val="auto"/>
        </w:rPr>
        <w:t>purposes of this Section 2.5, the term “Nominating Person” shall be substituted for the term “Proposing Person” in all places it appears in Section 2.4(c)(i);</w:t>
      </w:r>
    </w:p>
    <w:p>
      <w:pPr>
        <w:spacing w:after="0" w:line="104" w:lineRule="exact"/>
        <w:rPr>
          <w:sz w:val="20"/>
          <w:szCs w:val="20"/>
          <w:color w:val="auto"/>
        </w:rPr>
      </w:pPr>
    </w:p>
    <w:p>
      <w:pPr>
        <w:jc w:val="both"/>
        <w:ind w:left="1500" w:right="219" w:firstLine="653"/>
        <w:spacing w:after="0" w:line="288" w:lineRule="auto"/>
        <w:tabs>
          <w:tab w:leader="none" w:pos="2472"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Disclosable Interests shall not include any such disclosures with respect to the ordinary course business activities of any broker, dealer, commercial bank, trust company or other nominee who is a Nominating Person solely as a result of being the stockholder directed to prepare and submit the notice required by these bylaws on behalf of a beneficial owner; and;</w:t>
      </w:r>
    </w:p>
    <w:p>
      <w:pPr>
        <w:spacing w:after="0" w:line="159" w:lineRule="exact"/>
        <w:rPr>
          <w:sz w:val="20"/>
          <w:szCs w:val="20"/>
          <w:color w:val="auto"/>
        </w:rPr>
      </w:pPr>
    </w:p>
    <w:p>
      <w:pPr>
        <w:jc w:val="both"/>
        <w:ind w:left="1500" w:right="219" w:firstLine="648"/>
        <w:spacing w:after="0" w:line="284" w:lineRule="auto"/>
        <w:rPr>
          <w:sz w:val="20"/>
          <w:szCs w:val="20"/>
          <w:color w:val="auto"/>
        </w:rPr>
      </w:pPr>
      <w:r>
        <w:rPr>
          <w:rFonts w:ascii="Arial" w:cs="Arial" w:eastAsia="Arial" w:hAnsi="Arial"/>
          <w:sz w:val="19"/>
          <w:szCs w:val="19"/>
          <w:color w:val="auto"/>
        </w:rPr>
        <w:t>(iii)As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statement whether the proposed nominee, if elected, intends to tender, promptly following such person’s failure to receive the required vote for election as a director at any subsequent meeting at which such person is nominated for re-election, a resignation that will become effective upon the acceptance of such resignation by the Board of Directors, (D) a description of all direct and indirect compensation and other material monetary agreements, arrangements and understandings during the past three (3) years, and any other material relationships, between or among any Nominating Person, on the one hand, and each proposed nominee, his or her respective affiliates and associates and any other persons with whom such proposed nominee (or any of his or her respective affiliates and associates) is Acting in Concert (as defined in Section 2.4(e) of these bylaws),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 referred to as “</w:t>
      </w:r>
      <w:r>
        <w:rPr>
          <w:rFonts w:ascii="Arial" w:cs="Arial" w:eastAsia="Arial" w:hAnsi="Arial"/>
          <w:sz w:val="19"/>
          <w:szCs w:val="19"/>
          <w:u w:val="single" w:color="auto"/>
          <w:color w:val="auto"/>
        </w:rPr>
        <w:t>Nominee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24" w:name="page125"/>
    <w:bookmarkEnd w:id="124"/>
    <w:p>
      <w:pPr>
        <w:jc w:val="both"/>
        <w:ind w:left="1500" w:right="219"/>
        <w:spacing w:after="0" w:line="285" w:lineRule="auto"/>
        <w:rPr>
          <w:sz w:val="20"/>
          <w:szCs w:val="20"/>
          <w:color w:val="auto"/>
        </w:rPr>
      </w:pPr>
      <w:r>
        <w:rPr>
          <w:rFonts w:ascii="Arial" w:cs="Arial" w:eastAsia="Arial" w:hAnsi="Arial"/>
          <w:sz w:val="19"/>
          <w:szCs w:val="19"/>
          <w:u w:val="single" w:color="auto"/>
          <w:color w:val="auto"/>
        </w:rPr>
        <w:t>Information</w:t>
      </w:r>
      <w:r>
        <w:rPr>
          <w:rFonts w:ascii="Arial" w:cs="Arial" w:eastAsia="Arial" w:hAnsi="Arial"/>
          <w:sz w:val="19"/>
          <w:szCs w:val="19"/>
          <w:color w:val="auto"/>
        </w:rPr>
        <w:t>”), (E) a representation that the Nominating Person is a holder of record of stock of the Corporation entitled to vote at such meeting and intends to appear in person or by proxy at the meeting to propose such nomination, (F) a representation whether the Nominating Person intends or is part of a group which intends (1) to deliver a proxy statement and/or form of proxy to holders of at least the percentage of the Corporation’s outstanding capital stock required to elect the nominee and/or</w:t>
      </w:r>
    </w:p>
    <w:p>
      <w:pPr>
        <w:jc w:val="both"/>
        <w:ind w:left="1500" w:right="219" w:firstLine="5"/>
        <w:spacing w:after="0" w:line="245" w:lineRule="auto"/>
        <w:tabs>
          <w:tab w:leader="none" w:pos="1862" w:val="left"/>
        </w:tabs>
        <w:numPr>
          <w:ilvl w:val="0"/>
          <w:numId w:val="78"/>
        </w:numPr>
        <w:rPr>
          <w:rFonts w:ascii="Arial" w:cs="Arial" w:eastAsia="Arial" w:hAnsi="Arial"/>
          <w:sz w:val="22"/>
          <w:szCs w:val="22"/>
          <w:color w:val="auto"/>
        </w:rPr>
      </w:pPr>
      <w:r>
        <w:rPr>
          <w:rFonts w:ascii="Arial" w:cs="Arial" w:eastAsia="Arial" w:hAnsi="Arial"/>
          <w:sz w:val="22"/>
          <w:szCs w:val="22"/>
          <w:color w:val="auto"/>
        </w:rPr>
        <w:t>otherwise to solicit proxies or votes from stockholders in support of such nomination and (G) a completed and signed questionnaire, representation and agreement as provided in Section 2.5(g); and</w:t>
      </w:r>
    </w:p>
    <w:p>
      <w:pPr>
        <w:spacing w:after="0" w:line="193" w:lineRule="exact"/>
        <w:rPr>
          <w:sz w:val="20"/>
          <w:szCs w:val="20"/>
          <w:color w:val="auto"/>
        </w:rPr>
      </w:pPr>
    </w:p>
    <w:p>
      <w:pPr>
        <w:jc w:val="both"/>
        <w:ind w:left="1500" w:right="219" w:firstLine="648"/>
        <w:spacing w:after="0" w:line="246" w:lineRule="auto"/>
        <w:rPr>
          <w:sz w:val="20"/>
          <w:szCs w:val="20"/>
          <w:color w:val="auto"/>
        </w:rPr>
      </w:pPr>
      <w:r>
        <w:rPr>
          <w:rFonts w:ascii="Arial" w:cs="Arial" w:eastAsia="Arial" w:hAnsi="Arial"/>
          <w:sz w:val="22"/>
          <w:szCs w:val="22"/>
          <w:color w:val="auto"/>
        </w:rPr>
        <w:t>(iv)The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196" w:lineRule="exact"/>
        <w:rPr>
          <w:sz w:val="20"/>
          <w:szCs w:val="20"/>
          <w:color w:val="auto"/>
        </w:rPr>
      </w:pPr>
    </w:p>
    <w:p>
      <w:pPr>
        <w:ind w:left="2160" w:hanging="655"/>
        <w:spacing w:after="0"/>
        <w:tabs>
          <w:tab w:leader="none" w:pos="2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For purposes of this Section 2.5, the term “</w:t>
      </w:r>
      <w:r>
        <w:rPr>
          <w:rFonts w:ascii="Arial" w:cs="Arial" w:eastAsia="Arial" w:hAnsi="Arial"/>
          <w:sz w:val="19"/>
          <w:szCs w:val="19"/>
          <w:u w:val="single" w:color="auto"/>
          <w:color w:val="auto"/>
        </w:rPr>
        <w:t>Nominating Person</w:t>
      </w:r>
      <w:r>
        <w:rPr>
          <w:rFonts w:ascii="Arial" w:cs="Arial" w:eastAsia="Arial" w:hAnsi="Arial"/>
          <w:sz w:val="19"/>
          <w:szCs w:val="19"/>
          <w:color w:val="auto"/>
        </w:rPr>
        <w:t>” shall mean</w:t>
      </w:r>
    </w:p>
    <w:p>
      <w:pPr>
        <w:spacing w:after="0" w:line="55" w:lineRule="exact"/>
        <w:rPr>
          <w:rFonts w:ascii="Arial" w:cs="Arial" w:eastAsia="Arial" w:hAnsi="Arial"/>
          <w:sz w:val="19"/>
          <w:szCs w:val="19"/>
          <w:color w:val="auto"/>
        </w:rPr>
      </w:pPr>
    </w:p>
    <w:p>
      <w:pPr>
        <w:ind w:left="500" w:hanging="291"/>
        <w:spacing w:after="0"/>
        <w:tabs>
          <w:tab w:leader="none" w:pos="5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stockholder providing the notice of the nomination proposed to be made at the meeting,</w:t>
      </w:r>
    </w:p>
    <w:p>
      <w:pPr>
        <w:spacing w:after="0" w:line="38" w:lineRule="exact"/>
        <w:rPr>
          <w:rFonts w:ascii="Arial" w:cs="Arial" w:eastAsia="Arial" w:hAnsi="Arial"/>
          <w:sz w:val="19"/>
          <w:szCs w:val="19"/>
          <w:color w:val="auto"/>
        </w:rPr>
      </w:pPr>
    </w:p>
    <w:p>
      <w:pPr>
        <w:jc w:val="both"/>
        <w:ind w:left="200" w:right="219" w:firstLine="9"/>
        <w:spacing w:after="0" w:line="295" w:lineRule="auto"/>
        <w:tabs>
          <w:tab w:leader="none" w:pos="563"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beneficial owner or beneficial owners, if different, on whose behalf the notice of the nomination proposed to be made at the meeting is made, (iii) any affiliate or associate of such stockholder or beneficial owner and (iv) any other person with whom such stockholder or such beneficial owner (or any of their respective affiliates or associates) is Acting in Concert.</w:t>
      </w:r>
    </w:p>
    <w:p>
      <w:pPr>
        <w:spacing w:after="0" w:line="149" w:lineRule="exact"/>
        <w:rPr>
          <w:rFonts w:ascii="Arial" w:cs="Arial" w:eastAsia="Arial" w:hAnsi="Arial"/>
          <w:sz w:val="19"/>
          <w:szCs w:val="19"/>
          <w:color w:val="auto"/>
        </w:rPr>
      </w:pPr>
    </w:p>
    <w:p>
      <w:pPr>
        <w:jc w:val="both"/>
        <w:ind w:left="200" w:right="219" w:firstLine="1305"/>
        <w:spacing w:after="0" w:line="284" w:lineRule="auto"/>
        <w:tabs>
          <w:tab w:leader="none" w:pos="21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w:t>
      </w:r>
    </w:p>
    <w:p>
      <w:pPr>
        <w:spacing w:after="0" w:line="3" w:lineRule="exact"/>
        <w:rPr>
          <w:rFonts w:ascii="Arial" w:cs="Arial" w:eastAsia="Arial" w:hAnsi="Arial"/>
          <w:sz w:val="19"/>
          <w:szCs w:val="19"/>
          <w:color w:val="auto"/>
        </w:rPr>
      </w:pPr>
    </w:p>
    <w:p>
      <w:pPr>
        <w:jc w:val="both"/>
        <w:ind w:left="200" w:right="219"/>
        <w:spacing w:after="0" w:line="243" w:lineRule="auto"/>
        <w:rPr>
          <w:rFonts w:ascii="Arial" w:cs="Arial" w:eastAsia="Arial" w:hAnsi="Arial"/>
          <w:sz w:val="19"/>
          <w:szCs w:val="19"/>
          <w:color w:val="auto"/>
        </w:rPr>
      </w:pPr>
      <w:r>
        <w:rPr>
          <w:rFonts w:ascii="Arial" w:cs="Arial" w:eastAsia="Arial" w:hAnsi="Arial"/>
          <w:sz w:val="22"/>
          <w:szCs w:val="22"/>
          <w:color w:val="auto"/>
        </w:rPr>
        <w:t>(5)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25" w:name="page126"/>
    <w:bookmarkEnd w:id="125"/>
    <w:p>
      <w:pPr>
        <w:jc w:val="both"/>
        <w:ind w:left="200" w:right="219" w:firstLine="1305"/>
        <w:spacing w:after="0" w:line="287" w:lineRule="auto"/>
        <w:tabs>
          <w:tab w:leader="none" w:pos="2144" w:val="left"/>
        </w:tabs>
        <w:numPr>
          <w:ilvl w:val="1"/>
          <w:numId w:val="81"/>
        </w:numPr>
        <w:rPr>
          <w:rFonts w:ascii="Arial" w:cs="Arial" w:eastAsia="Arial" w:hAnsi="Arial"/>
          <w:sz w:val="19"/>
          <w:szCs w:val="19"/>
          <w:color w:val="auto"/>
        </w:rPr>
      </w:pPr>
      <w:r>
        <w:rPr>
          <w:rFonts w:ascii="Arial" w:cs="Arial" w:eastAsia="Arial" w:hAnsi="Arial"/>
          <w:sz w:val="19"/>
          <w:szCs w:val="19"/>
          <w:color w:val="auto"/>
        </w:rPr>
        <w:t>Notwithstanding anything in these bylaws to the contrary, no person shall be eligible for election as a director of the Corporation unless nominated in accordance with this Section 2.5, except as otherwise expressly provided in any applicable rule or regulation promulgated under the Exchange Act.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w:t>
      </w:r>
    </w:p>
    <w:p>
      <w:pPr>
        <w:spacing w:after="0" w:line="163" w:lineRule="exact"/>
        <w:rPr>
          <w:rFonts w:ascii="Arial" w:cs="Arial" w:eastAsia="Arial" w:hAnsi="Arial"/>
          <w:sz w:val="19"/>
          <w:szCs w:val="19"/>
          <w:color w:val="auto"/>
        </w:rPr>
      </w:pPr>
    </w:p>
    <w:p>
      <w:pPr>
        <w:jc w:val="both"/>
        <w:ind w:left="200" w:right="219" w:firstLine="1305"/>
        <w:spacing w:after="0" w:line="282" w:lineRule="auto"/>
        <w:tabs>
          <w:tab w:leader="none" w:pos="2144" w:val="left"/>
        </w:tabs>
        <w:numPr>
          <w:ilvl w:val="1"/>
          <w:numId w:val="81"/>
        </w:numPr>
        <w:rPr>
          <w:rFonts w:ascii="Arial" w:cs="Arial" w:eastAsia="Arial" w:hAnsi="Arial"/>
          <w:sz w:val="19"/>
          <w:szCs w:val="19"/>
          <w:color w:val="auto"/>
        </w:rPr>
      </w:pPr>
      <w:r>
        <w:rPr>
          <w:rFonts w:ascii="Arial" w:cs="Arial" w:eastAsia="Arial" w:hAnsi="Arial"/>
          <w:sz w:val="19"/>
          <w:szCs w:val="19"/>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9"/>
          <w:szCs w:val="19"/>
          <w:u w:val="single" w:color="auto"/>
          <w:color w:val="auto"/>
        </w:rPr>
        <w:t>Voting Commitment</w:t>
      </w:r>
      <w:r>
        <w:rPr>
          <w:rFonts w:ascii="Arial" w:cs="Arial" w:eastAsia="Arial" w:hAnsi="Arial"/>
          <w:sz w:val="19"/>
          <w:szCs w:val="19"/>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w:t>
      </w:r>
    </w:p>
    <w:p>
      <w:pPr>
        <w:spacing w:after="0" w:line="14" w:lineRule="exact"/>
        <w:rPr>
          <w:rFonts w:ascii="Arial" w:cs="Arial" w:eastAsia="Arial" w:hAnsi="Arial"/>
          <w:sz w:val="19"/>
          <w:szCs w:val="19"/>
          <w:color w:val="auto"/>
        </w:rPr>
      </w:pPr>
    </w:p>
    <w:p>
      <w:pPr>
        <w:jc w:val="both"/>
        <w:ind w:left="200" w:right="219" w:firstLine="9"/>
        <w:spacing w:after="0" w:line="244" w:lineRule="auto"/>
        <w:tabs>
          <w:tab w:leader="none" w:pos="614"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194" w:lineRule="exact"/>
        <w:rPr>
          <w:rFonts w:ascii="Arial" w:cs="Arial" w:eastAsia="Arial" w:hAnsi="Arial"/>
          <w:sz w:val="22"/>
          <w:szCs w:val="22"/>
          <w:color w:val="auto"/>
        </w:rPr>
      </w:pPr>
    </w:p>
    <w:p>
      <w:pPr>
        <w:jc w:val="both"/>
        <w:ind w:left="200" w:right="219" w:firstLine="1305"/>
        <w:spacing w:after="0" w:line="271" w:lineRule="auto"/>
        <w:tabs>
          <w:tab w:leader="none" w:pos="2144" w:val="left"/>
        </w:tabs>
        <w:numPr>
          <w:ilvl w:val="1"/>
          <w:numId w:val="82"/>
        </w:numPr>
        <w:rPr>
          <w:rFonts w:ascii="Arial" w:cs="Arial" w:eastAsia="Arial" w:hAnsi="Arial"/>
          <w:sz w:val="21"/>
          <w:szCs w:val="21"/>
          <w:color w:val="auto"/>
        </w:rPr>
      </w:pPr>
      <w:r>
        <w:rPr>
          <w:rFonts w:ascii="Arial" w:cs="Arial" w:eastAsia="Arial" w:hAnsi="Arial"/>
          <w:sz w:val="21"/>
          <w:szCs w:val="21"/>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6" w:name="page127"/>
    <w:bookmarkEnd w:id="126"/>
    <w:p>
      <w:pPr>
        <w:jc w:val="both"/>
        <w:ind w:left="200" w:right="219" w:firstLine="1305"/>
        <w:spacing w:after="0" w:line="288" w:lineRule="auto"/>
        <w:tabs>
          <w:tab w:leader="none" w:pos="2144" w:val="left"/>
        </w:tabs>
        <w:numPr>
          <w:ilvl w:val="0"/>
          <w:numId w:val="83"/>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15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NOTICE OF STOCKHOLDERS’ MEETINGS.</w:t>
      </w:r>
    </w:p>
    <w:p>
      <w:pPr>
        <w:spacing w:after="0" w:line="220"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59" w:lineRule="exact"/>
        <w:rPr>
          <w:sz w:val="20"/>
          <w:szCs w:val="20"/>
          <w:color w:val="auto"/>
        </w:rPr>
      </w:pPr>
    </w:p>
    <w:p>
      <w:pPr>
        <w:ind w:left="460" w:right="339" w:firstLine="405"/>
        <w:spacing w:after="0" w:line="263" w:lineRule="auto"/>
        <w:rPr>
          <w:sz w:val="20"/>
          <w:szCs w:val="20"/>
          <w:color w:val="auto"/>
        </w:rPr>
      </w:pPr>
      <w:r>
        <w:rPr>
          <w:rFonts w:ascii="Arial" w:cs="Arial" w:eastAsia="Arial" w:hAnsi="Arial"/>
          <w:sz w:val="22"/>
          <w:szCs w:val="22"/>
          <w:color w:val="auto"/>
        </w:rPr>
        <w:t>2.7 MANNER OF GIVING NOTICE; AFFIDAVIT OF NOTICENotice of any meeting of stockholders shall be deemed given:</w:t>
      </w:r>
    </w:p>
    <w:p>
      <w:pPr>
        <w:spacing w:after="0" w:line="175" w:lineRule="exact"/>
        <w:rPr>
          <w:sz w:val="20"/>
          <w:szCs w:val="20"/>
          <w:color w:val="auto"/>
        </w:rPr>
      </w:pPr>
    </w:p>
    <w:p>
      <w:pPr>
        <w:jc w:val="both"/>
        <w:ind w:left="200" w:right="219" w:firstLine="1305"/>
        <w:spacing w:after="0" w:line="253" w:lineRule="auto"/>
        <w:tabs>
          <w:tab w:leader="none" w:pos="21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mailed, when deposited in the United States mail, postage prepaid, directed to the stockholder at such stockholder’s address as it appears on the Corporation’s records; or</w:t>
      </w:r>
    </w:p>
    <w:p>
      <w:pPr>
        <w:spacing w:after="0" w:line="185" w:lineRule="exact"/>
        <w:rPr>
          <w:rFonts w:ascii="Arial" w:cs="Arial" w:eastAsia="Arial" w:hAnsi="Arial"/>
          <w:sz w:val="22"/>
          <w:szCs w:val="22"/>
          <w:color w:val="auto"/>
        </w:rPr>
      </w:pPr>
    </w:p>
    <w:p>
      <w:pPr>
        <w:ind w:left="2160" w:hanging="655"/>
        <w:spacing w:after="0"/>
        <w:tabs>
          <w:tab w:leader="none" w:pos="21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if electronically transmitted, as provided in Section 8.1 of these bylaws.</w:t>
      </w:r>
    </w:p>
    <w:p>
      <w:pPr>
        <w:spacing w:after="0" w:line="23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7" w:name="page128"/>
    <w:bookmarkEnd w:id="127"/>
    <w:p>
      <w:pPr>
        <w:ind w:left="860"/>
        <w:spacing w:after="0"/>
        <w:tabs>
          <w:tab w:leader="none" w:pos="140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color w:val="auto"/>
        </w:rPr>
        <w:t>QUORUM</w:t>
      </w:r>
    </w:p>
    <w:p>
      <w:pPr>
        <w:spacing w:after="0" w:line="220"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5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color w:val="auto"/>
        </w:rPr>
        <w:t>ADJOURNED MEETING; NOTICE</w:t>
      </w:r>
    </w:p>
    <w:p>
      <w:pPr>
        <w:spacing w:after="0" w:line="220"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15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CONDUCT OF BUSINESS</w:t>
      </w:r>
    </w:p>
    <w:p>
      <w:pPr>
        <w:spacing w:after="0" w:line="220"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8" w:name="page129"/>
    <w:bookmarkEnd w:id="128"/>
    <w:p>
      <w:pPr>
        <w:jc w:val="both"/>
        <w:ind w:left="200" w:right="219"/>
        <w:spacing w:after="0" w:line="285" w:lineRule="auto"/>
        <w:rPr>
          <w:sz w:val="20"/>
          <w:szCs w:val="20"/>
          <w:color w:val="auto"/>
        </w:rPr>
      </w:pPr>
      <w:r>
        <w:rPr>
          <w:rFonts w:ascii="Arial" w:cs="Arial" w:eastAsia="Arial" w:hAnsi="Arial"/>
          <w:sz w:val="19"/>
          <w:szCs w:val="19"/>
          <w:color w:val="auto"/>
        </w:rPr>
        <w:t>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200" w:lineRule="exact"/>
        <w:rPr>
          <w:sz w:val="20"/>
          <w:szCs w:val="20"/>
          <w:color w:val="auto"/>
        </w:rPr>
      </w:pPr>
    </w:p>
    <w:p>
      <w:pPr>
        <w:spacing w:after="0" w:line="22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VOTING</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88"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Except as may be otherwise provided in the certificate of incorporation or these bylaws, each stockholder shall be entitled to one (1) vote for each share of capital stock held by such stockholder.</w:t>
      </w:r>
    </w:p>
    <w:p>
      <w:pPr>
        <w:spacing w:after="0" w:line="185"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9" w:name="page130"/>
    <w:bookmarkEnd w:id="129"/>
    <w:p>
      <w:pPr>
        <w:ind w:left="860"/>
        <w:spacing w:after="0"/>
        <w:tabs>
          <w:tab w:leader="none" w:pos="140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color w:val="auto"/>
        </w:rPr>
        <w:t>STOCKHOLDER ACTION BY WRITTEN CONSENT WITHOUT A MEETING</w:t>
      </w:r>
    </w:p>
    <w:p>
      <w:pPr>
        <w:spacing w:after="0" w:line="220" w:lineRule="exact"/>
        <w:rPr>
          <w:sz w:val="20"/>
          <w:szCs w:val="20"/>
          <w:color w:val="auto"/>
        </w:rPr>
      </w:pPr>
    </w:p>
    <w:p>
      <w:pPr>
        <w:jc w:val="both"/>
        <w:ind w:left="200" w:right="239" w:firstLine="648"/>
        <w:spacing w:after="0" w:line="271" w:lineRule="auto"/>
        <w:rPr>
          <w:sz w:val="20"/>
          <w:szCs w:val="20"/>
          <w:color w:val="auto"/>
        </w:rPr>
      </w:pPr>
      <w:r>
        <w:rPr>
          <w:rFonts w:ascii="Arial" w:cs="Arial" w:eastAsia="Arial" w:hAnsi="Arial"/>
          <w:sz w:val="21"/>
          <w:szCs w:val="21"/>
          <w:color w:val="auto"/>
        </w:rPr>
        <w:t>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67"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RECORD DATE FOR STOCKHOLDER NOTICE; VOTING.</w:t>
      </w:r>
    </w:p>
    <w:p>
      <w:pPr>
        <w:spacing w:after="0" w:line="220"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6"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196"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PROXIES</w:t>
      </w:r>
    </w:p>
    <w:p>
      <w:pPr>
        <w:spacing w:after="0" w:line="220"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Each stockholder entitled to vote at a meeting of stockholders may authorize another person or persons to act for such stockholder by proxy, but no such proxy shall be voted or acted upon after three (3) years from its date, unless the proxy provides for a longer period. The revocability of a proxy that states on its face that it is irrevocable shall be governed by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0" w:name="page131"/>
    <w:bookmarkEnd w:id="130"/>
    <w:p>
      <w:pPr>
        <w:jc w:val="both"/>
        <w:ind w:left="200" w:right="219"/>
        <w:spacing w:after="0" w:line="250" w:lineRule="auto"/>
        <w:rPr>
          <w:sz w:val="20"/>
          <w:szCs w:val="20"/>
          <w:color w:val="auto"/>
        </w:rPr>
      </w:pPr>
      <w:r>
        <w:rPr>
          <w:rFonts w:ascii="Arial" w:cs="Arial" w:eastAsia="Arial" w:hAnsi="Arial"/>
          <w:sz w:val="22"/>
          <w:szCs w:val="22"/>
          <w:color w:val="auto"/>
        </w:rPr>
        <w:t>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88"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LIST OF STOCKHOLDERS ENTITLED TO VOTE</w:t>
      </w:r>
    </w:p>
    <w:p>
      <w:pPr>
        <w:spacing w:after="0" w:line="220"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9"/>
          <w:szCs w:val="19"/>
          <w:color w:val="auto"/>
        </w:rPr>
        <w:t>The Corporation shall prepare, at least ten (10) days before every meeting of stockholders, a complete list of the stockholders entitled to vote at the meeting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200" w:lineRule="exact"/>
        <w:rPr>
          <w:sz w:val="20"/>
          <w:szCs w:val="20"/>
          <w:color w:val="auto"/>
        </w:rPr>
      </w:pPr>
    </w:p>
    <w:p>
      <w:pPr>
        <w:spacing w:after="0" w:line="230"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POSTPONEMENT, ADJOURNMENT AND CANCELLATION OF MEETING.</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INSPECTORS OF ELECTION.</w:t>
      </w:r>
    </w:p>
    <w:p>
      <w:pPr>
        <w:spacing w:after="0" w:line="220" w:lineRule="exact"/>
        <w:rPr>
          <w:sz w:val="20"/>
          <w:szCs w:val="20"/>
          <w:color w:val="auto"/>
        </w:rPr>
      </w:pPr>
    </w:p>
    <w:p>
      <w:pPr>
        <w:jc w:val="both"/>
        <w:ind w:left="200" w:right="239" w:firstLine="648"/>
        <w:spacing w:after="0" w:line="343" w:lineRule="auto"/>
        <w:rPr>
          <w:sz w:val="20"/>
          <w:szCs w:val="20"/>
          <w:color w:val="auto"/>
        </w:rPr>
      </w:pPr>
      <w:r>
        <w:rPr>
          <w:rFonts w:ascii="Arial" w:cs="Arial" w:eastAsia="Arial" w:hAnsi="Arial"/>
          <w:sz w:val="19"/>
          <w:szCs w:val="19"/>
          <w:color w:val="auto"/>
        </w:rPr>
        <w:t>Before any meeting of stockholders, the Board shall appoint an inspector or inspectors of election to act at the meeting or its adjournment or postponement and make a written report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1" w:name="page132"/>
    <w:bookmarkEnd w:id="131"/>
    <w:p>
      <w:pPr>
        <w:jc w:val="both"/>
        <w:ind w:left="200" w:right="219"/>
        <w:spacing w:after="0" w:line="288" w:lineRule="auto"/>
        <w:rPr>
          <w:sz w:val="20"/>
          <w:szCs w:val="20"/>
          <w:color w:val="auto"/>
        </w:rPr>
      </w:pPr>
      <w:r>
        <w:rPr>
          <w:rFonts w:ascii="Arial" w:cs="Arial" w:eastAsia="Arial" w:hAnsi="Arial"/>
          <w:sz w:val="19"/>
          <w:szCs w:val="19"/>
          <w:color w:val="auto"/>
        </w:rPr>
        <w:t>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 - DIRECTORS</w:t>
      </w:r>
    </w:p>
    <w:p>
      <w:pPr>
        <w:spacing w:after="0" w:line="226"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POWERS</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Subject to the provisions of the DGCL and any limitations in the certificate of incorporation, the business and affairs of the Corporation shall be managed and all corporate powers shall be exercised by or under the direction of the Board.</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NUMBER OF DIRECTORS</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88"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ELECTION, QUALIFICATION AND TERM OF OFFICE OF DIRECTORS</w:t>
      </w:r>
    </w:p>
    <w:p>
      <w:pPr>
        <w:spacing w:after="0" w:line="220"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51"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RESIGNATION AND VACANCIES</w:t>
      </w:r>
    </w:p>
    <w:p>
      <w:pPr>
        <w:spacing w:after="0" w:line="22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Any director may resign at any time upon notice given in writing or by electronic transmission to the chairperson of the Board or the Corporation’s chief executive officer,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2" w:name="page133"/>
    <w:bookmarkEnd w:id="132"/>
    <w:p>
      <w:pPr>
        <w:jc w:val="both"/>
        <w:ind w:left="200" w:right="219"/>
        <w:spacing w:after="0" w:line="263" w:lineRule="auto"/>
        <w:rPr>
          <w:sz w:val="20"/>
          <w:szCs w:val="20"/>
          <w:color w:val="auto"/>
        </w:rPr>
      </w:pPr>
      <w:r>
        <w:rPr>
          <w:rFonts w:ascii="Arial" w:cs="Arial" w:eastAsia="Arial" w:hAnsi="Arial"/>
          <w:sz w:val="21"/>
          <w:szCs w:val="21"/>
          <w:color w:val="auto"/>
        </w:rPr>
        <w:t>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75"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57"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PLACE OF MEETINGS; MEETINGS BY TELEPHONE</w:t>
      </w:r>
    </w:p>
    <w:p>
      <w:pPr>
        <w:spacing w:after="0" w:line="220" w:lineRule="exact"/>
        <w:rPr>
          <w:sz w:val="20"/>
          <w:szCs w:val="20"/>
          <w:color w:val="auto"/>
        </w:rPr>
      </w:pPr>
    </w:p>
    <w:p>
      <w:pPr>
        <w:jc w:val="both"/>
        <w:ind w:left="200" w:right="239" w:firstLine="648"/>
        <w:spacing w:after="0" w:line="263" w:lineRule="auto"/>
        <w:rPr>
          <w:sz w:val="20"/>
          <w:szCs w:val="20"/>
          <w:color w:val="auto"/>
        </w:rPr>
      </w:pPr>
      <w:r>
        <w:rPr>
          <w:rFonts w:ascii="Arial" w:cs="Arial" w:eastAsia="Arial" w:hAnsi="Arial"/>
          <w:sz w:val="22"/>
          <w:szCs w:val="22"/>
          <w:color w:val="auto"/>
        </w:rPr>
        <w:t>The Board may hold meetings, both regular and special, either within or outside the State of Delaware.</w:t>
      </w:r>
    </w:p>
    <w:p>
      <w:pPr>
        <w:spacing w:after="0" w:line="175"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47"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REGULAR MEETINGS</w:t>
      </w:r>
    </w:p>
    <w:p>
      <w:pPr>
        <w:spacing w:after="0" w:line="220"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 xml:space="preserve">Regular meetings of the Board may be held without notice at such time and at such place as shall from time to time be determined by the Board;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spacing w:after="0" w:line="192"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SPECIAL MEETINGS; NOTICE</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Special meetings of the Board for any purpose or purposes may be called at any time by the chairperson of the Board, the chief executive officer, the president, the secretary or a majority of the authorized number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3" w:name="page134"/>
    <w:bookmarkEnd w:id="133"/>
    <w:p>
      <w:pPr>
        <w:ind w:left="860"/>
        <w:spacing w:after="0"/>
        <w:rPr>
          <w:sz w:val="20"/>
          <w:szCs w:val="20"/>
          <w:color w:val="auto"/>
        </w:rPr>
      </w:pPr>
      <w:r>
        <w:rPr>
          <w:rFonts w:ascii="Arial" w:cs="Arial" w:eastAsia="Arial" w:hAnsi="Arial"/>
          <w:sz w:val="22"/>
          <w:szCs w:val="22"/>
          <w:color w:val="auto"/>
        </w:rPr>
        <w:t>Notice of the time and place of special meetings shall be:</w:t>
      </w:r>
    </w:p>
    <w:p>
      <w:pPr>
        <w:spacing w:after="0" w:line="220" w:lineRule="exact"/>
        <w:rPr>
          <w:sz w:val="20"/>
          <w:szCs w:val="20"/>
          <w:color w:val="auto"/>
        </w:rPr>
      </w:pPr>
    </w:p>
    <w:p>
      <w:pPr>
        <w:ind w:left="2160" w:hanging="655"/>
        <w:spacing w:after="0"/>
        <w:tabs>
          <w:tab w:leader="none" w:pos="21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delivered personally by hand, by courier or by telephone;</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sent by United States first-class mail, postage prepaid;</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sent by facsimile; or</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0"/>
          <w:numId w:val="85"/>
        </w:numPr>
        <w:rPr>
          <w:rFonts w:ascii="Arial" w:cs="Arial" w:eastAsia="Arial" w:hAnsi="Arial"/>
          <w:sz w:val="21"/>
          <w:szCs w:val="21"/>
          <w:color w:val="auto"/>
        </w:rPr>
      </w:pPr>
      <w:r>
        <w:rPr>
          <w:rFonts w:ascii="Arial" w:cs="Arial" w:eastAsia="Arial" w:hAnsi="Arial"/>
          <w:sz w:val="21"/>
          <w:szCs w:val="21"/>
          <w:color w:val="auto"/>
        </w:rPr>
        <w:t>sent by electronic mail, electronic transmission or other similar means,</w:t>
      </w:r>
    </w:p>
    <w:p>
      <w:pPr>
        <w:spacing w:after="0" w:line="231"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directed to each director at that director’s address, telephone number, facsimile number or electronic mail or other electronic address, as the case may be, as shown on the Corporation’s records.</w:t>
      </w:r>
    </w:p>
    <w:p>
      <w:pPr>
        <w:spacing w:after="0" w:line="185"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51"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QUORUM</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94"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1"/>
          <w:szCs w:val="21"/>
          <w:color w:val="auto"/>
        </w:rPr>
        <w:t>BOARD ACTION BY CONSENT WITHOUT A MEETING</w:t>
      </w:r>
    </w:p>
    <w:p>
      <w:pPr>
        <w:spacing w:after="0" w:line="220"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4" w:name="page135"/>
    <w:bookmarkEnd w:id="134"/>
    <w:p>
      <w:pPr>
        <w:jc w:val="both"/>
        <w:ind w:left="200" w:right="239"/>
        <w:spacing w:after="0" w:line="263" w:lineRule="auto"/>
        <w:rPr>
          <w:sz w:val="20"/>
          <w:szCs w:val="20"/>
          <w:color w:val="auto"/>
        </w:rPr>
      </w:pPr>
      <w:r>
        <w:rPr>
          <w:rFonts w:ascii="Arial" w:cs="Arial" w:eastAsia="Arial" w:hAnsi="Arial"/>
          <w:sz w:val="22"/>
          <w:szCs w:val="22"/>
          <w:color w:val="auto"/>
        </w:rPr>
        <w:t>committee. Such filing shall be in paper form if the minutes are maintained in paper form and shall be in electronic form if the minutes are maintained in electronic form.</w:t>
      </w:r>
    </w:p>
    <w:p>
      <w:pPr>
        <w:spacing w:after="0" w:line="17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color w:val="auto"/>
        </w:rPr>
        <w:t>FEES AND COMPENSATION OF DIRECTORS</w:t>
      </w:r>
    </w:p>
    <w:p>
      <w:pPr>
        <w:spacing w:after="0" w:line="220" w:lineRule="exact"/>
        <w:rPr>
          <w:sz w:val="20"/>
          <w:szCs w:val="20"/>
          <w:color w:val="auto"/>
        </w:rPr>
      </w:pPr>
    </w:p>
    <w:p>
      <w:pPr>
        <w:jc w:val="both"/>
        <w:ind w:left="200" w:right="239" w:firstLine="648"/>
        <w:spacing w:after="0" w:line="263" w:lineRule="auto"/>
        <w:rPr>
          <w:sz w:val="20"/>
          <w:szCs w:val="20"/>
          <w:color w:val="auto"/>
        </w:rPr>
      </w:pPr>
      <w:r>
        <w:rPr>
          <w:rFonts w:ascii="Arial" w:cs="Arial" w:eastAsia="Arial" w:hAnsi="Arial"/>
          <w:sz w:val="22"/>
          <w:szCs w:val="22"/>
          <w:color w:val="auto"/>
        </w:rPr>
        <w:t>Unless otherwise restricted by the certificate of incorporation or these bylaws, the Board shall have the authority to fix the compensation of directors.</w:t>
      </w:r>
    </w:p>
    <w:p>
      <w:pPr>
        <w:spacing w:after="0" w:line="17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REMOVAL OF DIRECTORS</w:t>
      </w:r>
    </w:p>
    <w:p>
      <w:pPr>
        <w:spacing w:after="0" w:line="220"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Subject to the rights of the holders of the shares of any series of preferred stock of the Corporation,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385" w:lineRule="exact"/>
        <w:rPr>
          <w:sz w:val="20"/>
          <w:szCs w:val="20"/>
          <w:color w:val="auto"/>
        </w:rPr>
      </w:pPr>
    </w:p>
    <w:p>
      <w:pPr>
        <w:ind w:left="860" w:right="3039" w:firstLine="2166"/>
        <w:spacing w:after="0" w:line="451" w:lineRule="auto"/>
        <w:rPr>
          <w:sz w:val="20"/>
          <w:szCs w:val="20"/>
          <w:color w:val="auto"/>
        </w:rPr>
      </w:pPr>
      <w:r>
        <w:rPr>
          <w:rFonts w:ascii="Arial" w:cs="Arial" w:eastAsia="Arial" w:hAnsi="Arial"/>
          <w:sz w:val="22"/>
          <w:szCs w:val="22"/>
          <w:b w:val="1"/>
          <w:bCs w:val="1"/>
          <w:color w:val="auto"/>
        </w:rPr>
        <w:t xml:space="preserve">ARTICLE IV - COMMITTEES </w:t>
      </w:r>
      <w:r>
        <w:rPr>
          <w:rFonts w:ascii="Arial" w:cs="Arial" w:eastAsia="Arial" w:hAnsi="Arial"/>
          <w:sz w:val="22"/>
          <w:szCs w:val="22"/>
          <w:color w:val="auto"/>
        </w:rPr>
        <w:t>4.1 COMMITTEES OF DIRECTORS</w:t>
      </w:r>
    </w:p>
    <w:p>
      <w:pPr>
        <w:jc w:val="both"/>
        <w:ind w:left="200" w:right="219" w:firstLine="648"/>
        <w:spacing w:after="0" w:line="283" w:lineRule="auto"/>
        <w:rPr>
          <w:sz w:val="20"/>
          <w:szCs w:val="20"/>
          <w:color w:val="auto"/>
        </w:rPr>
      </w:pPr>
      <w:r>
        <w:rPr>
          <w:rFonts w:ascii="Arial" w:cs="Arial" w:eastAsia="Arial" w:hAnsi="Arial"/>
          <w:sz w:val="19"/>
          <w:szCs w:val="19"/>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w:t>
      </w:r>
    </w:p>
    <w:p>
      <w:pPr>
        <w:spacing w:after="0" w:line="3" w:lineRule="exact"/>
        <w:rPr>
          <w:sz w:val="20"/>
          <w:szCs w:val="20"/>
          <w:color w:val="auto"/>
        </w:rPr>
      </w:pPr>
    </w:p>
    <w:p>
      <w:pPr>
        <w:ind w:left="520" w:hanging="311"/>
        <w:spacing w:after="0"/>
        <w:tabs>
          <w:tab w:leader="none" w:pos="5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adopt, amend or repeal any bylaw of the Corporation.</w:t>
      </w:r>
    </w:p>
    <w:p>
      <w:pPr>
        <w:spacing w:after="0" w:line="201"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4.2   COMMITTEE MINUTES</w:t>
      </w:r>
    </w:p>
    <w:p>
      <w:pPr>
        <w:spacing w:after="0" w:line="220" w:lineRule="exact"/>
        <w:rPr>
          <w:sz w:val="20"/>
          <w:szCs w:val="20"/>
          <w:color w:val="auto"/>
        </w:rPr>
      </w:pPr>
    </w:p>
    <w:p>
      <w:pPr>
        <w:ind w:left="200" w:right="219" w:firstLine="648"/>
        <w:spacing w:after="0" w:line="263" w:lineRule="auto"/>
        <w:rPr>
          <w:sz w:val="20"/>
          <w:szCs w:val="20"/>
          <w:color w:val="auto"/>
        </w:rPr>
      </w:pPr>
      <w:r>
        <w:rPr>
          <w:rFonts w:ascii="Arial" w:cs="Arial" w:eastAsia="Arial" w:hAnsi="Arial"/>
          <w:sz w:val="22"/>
          <w:szCs w:val="22"/>
          <w:color w:val="auto"/>
        </w:rPr>
        <w:t>Each committee shall keep regular minutes of its meetings and report the same to the Board when required.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5" w:name="page136"/>
    <w:bookmarkEnd w:id="135"/>
    <w:p>
      <w:pPr>
        <w:ind w:left="860"/>
        <w:spacing w:after="0"/>
        <w:tabs>
          <w:tab w:leader="none" w:pos="14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MEETINGS AND ACTION OF COMMITTEES</w:t>
      </w:r>
    </w:p>
    <w:p>
      <w:pPr>
        <w:spacing w:after="0" w:line="220" w:lineRule="exact"/>
        <w:rPr>
          <w:sz w:val="20"/>
          <w:szCs w:val="20"/>
          <w:color w:val="auto"/>
        </w:rPr>
      </w:pPr>
    </w:p>
    <w:p>
      <w:pPr>
        <w:ind w:left="200" w:right="219" w:firstLine="648"/>
        <w:spacing w:after="0" w:line="263" w:lineRule="auto"/>
        <w:rPr>
          <w:sz w:val="20"/>
          <w:szCs w:val="20"/>
          <w:color w:val="auto"/>
        </w:rPr>
      </w:pPr>
      <w:r>
        <w:rPr>
          <w:rFonts w:ascii="Arial" w:cs="Arial" w:eastAsia="Arial" w:hAnsi="Arial"/>
          <w:sz w:val="22"/>
          <w:szCs w:val="22"/>
          <w:color w:val="auto"/>
        </w:rPr>
        <w:t>Meetings and actions of committees shall be governed by, and held and taken in accordance with, the provisions of:</w:t>
      </w:r>
    </w:p>
    <w:p>
      <w:pPr>
        <w:spacing w:after="0" w:line="175" w:lineRule="exact"/>
        <w:rPr>
          <w:sz w:val="20"/>
          <w:szCs w:val="20"/>
          <w:color w:val="auto"/>
        </w:rPr>
      </w:pPr>
    </w:p>
    <w:p>
      <w:pPr>
        <w:ind w:left="2160" w:hanging="655"/>
        <w:spacing w:after="0"/>
        <w:tabs>
          <w:tab w:leader="none" w:pos="21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Section 3.5 of these bylaws (place of meetings and meetings by telephone);</w:t>
      </w:r>
    </w:p>
    <w:p>
      <w:pPr>
        <w:spacing w:after="0" w:line="254" w:lineRule="exact"/>
        <w:rPr>
          <w:rFonts w:ascii="Arial" w:cs="Arial" w:eastAsia="Arial" w:hAnsi="Arial"/>
          <w:sz w:val="19"/>
          <w:szCs w:val="19"/>
          <w:color w:val="auto"/>
        </w:rPr>
      </w:pPr>
    </w:p>
    <w:p>
      <w:pPr>
        <w:ind w:left="2160" w:hanging="655"/>
        <w:spacing w:after="0"/>
        <w:tabs>
          <w:tab w:leader="none" w:pos="21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Section 3.6 of these bylaws (regular meetings);</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Section 3.7 of these bylaws (special meetings and notice);</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Section 3.8 of these bylaws (quorum);</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Section 7.12 of these bylaws (waiver of notice); and</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Section 3.9 of these bylaws (action without a meeting),</w:t>
      </w:r>
    </w:p>
    <w:p>
      <w:pPr>
        <w:spacing w:after="0" w:line="220" w:lineRule="exact"/>
        <w:rPr>
          <w:sz w:val="20"/>
          <w:szCs w:val="20"/>
          <w:color w:val="auto"/>
        </w:rPr>
      </w:pPr>
    </w:p>
    <w:p>
      <w:pPr>
        <w:ind w:left="200" w:right="219"/>
        <w:spacing w:after="0" w:line="263" w:lineRule="auto"/>
        <w:rPr>
          <w:sz w:val="20"/>
          <w:szCs w:val="20"/>
          <w:color w:val="auto"/>
        </w:rPr>
      </w:pPr>
      <w:r>
        <w:rPr>
          <w:rFonts w:ascii="Arial" w:cs="Arial" w:eastAsia="Arial" w:hAnsi="Arial"/>
          <w:sz w:val="22"/>
          <w:szCs w:val="22"/>
          <w:color w:val="auto"/>
        </w:rPr>
        <w:t xml:space="preserve">with such changes in the context of those bylaws as are necessary to substitute the committee and its members for the Board and its members. </w:t>
      </w:r>
      <w:r>
        <w:rPr>
          <w:rFonts w:ascii="Arial" w:cs="Arial" w:eastAsia="Arial" w:hAnsi="Arial"/>
          <w:sz w:val="22"/>
          <w:szCs w:val="22"/>
          <w:i w:val="1"/>
          <w:iCs w:val="1"/>
          <w:color w:val="auto"/>
        </w:rPr>
        <w:t>However</w:t>
      </w:r>
      <w:r>
        <w:rPr>
          <w:rFonts w:ascii="Arial" w:cs="Arial" w:eastAsia="Arial" w:hAnsi="Arial"/>
          <w:sz w:val="22"/>
          <w:szCs w:val="22"/>
          <w:color w:val="auto"/>
        </w:rPr>
        <w:t>:</w:t>
      </w:r>
    </w:p>
    <w:p>
      <w:pPr>
        <w:spacing w:after="0" w:line="175" w:lineRule="exact"/>
        <w:rPr>
          <w:sz w:val="20"/>
          <w:szCs w:val="20"/>
          <w:color w:val="auto"/>
        </w:rPr>
      </w:pPr>
    </w:p>
    <w:p>
      <w:pPr>
        <w:ind w:left="1500" w:right="239" w:firstLine="653"/>
        <w:spacing w:after="0" w:line="287" w:lineRule="auto"/>
        <w:tabs>
          <w:tab w:leader="none" w:pos="2796"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time of regular meetings of committees may be determined either by resolution of the Board or by resolution of the committee;</w:t>
      </w:r>
    </w:p>
    <w:p>
      <w:pPr>
        <w:spacing w:after="0" w:line="151" w:lineRule="exact"/>
        <w:rPr>
          <w:rFonts w:ascii="Arial" w:cs="Arial" w:eastAsia="Arial" w:hAnsi="Arial"/>
          <w:sz w:val="21"/>
          <w:szCs w:val="21"/>
          <w:color w:val="auto"/>
        </w:rPr>
      </w:pPr>
    </w:p>
    <w:p>
      <w:pPr>
        <w:ind w:left="2800" w:hanging="647"/>
        <w:spacing w:after="0"/>
        <w:tabs>
          <w:tab w:leader="none" w:pos="28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special meetings of committees may also be called by resolution of</w:t>
      </w:r>
    </w:p>
    <w:p>
      <w:pPr>
        <w:spacing w:after="0" w:line="55"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22"/>
          <w:szCs w:val="22"/>
          <w:color w:val="auto"/>
        </w:rPr>
        <w:t>the Board; and</w:t>
      </w:r>
    </w:p>
    <w:p>
      <w:pPr>
        <w:spacing w:after="0" w:line="201" w:lineRule="exact"/>
        <w:rPr>
          <w:rFonts w:ascii="Arial" w:cs="Arial" w:eastAsia="Arial" w:hAnsi="Arial"/>
          <w:sz w:val="19"/>
          <w:szCs w:val="19"/>
          <w:color w:val="auto"/>
        </w:rPr>
      </w:pPr>
    </w:p>
    <w:p>
      <w:pPr>
        <w:jc w:val="both"/>
        <w:ind w:left="1500" w:right="219" w:firstLine="653"/>
        <w:spacing w:after="0" w:line="265" w:lineRule="auto"/>
        <w:tabs>
          <w:tab w:leader="none" w:pos="2796" w:val="left"/>
        </w:tabs>
        <w:numPr>
          <w:ilvl w:val="0"/>
          <w:numId w:val="88"/>
        </w:numPr>
        <w:rPr>
          <w:rFonts w:ascii="Arial" w:cs="Arial" w:eastAsia="Arial" w:hAnsi="Arial"/>
          <w:sz w:val="21"/>
          <w:szCs w:val="21"/>
          <w:color w:val="auto"/>
        </w:rPr>
      </w:pPr>
      <w:r>
        <w:rPr>
          <w:rFonts w:ascii="Arial" w:cs="Arial" w:eastAsia="Arial" w:hAnsi="Arial"/>
          <w:sz w:val="21"/>
          <w:szCs w:val="21"/>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 OFFICERS</w:t>
      </w:r>
    </w:p>
    <w:p>
      <w:pPr>
        <w:spacing w:after="0" w:line="226"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OFFICERS</w:t>
      </w:r>
    </w:p>
    <w:p>
      <w:pPr>
        <w:spacing w:after="0" w:line="220"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6" w:name="page137"/>
    <w:bookmarkEnd w:id="136"/>
    <w:p>
      <w:pPr>
        <w:jc w:val="both"/>
        <w:ind w:left="200" w:right="219"/>
        <w:spacing w:after="0" w:line="263" w:lineRule="auto"/>
        <w:rPr>
          <w:sz w:val="20"/>
          <w:szCs w:val="20"/>
          <w:color w:val="auto"/>
        </w:rPr>
      </w:pPr>
      <w:r>
        <w:rPr>
          <w:rFonts w:ascii="Arial" w:cs="Arial" w:eastAsia="Arial" w:hAnsi="Arial"/>
          <w:sz w:val="22"/>
          <w:szCs w:val="22"/>
          <w:color w:val="auto"/>
        </w:rPr>
        <w:t>may be appointed in accordance with the provisions of these bylaws. Any number of offices may be held by the same person.</w:t>
      </w:r>
    </w:p>
    <w:p>
      <w:pPr>
        <w:spacing w:after="0" w:line="17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APPOINTMENT OF OFFICERS</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SUBORDINATE OFFICERS</w:t>
      </w:r>
    </w:p>
    <w:p>
      <w:pPr>
        <w:spacing w:after="0" w:line="220"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7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REMOVAL AND RESIGNATION OF OFFICERS</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88"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7"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VACANCIES IN OFFICES</w:t>
      </w:r>
    </w:p>
    <w:p>
      <w:pPr>
        <w:spacing w:after="0" w:line="220" w:lineRule="exact"/>
        <w:rPr>
          <w:sz w:val="20"/>
          <w:szCs w:val="20"/>
          <w:color w:val="auto"/>
        </w:rPr>
      </w:pPr>
    </w:p>
    <w:p>
      <w:pPr>
        <w:jc w:val="both"/>
        <w:ind w:left="200" w:right="239" w:firstLine="648"/>
        <w:spacing w:after="0" w:line="263" w:lineRule="auto"/>
        <w:rPr>
          <w:sz w:val="20"/>
          <w:szCs w:val="20"/>
          <w:color w:val="auto"/>
        </w:rPr>
      </w:pPr>
      <w:r>
        <w:rPr>
          <w:rFonts w:ascii="Arial" w:cs="Arial" w:eastAsia="Arial" w:hAnsi="Arial"/>
          <w:sz w:val="22"/>
          <w:szCs w:val="22"/>
          <w:color w:val="auto"/>
        </w:rPr>
        <w:t>Any vacancy occurring in any office of the Corporation shall be filled by the Board or as provided in Section 5.3 of these bylaws.</w:t>
      </w:r>
    </w:p>
    <w:p>
      <w:pPr>
        <w:spacing w:after="0" w:line="17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REPRESENTATION OF SHARES OF OTHER ENTITIES</w:t>
      </w:r>
    </w:p>
    <w:p>
      <w:pPr>
        <w:spacing w:after="0" w:line="220"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7" w:name="page138"/>
    <w:bookmarkEnd w:id="137"/>
    <w:p>
      <w:pPr>
        <w:jc w:val="both"/>
        <w:ind w:left="200" w:right="239"/>
        <w:spacing w:after="0" w:line="263" w:lineRule="auto"/>
        <w:rPr>
          <w:sz w:val="20"/>
          <w:szCs w:val="20"/>
          <w:color w:val="auto"/>
        </w:rPr>
      </w:pPr>
      <w:r>
        <w:rPr>
          <w:rFonts w:ascii="Arial" w:cs="Arial" w:eastAsia="Arial" w:hAnsi="Arial"/>
          <w:sz w:val="22"/>
          <w:szCs w:val="22"/>
          <w:color w:val="auto"/>
        </w:rPr>
        <w:t>person directly or by any other person authorized to do so by proxy or power of attorney duly executed by such person having the authority.</w:t>
      </w:r>
    </w:p>
    <w:p>
      <w:pPr>
        <w:spacing w:after="0" w:line="17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AUTHORITY AND DUTIES OF OFFICERS</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398" w:lineRule="exact"/>
        <w:rPr>
          <w:sz w:val="20"/>
          <w:szCs w:val="20"/>
          <w:color w:val="auto"/>
        </w:rPr>
      </w:pPr>
    </w:p>
    <w:p>
      <w:pPr>
        <w:ind w:left="860" w:right="2459" w:firstLine="1600"/>
        <w:spacing w:after="0" w:line="451" w:lineRule="auto"/>
        <w:rPr>
          <w:sz w:val="20"/>
          <w:szCs w:val="20"/>
          <w:color w:val="auto"/>
        </w:rPr>
      </w:pPr>
      <w:r>
        <w:rPr>
          <w:rFonts w:ascii="Arial" w:cs="Arial" w:eastAsia="Arial" w:hAnsi="Arial"/>
          <w:sz w:val="22"/>
          <w:szCs w:val="22"/>
          <w:b w:val="1"/>
          <w:bCs w:val="1"/>
          <w:color w:val="auto"/>
        </w:rPr>
        <w:t xml:space="preserve">ARTICLE VI - RECORDS AND REPORTS </w:t>
      </w:r>
      <w:r>
        <w:rPr>
          <w:rFonts w:ascii="Arial" w:cs="Arial" w:eastAsia="Arial" w:hAnsi="Arial"/>
          <w:sz w:val="22"/>
          <w:szCs w:val="22"/>
          <w:color w:val="auto"/>
        </w:rPr>
        <w:t>6.1 MAINTENANCE OF RECORDS</w:t>
      </w:r>
    </w:p>
    <w:p>
      <w:pPr>
        <w:jc w:val="both"/>
        <w:ind w:left="200" w:right="239" w:firstLine="648"/>
        <w:spacing w:after="0" w:line="302" w:lineRule="auto"/>
        <w:rPr>
          <w:sz w:val="20"/>
          <w:szCs w:val="20"/>
          <w:color w:val="auto"/>
        </w:rPr>
      </w:pPr>
      <w:r>
        <w:rPr>
          <w:rFonts w:ascii="Arial" w:cs="Arial" w:eastAsia="Arial" w:hAnsi="Arial"/>
          <w:sz w:val="19"/>
          <w:szCs w:val="19"/>
          <w:color w:val="auto"/>
        </w:rPr>
        <w:t>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352"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ARTICLE VII - GENERAL MATTERS</w:t>
      </w:r>
    </w:p>
    <w:p>
      <w:pPr>
        <w:spacing w:after="0" w:line="226"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EXECUTION OF CORPORATE CONTRACTS AND INSTRUMENTS</w:t>
      </w:r>
    </w:p>
    <w:p>
      <w:pPr>
        <w:spacing w:after="0" w:line="220" w:lineRule="exact"/>
        <w:rPr>
          <w:sz w:val="20"/>
          <w:szCs w:val="20"/>
          <w:color w:val="auto"/>
        </w:rPr>
      </w:pPr>
    </w:p>
    <w:p>
      <w:pPr>
        <w:jc w:val="both"/>
        <w:ind w:left="200" w:right="239" w:firstLine="648"/>
        <w:spacing w:after="0" w:line="294" w:lineRule="auto"/>
        <w:rPr>
          <w:sz w:val="20"/>
          <w:szCs w:val="20"/>
          <w:color w:val="auto"/>
        </w:rPr>
      </w:pPr>
      <w:r>
        <w:rPr>
          <w:rFonts w:ascii="Arial" w:cs="Arial" w:eastAsia="Arial" w:hAnsi="Arial"/>
          <w:sz w:val="19"/>
          <w:szCs w:val="19"/>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STOCK CERTIFICATES; PARTLY PAID SHARES</w:t>
      </w:r>
    </w:p>
    <w:p>
      <w:pPr>
        <w:spacing w:after="0" w:line="220"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representing the number of shares registered in certificate form. Any or all of the signatures on the certificate may be a facsimile.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8" w:name="page139"/>
    <w:bookmarkEnd w:id="138"/>
    <w:p>
      <w:pPr>
        <w:jc w:val="both"/>
        <w:ind w:left="200" w:right="219"/>
        <w:spacing w:after="0" w:line="265" w:lineRule="auto"/>
        <w:rPr>
          <w:sz w:val="20"/>
          <w:szCs w:val="20"/>
          <w:color w:val="auto"/>
        </w:rPr>
      </w:pPr>
      <w:r>
        <w:rPr>
          <w:rFonts w:ascii="Arial" w:cs="Arial" w:eastAsia="Arial" w:hAnsi="Arial"/>
          <w:sz w:val="21"/>
          <w:szCs w:val="21"/>
          <w:color w:val="auto"/>
        </w:rPr>
        <w:t>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75"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51"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MULTIPLES CLASSES OR SERIES OF STOCK</w:t>
      </w:r>
    </w:p>
    <w:p>
      <w:pPr>
        <w:spacing w:after="0" w:line="220"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i w:val="1"/>
          <w:iCs w:val="1"/>
          <w:u w:val="single" w:color="auto"/>
          <w:color w:val="auto"/>
        </w:rPr>
        <w:t>provided, however</w:t>
      </w:r>
      <w:r>
        <w:rPr>
          <w:rFonts w:ascii="Arial" w:cs="Arial" w:eastAsia="Arial" w:hAnsi="Arial"/>
          <w:sz w:val="19"/>
          <w:szCs w:val="19"/>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22"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LOST CERTIFICATES</w:t>
      </w:r>
    </w:p>
    <w:p>
      <w:pPr>
        <w:spacing w:after="0" w:line="220"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9" w:name="page140"/>
    <w:bookmarkEnd w:id="139"/>
    <w:p>
      <w:pPr>
        <w:jc w:val="both"/>
        <w:ind w:left="200" w:right="219"/>
        <w:spacing w:after="0" w:line="302" w:lineRule="auto"/>
        <w:rPr>
          <w:sz w:val="20"/>
          <w:szCs w:val="20"/>
          <w:color w:val="auto"/>
        </w:rPr>
      </w:pPr>
      <w:r>
        <w:rPr>
          <w:rFonts w:ascii="Arial" w:cs="Arial" w:eastAsia="Arial" w:hAnsi="Arial"/>
          <w:sz w:val="19"/>
          <w:szCs w:val="19"/>
          <w:color w:val="auto"/>
        </w:rPr>
        <w:t>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42"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CONSTRUCTION; DEFINITIONS</w:t>
      </w:r>
    </w:p>
    <w:p>
      <w:pPr>
        <w:spacing w:after="0" w:line="220"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42"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1"/>
          <w:szCs w:val="21"/>
          <w:color w:val="auto"/>
        </w:rPr>
        <w:t>DIVIDENDS</w:t>
      </w:r>
    </w:p>
    <w:p>
      <w:pPr>
        <w:spacing w:after="0" w:line="220"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33"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8"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1"/>
          <w:szCs w:val="21"/>
          <w:color w:val="auto"/>
        </w:rPr>
        <w:t>FISCAL YEAR</w:t>
      </w:r>
    </w:p>
    <w:p>
      <w:pPr>
        <w:spacing w:after="0" w:line="22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The fiscal year of the Corporation shall be fixed by resolution of the Board and may be changed by the Board.</w:t>
      </w:r>
    </w:p>
    <w:p>
      <w:pPr>
        <w:spacing w:after="0" w:line="17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21"/>
          <w:szCs w:val="21"/>
          <w:color w:val="auto"/>
        </w:rPr>
        <w:t>SEAL</w:t>
      </w:r>
    </w:p>
    <w:p>
      <w:pPr>
        <w:spacing w:after="0" w:line="220" w:lineRule="exact"/>
        <w:rPr>
          <w:sz w:val="20"/>
          <w:szCs w:val="20"/>
          <w:color w:val="auto"/>
        </w:rPr>
      </w:pPr>
    </w:p>
    <w:p>
      <w:pPr>
        <w:jc w:val="both"/>
        <w:ind w:left="200" w:right="239" w:firstLine="648"/>
        <w:spacing w:after="0" w:line="253" w:lineRule="auto"/>
        <w:rPr>
          <w:sz w:val="20"/>
          <w:szCs w:val="20"/>
          <w:color w:val="auto"/>
        </w:rPr>
      </w:pPr>
      <w:r>
        <w:rPr>
          <w:rFonts w:ascii="Arial" w:cs="Arial" w:eastAsia="Arial" w:hAnsi="Arial"/>
          <w:sz w:val="22"/>
          <w:szCs w:val="22"/>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TRANSFER OF STOCK</w:t>
      </w:r>
    </w:p>
    <w:p>
      <w:pPr>
        <w:spacing w:after="0" w:line="22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1"/>
          <w:szCs w:val="21"/>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0" w:name="page141"/>
    <w:bookmarkEnd w:id="140"/>
    <w:p>
      <w:pPr>
        <w:jc w:val="both"/>
        <w:ind w:left="200" w:right="219"/>
        <w:spacing w:after="0" w:line="261" w:lineRule="auto"/>
        <w:rPr>
          <w:sz w:val="20"/>
          <w:szCs w:val="20"/>
          <w:color w:val="auto"/>
        </w:rPr>
      </w:pPr>
      <w:r>
        <w:rPr>
          <w:rFonts w:ascii="Arial" w:cs="Arial" w:eastAsia="Arial" w:hAnsi="Arial"/>
          <w:sz w:val="21"/>
          <w:szCs w:val="21"/>
          <w:color w:val="auto"/>
        </w:rPr>
        <w:t>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7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color w:val="auto"/>
        </w:rPr>
        <w:t>STOCK TRANSFER AGREEMENTS</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8"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color w:val="auto"/>
        </w:rPr>
        <w:t>REGISTERED STOCKHOLDERS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Corporation, to the fullest extent permitted by law,:</w:t>
      </w:r>
    </w:p>
    <w:p>
      <w:pPr>
        <w:spacing w:after="0" w:line="220" w:lineRule="exact"/>
        <w:rPr>
          <w:sz w:val="20"/>
          <w:szCs w:val="20"/>
          <w:color w:val="auto"/>
        </w:rPr>
      </w:pPr>
    </w:p>
    <w:p>
      <w:pPr>
        <w:ind w:left="200" w:right="239" w:firstLine="1305"/>
        <w:spacing w:after="0" w:line="287" w:lineRule="auto"/>
        <w:tabs>
          <w:tab w:leader="none" w:pos="2198" w:val="left"/>
        </w:tabs>
        <w:numPr>
          <w:ilvl w:val="0"/>
          <w:numId w:val="89"/>
        </w:numPr>
        <w:rPr>
          <w:rFonts w:ascii="Arial" w:cs="Arial" w:eastAsia="Arial" w:hAnsi="Arial"/>
          <w:sz w:val="21"/>
          <w:szCs w:val="21"/>
          <w:color w:val="auto"/>
        </w:rPr>
      </w:pPr>
      <w:r>
        <w:rPr>
          <w:rFonts w:ascii="Arial" w:cs="Arial" w:eastAsia="Arial" w:hAnsi="Arial"/>
          <w:sz w:val="21"/>
          <w:szCs w:val="21"/>
          <w:color w:val="auto"/>
        </w:rPr>
        <w:t>shall be entitled to recognize the exclusive right of a person registered on its books as the owner of shares to receive dividends and to vote as such owner;</w:t>
      </w:r>
    </w:p>
    <w:p>
      <w:pPr>
        <w:spacing w:after="0" w:line="151" w:lineRule="exact"/>
        <w:rPr>
          <w:rFonts w:ascii="Arial" w:cs="Arial" w:eastAsia="Arial" w:hAnsi="Arial"/>
          <w:sz w:val="21"/>
          <w:szCs w:val="21"/>
          <w:color w:val="auto"/>
        </w:rPr>
      </w:pPr>
    </w:p>
    <w:p>
      <w:pPr>
        <w:ind w:left="200" w:right="239" w:firstLine="1305"/>
        <w:spacing w:after="0" w:line="263" w:lineRule="auto"/>
        <w:tabs>
          <w:tab w:leader="none" w:pos="21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shall be entitled to hold liable for calls and assessments the person registered on its books as the owner of shares; and</w:t>
      </w:r>
    </w:p>
    <w:p>
      <w:pPr>
        <w:spacing w:after="0" w:line="174" w:lineRule="exact"/>
        <w:rPr>
          <w:rFonts w:ascii="Arial" w:cs="Arial" w:eastAsia="Arial" w:hAnsi="Arial"/>
          <w:sz w:val="22"/>
          <w:szCs w:val="22"/>
          <w:color w:val="auto"/>
        </w:rPr>
      </w:pPr>
    </w:p>
    <w:p>
      <w:pPr>
        <w:jc w:val="both"/>
        <w:ind w:left="200" w:right="219" w:firstLine="1305"/>
        <w:spacing w:after="0" w:line="271" w:lineRule="auto"/>
        <w:tabs>
          <w:tab w:leader="none" w:pos="2144" w:val="left"/>
        </w:tabs>
        <w:numPr>
          <w:ilvl w:val="0"/>
          <w:numId w:val="89"/>
        </w:numPr>
        <w:rPr>
          <w:rFonts w:ascii="Arial" w:cs="Arial" w:eastAsia="Arial" w:hAnsi="Arial"/>
          <w:sz w:val="21"/>
          <w:szCs w:val="21"/>
          <w:color w:val="auto"/>
        </w:rPr>
      </w:pPr>
      <w:r>
        <w:rPr>
          <w:rFonts w:ascii="Arial" w:cs="Arial" w:eastAsia="Arial" w:hAnsi="Arial"/>
          <w:sz w:val="21"/>
          <w:szCs w:val="21"/>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7"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color w:val="auto"/>
        </w:rPr>
        <w:t>WAIVER OF NOTICE</w:t>
      </w:r>
    </w:p>
    <w:p>
      <w:pPr>
        <w:spacing w:after="0" w:line="220"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1" w:name="page142"/>
    <w:bookmarkEnd w:id="141"/>
    <w:p>
      <w:pPr>
        <w:ind w:left="860" w:right="1479" w:firstLine="620"/>
        <w:spacing w:after="0" w:line="451" w:lineRule="auto"/>
        <w:rPr>
          <w:sz w:val="20"/>
          <w:szCs w:val="20"/>
          <w:color w:val="auto"/>
        </w:rPr>
      </w:pPr>
      <w:r>
        <w:rPr>
          <w:rFonts w:ascii="Arial" w:cs="Arial" w:eastAsia="Arial" w:hAnsi="Arial"/>
          <w:sz w:val="22"/>
          <w:szCs w:val="22"/>
          <w:b w:val="1"/>
          <w:bCs w:val="1"/>
          <w:color w:val="auto"/>
        </w:rPr>
        <w:t xml:space="preserve">ARTICLE VIII - NOTICE BY ELECTRONIC TRANSMISSION </w:t>
      </w:r>
      <w:r>
        <w:rPr>
          <w:rFonts w:ascii="Arial" w:cs="Arial" w:eastAsia="Arial" w:hAnsi="Arial"/>
          <w:sz w:val="22"/>
          <w:szCs w:val="22"/>
          <w:color w:val="auto"/>
        </w:rPr>
        <w:t>8.1 NOTICE BY ELECTRONIC TRANSMISSION</w:t>
      </w:r>
    </w:p>
    <w:p>
      <w:pPr>
        <w:jc w:val="both"/>
        <w:ind w:left="200" w:right="219" w:firstLine="648"/>
        <w:spacing w:after="0" w:line="246" w:lineRule="auto"/>
        <w:rPr>
          <w:sz w:val="20"/>
          <w:szCs w:val="20"/>
          <w:color w:val="auto"/>
        </w:rPr>
      </w:pPr>
      <w:r>
        <w:rPr>
          <w:rFonts w:ascii="Arial" w:cs="Arial" w:eastAsia="Arial" w:hAnsi="Arial"/>
          <w:sz w:val="22"/>
          <w:szCs w:val="22"/>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96" w:lineRule="exact"/>
        <w:rPr>
          <w:sz w:val="20"/>
          <w:szCs w:val="20"/>
          <w:color w:val="auto"/>
        </w:rPr>
      </w:pPr>
    </w:p>
    <w:p>
      <w:pPr>
        <w:ind w:left="200" w:right="219" w:firstLine="1305"/>
        <w:spacing w:after="0" w:line="263" w:lineRule="auto"/>
        <w:tabs>
          <w:tab w:leader="none" w:pos="21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Corporation is unable to deliver by electronic transmission two (2) consecutive notices given by the Corporation in accordance with such consent; and</w:t>
      </w:r>
    </w:p>
    <w:p>
      <w:pPr>
        <w:spacing w:after="0" w:line="174" w:lineRule="exact"/>
        <w:rPr>
          <w:rFonts w:ascii="Arial" w:cs="Arial" w:eastAsia="Arial" w:hAnsi="Arial"/>
          <w:sz w:val="22"/>
          <w:szCs w:val="22"/>
          <w:color w:val="auto"/>
        </w:rPr>
      </w:pPr>
    </w:p>
    <w:p>
      <w:pPr>
        <w:ind w:left="200" w:right="239" w:firstLine="1305"/>
        <w:spacing w:after="0" w:line="343" w:lineRule="auto"/>
        <w:tabs>
          <w:tab w:leader="none" w:pos="2144"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such inability becomes known to the secretary or an assistant secretary of the Corporation or to the transfer agent, or other person responsible for the giving of notice.</w:t>
      </w:r>
    </w:p>
    <w:p>
      <w:pPr>
        <w:spacing w:after="0" w:line="104" w:lineRule="exact"/>
        <w:rPr>
          <w:sz w:val="20"/>
          <w:szCs w:val="20"/>
          <w:color w:val="auto"/>
        </w:rPr>
      </w:pPr>
    </w:p>
    <w:p>
      <w:pPr>
        <w:ind w:left="200" w:right="239"/>
        <w:spacing w:after="0" w:line="263" w:lineRule="auto"/>
        <w:rPr>
          <w:sz w:val="20"/>
          <w:szCs w:val="20"/>
          <w:color w:val="auto"/>
        </w:rPr>
      </w:pPr>
      <w:r>
        <w:rPr>
          <w:rFonts w:ascii="Arial" w:cs="Arial" w:eastAsia="Arial" w:hAnsi="Arial"/>
          <w:sz w:val="22"/>
          <w:szCs w:val="22"/>
          <w:color w:val="auto"/>
        </w:rPr>
        <w:t>However, the inadvertent failure to treat such inability as a revocation shall not invalidate any meeting or other action.</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Any notice given pursuant to the preceding paragraph shall be deemed given:</w:t>
      </w:r>
    </w:p>
    <w:p>
      <w:pPr>
        <w:spacing w:after="0" w:line="220" w:lineRule="exact"/>
        <w:rPr>
          <w:sz w:val="20"/>
          <w:szCs w:val="20"/>
          <w:color w:val="auto"/>
        </w:rPr>
      </w:pPr>
    </w:p>
    <w:p>
      <w:pPr>
        <w:ind w:left="2160" w:right="219" w:hanging="655"/>
        <w:spacing w:after="0" w:line="263" w:lineRule="auto"/>
        <w:tabs>
          <w:tab w:leader="none" w:pos="21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by facsimile telecommunication, when directed to a number at which the stockholder has consented to receive notice;</w:t>
      </w:r>
    </w:p>
    <w:p>
      <w:pPr>
        <w:spacing w:after="0" w:line="174" w:lineRule="exact"/>
        <w:rPr>
          <w:rFonts w:ascii="Arial" w:cs="Arial" w:eastAsia="Arial" w:hAnsi="Arial"/>
          <w:sz w:val="22"/>
          <w:szCs w:val="22"/>
          <w:color w:val="auto"/>
        </w:rPr>
      </w:pPr>
    </w:p>
    <w:p>
      <w:pPr>
        <w:ind w:left="2160" w:right="219" w:hanging="655"/>
        <w:spacing w:after="0" w:line="263" w:lineRule="auto"/>
        <w:tabs>
          <w:tab w:leader="none" w:pos="21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by electronic mail, when directed to an electronic mail address at which the stockholder has consented to receive notice;</w:t>
      </w:r>
    </w:p>
    <w:p>
      <w:pPr>
        <w:spacing w:after="0" w:line="174" w:lineRule="exact"/>
        <w:rPr>
          <w:rFonts w:ascii="Arial" w:cs="Arial" w:eastAsia="Arial" w:hAnsi="Arial"/>
          <w:sz w:val="22"/>
          <w:szCs w:val="22"/>
          <w:color w:val="auto"/>
        </w:rPr>
      </w:pPr>
    </w:p>
    <w:p>
      <w:pPr>
        <w:jc w:val="both"/>
        <w:ind w:left="2160" w:right="219" w:hanging="655"/>
        <w:spacing w:after="0" w:line="253" w:lineRule="auto"/>
        <w:tabs>
          <w:tab w:leader="none" w:pos="21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by a posting on an electronic network together with separate notice to the stockholder of such specific posting, upon the later of (i) such posting and (ii) the giving of such separate notice; and</w:t>
      </w:r>
    </w:p>
    <w:p>
      <w:pPr>
        <w:spacing w:after="0" w:line="185" w:lineRule="exact"/>
        <w:rPr>
          <w:rFonts w:ascii="Arial" w:cs="Arial" w:eastAsia="Arial" w:hAnsi="Arial"/>
          <w:sz w:val="22"/>
          <w:szCs w:val="22"/>
          <w:color w:val="auto"/>
        </w:rPr>
      </w:pPr>
    </w:p>
    <w:p>
      <w:pPr>
        <w:ind w:left="2160" w:right="219" w:hanging="655"/>
        <w:spacing w:after="0" w:line="263" w:lineRule="auto"/>
        <w:tabs>
          <w:tab w:leader="none" w:pos="21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by any other form of electronic transmission, when directed to the stockholder.</w:t>
      </w:r>
    </w:p>
    <w:p>
      <w:pPr>
        <w:spacing w:after="0" w:line="175"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2" w:name="page143"/>
    <w:bookmarkEnd w:id="142"/>
    <w:p>
      <w:pPr>
        <w:ind w:left="860"/>
        <w:spacing w:after="0"/>
        <w:tabs>
          <w:tab w:leader="none" w:pos="140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DEFINITION OF ELECTRONIC TRANSMISSION</w:t>
      </w:r>
    </w:p>
    <w:p>
      <w:pPr>
        <w:spacing w:after="0" w:line="220"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 - INDEMNIFICATION AND ADVANCEMENT</w:t>
      </w:r>
    </w:p>
    <w:p>
      <w:pPr>
        <w:spacing w:after="0" w:line="226" w:lineRule="exact"/>
        <w:rPr>
          <w:sz w:val="20"/>
          <w:szCs w:val="20"/>
          <w:color w:val="auto"/>
        </w:rPr>
      </w:pPr>
    </w:p>
    <w:p>
      <w:pPr>
        <w:ind w:left="460" w:right="279" w:firstLine="405"/>
        <w:spacing w:after="0" w:line="263" w:lineRule="auto"/>
        <w:rPr>
          <w:sz w:val="20"/>
          <w:szCs w:val="20"/>
          <w:color w:val="auto"/>
        </w:rPr>
      </w:pPr>
      <w:r>
        <w:rPr>
          <w:rFonts w:ascii="Arial" w:cs="Arial" w:eastAsia="Arial" w:hAnsi="Arial"/>
          <w:sz w:val="22"/>
          <w:szCs w:val="22"/>
          <w:color w:val="auto"/>
        </w:rPr>
        <w:t>9.1 ACTIONS, SUITS AND PROCEEDINGS OTHER THAN BY OR IN THE RIGHT OF THE CORPORATION.</w:t>
      </w:r>
    </w:p>
    <w:p>
      <w:pPr>
        <w:spacing w:after="0" w:line="175"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9"/>
          <w:szCs w:val="19"/>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200" w:lineRule="exact"/>
        <w:rPr>
          <w:sz w:val="20"/>
          <w:szCs w:val="20"/>
          <w:color w:val="auto"/>
        </w:rPr>
      </w:pPr>
    </w:p>
    <w:p>
      <w:pPr>
        <w:spacing w:after="0" w:line="230"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ACTIONS OR SUITS BY OR IN THE RIGHT OF THE CORPORATION.</w:t>
      </w:r>
    </w:p>
    <w:p>
      <w:pPr>
        <w:spacing w:after="0" w:line="220" w:lineRule="exact"/>
        <w:rPr>
          <w:sz w:val="20"/>
          <w:szCs w:val="20"/>
          <w:color w:val="auto"/>
        </w:rPr>
      </w:pPr>
    </w:p>
    <w:p>
      <w:pPr>
        <w:jc w:val="both"/>
        <w:ind w:left="200" w:right="239" w:firstLine="648"/>
        <w:spacing w:after="0" w:line="312" w:lineRule="auto"/>
        <w:rPr>
          <w:sz w:val="20"/>
          <w:szCs w:val="20"/>
          <w:color w:val="auto"/>
        </w:rPr>
      </w:pPr>
      <w:r>
        <w:rPr>
          <w:rFonts w:ascii="Arial" w:cs="Arial" w:eastAsia="Arial" w:hAnsi="Arial"/>
          <w:sz w:val="19"/>
          <w:szCs w:val="19"/>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3" w:name="page144"/>
    <w:bookmarkEnd w:id="143"/>
    <w:p>
      <w:pPr>
        <w:jc w:val="both"/>
        <w:ind w:left="200" w:right="219"/>
        <w:spacing w:after="0" w:line="286" w:lineRule="auto"/>
        <w:rPr>
          <w:sz w:val="20"/>
          <w:szCs w:val="20"/>
          <w:color w:val="auto"/>
        </w:rPr>
      </w:pPr>
      <w:r>
        <w:rPr>
          <w:rFonts w:ascii="Arial" w:cs="Arial" w:eastAsia="Arial" w:hAnsi="Arial"/>
          <w:sz w:val="19"/>
          <w:szCs w:val="19"/>
          <w:color w:val="auto"/>
        </w:rPr>
        <w:t>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200" w:lineRule="exact"/>
        <w:rPr>
          <w:sz w:val="20"/>
          <w:szCs w:val="20"/>
          <w:color w:val="auto"/>
        </w:rPr>
      </w:pPr>
    </w:p>
    <w:p>
      <w:pPr>
        <w:spacing w:after="0" w:line="21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INDEMNIFICATION FOR EXPENSES OF SUCCESSFUL PARTY.</w:t>
      </w:r>
    </w:p>
    <w:p>
      <w:pPr>
        <w:spacing w:after="0" w:line="220"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9"/>
          <w:szCs w:val="19"/>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14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NOTIFICATION AND DEFENSE OF CLAIM.</w:t>
      </w:r>
    </w:p>
    <w:p>
      <w:pPr>
        <w:spacing w:after="0" w:line="220"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4" w:name="page145"/>
    <w:bookmarkEnd w:id="144"/>
    <w:p>
      <w:pPr>
        <w:jc w:val="both"/>
        <w:ind w:left="200" w:right="219"/>
        <w:spacing w:after="0" w:line="285" w:lineRule="auto"/>
        <w:rPr>
          <w:sz w:val="20"/>
          <w:szCs w:val="20"/>
          <w:color w:val="auto"/>
        </w:rPr>
      </w:pPr>
      <w:r>
        <w:rPr>
          <w:rFonts w:ascii="Arial" w:cs="Arial" w:eastAsia="Arial" w:hAnsi="Arial"/>
          <w:sz w:val="19"/>
          <w:szCs w:val="19"/>
          <w:color w:val="auto"/>
        </w:rPr>
        <w:t>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6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ADVANCE OF EXPENSES.</w:t>
      </w:r>
    </w:p>
    <w:p>
      <w:pPr>
        <w:spacing w:after="0" w:line="220"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Arial" w:cs="Arial" w:eastAsia="Arial" w:hAnsi="Arial"/>
          <w:sz w:val="19"/>
          <w:szCs w:val="19"/>
          <w:i w:val="1"/>
          <w:iCs w:val="1"/>
          <w:u w:val="single" w:color="auto"/>
          <w:color w:val="auto"/>
        </w:rPr>
        <w:t>provided</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xml:space="preserve">,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IX or otherwise; and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further</w:t>
      </w:r>
      <w:r>
        <w:rPr>
          <w:rFonts w:ascii="Arial" w:cs="Arial" w:eastAsia="Arial" w:hAnsi="Arial"/>
          <w:sz w:val="19"/>
          <w:szCs w:val="19"/>
          <w:i w:val="1"/>
          <w:iCs w:val="1"/>
          <w:color w:val="auto"/>
        </w:rPr>
        <w:t xml:space="preserve"> </w:t>
      </w:r>
      <w:r>
        <w:rPr>
          <w:rFonts w:ascii="Arial" w:cs="Arial" w:eastAsia="Arial" w:hAnsi="Arial"/>
          <w:sz w:val="19"/>
          <w:szCs w:val="19"/>
          <w:color w:val="auto"/>
        </w:rPr>
        <w:t>that no such advancement of expenses shall be made under this Article IX if it is</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5" w:name="page146"/>
    <w:bookmarkEnd w:id="145"/>
    <w:p>
      <w:pPr>
        <w:ind w:left="460" w:right="1319" w:firstLine="405"/>
        <w:spacing w:after="0" w:line="263" w:lineRule="auto"/>
        <w:rPr>
          <w:sz w:val="20"/>
          <w:szCs w:val="20"/>
          <w:color w:val="auto"/>
        </w:rPr>
      </w:pPr>
      <w:r>
        <w:rPr>
          <w:rFonts w:ascii="Arial" w:cs="Arial" w:eastAsia="Arial" w:hAnsi="Arial"/>
          <w:sz w:val="22"/>
          <w:szCs w:val="22"/>
          <w:color w:val="auto"/>
        </w:rPr>
        <w:t>9.6 PROCEDURE FOR INDEMNIFICATION AND ADVANCEMENT OF EXPENSES.</w:t>
      </w:r>
    </w:p>
    <w:p>
      <w:pPr>
        <w:spacing w:after="0" w:line="175"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9"/>
          <w:szCs w:val="19"/>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Arial" w:cs="Arial" w:eastAsia="Arial" w:hAnsi="Arial"/>
          <w:sz w:val="19"/>
          <w:szCs w:val="19"/>
          <w:u w:val="single" w:color="auto"/>
          <w:color w:val="auto"/>
        </w:rPr>
        <w:t>disinterested directors</w:t>
      </w:r>
      <w:r>
        <w:rPr>
          <w:rFonts w:ascii="Arial" w:cs="Arial" w:eastAsia="Arial" w:hAnsi="Arial"/>
          <w:sz w:val="19"/>
          <w:szCs w:val="19"/>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200" w:lineRule="exact"/>
        <w:rPr>
          <w:sz w:val="20"/>
          <w:szCs w:val="20"/>
          <w:color w:val="auto"/>
        </w:rPr>
      </w:pPr>
    </w:p>
    <w:p>
      <w:pPr>
        <w:spacing w:after="0" w:line="216"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19"/>
          <w:szCs w:val="19"/>
          <w:color w:val="auto"/>
        </w:rPr>
        <w:t>REMEDIES.</w:t>
      </w:r>
    </w:p>
    <w:p>
      <w:pPr>
        <w:spacing w:after="0" w:line="220"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9"/>
          <w:szCs w:val="19"/>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 under this Article IX. Indemnitee’s expenses (including, without limitation, attorneys’ fees) reasonably incurred in connection with successfully establishing Indemnitee’s right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6" w:name="page147"/>
    <w:bookmarkEnd w:id="146"/>
    <w:p>
      <w:pPr>
        <w:jc w:val="both"/>
        <w:ind w:left="200" w:right="219"/>
        <w:spacing w:after="0" w:line="248" w:lineRule="auto"/>
        <w:rPr>
          <w:sz w:val="20"/>
          <w:szCs w:val="20"/>
          <w:color w:val="auto"/>
        </w:rPr>
      </w:pPr>
      <w:r>
        <w:rPr>
          <w:rFonts w:ascii="Arial" w:cs="Arial" w:eastAsia="Arial" w:hAnsi="Arial"/>
          <w:sz w:val="22"/>
          <w:szCs w:val="22"/>
          <w:color w:val="auto"/>
        </w:rPr>
        <w:t>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w:t>
      </w:r>
    </w:p>
    <w:p>
      <w:pPr>
        <w:spacing w:after="0" w:line="192"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1"/>
          <w:szCs w:val="21"/>
          <w:color w:val="auto"/>
        </w:rPr>
        <w:t>LIMITATIONS.</w:t>
      </w:r>
    </w:p>
    <w:p>
      <w:pPr>
        <w:spacing w:after="0" w:line="220"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1"/>
          <w:szCs w:val="21"/>
          <w:color w:val="auto"/>
        </w:rPr>
        <w:t>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color w:val="auto"/>
        </w:rPr>
        <w:t>SUBSEQUENT AMENDMENT.</w:t>
      </w:r>
    </w:p>
    <w:p>
      <w:pPr>
        <w:spacing w:after="0" w:line="220"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93"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color w:val="auto"/>
        </w:rPr>
        <w:t>OTHER RIGHTS.</w:t>
      </w:r>
    </w:p>
    <w:p>
      <w:pPr>
        <w:spacing w:after="0" w:line="220"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54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7" w:name="page148"/>
    <w:bookmarkEnd w:id="147"/>
    <w:p>
      <w:pPr>
        <w:jc w:val="both"/>
        <w:ind w:left="200" w:right="219"/>
        <w:spacing w:after="0" w:line="253" w:lineRule="auto"/>
        <w:rPr>
          <w:sz w:val="20"/>
          <w:szCs w:val="20"/>
          <w:color w:val="auto"/>
        </w:rPr>
      </w:pPr>
      <w:r>
        <w:rPr>
          <w:rFonts w:ascii="Arial" w:cs="Arial" w:eastAsia="Arial" w:hAnsi="Arial"/>
          <w:sz w:val="22"/>
          <w:szCs w:val="22"/>
          <w:color w:val="auto"/>
        </w:rPr>
        <w:t>and advancement rights to other employees or agents of the Corporation or other persons serving the Corporation and such rights may be equivalent to, or greater or less than, those set forth in this Article IX.</w:t>
      </w:r>
    </w:p>
    <w:p>
      <w:pPr>
        <w:spacing w:after="0" w:line="185"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21"/>
          <w:szCs w:val="21"/>
          <w:color w:val="auto"/>
        </w:rPr>
        <w:t>PARTIAL INDEMNIFICATION.</w:t>
      </w:r>
    </w:p>
    <w:p>
      <w:pPr>
        <w:spacing w:after="0" w:line="220"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1"/>
          <w:szCs w:val="21"/>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182"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21"/>
          <w:szCs w:val="21"/>
          <w:color w:val="auto"/>
        </w:rPr>
        <w:t>INSURANCE.</w:t>
      </w:r>
    </w:p>
    <w:p>
      <w:pPr>
        <w:spacing w:after="0" w:line="220"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9"/>
          <w:szCs w:val="19"/>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49"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color w:val="auto"/>
        </w:rPr>
        <w:t>SAVINGS CLAUSE.</w:t>
      </w:r>
    </w:p>
    <w:p>
      <w:pPr>
        <w:spacing w:after="0" w:line="220"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8" w:name="page149"/>
    <w:bookmarkEnd w:id="148"/>
    <w:p>
      <w:pPr>
        <w:ind w:left="860"/>
        <w:spacing w:after="0"/>
        <w:tabs>
          <w:tab w:leader="none" w:pos="140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1"/>
          <w:szCs w:val="21"/>
          <w:color w:val="auto"/>
        </w:rPr>
        <w:t>DEFINITIONS.</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Terms used in this Article IX and defined in Section 145(h) and Section 145(i) of the DGCL shall have the respective meanings assigned to such terms in such Section 145(h) and Section 145(i).</w:t>
      </w:r>
    </w:p>
    <w:p>
      <w:pPr>
        <w:spacing w:after="0" w:line="395" w:lineRule="exact"/>
        <w:rPr>
          <w:sz w:val="20"/>
          <w:szCs w:val="20"/>
          <w:color w:val="auto"/>
        </w:rPr>
      </w:pPr>
    </w:p>
    <w:p>
      <w:pPr>
        <w:jc w:val="center"/>
        <w:ind w:left="200" w:right="239"/>
        <w:spacing w:after="0" w:line="247" w:lineRule="auto"/>
        <w:rPr>
          <w:sz w:val="20"/>
          <w:szCs w:val="20"/>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Subject to the limitations set forth in Section 9.9 of these bylaws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provisions of the certificate of incorporation, the Board is expressly empowered to adopt, amend or repeal the bylaws of the Corporation. The stockholders also shall have power to adopt, amend or repeal the bylaws of the Corporation;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that, in addition to any vote of the holders of any class or series of stock of the Corporation required by law or by the certificate of incorporation, such action by stockholders shall require the affirmative vote of the holders of at least two-thirds in voting power of the outstanding shares of capital stock of the Corporation entitled to vote thereon.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873125</wp:posOffset>
            </wp:positionV>
            <wp:extent cx="5452110" cy="260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9" w:name="page150"/>
    <w:bookmarkEnd w:id="14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Benjamin J. Zeskind, certify that:</w:t>
      </w:r>
    </w:p>
    <w:p>
      <w:pPr>
        <w:spacing w:after="0" w:line="104" w:lineRule="exact"/>
        <w:rPr>
          <w:sz w:val="20"/>
          <w:szCs w:val="20"/>
          <w:color w:val="auto"/>
        </w:rPr>
      </w:pPr>
    </w:p>
    <w:p>
      <w:pPr>
        <w:ind w:left="700" w:hanging="65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03"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340" w:hanging="648"/>
        <w:spacing w:after="0"/>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700" w:right="379" w:hanging="656"/>
        <w:spacing w:after="0" w:line="248"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9, 2021</w:t>
      </w:r>
    </w:p>
    <w:p>
      <w:pPr>
        <w:spacing w:after="0" w:line="23" w:lineRule="exact"/>
        <w:rPr>
          <w:sz w:val="20"/>
          <w:szCs w:val="20"/>
          <w:color w:val="auto"/>
        </w:rPr>
      </w:pPr>
    </w:p>
    <w:p>
      <w:pPr>
        <w:ind w:left="46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4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-121920</wp:posOffset>
            </wp:positionV>
            <wp:extent cx="240030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Title:  Co-Founder, President, Chief Executive Officer and</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630555</wp:posOffset>
            </wp:positionV>
            <wp:extent cx="5657850" cy="254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0" w:name="page151"/>
    <w:bookmarkEnd w:id="15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Biren Amin, certify that:</w:t>
      </w:r>
    </w:p>
    <w:p>
      <w:pPr>
        <w:spacing w:after="0" w:line="104" w:lineRule="exact"/>
        <w:rPr>
          <w:sz w:val="20"/>
          <w:szCs w:val="20"/>
          <w:color w:val="auto"/>
        </w:rPr>
      </w:pPr>
    </w:p>
    <w:p>
      <w:pPr>
        <w:ind w:left="700" w:hanging="65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Immuneering Corporation.;</w:t>
      </w:r>
    </w:p>
    <w:p>
      <w:pPr>
        <w:spacing w:after="0" w:line="103"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00" w:right="199" w:hanging="656"/>
        <w:spacing w:after="0" w:line="248"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700" w:right="219" w:hanging="656"/>
        <w:spacing w:after="0" w:line="324" w:lineRule="auto"/>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6"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340" w:hanging="648"/>
        <w:spacing w:after="0"/>
        <w:tabs>
          <w:tab w:leader="none" w:pos="1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700" w:right="379" w:hanging="656"/>
        <w:spacing w:after="0" w:line="248" w:lineRule="auto"/>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9, 2021</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Biren Amin</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Biren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-121920</wp:posOffset>
            </wp:positionV>
            <wp:extent cx="239141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ind w:left="4700"/>
        <w:spacing w:after="0" w:line="192" w:lineRule="auto"/>
        <w:rPr>
          <w:sz w:val="20"/>
          <w:szCs w:val="20"/>
          <w:color w:val="auto"/>
        </w:rPr>
      </w:pPr>
      <w:r>
        <w:rPr>
          <w:rFonts w:ascii="Arial" w:cs="Arial" w:eastAsia="Arial" w:hAnsi="Arial"/>
          <w:sz w:val="35"/>
          <w:szCs w:val="35"/>
          <w:color w:val="auto"/>
          <w:vertAlign w:val="superscript"/>
        </w:rPr>
        <w:t>Title:</w:t>
      </w:r>
      <w:r>
        <w:rPr>
          <w:rFonts w:ascii="Arial" w:cs="Arial" w:eastAsia="Arial" w:hAnsi="Arial"/>
          <w:sz w:val="18"/>
          <w:szCs w:val="18"/>
          <w:color w:val="auto"/>
        </w:rPr>
        <w:t xml:space="preserve">  Chief Financial Officer and Treasurer</w:t>
      </w:r>
    </w:p>
    <w:p>
      <w:pPr>
        <w:ind w:left="5200"/>
        <w:spacing w:after="0" w:line="234" w:lineRule="auto"/>
        <w:rPr>
          <w:sz w:val="20"/>
          <w:szCs w:val="20"/>
          <w:color w:val="auto"/>
        </w:rPr>
      </w:pPr>
      <w:r>
        <w:rPr>
          <w:rFonts w:ascii="Arial" w:cs="Arial" w:eastAsia="Arial" w:hAnsi="Arial"/>
          <w:sz w:val="18"/>
          <w:szCs w:val="18"/>
          <w:color w:val="auto"/>
        </w:rPr>
        <w:t>(Principal Financial Officer and Principal</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5657850" cy="254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1" w:name="page152"/>
    <w:bookmarkEnd w:id="15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ind w:left="40" w:right="59"/>
        <w:spacing w:after="0" w:line="3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3" w:lineRule="exact"/>
        <w:rPr>
          <w:sz w:val="20"/>
          <w:szCs w:val="20"/>
          <w:color w:val="auto"/>
        </w:rPr>
      </w:pPr>
    </w:p>
    <w:p>
      <w:pPr>
        <w:ind w:left="40" w:right="139"/>
        <w:spacing w:after="0" w:line="243"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June 30, 2021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80" w:lineRule="exact"/>
        <w:rPr>
          <w:sz w:val="20"/>
          <w:szCs w:val="20"/>
          <w:color w:val="auto"/>
        </w:rPr>
      </w:pPr>
    </w:p>
    <w:p>
      <w:pPr>
        <w:ind w:left="1340" w:right="539" w:hanging="648"/>
        <w:spacing w:after="0" w:line="261" w:lineRule="auto"/>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9, 2021</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J. Zeskind</w:t>
      </w:r>
    </w:p>
    <w:p>
      <w:pPr>
        <w:spacing w:after="0" w:line="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-121920</wp:posOffset>
            </wp:positionV>
            <wp:extent cx="246888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7"/>
          <w:szCs w:val="17"/>
          <w:color w:val="auto"/>
        </w:rPr>
        <w:t>Title:</w:t>
        <w:tab/>
        <w:t>Co-Founder, President, Chief Executive Officer and</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664845</wp:posOffset>
            </wp:positionV>
            <wp:extent cx="5657850" cy="2603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52" w:name="page153"/>
    <w:bookmarkEnd w:id="15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ind w:left="40" w:right="59"/>
        <w:spacing w:after="0" w:line="3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73" w:lineRule="exact"/>
        <w:rPr>
          <w:sz w:val="20"/>
          <w:szCs w:val="20"/>
          <w:color w:val="auto"/>
        </w:rPr>
      </w:pPr>
    </w:p>
    <w:p>
      <w:pPr>
        <w:ind w:left="40" w:right="99"/>
        <w:spacing w:after="0" w:line="243" w:lineRule="auto"/>
        <w:rPr>
          <w:sz w:val="20"/>
          <w:szCs w:val="20"/>
          <w:color w:val="auto"/>
        </w:rPr>
      </w:pPr>
      <w:r>
        <w:rPr>
          <w:rFonts w:ascii="Arial" w:cs="Arial" w:eastAsia="Arial" w:hAnsi="Arial"/>
          <w:sz w:val="18"/>
          <w:szCs w:val="18"/>
          <w:color w:val="auto"/>
        </w:rPr>
        <w:t>In connection with the Quarterly Report on Form 10-Q of Immuneering Corporation. (the “Company”) for the quarterly period ended June 30, 2021,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80" w:lineRule="exact"/>
        <w:rPr>
          <w:sz w:val="20"/>
          <w:szCs w:val="20"/>
          <w:color w:val="auto"/>
        </w:rPr>
      </w:pPr>
    </w:p>
    <w:p>
      <w:pPr>
        <w:ind w:left="1340" w:right="539" w:hanging="648"/>
        <w:spacing w:after="0" w:line="261" w:lineRule="auto"/>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40" w:right="279" w:hanging="648"/>
        <w:spacing w:after="0" w:line="261" w:lineRule="auto"/>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9, 2021</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40" w:type="dxa"/>
            <w:vAlign w:val="bottom"/>
          </w:tcPr>
          <w:p>
            <w:pPr>
              <w:ind w:left="4460"/>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/s/ Biren Amin</w:t>
            </w:r>
          </w:p>
        </w:tc>
        <w:tc>
          <w:tcPr>
            <w:tcW w:w="0" w:type="dxa"/>
            <w:vAlign w:val="bottom"/>
          </w:tcPr>
          <w:p>
            <w:pPr>
              <w:spacing w:after="0"/>
              <w:rPr>
                <w:sz w:val="1"/>
                <w:szCs w:val="1"/>
                <w:color w:val="auto"/>
              </w:rPr>
            </w:pPr>
          </w:p>
        </w:tc>
      </w:tr>
      <w:tr>
        <w:trPr>
          <w:trHeight w:val="40"/>
        </w:trPr>
        <w:tc>
          <w:tcPr>
            <w:tcW w:w="5040" w:type="dxa"/>
            <w:vAlign w:val="bottom"/>
            <w:vMerge w:val="restart"/>
          </w:tcPr>
          <w:p>
            <w:pPr>
              <w:ind w:left="4460"/>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Biren Amin</w:t>
            </w:r>
          </w:p>
        </w:tc>
        <w:tc>
          <w:tcPr>
            <w:tcW w:w="0" w:type="dxa"/>
            <w:vAlign w:val="bottom"/>
          </w:tcPr>
          <w:p>
            <w:pPr>
              <w:spacing w:after="0"/>
              <w:rPr>
                <w:sz w:val="1"/>
                <w:szCs w:val="1"/>
                <w:color w:val="auto"/>
              </w:rPr>
            </w:pPr>
          </w:p>
        </w:tc>
      </w:tr>
      <w:tr>
        <w:trPr>
          <w:trHeight w:val="256"/>
        </w:trPr>
        <w:tc>
          <w:tcPr>
            <w:tcW w:w="5040" w:type="dxa"/>
            <w:vAlign w:val="bottom"/>
          </w:tcPr>
          <w:p>
            <w:pPr>
              <w:ind w:left="446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03"/>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1)"/>
      <w:numFmt w:val="decimal"/>
      <w:start w:val="2"/>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upperLetter"/>
      <w:start w:val="1"/>
    </w:lvl>
    <w:lvl w:ilvl="1">
      <w:lvlJc w:val="left"/>
      <w:lvlText w:val="%2."/>
      <w:numFmt w:val="decimal"/>
      <w:start w:val="1"/>
    </w:lvl>
  </w:abstractNum>
  <w:abstractNum w:abstractNumId="57">
    <w:nsid w:val="BF72B14"/>
    <w:multiLevelType w:val="hybridMultilevel"/>
    <w:lvl w:ilvl="0">
      <w:lvlJc w:val="left"/>
      <w:lvlText w:val="%1"/>
      <w:numFmt w:val="upperLetter"/>
      <w:start w:val="1"/>
    </w:lvl>
    <w:lvl w:ilvl="1">
      <w:lvlJc w:val="left"/>
      <w:lvlText w:val="%2."/>
      <w:numFmt w:val="decimal"/>
      <w:start w:val="3"/>
    </w:lvl>
  </w:abstractNum>
  <w:abstractNum w:abstractNumId="58">
    <w:nsid w:val="11447B73"/>
    <w:multiLevelType w:val="hybridMultilevel"/>
    <w:lvl w:ilvl="0">
      <w:lvlJc w:val="left"/>
      <w:lvlText w:val="%1."/>
      <w:numFmt w:val="upperLetter"/>
      <w:start w:val="2"/>
    </w:lvl>
    <w:lvl w:ilvl="1">
      <w:lvlJc w:val="left"/>
      <w:lvlText w:val="%2"/>
      <w:numFmt w:val="decimal"/>
      <w:start w:val="1"/>
    </w:lvl>
  </w:abstractNum>
  <w:abstractNum w:abstractNumId="59">
    <w:nsid w:val="42963E5A"/>
    <w:multiLevelType w:val="hybridMultilevel"/>
    <w:lvl w:ilvl="0">
      <w:lvlJc w:val="left"/>
      <w:lvlText w:val="(%1)"/>
      <w:numFmt w:val="lowerRoman"/>
      <w:start w:val="1"/>
    </w:lvl>
    <w:lvl w:ilvl="1">
      <w:lvlJc w:val="left"/>
      <w:lvlText w:val="%2."/>
      <w:numFmt w:val="upperLetter"/>
      <w:start w:val="3"/>
    </w:lvl>
  </w:abstractNum>
  <w:abstractNum w:abstractNumId="60">
    <w:nsid w:val="A0382C5"/>
    <w:multiLevelType w:val="hybridMultilevel"/>
    <w:lvl w:ilvl="0">
      <w:lvlJc w:val="left"/>
      <w:lvlText w:val="%1."/>
      <w:numFmt w:val="upperLetter"/>
      <w:start w:val="6"/>
    </w:lvl>
  </w:abstractNum>
  <w:abstractNum w:abstractNumId="61">
    <w:nsid w:val="8F2B15E"/>
    <w:multiLevelType w:val="hybridMultilevel"/>
    <w:lvl w:ilvl="0">
      <w:lvlJc w:val="left"/>
      <w:lvlText w:val="(%1)"/>
      <w:numFmt w:val="lowerRoman"/>
      <w:start w:val="4"/>
    </w:lvl>
  </w:abstractNum>
  <w:abstractNum w:abstractNumId="62">
    <w:nsid w:val="1A32234B"/>
    <w:multiLevelType w:val="hybridMultilevel"/>
    <w:lvl w:ilvl="0">
      <w:lvlJc w:val="left"/>
      <w:lvlText w:val="%1."/>
      <w:numFmt w:val="upperLetter"/>
      <w:start w:val="1"/>
    </w:lvl>
  </w:abstractNum>
  <w:abstractNum w:abstractNumId="63">
    <w:nsid w:val="3B0FD379"/>
    <w:multiLevelType w:val="hybridMultilevel"/>
    <w:lvl w:ilvl="0">
      <w:lvlJc w:val="left"/>
      <w:lvlText w:val="%1"/>
      <w:numFmt w:val="upperLetter"/>
      <w:start w:val="1"/>
    </w:lvl>
    <w:lvl w:ilvl="1">
      <w:lvlJc w:val="left"/>
      <w:lvlText w:val="(%2)"/>
      <w:numFmt w:val="lowerLetter"/>
      <w:start w:val="1"/>
    </w:lvl>
  </w:abstractNum>
  <w:abstractNum w:abstractNumId="64">
    <w:nsid w:val="68EB2F63"/>
    <w:multiLevelType w:val="hybridMultilevel"/>
    <w:lvl w:ilvl="0">
      <w:lvlJc w:val="left"/>
      <w:lvlText w:val="(%1)"/>
      <w:numFmt w:val="upperLetter"/>
      <w:start w:val="2"/>
    </w:lvl>
    <w:lvl w:ilvl="1">
      <w:lvlJc w:val="left"/>
      <w:lvlText w:val="(%2)"/>
      <w:numFmt w:val="lowerLetter"/>
      <w:start w:val="2"/>
    </w:lvl>
  </w:abstractNum>
  <w:abstractNum w:abstractNumId="65">
    <w:nsid w:val="4962813B"/>
    <w:multiLevelType w:val="hybridMultilevel"/>
    <w:lvl w:ilvl="0">
      <w:lvlJc w:val="left"/>
      <w:lvlText w:val="(%1)"/>
      <w:numFmt w:val="lowerLetter"/>
      <w:start w:val="3"/>
    </w:lvl>
    <w:lvl w:ilvl="1">
      <w:lvlJc w:val="left"/>
      <w:lvlText w:val="(%2)"/>
      <w:numFmt w:val="lowerRoman"/>
      <w:start w:val="1"/>
    </w:lvl>
  </w:abstractNum>
  <w:abstractNum w:abstractNumId="66">
    <w:nsid w:val="60B6DF70"/>
    <w:multiLevelType w:val="hybridMultilevel"/>
    <w:lvl w:ilvl="0">
      <w:lvlJc w:val="left"/>
      <w:lvlText w:val="(%1)"/>
      <w:numFmt w:val="lowerLetter"/>
      <w:start w:val="25"/>
    </w:lvl>
  </w:abstractNum>
  <w:abstractNum w:abstractNumId="67">
    <w:nsid w:val="6A5EE64"/>
    <w:multiLevelType w:val="hybridMultilevel"/>
    <w:lvl w:ilvl="0">
      <w:lvlJc w:val="left"/>
      <w:lvlText w:val="(%1)"/>
      <w:numFmt w:val="upperLetter"/>
      <w:start w:val="9"/>
    </w:lvl>
  </w:abstractNum>
  <w:abstractNum w:abstractNumId="68">
    <w:nsid w:val="14330624"/>
    <w:multiLevelType w:val="hybridMultilevel"/>
    <w:lvl w:ilvl="0">
      <w:lvlJc w:val="left"/>
      <w:lvlText w:val="(%1)"/>
      <w:numFmt w:val="upperLetter"/>
      <w:start w:val="2"/>
    </w:lvl>
  </w:abstractNum>
  <w:abstractNum w:abstractNumId="69">
    <w:nsid w:val="7FFFCA11"/>
    <w:multiLevelType w:val="hybridMultilevel"/>
    <w:lvl w:ilvl="0">
      <w:lvlJc w:val="left"/>
      <w:lvlText w:val="%1"/>
      <w:numFmt w:val="lowerLetter"/>
      <w:start w:val="1"/>
    </w:lvl>
    <w:lvl w:ilvl="1">
      <w:lvlJc w:val="left"/>
      <w:lvlText w:val="(%2)"/>
      <w:numFmt w:val="lowerLetter"/>
      <w:start w:val="4"/>
    </w:lvl>
  </w:abstractNum>
  <w:abstractNum w:abstractNumId="70">
    <w:nsid w:val="1A27709E"/>
    <w:multiLevelType w:val="hybridMultilevel"/>
    <w:lvl w:ilvl="0">
      <w:lvlJc w:val="left"/>
      <w:lvlText w:val="(%1)"/>
      <w:numFmt w:val="lowerLetter"/>
      <w:start w:val="9"/>
    </w:lvl>
    <w:lvl w:ilvl="1">
      <w:lvlJc w:val="left"/>
      <w:lvlText w:val="(%2)"/>
      <w:numFmt w:val="lowerLetter"/>
      <w:start w:val="5"/>
    </w:lvl>
  </w:abstractNum>
  <w:abstractNum w:abstractNumId="71">
    <w:nsid w:val="71EA1109"/>
    <w:multiLevelType w:val="hybridMultilevel"/>
    <w:lvl w:ilvl="0">
      <w:lvlJc w:val="left"/>
      <w:lvlText w:val="(%1)"/>
      <w:numFmt w:val="lowerLetter"/>
      <w:start w:val="6"/>
    </w:lvl>
  </w:abstractNum>
  <w:abstractNum w:abstractNumId="72">
    <w:nsid w:val="100F59DC"/>
    <w:multiLevelType w:val="hybridMultilevel"/>
    <w:lvl w:ilvl="0">
      <w:lvlJc w:val="left"/>
      <w:lvlText w:val="(%1)"/>
      <w:numFmt w:val="lowerLetter"/>
      <w:start w:val="9"/>
    </w:lvl>
  </w:abstractNum>
  <w:abstractNum w:abstractNumId="73">
    <w:nsid w:val="7FB7E0AA"/>
    <w:multiLevelType w:val="hybridMultilevel"/>
    <w:lvl w:ilvl="0">
      <w:lvlJc w:val="left"/>
      <w:lvlText w:val="(%1)"/>
      <w:numFmt w:val="lowerLetter"/>
      <w:start w:val="1"/>
    </w:lvl>
  </w:abstractNum>
  <w:abstractNum w:abstractNumId="74">
    <w:nsid w:val="6EB5BD4"/>
    <w:multiLevelType w:val="hybridMultilevel"/>
    <w:lvl w:ilvl="0">
      <w:lvlJc w:val="left"/>
      <w:lvlText w:val="(%1)"/>
      <w:numFmt w:val="lowerLetter"/>
      <w:start w:val="2"/>
    </w:lvl>
  </w:abstractNum>
  <w:abstractNum w:abstractNumId="75">
    <w:nsid w:val="6F6DD9AC"/>
    <w:multiLevelType w:val="hybridMultilevel"/>
    <w:lvl w:ilvl="0">
      <w:lvlJc w:val="left"/>
      <w:lvlText w:val="(%1)"/>
      <w:numFmt w:val="lowerRoman"/>
      <w:start w:val="1"/>
    </w:lvl>
  </w:abstractNum>
  <w:abstractNum w:abstractNumId="76">
    <w:nsid w:val="94211F2"/>
    <w:multiLevelType w:val="hybridMultilevel"/>
    <w:lvl w:ilvl="0">
      <w:lvlJc w:val="left"/>
      <w:lvlText w:val="(%1)"/>
      <w:numFmt w:val="lowerRoman"/>
      <w:start w:val="2"/>
    </w:lvl>
  </w:abstractNum>
  <w:abstractNum w:abstractNumId="77">
    <w:nsid w:val="885E1B"/>
    <w:multiLevelType w:val="hybridMultilevel"/>
    <w:lvl w:ilvl="0">
      <w:lvlJc w:val="left"/>
      <w:lvlText w:val="(%1)"/>
      <w:numFmt w:val="decimal"/>
      <w:start w:val="2"/>
    </w:lvl>
  </w:abstractNum>
  <w:abstractNum w:abstractNumId="78">
    <w:nsid w:val="76272110"/>
    <w:multiLevelType w:val="hybridMultilevel"/>
    <w:lvl w:ilvl="0">
      <w:lvlJc w:val="left"/>
      <w:lvlText w:val="%1"/>
      <w:numFmt w:val="lowerRoman"/>
      <w:start w:val="1"/>
    </w:lvl>
    <w:lvl w:ilvl="1">
      <w:lvlJc w:val="left"/>
      <w:lvlText w:val="(%2)"/>
      <w:numFmt w:val="lowerLetter"/>
      <w:start w:val="4"/>
    </w:lvl>
  </w:abstractNum>
  <w:abstractNum w:abstractNumId="79">
    <w:nsid w:val="4C04A8AF"/>
    <w:multiLevelType w:val="hybridMultilevel"/>
    <w:lvl w:ilvl="0">
      <w:lvlJc w:val="left"/>
      <w:lvlText w:val="(%1)"/>
      <w:numFmt w:val="lowerRoman"/>
      <w:start w:val="1"/>
    </w:lvl>
    <w:lvl w:ilvl="1">
      <w:lvlJc w:val="left"/>
      <w:lvlText w:val="(%2)"/>
      <w:numFmt w:val="lowerLetter"/>
      <w:start w:val="5"/>
    </w:lvl>
  </w:abstractNum>
  <w:abstractNum w:abstractNumId="80">
    <w:nsid w:val="1716703B"/>
    <w:multiLevelType w:val="hybridMultilevel"/>
    <w:lvl w:ilvl="0">
      <w:lvlJc w:val="left"/>
      <w:lvlText w:val="%1"/>
      <w:numFmt w:val="lowerLetter"/>
      <w:start w:val="1"/>
    </w:lvl>
    <w:lvl w:ilvl="1">
      <w:lvlJc w:val="left"/>
      <w:lvlText w:val="(%2)"/>
      <w:numFmt w:val="lowerLetter"/>
      <w:start w:val="6"/>
    </w:lvl>
  </w:abstractNum>
  <w:abstractNum w:abstractNumId="81">
    <w:nsid w:val="14E17E33"/>
    <w:multiLevelType w:val="hybridMultilevel"/>
    <w:lvl w:ilvl="0">
      <w:lvlJc w:val="left"/>
      <w:lvlText w:val="(%1)"/>
      <w:numFmt w:val="lowerLetter"/>
      <w:start w:val="61"/>
    </w:lvl>
    <w:lvl w:ilvl="1">
      <w:lvlJc w:val="left"/>
      <w:lvlText w:val="(%2)"/>
      <w:numFmt w:val="lowerLetter"/>
      <w:start w:val="8"/>
    </w:lvl>
  </w:abstractNum>
  <w:abstractNum w:abstractNumId="82">
    <w:nsid w:val="3222E7CD"/>
    <w:multiLevelType w:val="hybridMultilevel"/>
    <w:lvl w:ilvl="0">
      <w:lvlJc w:val="left"/>
      <w:lvlText w:val="(%1)"/>
      <w:numFmt w:val="lowerRoman"/>
      <w:start w:val="1"/>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lowerLetter"/>
      <w:start w:val="2"/>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png"/><Relationship Id="rId757" Type="http://schemas.openxmlformats.org/officeDocument/2006/relationships/image" Target="media/image748.png"/><Relationship Id="rId758" Type="http://schemas.openxmlformats.org/officeDocument/2006/relationships/image" Target="media/image749.png"/><Relationship Id="rId759" Type="http://schemas.openxmlformats.org/officeDocument/2006/relationships/image" Target="media/image750.png"/><Relationship Id="rId760" Type="http://schemas.openxmlformats.org/officeDocument/2006/relationships/image" Target="media/image751.png"/><Relationship Id="rId761" Type="http://schemas.openxmlformats.org/officeDocument/2006/relationships/image" Target="media/image752.png"/><Relationship Id="rId762" Type="http://schemas.openxmlformats.org/officeDocument/2006/relationships/image" Target="media/image753.png"/><Relationship Id="rId763" Type="http://schemas.openxmlformats.org/officeDocument/2006/relationships/image" Target="media/image754.png"/><Relationship Id="rId764" Type="http://schemas.openxmlformats.org/officeDocument/2006/relationships/image" Target="media/image755.png"/><Relationship Id="rId765" Type="http://schemas.openxmlformats.org/officeDocument/2006/relationships/image" Target="media/image756.png"/><Relationship Id="rId766" Type="http://schemas.openxmlformats.org/officeDocument/2006/relationships/image" Target="media/image757.png"/><Relationship Id="rId767" Type="http://schemas.openxmlformats.org/officeDocument/2006/relationships/image" Target="media/image758.png"/><Relationship Id="rId768" Type="http://schemas.openxmlformats.org/officeDocument/2006/relationships/image" Target="media/image759.png"/><Relationship Id="rId769" Type="http://schemas.openxmlformats.org/officeDocument/2006/relationships/image" Target="media/image760.png"/><Relationship Id="rId770" Type="http://schemas.openxmlformats.org/officeDocument/2006/relationships/image" Target="media/image761.png"/><Relationship Id="rId771" Type="http://schemas.openxmlformats.org/officeDocument/2006/relationships/image" Target="media/image762.png"/><Relationship Id="rId772" Type="http://schemas.openxmlformats.org/officeDocument/2006/relationships/image" Target="media/image763.png"/><Relationship Id="rId773" Type="http://schemas.openxmlformats.org/officeDocument/2006/relationships/image" Target="media/image764.png"/><Relationship Id="rId774" Type="http://schemas.openxmlformats.org/officeDocument/2006/relationships/image" Target="media/image765.png"/><Relationship Id="rId775" Type="http://schemas.openxmlformats.org/officeDocument/2006/relationships/image" Target="media/image766.png"/><Relationship Id="rId776" Type="http://schemas.openxmlformats.org/officeDocument/2006/relationships/image" Target="media/image767.png"/><Relationship Id="rId777" Type="http://schemas.openxmlformats.org/officeDocument/2006/relationships/image" Target="media/image768.png"/><Relationship Id="rId778" Type="http://schemas.openxmlformats.org/officeDocument/2006/relationships/image" Target="media/image769.png"/><Relationship Id="rId779" Type="http://schemas.openxmlformats.org/officeDocument/2006/relationships/image" Target="media/image770.png"/><Relationship Id="rId780" Type="http://schemas.openxmlformats.org/officeDocument/2006/relationships/image" Target="media/image771.png"/><Relationship Id="rId781" Type="http://schemas.openxmlformats.org/officeDocument/2006/relationships/image" Target="media/image772.png"/><Relationship Id="rId782" Type="http://schemas.openxmlformats.org/officeDocument/2006/relationships/image" Target="media/image773.png"/><Relationship Id="rId783" Type="http://schemas.openxmlformats.org/officeDocument/2006/relationships/image" Target="media/image774.png"/><Relationship Id="rId784" Type="http://schemas.openxmlformats.org/officeDocument/2006/relationships/image" Target="media/image775.png"/><Relationship Id="rId785" Type="http://schemas.openxmlformats.org/officeDocument/2006/relationships/image" Target="media/image776.png"/><Relationship Id="rId786" Type="http://schemas.openxmlformats.org/officeDocument/2006/relationships/image" Target="media/image777.png"/><Relationship Id="rId787" Type="http://schemas.openxmlformats.org/officeDocument/2006/relationships/image" Target="media/image778.png"/><Relationship Id="rId788" Type="http://schemas.openxmlformats.org/officeDocument/2006/relationships/image" Target="media/image779.png"/><Relationship Id="rId789" Type="http://schemas.openxmlformats.org/officeDocument/2006/relationships/image" Target="media/image780.png"/><Relationship Id="rId790" Type="http://schemas.openxmlformats.org/officeDocument/2006/relationships/image" Target="media/image781.png"/><Relationship Id="rId791" Type="http://schemas.openxmlformats.org/officeDocument/2006/relationships/image" Target="media/image782.png"/><Relationship Id="rId792" Type="http://schemas.openxmlformats.org/officeDocument/2006/relationships/image" Target="media/image783.png"/><Relationship Id="rId793" Type="http://schemas.openxmlformats.org/officeDocument/2006/relationships/image" Target="media/image784.png"/><Relationship Id="rId794" Type="http://schemas.openxmlformats.org/officeDocument/2006/relationships/image" Target="media/image785.png"/><Relationship Id="rId795" Type="http://schemas.openxmlformats.org/officeDocument/2006/relationships/image" Target="media/image786.png"/><Relationship Id="rId796" Type="http://schemas.openxmlformats.org/officeDocument/2006/relationships/image" Target="media/image787.png"/><Relationship Id="rId797" Type="http://schemas.openxmlformats.org/officeDocument/2006/relationships/image" Target="media/image788.png"/><Relationship Id="rId798" Type="http://schemas.openxmlformats.org/officeDocument/2006/relationships/image" Target="media/image789.png"/><Relationship Id="rId799" Type="http://schemas.openxmlformats.org/officeDocument/2006/relationships/image" Target="media/image790.png"/><Relationship Id="rId800" Type="http://schemas.openxmlformats.org/officeDocument/2006/relationships/image" Target="media/image791.png"/><Relationship Id="rId801" Type="http://schemas.openxmlformats.org/officeDocument/2006/relationships/image" Target="media/image792.png"/><Relationship Id="rId802" Type="http://schemas.openxmlformats.org/officeDocument/2006/relationships/image" Target="media/image793.png"/><Relationship Id="rId803" Type="http://schemas.openxmlformats.org/officeDocument/2006/relationships/image" Target="media/image794.png"/><Relationship Id="rId804" Type="http://schemas.openxmlformats.org/officeDocument/2006/relationships/image" Target="media/image795.png"/><Relationship Id="rId805" Type="http://schemas.openxmlformats.org/officeDocument/2006/relationships/image" Target="media/image796.png"/><Relationship Id="rId806" Type="http://schemas.openxmlformats.org/officeDocument/2006/relationships/image" Target="media/image797.png"/><Relationship Id="rId807" Type="http://schemas.openxmlformats.org/officeDocument/2006/relationships/image" Target="media/image798.png"/><Relationship Id="rId808" Type="http://schemas.openxmlformats.org/officeDocument/2006/relationships/image" Target="media/image799.png"/><Relationship Id="rId809" Type="http://schemas.openxmlformats.org/officeDocument/2006/relationships/image" Target="media/image800.png"/><Relationship Id="rId810" Type="http://schemas.openxmlformats.org/officeDocument/2006/relationships/image" Target="media/image801.png"/><Relationship Id="rId811" Type="http://schemas.openxmlformats.org/officeDocument/2006/relationships/image" Target="media/image802.png"/><Relationship Id="rId812" Type="http://schemas.openxmlformats.org/officeDocument/2006/relationships/image" Target="media/image803.png"/><Relationship Id="rId813" Type="http://schemas.openxmlformats.org/officeDocument/2006/relationships/image" Target="media/image804.png"/><Relationship Id="rId814" Type="http://schemas.openxmlformats.org/officeDocument/2006/relationships/image" Target="media/image805.png"/><Relationship Id="rId815" Type="http://schemas.openxmlformats.org/officeDocument/2006/relationships/image" Target="media/image806.png"/><Relationship Id="rId816" Type="http://schemas.openxmlformats.org/officeDocument/2006/relationships/image" Target="media/image807.png"/><Relationship Id="rId817" Type="http://schemas.openxmlformats.org/officeDocument/2006/relationships/image" Target="media/image808.png"/><Relationship Id="rId818" Type="http://schemas.openxmlformats.org/officeDocument/2006/relationships/image" Target="media/image809.png"/><Relationship Id="rId819" Type="http://schemas.openxmlformats.org/officeDocument/2006/relationships/image" Target="media/image810.png"/><Relationship Id="rId820" Type="http://schemas.openxmlformats.org/officeDocument/2006/relationships/image" Target="media/image811.png"/><Relationship Id="rId821" Type="http://schemas.openxmlformats.org/officeDocument/2006/relationships/image" Target="media/image812.png"/><Relationship Id="rId822" Type="http://schemas.openxmlformats.org/officeDocument/2006/relationships/image" Target="media/image813.png"/><Relationship Id="rId823" Type="http://schemas.openxmlformats.org/officeDocument/2006/relationships/image" Target="media/image814.png"/><Relationship Id="rId824" Type="http://schemas.openxmlformats.org/officeDocument/2006/relationships/image" Target="media/image815.png"/><Relationship Id="rId825" Type="http://schemas.openxmlformats.org/officeDocument/2006/relationships/image" Target="media/image816.png"/><Relationship Id="rId826" Type="http://schemas.openxmlformats.org/officeDocument/2006/relationships/image" Target="media/image817.png"/><Relationship Id="rId827" Type="http://schemas.openxmlformats.org/officeDocument/2006/relationships/image" Target="media/image818.png"/><Relationship Id="rId828" Type="http://schemas.openxmlformats.org/officeDocument/2006/relationships/image" Target="media/image819.png"/><Relationship Id="rId829" Type="http://schemas.openxmlformats.org/officeDocument/2006/relationships/image" Target="media/image820.png"/><Relationship Id="rId830" Type="http://schemas.openxmlformats.org/officeDocument/2006/relationships/image" Target="media/image821.png"/><Relationship Id="rId831" Type="http://schemas.openxmlformats.org/officeDocument/2006/relationships/image" Target="media/image822.png"/><Relationship Id="rId832" Type="http://schemas.openxmlformats.org/officeDocument/2006/relationships/image" Target="media/image823.png"/><Relationship Id="rId833" Type="http://schemas.openxmlformats.org/officeDocument/2006/relationships/image" Target="media/image824.png"/><Relationship Id="rId834" Type="http://schemas.openxmlformats.org/officeDocument/2006/relationships/image" Target="media/image825.png"/><Relationship Id="rId835" Type="http://schemas.openxmlformats.org/officeDocument/2006/relationships/image" Target="media/image826.png"/><Relationship Id="rId836" Type="http://schemas.openxmlformats.org/officeDocument/2006/relationships/image" Target="media/image827.png"/><Relationship Id="rId837" Type="http://schemas.openxmlformats.org/officeDocument/2006/relationships/image" Target="media/image828.png"/><Relationship Id="rId838" Type="http://schemas.openxmlformats.org/officeDocument/2006/relationships/image" Target="media/image829.png"/><Relationship Id="rId839" Type="http://schemas.openxmlformats.org/officeDocument/2006/relationships/image" Target="media/image830.png"/><Relationship Id="rId840" Type="http://schemas.openxmlformats.org/officeDocument/2006/relationships/image" Target="media/image831.png"/><Relationship Id="rId841" Type="http://schemas.openxmlformats.org/officeDocument/2006/relationships/image" Target="media/image832.png"/><Relationship Id="rId842" Type="http://schemas.openxmlformats.org/officeDocument/2006/relationships/image" Target="media/image833.png"/><Relationship Id="rId843" Type="http://schemas.openxmlformats.org/officeDocument/2006/relationships/image" Target="media/image834.png"/><Relationship Id="rId844" Type="http://schemas.openxmlformats.org/officeDocument/2006/relationships/image" Target="media/image835.png"/><Relationship Id="rId845" Type="http://schemas.openxmlformats.org/officeDocument/2006/relationships/image" Target="media/image836.png"/><Relationship Id="rId846" Type="http://schemas.openxmlformats.org/officeDocument/2006/relationships/image" Target="media/image837.png"/><Relationship Id="rId847" Type="http://schemas.openxmlformats.org/officeDocument/2006/relationships/image" Target="media/image838.png"/><Relationship Id="rId848" Type="http://schemas.openxmlformats.org/officeDocument/2006/relationships/image" Target="media/image839.png"/><Relationship Id="rId849" Type="http://schemas.openxmlformats.org/officeDocument/2006/relationships/image" Target="media/image840.png"/><Relationship Id="rId850" Type="http://schemas.openxmlformats.org/officeDocument/2006/relationships/image" Target="media/image841.png"/><Relationship Id="rId851" Type="http://schemas.openxmlformats.org/officeDocument/2006/relationships/image" Target="media/image842.png"/><Relationship Id="rId852" Type="http://schemas.openxmlformats.org/officeDocument/2006/relationships/image" Target="media/image843.png"/><Relationship Id="rId853" Type="http://schemas.openxmlformats.org/officeDocument/2006/relationships/image" Target="media/image844.png"/><Relationship Id="rId854" Type="http://schemas.openxmlformats.org/officeDocument/2006/relationships/image" Target="media/image845.png"/><Relationship Id="rId855" Type="http://schemas.openxmlformats.org/officeDocument/2006/relationships/image" Target="media/image846.png"/><Relationship Id="rId856" Type="http://schemas.openxmlformats.org/officeDocument/2006/relationships/image" Target="media/image847.png"/><Relationship Id="rId857" Type="http://schemas.openxmlformats.org/officeDocument/2006/relationships/image" Target="media/image848.png"/><Relationship Id="rId858" Type="http://schemas.openxmlformats.org/officeDocument/2006/relationships/image" Target="media/image849.png"/><Relationship Id="rId859" Type="http://schemas.openxmlformats.org/officeDocument/2006/relationships/image" Target="media/image850.png"/><Relationship Id="rId860" Type="http://schemas.openxmlformats.org/officeDocument/2006/relationships/image" Target="media/image851.png"/><Relationship Id="rId861" Type="http://schemas.openxmlformats.org/officeDocument/2006/relationships/image" Target="media/image852.png"/><Relationship Id="rId862" Type="http://schemas.openxmlformats.org/officeDocument/2006/relationships/image" Target="media/image853.png"/><Relationship Id="rId863" Type="http://schemas.openxmlformats.org/officeDocument/2006/relationships/image" Target="media/image854.png"/><Relationship Id="rId864" Type="http://schemas.openxmlformats.org/officeDocument/2006/relationships/image" Target="media/image855.png"/><Relationship Id="rId865" Type="http://schemas.openxmlformats.org/officeDocument/2006/relationships/image" Target="media/image856.png"/><Relationship Id="rId866" Type="http://schemas.openxmlformats.org/officeDocument/2006/relationships/image" Target="media/image857.png"/><Relationship Id="rId867" Type="http://schemas.openxmlformats.org/officeDocument/2006/relationships/image" Target="media/image858.png"/><Relationship Id="rId868" Type="http://schemas.openxmlformats.org/officeDocument/2006/relationships/image" Target="media/image859.png"/><Relationship Id="rId869" Type="http://schemas.openxmlformats.org/officeDocument/2006/relationships/image" Target="media/image860.png"/><Relationship Id="rId870" Type="http://schemas.openxmlformats.org/officeDocument/2006/relationships/image" Target="media/image861.png"/><Relationship Id="rId871" Type="http://schemas.openxmlformats.org/officeDocument/2006/relationships/image" Target="media/image862.png"/><Relationship Id="rId872" Type="http://schemas.openxmlformats.org/officeDocument/2006/relationships/image" Target="media/image863.png"/><Relationship Id="rId873" Type="http://schemas.openxmlformats.org/officeDocument/2006/relationships/image" Target="media/image864.png"/><Relationship Id="rId874" Type="http://schemas.openxmlformats.org/officeDocument/2006/relationships/image" Target="media/image865.png"/><Relationship Id="rId875" Type="http://schemas.openxmlformats.org/officeDocument/2006/relationships/image" Target="media/image866.png"/><Relationship Id="rId876" Type="http://schemas.openxmlformats.org/officeDocument/2006/relationships/image" Target="media/image867.png"/><Relationship Id="rId877" Type="http://schemas.openxmlformats.org/officeDocument/2006/relationships/image" Target="media/image868.png"/><Relationship Id="rId878" Type="http://schemas.openxmlformats.org/officeDocument/2006/relationships/image" Target="media/image869.png"/><Relationship Id="rId879" Type="http://schemas.openxmlformats.org/officeDocument/2006/relationships/image" Target="media/image870.png"/><Relationship Id="rId880" Type="http://schemas.openxmlformats.org/officeDocument/2006/relationships/image" Target="media/image871.png"/><Relationship Id="rId881" Type="http://schemas.openxmlformats.org/officeDocument/2006/relationships/image" Target="media/image872.png"/><Relationship Id="rId882" Type="http://schemas.openxmlformats.org/officeDocument/2006/relationships/image" Target="media/image873.png"/><Relationship Id="rId883" Type="http://schemas.openxmlformats.org/officeDocument/2006/relationships/image" Target="media/image874.png"/><Relationship Id="rId884" Type="http://schemas.openxmlformats.org/officeDocument/2006/relationships/image" Target="media/image875.png"/><Relationship Id="rId885" Type="http://schemas.openxmlformats.org/officeDocument/2006/relationships/image" Target="media/image876.png"/><Relationship Id="rId886" Type="http://schemas.openxmlformats.org/officeDocument/2006/relationships/image" Target="media/image877.png"/><Relationship Id="rId887" Type="http://schemas.openxmlformats.org/officeDocument/2006/relationships/image" Target="media/image878.png"/><Relationship Id="rId888" Type="http://schemas.openxmlformats.org/officeDocument/2006/relationships/image" Target="media/image879.png"/><Relationship Id="rId889" Type="http://schemas.openxmlformats.org/officeDocument/2006/relationships/image" Target="media/image880.png"/><Relationship Id="rId890" Type="http://schemas.openxmlformats.org/officeDocument/2006/relationships/image" Target="media/image881.png"/><Relationship Id="rId891" Type="http://schemas.openxmlformats.org/officeDocument/2006/relationships/image" Target="media/image882.png"/><Relationship Id="rId892" Type="http://schemas.openxmlformats.org/officeDocument/2006/relationships/image" Target="media/image883.png"/><Relationship Id="rId893" Type="http://schemas.openxmlformats.org/officeDocument/2006/relationships/image" Target="media/image884.png"/><Relationship Id="rId894" Type="http://schemas.openxmlformats.org/officeDocument/2006/relationships/image" Target="media/image885.png"/><Relationship Id="rId895" Type="http://schemas.openxmlformats.org/officeDocument/2006/relationships/image" Target="media/image886.png"/><Relationship Id="rId896" Type="http://schemas.openxmlformats.org/officeDocument/2006/relationships/image" Target="media/image887.png"/><Relationship Id="rId897" Type="http://schemas.openxmlformats.org/officeDocument/2006/relationships/image" Target="media/image888.png"/><Relationship Id="rId898" Type="http://schemas.openxmlformats.org/officeDocument/2006/relationships/image" Target="media/image889.png"/><Relationship Id="rId899" Type="http://schemas.openxmlformats.org/officeDocument/2006/relationships/image" Target="media/image890.png"/><Relationship Id="rId900" Type="http://schemas.openxmlformats.org/officeDocument/2006/relationships/image" Target="media/image891.png"/><Relationship Id="rId901" Type="http://schemas.openxmlformats.org/officeDocument/2006/relationships/image" Target="media/image892.png"/><Relationship Id="rId902" Type="http://schemas.openxmlformats.org/officeDocument/2006/relationships/image" Target="media/image893.png"/><Relationship Id="rId903" Type="http://schemas.openxmlformats.org/officeDocument/2006/relationships/image" Target="media/image894.png"/><Relationship Id="rId904" Type="http://schemas.openxmlformats.org/officeDocument/2006/relationships/image" Target="media/image895.png"/><Relationship Id="rId905" Type="http://schemas.openxmlformats.org/officeDocument/2006/relationships/image" Target="media/image896.png"/><Relationship Id="rId906" Type="http://schemas.openxmlformats.org/officeDocument/2006/relationships/image" Target="media/image897.png"/><Relationship Id="rId907" Type="http://schemas.openxmlformats.org/officeDocument/2006/relationships/image" Target="media/image898.png"/><Relationship Id="rId908" Type="http://schemas.openxmlformats.org/officeDocument/2006/relationships/image" Target="media/image899.png"/><Relationship Id="rId909" Type="http://schemas.openxmlformats.org/officeDocument/2006/relationships/image" Target="media/image900.png"/><Relationship Id="rId910" Type="http://schemas.openxmlformats.org/officeDocument/2006/relationships/image" Target="media/image901.png"/><Relationship Id="rId911" Type="http://schemas.openxmlformats.org/officeDocument/2006/relationships/image" Target="media/image902.png"/><Relationship Id="rId912" Type="http://schemas.openxmlformats.org/officeDocument/2006/relationships/image" Target="media/image903.png"/><Relationship Id="rId913" Type="http://schemas.openxmlformats.org/officeDocument/2006/relationships/image" Target="media/image904.png"/><Relationship Id="rId914" Type="http://schemas.openxmlformats.org/officeDocument/2006/relationships/image" Target="media/image905.png"/><Relationship Id="rId915" Type="http://schemas.openxmlformats.org/officeDocument/2006/relationships/image" Target="media/image906.png"/><Relationship Id="rId916" Type="http://schemas.openxmlformats.org/officeDocument/2006/relationships/image" Target="media/image907.png"/><Relationship Id="rId917" Type="http://schemas.openxmlformats.org/officeDocument/2006/relationships/image" Target="media/image908.png"/><Relationship Id="rId918" Type="http://schemas.openxmlformats.org/officeDocument/2006/relationships/image" Target="media/image909.png"/><Relationship Id="rId919" Type="http://schemas.openxmlformats.org/officeDocument/2006/relationships/image" Target="media/image910.png"/><Relationship Id="rId920" Type="http://schemas.openxmlformats.org/officeDocument/2006/relationships/image" Target="media/image911.png"/><Relationship Id="rId921" Type="http://schemas.openxmlformats.org/officeDocument/2006/relationships/image" Target="media/image912.png"/><Relationship Id="rId922" Type="http://schemas.openxmlformats.org/officeDocument/2006/relationships/image" Target="media/image913.png"/><Relationship Id="rId923" Type="http://schemas.openxmlformats.org/officeDocument/2006/relationships/image" Target="media/image914.png"/><Relationship Id="rId924" Type="http://schemas.openxmlformats.org/officeDocument/2006/relationships/image" Target="media/image915.png"/><Relationship Id="rId925" Type="http://schemas.openxmlformats.org/officeDocument/2006/relationships/image" Target="media/image916.png"/><Relationship Id="rId926" Type="http://schemas.openxmlformats.org/officeDocument/2006/relationships/image" Target="media/image917.png"/><Relationship Id="rId927" Type="http://schemas.openxmlformats.org/officeDocument/2006/relationships/image" Target="media/image918.png"/><Relationship Id="rId928" Type="http://schemas.openxmlformats.org/officeDocument/2006/relationships/image" Target="media/image919.png"/><Relationship Id="rId929" Type="http://schemas.openxmlformats.org/officeDocument/2006/relationships/image" Target="media/image920.png"/><Relationship Id="rId930" Type="http://schemas.openxmlformats.org/officeDocument/2006/relationships/image" Target="media/image921.png"/><Relationship Id="rId931" Type="http://schemas.openxmlformats.org/officeDocument/2006/relationships/image" Target="media/image922.png"/><Relationship Id="rId932" Type="http://schemas.openxmlformats.org/officeDocument/2006/relationships/image" Target="media/image923.png"/><Relationship Id="rId933" Type="http://schemas.openxmlformats.org/officeDocument/2006/relationships/image" Target="media/image924.png"/><Relationship Id="rId934" Type="http://schemas.openxmlformats.org/officeDocument/2006/relationships/image" Target="media/image925.png"/><Relationship Id="rId935" Type="http://schemas.openxmlformats.org/officeDocument/2006/relationships/image" Target="media/image926.png"/><Relationship Id="rId936" Type="http://schemas.openxmlformats.org/officeDocument/2006/relationships/image" Target="media/image927.png"/><Relationship Id="rId937" Type="http://schemas.openxmlformats.org/officeDocument/2006/relationships/image" Target="media/image928.png"/><Relationship Id="rId938" Type="http://schemas.openxmlformats.org/officeDocument/2006/relationships/image" Target="media/image929.png"/><Relationship Id="rId939" Type="http://schemas.openxmlformats.org/officeDocument/2006/relationships/image" Target="media/image930.png"/><Relationship Id="rId940" Type="http://schemas.openxmlformats.org/officeDocument/2006/relationships/image" Target="media/image931.png"/><Relationship Id="rId941" Type="http://schemas.openxmlformats.org/officeDocument/2006/relationships/image" Target="media/image932.png"/><Relationship Id="rId942" Type="http://schemas.openxmlformats.org/officeDocument/2006/relationships/image" Target="media/image933.png"/><Relationship Id="rId943" Type="http://schemas.openxmlformats.org/officeDocument/2006/relationships/image" Target="media/image934.png"/><Relationship Id="rId944" Type="http://schemas.openxmlformats.org/officeDocument/2006/relationships/image" Target="media/image935.png"/><Relationship Id="rId945" Type="http://schemas.openxmlformats.org/officeDocument/2006/relationships/image" Target="media/image936.png"/><Relationship Id="rId946" Type="http://schemas.openxmlformats.org/officeDocument/2006/relationships/image" Target="media/image937.png"/><Relationship Id="rId947" Type="http://schemas.openxmlformats.org/officeDocument/2006/relationships/image" Target="media/image938.png"/><Relationship Id="rId948" Type="http://schemas.openxmlformats.org/officeDocument/2006/relationships/image" Target="media/image939.png"/><Relationship Id="rId949" Type="http://schemas.openxmlformats.org/officeDocument/2006/relationships/image" Target="media/image940.png"/><Relationship Id="rId950" Type="http://schemas.openxmlformats.org/officeDocument/2006/relationships/image" Target="media/image941.png"/><Relationship Id="rId951" Type="http://schemas.openxmlformats.org/officeDocument/2006/relationships/image" Target="media/image942.png"/><Relationship Id="rId952" Type="http://schemas.openxmlformats.org/officeDocument/2006/relationships/image" Target="media/image943.png"/><Relationship Id="rId953" Type="http://schemas.openxmlformats.org/officeDocument/2006/relationships/image" Target="media/image944.png"/><Relationship Id="rId954" Type="http://schemas.openxmlformats.org/officeDocument/2006/relationships/image" Target="media/image945.png"/><Relationship Id="rId955" Type="http://schemas.openxmlformats.org/officeDocument/2006/relationships/image" Target="media/image946.png"/><Relationship Id="rId956" Type="http://schemas.openxmlformats.org/officeDocument/2006/relationships/image" Target="media/image947.png"/><Relationship Id="rId957" Type="http://schemas.openxmlformats.org/officeDocument/2006/relationships/image" Target="media/image948.png"/><Relationship Id="rId958" Type="http://schemas.openxmlformats.org/officeDocument/2006/relationships/image" Target="media/image949.png"/><Relationship Id="rId959" Type="http://schemas.openxmlformats.org/officeDocument/2006/relationships/image" Target="media/image950.png"/><Relationship Id="rId960" Type="http://schemas.openxmlformats.org/officeDocument/2006/relationships/image" Target="media/image951.png"/><Relationship Id="rId961" Type="http://schemas.openxmlformats.org/officeDocument/2006/relationships/image" Target="media/image952.png"/><Relationship Id="rId962" Type="http://schemas.openxmlformats.org/officeDocument/2006/relationships/image" Target="media/image953.png"/><Relationship Id="rId963" Type="http://schemas.openxmlformats.org/officeDocument/2006/relationships/image" Target="media/image954.png"/><Relationship Id="rId964" Type="http://schemas.openxmlformats.org/officeDocument/2006/relationships/image" Target="media/image955.png"/><Relationship Id="rId965" Type="http://schemas.openxmlformats.org/officeDocument/2006/relationships/image" Target="media/image956.png"/><Relationship Id="rId966" Type="http://schemas.openxmlformats.org/officeDocument/2006/relationships/image" Target="media/image957.png"/><Relationship Id="rId967" Type="http://schemas.openxmlformats.org/officeDocument/2006/relationships/image" Target="media/image958.png"/><Relationship Id="rId968" Type="http://schemas.openxmlformats.org/officeDocument/2006/relationships/image" Target="media/image959.png"/><Relationship Id="rId969" Type="http://schemas.openxmlformats.org/officeDocument/2006/relationships/image" Target="media/image960.png"/><Relationship Id="rId970" Type="http://schemas.openxmlformats.org/officeDocument/2006/relationships/image" Target="media/image961.png"/><Relationship Id="rId971" Type="http://schemas.openxmlformats.org/officeDocument/2006/relationships/image" Target="media/image962.png"/><Relationship Id="rId972" Type="http://schemas.openxmlformats.org/officeDocument/2006/relationships/image" Target="media/image963.png"/><Relationship Id="rId973" Type="http://schemas.openxmlformats.org/officeDocument/2006/relationships/image" Target="media/image964.png"/><Relationship Id="rId974" Type="http://schemas.openxmlformats.org/officeDocument/2006/relationships/image" Target="media/image965.png"/><Relationship Id="rId975" Type="http://schemas.openxmlformats.org/officeDocument/2006/relationships/image" Target="media/image966.png"/><Relationship Id="rId976" Type="http://schemas.openxmlformats.org/officeDocument/2006/relationships/image" Target="media/image967.png"/><Relationship Id="rId977" Type="http://schemas.openxmlformats.org/officeDocument/2006/relationships/image" Target="media/image968.png"/><Relationship Id="rId978" Type="http://schemas.openxmlformats.org/officeDocument/2006/relationships/image" Target="media/image969.png"/><Relationship Id="rId979" Type="http://schemas.openxmlformats.org/officeDocument/2006/relationships/image" Target="media/image970.png"/><Relationship Id="rId980" Type="http://schemas.openxmlformats.org/officeDocument/2006/relationships/image" Target="media/image971.png"/><Relationship Id="rId981" Type="http://schemas.openxmlformats.org/officeDocument/2006/relationships/image" Target="media/image972.png"/><Relationship Id="rId982" Type="http://schemas.openxmlformats.org/officeDocument/2006/relationships/image" Target="media/image973.png"/><Relationship Id="rId983" Type="http://schemas.openxmlformats.org/officeDocument/2006/relationships/image" Target="media/image974.png"/><Relationship Id="rId984" Type="http://schemas.openxmlformats.org/officeDocument/2006/relationships/image" Target="media/image975.png"/><Relationship Id="rId985" Type="http://schemas.openxmlformats.org/officeDocument/2006/relationships/image" Target="media/image976.png"/><Relationship Id="rId986" Type="http://schemas.openxmlformats.org/officeDocument/2006/relationships/image" Target="media/image977.png"/><Relationship Id="rId987" Type="http://schemas.openxmlformats.org/officeDocument/2006/relationships/image" Target="media/image978.png"/><Relationship Id="rId988" Type="http://schemas.openxmlformats.org/officeDocument/2006/relationships/image" Target="media/image979.png"/><Relationship Id="rId989" Type="http://schemas.openxmlformats.org/officeDocument/2006/relationships/image" Target="media/image980.png"/><Relationship Id="rId990" Type="http://schemas.openxmlformats.org/officeDocument/2006/relationships/image" Target="media/image981.png"/><Relationship Id="rId991" Type="http://schemas.openxmlformats.org/officeDocument/2006/relationships/image" Target="media/image982.png"/><Relationship Id="rId992" Type="http://schemas.openxmlformats.org/officeDocument/2006/relationships/image" Target="media/image983.png"/><Relationship Id="rId993" Type="http://schemas.openxmlformats.org/officeDocument/2006/relationships/image" Target="media/image984.png"/><Relationship Id="rId994" Type="http://schemas.openxmlformats.org/officeDocument/2006/relationships/image" Target="media/image985.png"/><Relationship Id="rId995" Type="http://schemas.openxmlformats.org/officeDocument/2006/relationships/image" Target="media/image986.png"/><Relationship Id="rId996" Type="http://schemas.openxmlformats.org/officeDocument/2006/relationships/image" Target="media/image987.png"/><Relationship Id="rId997" Type="http://schemas.openxmlformats.org/officeDocument/2006/relationships/image" Target="media/image988.png"/><Relationship Id="rId998" Type="http://schemas.openxmlformats.org/officeDocument/2006/relationships/image" Target="media/image989.png"/><Relationship Id="rId999" Type="http://schemas.openxmlformats.org/officeDocument/2006/relationships/image" Target="media/image990.png"/><Relationship Id="rId1000" Type="http://schemas.openxmlformats.org/officeDocument/2006/relationships/image" Target="media/image991.png"/><Relationship Id="rId1001" Type="http://schemas.openxmlformats.org/officeDocument/2006/relationships/image" Target="media/image992.png"/><Relationship Id="rId1002" Type="http://schemas.openxmlformats.org/officeDocument/2006/relationships/image" Target="media/image993.png"/><Relationship Id="rId1003" Type="http://schemas.openxmlformats.org/officeDocument/2006/relationships/image" Target="media/image994.png"/><Relationship Id="rId1004" Type="http://schemas.openxmlformats.org/officeDocument/2006/relationships/image" Target="media/image995.png"/><Relationship Id="rId1005" Type="http://schemas.openxmlformats.org/officeDocument/2006/relationships/image" Target="media/image996.png"/><Relationship Id="rId1006" Type="http://schemas.openxmlformats.org/officeDocument/2006/relationships/image" Target="media/image997.png"/><Relationship Id="rId1007" Type="http://schemas.openxmlformats.org/officeDocument/2006/relationships/image" Target="media/image998.png"/><Relationship Id="rId1008" Type="http://schemas.openxmlformats.org/officeDocument/2006/relationships/image" Target="media/image999.png"/><Relationship Id="rId1009" Type="http://schemas.openxmlformats.org/officeDocument/2006/relationships/image" Target="media/image1000.png"/><Relationship Id="rId1010" Type="http://schemas.openxmlformats.org/officeDocument/2006/relationships/image" Target="media/image1001.png"/><Relationship Id="rId1011" Type="http://schemas.openxmlformats.org/officeDocument/2006/relationships/image" Target="media/image1002.png"/><Relationship Id="rId1012" Type="http://schemas.openxmlformats.org/officeDocument/2006/relationships/image" Target="media/image1003.png"/><Relationship Id="rId1013" Type="http://schemas.openxmlformats.org/officeDocument/2006/relationships/image" Target="media/image1004.png"/><Relationship Id="rId1014" Type="http://schemas.openxmlformats.org/officeDocument/2006/relationships/image" Target="media/image1005.png"/><Relationship Id="rId1015" Type="http://schemas.openxmlformats.org/officeDocument/2006/relationships/image" Target="media/image1006.png"/><Relationship Id="rId1016" Type="http://schemas.openxmlformats.org/officeDocument/2006/relationships/image" Target="media/image1007.png"/><Relationship Id="rId1017" Type="http://schemas.openxmlformats.org/officeDocument/2006/relationships/image" Target="media/image1008.png"/><Relationship Id="rId1018" Type="http://schemas.openxmlformats.org/officeDocument/2006/relationships/image" Target="media/image1009.png"/><Relationship Id="rId1019" Type="http://schemas.openxmlformats.org/officeDocument/2006/relationships/image" Target="media/image1010.png"/><Relationship Id="rId1020" Type="http://schemas.openxmlformats.org/officeDocument/2006/relationships/image" Target="media/image1011.png"/><Relationship Id="rId1021" Type="http://schemas.openxmlformats.org/officeDocument/2006/relationships/image" Target="media/image1012.png"/><Relationship Id="rId1022" Type="http://schemas.openxmlformats.org/officeDocument/2006/relationships/image" Target="media/image1013.png"/><Relationship Id="rId1023" Type="http://schemas.openxmlformats.org/officeDocument/2006/relationships/image" Target="media/image1014.png"/><Relationship Id="rId1024" Type="http://schemas.openxmlformats.org/officeDocument/2006/relationships/image" Target="media/image1015.png"/><Relationship Id="rId1025" Type="http://schemas.openxmlformats.org/officeDocument/2006/relationships/image" Target="media/image1016.png"/><Relationship Id="rId1026" Type="http://schemas.openxmlformats.org/officeDocument/2006/relationships/image" Target="media/image1017.png"/><Relationship Id="rId1027" Type="http://schemas.openxmlformats.org/officeDocument/2006/relationships/image" Target="media/image1018.png"/><Relationship Id="rId1028" Type="http://schemas.openxmlformats.org/officeDocument/2006/relationships/image" Target="media/image1019.png"/><Relationship Id="rId1029" Type="http://schemas.openxmlformats.org/officeDocument/2006/relationships/image" Target="media/image1020.png"/><Relationship Id="rId1030" Type="http://schemas.openxmlformats.org/officeDocument/2006/relationships/image" Target="media/image1021.png"/><Relationship Id="rId1031" Type="http://schemas.openxmlformats.org/officeDocument/2006/relationships/image" Target="media/image1022.png"/><Relationship Id="rId1032" Type="http://schemas.openxmlformats.org/officeDocument/2006/relationships/image" Target="media/image1023.png"/><Relationship Id="rId1033" Type="http://schemas.openxmlformats.org/officeDocument/2006/relationships/image" Target="media/image1024.png"/><Relationship Id="rId1034" Type="http://schemas.openxmlformats.org/officeDocument/2006/relationships/image" Target="media/image1025.png"/><Relationship Id="rId1035" Type="http://schemas.openxmlformats.org/officeDocument/2006/relationships/image" Target="media/image1026.png"/><Relationship Id="rId1036" Type="http://schemas.openxmlformats.org/officeDocument/2006/relationships/image" Target="media/image1027.png"/><Relationship Id="rId1037" Type="http://schemas.openxmlformats.org/officeDocument/2006/relationships/image" Target="media/image1028.png"/><Relationship Id="rId1038" Type="http://schemas.openxmlformats.org/officeDocument/2006/relationships/image" Target="media/image1029.png"/><Relationship Id="rId1039" Type="http://schemas.openxmlformats.org/officeDocument/2006/relationships/image" Target="media/image1030.png"/><Relationship Id="rId1040" Type="http://schemas.openxmlformats.org/officeDocument/2006/relationships/image" Target="media/image1031.png"/><Relationship Id="rId1041" Type="http://schemas.openxmlformats.org/officeDocument/2006/relationships/image" Target="media/image1032.png"/><Relationship Id="rId110" Type="http://schemas.openxmlformats.org/officeDocument/2006/relationships/hyperlink" Target="https://www.sec.gov/Archives/edgar/data/1790340/000110465921095557/tm2115679d11_ex4-1.htm" TargetMode="External"/><Relationship Id="rId111" Type="http://schemas.openxmlformats.org/officeDocument/2006/relationships/hyperlink" Target="https://www.sec.gov/Archives/edgar/data/1790340/000110465921095557/tm2115679d1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2021-09-09T05:58:00Z</dcterms:created>
  <dcterms:modified xsi:type="dcterms:W3CDTF">2021-09-09T05:58:00Z</dcterms:modified>
</cp:coreProperties>
</file>