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128905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78"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4140" w:right="1600" w:hanging="2470"/>
        <w:spacing w:after="0" w:line="282" w:lineRule="auto"/>
        <w:tabs>
          <w:tab w:leader="none" w:pos="232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 the quarterly period ended June 30, 2022</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84" w:lineRule="exact"/>
        <w:rPr>
          <w:sz w:val="24"/>
          <w:szCs w:val="24"/>
          <w:color w:val="auto"/>
        </w:rPr>
      </w:pPr>
    </w:p>
    <w:p>
      <w:pPr>
        <w:ind w:left="4140" w:right="1580" w:hanging="2488"/>
        <w:spacing w:after="0" w:line="298" w:lineRule="auto"/>
        <w:tabs>
          <w:tab w:leader="none" w:pos="230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3"/>
          </w:tcPr>
          <w:p>
            <w:pPr>
              <w:ind w:left="80"/>
              <w:spacing w:after="0"/>
              <w:rPr>
                <w:sz w:val="20"/>
                <w:szCs w:val="20"/>
                <w:color w:val="auto"/>
              </w:rPr>
            </w:pPr>
            <w:r>
              <w:rPr>
                <w:rFonts w:ascii="Arial" w:cs="Arial" w:eastAsia="Arial" w:hAnsi="Arial"/>
                <w:sz w:val="13"/>
                <w:szCs w:val="13"/>
                <w:b w:val="1"/>
                <w:bCs w:val="1"/>
                <w:color w:val="auto"/>
                <w:w w:val="89"/>
              </w:rPr>
              <w:t>For the transition period from</w:t>
            </w:r>
          </w:p>
        </w:tc>
        <w:tc>
          <w:tcPr>
            <w:tcW w:w="580" w:type="dxa"/>
            <w:vAlign w:val="bottom"/>
            <w:tcBorders>
              <w:bottom w:val="single" w:sz="8" w:color="auto"/>
            </w:tcBorders>
          </w:tcPr>
          <w:p>
            <w:pPr>
              <w:spacing w:after="0"/>
              <w:rPr>
                <w:sz w:val="13"/>
                <w:szCs w:val="13"/>
                <w:color w:val="auto"/>
              </w:rPr>
            </w:pPr>
          </w:p>
        </w:tc>
        <w:tc>
          <w:tcPr>
            <w:tcW w:w="3360" w:type="dxa"/>
            <w:vAlign w:val="bottom"/>
            <w:gridSpan w:val="4"/>
          </w:tcPr>
          <w:p>
            <w:pPr>
              <w:ind w:left="80"/>
              <w:spacing w:after="0"/>
              <w:rPr>
                <w:sz w:val="20"/>
                <w:szCs w:val="20"/>
                <w:color w:val="auto"/>
              </w:rPr>
            </w:pPr>
            <w:r>
              <w:rPr>
                <w:rFonts w:ascii="Arial" w:cs="Arial" w:eastAsia="Arial" w:hAnsi="Arial"/>
                <w:sz w:val="13"/>
                <w:szCs w:val="13"/>
                <w:b w:val="1"/>
                <w:bCs w:val="1"/>
                <w:color w:val="auto"/>
              </w:rPr>
              <w:t>to</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4"/>
          </w:tcPr>
          <w:p>
            <w:pPr>
              <w:jc w:val="center"/>
              <w:ind w:left="182"/>
              <w:spacing w:after="0"/>
              <w:rPr>
                <w:sz w:val="20"/>
                <w:szCs w:val="20"/>
                <w:color w:val="auto"/>
              </w:rPr>
            </w:pPr>
            <w:r>
              <w:rPr>
                <w:rFonts w:ascii="Arial" w:cs="Arial" w:eastAsia="Arial" w:hAnsi="Arial"/>
                <w:sz w:val="13"/>
                <w:szCs w:val="13"/>
                <w:b w:val="1"/>
                <w:bCs w:val="1"/>
                <w:color w:val="auto"/>
                <w:w w:val="88"/>
              </w:rPr>
              <w:t>Commission File Number: 001-40675</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40" w:type="dxa"/>
            <w:vAlign w:val="bottom"/>
            <w:gridSpan w:val="2"/>
          </w:tcPr>
          <w:p>
            <w:pPr>
              <w:spacing w:after="0"/>
              <w:rPr>
                <w:sz w:val="8"/>
                <w:szCs w:val="8"/>
                <w:color w:val="auto"/>
              </w:rPr>
            </w:pPr>
          </w:p>
        </w:tc>
        <w:tc>
          <w:tcPr>
            <w:tcW w:w="2560" w:type="dxa"/>
            <w:vAlign w:val="bottom"/>
            <w:tcBorders>
              <w:bottom w:val="single" w:sz="8" w:color="auto"/>
            </w:tcBorders>
            <w:gridSpan w:val="5"/>
          </w:tcPr>
          <w:p>
            <w:pPr>
              <w:spacing w:after="0"/>
              <w:rPr>
                <w:sz w:val="8"/>
                <w:szCs w:val="8"/>
                <w:color w:val="auto"/>
              </w:rPr>
            </w:pPr>
          </w:p>
        </w:tc>
        <w:tc>
          <w:tcPr>
            <w:tcW w:w="31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507"/>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gridSpan w:val="10"/>
          </w:tcPr>
          <w:p>
            <w:pPr>
              <w:jc w:val="center"/>
              <w:ind w:right="1580"/>
              <w:spacing w:after="0"/>
              <w:rPr>
                <w:sz w:val="20"/>
                <w:szCs w:val="20"/>
                <w:color w:val="auto"/>
              </w:rPr>
            </w:pPr>
            <w:r>
              <w:rPr>
                <w:rFonts w:ascii="Arial" w:cs="Arial" w:eastAsia="Arial" w:hAnsi="Arial"/>
                <w:sz w:val="36"/>
                <w:szCs w:val="36"/>
                <w:b w:val="1"/>
                <w:bCs w:val="1"/>
                <w:color w:val="auto"/>
                <w:w w:val="93"/>
              </w:rPr>
              <w:t>Immuneering Corporation</w:t>
            </w:r>
          </w:p>
        </w:tc>
        <w:tc>
          <w:tcPr>
            <w:tcW w:w="0" w:type="dxa"/>
            <w:vAlign w:val="bottom"/>
          </w:tcPr>
          <w:p>
            <w:pPr>
              <w:spacing w:after="0"/>
              <w:rPr>
                <w:sz w:val="1"/>
                <w:szCs w:val="1"/>
                <w:color w:val="auto"/>
              </w:rPr>
            </w:pPr>
          </w:p>
        </w:tc>
      </w:tr>
      <w:tr>
        <w:trPr>
          <w:trHeight w:val="362"/>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gridSpan w:val="9"/>
          </w:tcPr>
          <w:p>
            <w:pPr>
              <w:jc w:val="center"/>
              <w:ind w:right="270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0" w:type="dxa"/>
            <w:vAlign w:val="bottom"/>
          </w:tcPr>
          <w:p>
            <w:pPr>
              <w:spacing w:after="0"/>
              <w:rPr>
                <w:sz w:val="1"/>
                <w:szCs w:val="1"/>
                <w:color w:val="auto"/>
              </w:rPr>
            </w:pPr>
          </w:p>
        </w:tc>
      </w:tr>
      <w:tr>
        <w:trPr>
          <w:trHeight w:val="83"/>
        </w:trPr>
        <w:tc>
          <w:tcPr>
            <w:tcW w:w="1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restart"/>
          </w:tcPr>
          <w:p>
            <w:pPr>
              <w:jc w:val="center"/>
              <w:ind w:right="479"/>
              <w:spacing w:after="0"/>
              <w:rPr>
                <w:sz w:val="20"/>
                <w:szCs w:val="20"/>
                <w:color w:val="auto"/>
              </w:rPr>
            </w:pPr>
            <w:r>
              <w:rPr>
                <w:rFonts w:ascii="Arial" w:cs="Arial" w:eastAsia="Arial" w:hAnsi="Arial"/>
                <w:sz w:val="13"/>
                <w:szCs w:val="13"/>
                <w:b w:val="1"/>
                <w:bCs w:val="1"/>
                <w:color w:val="auto"/>
                <w:w w:val="87"/>
              </w:rPr>
              <w:t>Delaware</w:t>
            </w:r>
          </w:p>
        </w:tc>
        <w:tc>
          <w:tcPr>
            <w:tcW w:w="4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3"/>
          </w:tcPr>
          <w:p>
            <w:pPr>
              <w:jc w:val="right"/>
              <w:ind w:right="1463"/>
              <w:spacing w:after="0"/>
              <w:rPr>
                <w:sz w:val="20"/>
                <w:szCs w:val="20"/>
                <w:color w:val="auto"/>
              </w:rPr>
            </w:pPr>
            <w:r>
              <w:rPr>
                <w:rFonts w:ascii="Arial" w:cs="Arial" w:eastAsia="Arial" w:hAnsi="Arial"/>
                <w:sz w:val="13"/>
                <w:szCs w:val="13"/>
                <w:color w:val="auto"/>
              </w:rPr>
              <w:t>26-1976972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4860" w:type="dxa"/>
            <w:vAlign w:val="bottom"/>
            <w:gridSpan w:val="7"/>
          </w:tcPr>
          <w:p>
            <w:pPr>
              <w:jc w:val="center"/>
              <w:ind w:right="2300"/>
              <w:spacing w:after="0"/>
              <w:rPr>
                <w:sz w:val="20"/>
                <w:szCs w:val="20"/>
                <w:color w:val="auto"/>
              </w:rPr>
            </w:pPr>
            <w:r>
              <w:rPr>
                <w:rFonts w:ascii="Arial" w:cs="Arial" w:eastAsia="Arial" w:hAnsi="Arial"/>
                <w:sz w:val="9"/>
                <w:szCs w:val="9"/>
                <w:b w:val="1"/>
                <w:bCs w:val="1"/>
                <w:color w:val="auto"/>
                <w:w w:val="91"/>
              </w:rPr>
              <w:t>(State or other jurisdiction of incorporation or organization)</w:t>
            </w:r>
          </w:p>
        </w:tc>
        <w:tc>
          <w:tcPr>
            <w:tcW w:w="240" w:type="dxa"/>
            <w:vAlign w:val="bottom"/>
          </w:tcPr>
          <w:p>
            <w:pPr>
              <w:spacing w:after="0"/>
              <w:rPr>
                <w:sz w:val="10"/>
                <w:szCs w:val="10"/>
                <w:color w:val="auto"/>
              </w:rPr>
            </w:pPr>
          </w:p>
        </w:tc>
        <w:tc>
          <w:tcPr>
            <w:tcW w:w="3120" w:type="dxa"/>
            <w:vAlign w:val="bottom"/>
            <w:gridSpan w:val="3"/>
          </w:tcPr>
          <w:p>
            <w:pPr>
              <w:jc w:val="center"/>
              <w:ind w:right="560"/>
              <w:spacing w:after="0"/>
              <w:rPr>
                <w:sz w:val="20"/>
                <w:szCs w:val="20"/>
                <w:color w:val="auto"/>
              </w:rPr>
            </w:pPr>
            <w:r>
              <w:rPr>
                <w:rFonts w:ascii="Arial" w:cs="Arial" w:eastAsia="Arial" w:hAnsi="Arial"/>
                <w:sz w:val="9"/>
                <w:szCs w:val="9"/>
                <w:b w:val="1"/>
                <w:bCs w:val="1"/>
                <w:color w:val="auto"/>
                <w:w w:val="93"/>
              </w:rPr>
              <w:t>(I.R.S. Employer Identification Number)</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140" w:type="dxa"/>
            <w:vAlign w:val="bottom"/>
            <w:gridSpan w:val="2"/>
          </w:tcPr>
          <w:p>
            <w:pPr>
              <w:jc w:val="center"/>
              <w:ind w:left="362"/>
              <w:spacing w:after="0"/>
              <w:rPr>
                <w:sz w:val="20"/>
                <w:szCs w:val="20"/>
                <w:color w:val="auto"/>
              </w:rPr>
            </w:pPr>
            <w:r>
              <w:rPr>
                <w:rFonts w:ascii="Arial" w:cs="Arial" w:eastAsia="Arial" w:hAnsi="Arial"/>
                <w:sz w:val="13"/>
                <w:szCs w:val="13"/>
                <w:b w:val="1"/>
                <w:bCs w:val="1"/>
                <w:color w:val="auto"/>
                <w:w w:val="90"/>
              </w:rPr>
              <w:t>245 Main St.</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140" w:type="dxa"/>
            <w:vAlign w:val="bottom"/>
            <w:gridSpan w:val="2"/>
          </w:tcPr>
          <w:p>
            <w:pPr>
              <w:jc w:val="center"/>
              <w:ind w:left="342"/>
              <w:spacing w:after="0" w:line="135" w:lineRule="exact"/>
              <w:rPr>
                <w:sz w:val="20"/>
                <w:szCs w:val="20"/>
                <w:color w:val="auto"/>
              </w:rPr>
            </w:pPr>
            <w:r>
              <w:rPr>
                <w:rFonts w:ascii="Arial" w:cs="Arial" w:eastAsia="Arial" w:hAnsi="Arial"/>
                <w:sz w:val="13"/>
                <w:szCs w:val="13"/>
                <w:b w:val="1"/>
                <w:bCs w:val="1"/>
                <w:color w:val="auto"/>
                <w:w w:val="84"/>
              </w:rPr>
              <w:t>Second Floor</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2140" w:type="dxa"/>
            <w:vAlign w:val="bottom"/>
            <w:gridSpan w:val="2"/>
          </w:tcPr>
          <w:p>
            <w:pPr>
              <w:jc w:val="center"/>
              <w:ind w:left="362"/>
              <w:spacing w:after="0" w:line="144" w:lineRule="exact"/>
              <w:rPr>
                <w:sz w:val="20"/>
                <w:szCs w:val="20"/>
                <w:color w:val="auto"/>
              </w:rPr>
            </w:pPr>
            <w:r>
              <w:rPr>
                <w:rFonts w:ascii="Arial" w:cs="Arial" w:eastAsia="Arial" w:hAnsi="Arial"/>
                <w:sz w:val="13"/>
                <w:szCs w:val="13"/>
                <w:b w:val="1"/>
                <w:bCs w:val="1"/>
                <w:color w:val="auto"/>
                <w:w w:val="92"/>
              </w:rPr>
              <w:t>Cambridge, MA</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gridSpan w:val="3"/>
          </w:tcPr>
          <w:p>
            <w:pPr>
              <w:jc w:val="right"/>
              <w:ind w:right="1603"/>
              <w:spacing w:after="0" w:line="144" w:lineRule="exact"/>
              <w:rPr>
                <w:sz w:val="20"/>
                <w:szCs w:val="20"/>
                <w:color w:val="auto"/>
              </w:rPr>
            </w:pPr>
            <w:r>
              <w:rPr>
                <w:rFonts w:ascii="Arial" w:cs="Arial" w:eastAsia="Arial" w:hAnsi="Arial"/>
                <w:sz w:val="13"/>
                <w:szCs w:val="13"/>
                <w:b w:val="1"/>
                <w:bCs w:val="1"/>
                <w:color w:val="auto"/>
              </w:rPr>
              <w:t>02142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140" w:type="dxa"/>
            <w:vAlign w:val="bottom"/>
            <w:gridSpan w:val="2"/>
          </w:tcPr>
          <w:p>
            <w:pPr>
              <w:jc w:val="center"/>
              <w:ind w:left="342"/>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gridSpan w:val="2"/>
          </w:tcPr>
          <w:p>
            <w:pPr>
              <w:jc w:val="center"/>
              <w:ind w:right="1540"/>
              <w:spacing w:after="0"/>
              <w:rPr>
                <w:sz w:val="20"/>
                <w:szCs w:val="20"/>
                <w:color w:val="auto"/>
              </w:rPr>
            </w:pPr>
            <w:r>
              <w:rPr>
                <w:rFonts w:ascii="Arial" w:cs="Arial" w:eastAsia="Arial" w:hAnsi="Arial"/>
                <w:sz w:val="9"/>
                <w:szCs w:val="9"/>
                <w:b w:val="1"/>
                <w:bCs w:val="1"/>
                <w:color w:val="auto"/>
                <w:w w:val="94"/>
              </w:rPr>
              <w:t>(Zip Code)</w:t>
            </w:r>
          </w:p>
        </w:tc>
        <w:tc>
          <w:tcPr>
            <w:tcW w:w="0" w:type="dxa"/>
            <w:vAlign w:val="bottom"/>
          </w:tcPr>
          <w:p>
            <w:pPr>
              <w:spacing w:after="0"/>
              <w:rPr>
                <w:sz w:val="1"/>
                <w:szCs w:val="1"/>
                <w:color w:val="auto"/>
              </w:rPr>
            </w:pPr>
          </w:p>
        </w:tc>
      </w:tr>
      <w:tr>
        <w:trPr>
          <w:trHeight w:val="316"/>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gridSpan w:val="3"/>
          </w:tcPr>
          <w:p>
            <w:pPr>
              <w:jc w:val="center"/>
              <w:ind w:left="1203"/>
              <w:spacing w:after="0"/>
              <w:rPr>
                <w:sz w:val="20"/>
                <w:szCs w:val="20"/>
                <w:color w:val="auto"/>
              </w:rPr>
            </w:pPr>
            <w:r>
              <w:rPr>
                <w:rFonts w:ascii="Arial" w:cs="Arial" w:eastAsia="Arial" w:hAnsi="Arial"/>
                <w:sz w:val="13"/>
                <w:szCs w:val="13"/>
                <w:b w:val="1"/>
                <w:bCs w:val="1"/>
                <w:color w:val="auto"/>
                <w:w w:val="87"/>
              </w:rPr>
              <w:t>(617) 500-8080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gridSpan w:val="4"/>
          </w:tcPr>
          <w:p>
            <w:pPr>
              <w:jc w:val="center"/>
              <w:ind w:left="182"/>
              <w:spacing w:after="0"/>
              <w:rPr>
                <w:sz w:val="20"/>
                <w:szCs w:val="20"/>
                <w:color w:val="auto"/>
              </w:rPr>
            </w:pPr>
            <w:r>
              <w:rPr>
                <w:rFonts w:ascii="Arial" w:cs="Arial" w:eastAsia="Arial" w:hAnsi="Arial"/>
                <w:sz w:val="9"/>
                <w:szCs w:val="9"/>
                <w:b w:val="1"/>
                <w:bCs w:val="1"/>
                <w:color w:val="auto"/>
                <w:w w:val="89"/>
              </w:rPr>
              <w:t>(Registrant’s telephone number)</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3"/>
          </w:tcPr>
          <w:p>
            <w:pPr>
              <w:jc w:val="center"/>
              <w:ind w:right="620"/>
              <w:spacing w:after="0"/>
              <w:rPr>
                <w:sz w:val="20"/>
                <w:szCs w:val="20"/>
                <w:color w:val="auto"/>
              </w:rPr>
            </w:pPr>
            <w:r>
              <w:rPr>
                <w:rFonts w:ascii="Arial" w:cs="Arial" w:eastAsia="Arial" w:hAnsi="Arial"/>
                <w:sz w:val="9"/>
                <w:szCs w:val="9"/>
                <w:b w:val="1"/>
                <w:bCs w:val="1"/>
                <w:color w:val="auto"/>
              </w:rPr>
              <w:t>N/A</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80" w:type="dxa"/>
            <w:vAlign w:val="bottom"/>
            <w:gridSpan w:val="9"/>
          </w:tcPr>
          <w:p>
            <w:pPr>
              <w:jc w:val="center"/>
              <w:ind w:right="2720"/>
              <w:spacing w:after="0"/>
              <w:rPr>
                <w:sz w:val="20"/>
                <w:szCs w:val="20"/>
                <w:color w:val="auto"/>
              </w:rPr>
            </w:pPr>
            <w:r>
              <w:rPr>
                <w:rFonts w:ascii="Arial" w:cs="Arial" w:eastAsia="Arial" w:hAnsi="Arial"/>
                <w:sz w:val="9"/>
                <w:szCs w:val="9"/>
                <w:b w:val="1"/>
                <w:bCs w:val="1"/>
                <w:color w:val="auto"/>
                <w:w w:val="89"/>
              </w:rPr>
              <w:t>(Former name, former address and former fiscal year, if changed since last report)</w:t>
            </w:r>
          </w:p>
        </w:tc>
        <w:tc>
          <w:tcPr>
            <w:tcW w:w="0" w:type="dxa"/>
            <w:vAlign w:val="bottom"/>
          </w:tcPr>
          <w:p>
            <w:pPr>
              <w:spacing w:after="0"/>
              <w:rPr>
                <w:sz w:val="1"/>
                <w:szCs w:val="1"/>
                <w:color w:val="auto"/>
              </w:rPr>
            </w:pPr>
          </w:p>
        </w:tc>
      </w:tr>
      <w:tr>
        <w:trPr>
          <w:trHeight w:val="150"/>
        </w:trPr>
        <w:tc>
          <w:tcPr>
            <w:tcW w:w="3420" w:type="dxa"/>
            <w:vAlign w:val="bottom"/>
            <w:gridSpan w:val="3"/>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4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2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80" w:type="dxa"/>
            <w:vAlign w:val="bottom"/>
            <w:vMerge w:val="restart"/>
          </w:tcPr>
          <w:p>
            <w:pPr>
              <w:ind w:left="420"/>
              <w:spacing w:after="0"/>
              <w:rPr>
                <w:sz w:val="20"/>
                <w:szCs w:val="20"/>
                <w:color w:val="auto"/>
              </w:rPr>
            </w:pPr>
            <w:r>
              <w:rPr>
                <w:rFonts w:ascii="Arial" w:cs="Arial" w:eastAsia="Arial" w:hAnsi="Arial"/>
                <w:sz w:val="13"/>
                <w:szCs w:val="13"/>
                <w:b w:val="1"/>
                <w:bCs w:val="1"/>
                <w:color w:val="auto"/>
                <w:w w:val="79"/>
              </w:rPr>
              <w:t>Class A common</w:t>
            </w:r>
          </w:p>
        </w:tc>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400" w:type="dxa"/>
            <w:vAlign w:val="bottom"/>
          </w:tcPr>
          <w:p>
            <w:pPr>
              <w:spacing w:after="0"/>
              <w:rPr>
                <w:sz w:val="16"/>
                <w:szCs w:val="16"/>
                <w:color w:val="auto"/>
              </w:rPr>
            </w:pPr>
          </w:p>
        </w:tc>
        <w:tc>
          <w:tcPr>
            <w:tcW w:w="2320" w:type="dxa"/>
            <w:vAlign w:val="bottom"/>
            <w:gridSpan w:val="4"/>
          </w:tcPr>
          <w:p>
            <w:pPr>
              <w:jc w:val="center"/>
              <w:ind w:left="202"/>
              <w:spacing w:after="0"/>
              <w:rPr>
                <w:sz w:val="20"/>
                <w:szCs w:val="20"/>
                <w:color w:val="auto"/>
              </w:rPr>
            </w:pPr>
            <w:r>
              <w:rPr>
                <w:rFonts w:ascii="Arial" w:cs="Arial" w:eastAsia="Arial" w:hAnsi="Arial"/>
                <w:sz w:val="13"/>
                <w:szCs w:val="13"/>
                <w:b w:val="1"/>
                <w:bCs w:val="1"/>
                <w:color w:val="auto"/>
                <w:w w:val="88"/>
              </w:rPr>
              <w:t>Trading symbol</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vMerge w:val="continue"/>
          </w:tcPr>
          <w:p>
            <w:pPr>
              <w:spacing w:after="0"/>
              <w:rPr>
                <w:sz w:val="13"/>
                <w:szCs w:val="13"/>
                <w:color w:val="auto"/>
              </w:rPr>
            </w:pPr>
          </w:p>
        </w:tc>
        <w:tc>
          <w:tcPr>
            <w:tcW w:w="214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Stock, par value $0.001 per share</w:t>
            </w:r>
          </w:p>
        </w:tc>
        <w:tc>
          <w:tcPr>
            <w:tcW w:w="4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IMRX</w:t>
            </w:r>
          </w:p>
        </w:tc>
        <w:tc>
          <w:tcPr>
            <w:tcW w:w="60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right="240"/>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sectPr>
      </w:pPr>
    </w:p>
    <w:p>
      <w:pPr>
        <w:spacing w:after="0" w:line="57"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4">
            <w:col w:w="1120" w:space="580"/>
            <w:col w:w="1680" w:space="720"/>
            <w:col w:w="1360" w:space="720"/>
            <w:col w:w="3960"/>
          </w:cols>
          <w:pgMar w:left="840" w:top="665" w:right="91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6">
            <w:col w:w="1060" w:space="640"/>
            <w:col w:w="1680" w:space="720"/>
            <w:col w:w="1380" w:space="700"/>
            <w:col w:w="860" w:space="720"/>
            <w:col w:w="1400" w:space="720"/>
            <w:col w:w="260"/>
          </w:cols>
          <w:pgMar w:left="840" w:top="665" w:right="919" w:bottom="1440" w:gutter="0" w:footer="0" w:header="0"/>
          <w:type w:val="continuous"/>
        </w:sectPr>
      </w:pPr>
    </w:p>
    <w:p>
      <w:pPr>
        <w:ind w:right="3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50" w:lineRule="exact"/>
        <w:tabs>
          <w:tab w:leader="none" w:pos="626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59" w:lineRule="exact"/>
        <w:rPr>
          <w:sz w:val="24"/>
          <w:szCs w:val="24"/>
          <w:color w:val="auto"/>
        </w:rPr>
      </w:pPr>
    </w:p>
    <w:p>
      <w:pPr>
        <w:ind w:right="200"/>
        <w:spacing w:after="0" w:line="236" w:lineRule="auto"/>
        <w:rPr>
          <w:sz w:val="20"/>
          <w:szCs w:val="20"/>
          <w:color w:val="auto"/>
        </w:rPr>
      </w:pPr>
      <w:r>
        <w:rPr>
          <w:rFonts w:ascii="Arial" w:cs="Arial" w:eastAsia="Arial" w:hAnsi="Arial"/>
          <w:sz w:val="13"/>
          <w:szCs w:val="13"/>
          <w:color w:val="auto"/>
        </w:rPr>
        <w:t>As of August 3, 2022 the registrant had 26,392,299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551180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96520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20" w:type="dxa"/>
            <w:vAlign w:val="bottom"/>
            <w:gridSpan w:val="11"/>
          </w:tcPr>
          <w:p>
            <w:pPr>
              <w:ind w:left="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680" w:type="dxa"/>
            <w:vAlign w:val="bottom"/>
            <w:gridSpan w:val="4"/>
          </w:tcPr>
          <w:p>
            <w:pPr>
              <w:spacing w:after="0"/>
              <w:rPr>
                <w:sz w:val="24"/>
                <w:szCs w:val="24"/>
                <w:color w:val="auto"/>
              </w:rPr>
            </w:pPr>
          </w:p>
        </w:tc>
        <w:tc>
          <w:tcPr>
            <w:tcW w:w="7140" w:type="dxa"/>
            <w:vAlign w:val="bottom"/>
            <w:gridSpan w:val="20"/>
          </w:tcPr>
          <w:p>
            <w:pPr>
              <w:spacing w:after="0"/>
              <w:rPr>
                <w:sz w:val="20"/>
                <w:szCs w:val="20"/>
                <w:color w:val="auto"/>
              </w:rPr>
            </w:pPr>
            <w:r>
              <w:rPr>
                <w:rFonts w:ascii="Arial" w:cs="Arial" w:eastAsia="Arial" w:hAnsi="Arial"/>
                <w:sz w:val="18"/>
                <w:szCs w:val="18"/>
                <w:b w:val="1"/>
                <w:bCs w:val="1"/>
                <w:color w:val="0000EE"/>
              </w:rPr>
              <w:t>Financial Information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7140" w:type="dxa"/>
            <w:vAlign w:val="bottom"/>
            <w:gridSpan w:val="20"/>
          </w:tcPr>
          <w:p>
            <w:pPr>
              <w:spacing w:after="0"/>
              <w:rPr>
                <w:sz w:val="20"/>
                <w:szCs w:val="20"/>
                <w:color w:val="auto"/>
              </w:rPr>
            </w:pPr>
            <w:r>
              <w:rPr>
                <w:rFonts w:ascii="Arial" w:cs="Arial" w:eastAsia="Arial" w:hAnsi="Arial"/>
                <w:sz w:val="18"/>
                <w:szCs w:val="18"/>
                <w:color w:val="0000EE"/>
              </w:rPr>
              <w:t>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8"/>
              </w:rPr>
              <w:t>Condensed Consolidated Balance Sheets as of June 30, 2022 and December 31, 2021</w:t>
            </w:r>
          </w:p>
        </w:tc>
        <w:tc>
          <w:tcPr>
            <w:tcW w:w="10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(Unaudited)</w:t>
            </w:r>
          </w:p>
        </w:tc>
        <w:tc>
          <w:tcPr>
            <w:tcW w:w="626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20"/>
          </w:tcPr>
          <w:p>
            <w:pPr>
              <w:spacing w:after="0"/>
              <w:rPr>
                <w:sz w:val="20"/>
                <w:szCs w:val="20"/>
                <w:color w:val="auto"/>
              </w:rPr>
            </w:pPr>
            <w:r>
              <w:rPr>
                <w:rFonts w:ascii="Arial" w:cs="Arial" w:eastAsia="Arial" w:hAnsi="Arial"/>
                <w:sz w:val="18"/>
                <w:szCs w:val="18"/>
                <w:color w:val="0000EE"/>
                <w:w w:val="98"/>
              </w:rPr>
              <w:t>Condensed Consolidated Statements of Operations and Comprehensive Loss for the three</w:t>
            </w: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months and six months ended June 30, 2022 and 2021 (Unaudited)</w:t>
            </w:r>
          </w:p>
        </w:tc>
        <w:tc>
          <w:tcPr>
            <w:tcW w:w="1620" w:type="dxa"/>
            <w:vAlign w:val="bottom"/>
            <w:tcBorders>
              <w:top w:val="single" w:sz="8" w:color="0000EE"/>
            </w:tcBorders>
            <w:gridSpan w:val="4"/>
          </w:tcPr>
          <w:p>
            <w:pPr>
              <w:spacing w:after="0"/>
              <w:rPr>
                <w:sz w:val="17"/>
                <w:szCs w:val="17"/>
                <w:color w:val="auto"/>
              </w:rPr>
            </w:pPr>
          </w:p>
        </w:tc>
        <w:tc>
          <w:tcPr>
            <w:tcW w:w="70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Condensed Consolidated Statements of Convertible Preferred Stock and Stockholders’ equity</w:t>
            </w:r>
          </w:p>
        </w:tc>
        <w:tc>
          <w:tcPr>
            <w:tcW w:w="4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gridSpan w:val="20"/>
          </w:tcPr>
          <w:p>
            <w:pPr>
              <w:spacing w:after="0" w:line="196" w:lineRule="exact"/>
              <w:rPr>
                <w:sz w:val="20"/>
                <w:szCs w:val="20"/>
                <w:color w:val="auto"/>
              </w:rPr>
            </w:pPr>
            <w:r>
              <w:rPr>
                <w:rFonts w:ascii="Arial" w:cs="Arial" w:eastAsia="Arial" w:hAnsi="Arial"/>
                <w:sz w:val="18"/>
                <w:szCs w:val="18"/>
                <w:color w:val="0000EE"/>
              </w:rPr>
              <w:t>(deficit) for the three and six months ended June 30, 2022 and 2021 (Unaudited)</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8"/>
              </w:rPr>
              <w:t>Condensed Consolidated Statements of Cash Flows for the six months ended June 30, 2022 and</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2021 (Unaudited)</w:t>
            </w:r>
          </w:p>
        </w:tc>
        <w:tc>
          <w:tcPr>
            <w:tcW w:w="586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Notes to Condensed Consolidated Financial Statements (Unaudited)</w:t>
            </w:r>
          </w:p>
        </w:tc>
        <w:tc>
          <w:tcPr>
            <w:tcW w:w="22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2.</w:t>
            </w:r>
          </w:p>
        </w:tc>
        <w:tc>
          <w:tcPr>
            <w:tcW w:w="714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3.</w:t>
            </w:r>
          </w:p>
        </w:tc>
        <w:tc>
          <w:tcPr>
            <w:tcW w:w="714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4.</w:t>
            </w:r>
          </w:p>
        </w:tc>
        <w:tc>
          <w:tcPr>
            <w:tcW w:w="714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0000EE"/>
              </w:rPr>
              <w:t>Part II</w:t>
            </w:r>
          </w:p>
        </w:tc>
        <w:tc>
          <w:tcPr>
            <w:tcW w:w="7140" w:type="dxa"/>
            <w:vAlign w:val="bottom"/>
            <w:gridSpan w:val="20"/>
          </w:tcPr>
          <w:p>
            <w:pPr>
              <w:spacing w:after="0"/>
              <w:rPr>
                <w:sz w:val="20"/>
                <w:szCs w:val="20"/>
                <w:color w:val="auto"/>
              </w:rPr>
            </w:pPr>
            <w:r>
              <w:rPr>
                <w:rFonts w:ascii="Arial" w:cs="Arial" w:eastAsia="Arial" w:hAnsi="Arial"/>
                <w:sz w:val="18"/>
                <w:szCs w:val="18"/>
                <w:b w:val="1"/>
                <w:bCs w:val="1"/>
                <w:color w:val="0000EE"/>
              </w:rPr>
              <w:t>Other Information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0"/>
              </w:rPr>
              <w:t>Item 1.</w:t>
            </w:r>
          </w:p>
        </w:tc>
        <w:tc>
          <w:tcPr>
            <w:tcW w:w="620" w:type="dxa"/>
            <w:vAlign w:val="bottom"/>
            <w:gridSpan w:val="3"/>
          </w:tcPr>
          <w:p>
            <w:pPr>
              <w:spacing w:after="0"/>
              <w:rPr>
                <w:sz w:val="24"/>
                <w:szCs w:val="24"/>
                <w:color w:val="auto"/>
              </w:rPr>
            </w:pPr>
          </w:p>
        </w:tc>
        <w:tc>
          <w:tcPr>
            <w:tcW w:w="15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7"/>
              </w:rPr>
              <w:t>Legal Proceedings</w:t>
            </w:r>
          </w:p>
        </w:tc>
        <w:tc>
          <w:tcPr>
            <w:tcW w:w="564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EE"/>
                <w:w w:val="92"/>
              </w:rPr>
              <w:t>Item 1A.</w:t>
            </w:r>
          </w:p>
        </w:tc>
        <w:tc>
          <w:tcPr>
            <w:tcW w:w="500" w:type="dxa"/>
            <w:vAlign w:val="bottom"/>
            <w:gridSpan w:val="2"/>
          </w:tcPr>
          <w:p>
            <w:pPr>
              <w:spacing w:after="0"/>
              <w:rPr>
                <w:sz w:val="24"/>
                <w:szCs w:val="24"/>
                <w:color w:val="auto"/>
              </w:rPr>
            </w:pPr>
          </w:p>
        </w:tc>
        <w:tc>
          <w:tcPr>
            <w:tcW w:w="714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500" w:type="dxa"/>
            <w:vAlign w:val="bottom"/>
            <w:gridSpan w:val="2"/>
          </w:tcPr>
          <w:p>
            <w:pPr>
              <w:spacing w:after="0"/>
              <w:rPr>
                <w:sz w:val="24"/>
                <w:szCs w:val="24"/>
                <w:color w:val="auto"/>
              </w:rPr>
            </w:pPr>
          </w:p>
        </w:tc>
        <w:tc>
          <w:tcPr>
            <w:tcW w:w="714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3.</w:t>
            </w:r>
          </w:p>
        </w:tc>
        <w:tc>
          <w:tcPr>
            <w:tcW w:w="7140" w:type="dxa"/>
            <w:vAlign w:val="bottom"/>
            <w:gridSpan w:val="20"/>
          </w:tcPr>
          <w:p>
            <w:pPr>
              <w:spacing w:after="0"/>
              <w:rPr>
                <w:sz w:val="20"/>
                <w:szCs w:val="20"/>
                <w:color w:val="auto"/>
              </w:rPr>
            </w:pPr>
            <w:r>
              <w:rPr>
                <w:rFonts w:ascii="Arial" w:cs="Arial" w:eastAsia="Arial" w:hAnsi="Arial"/>
                <w:sz w:val="18"/>
                <w:szCs w:val="18"/>
                <w:color w:val="0000EE"/>
              </w:rPr>
              <w:t>Defaults Upon Senior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4.</w:t>
            </w:r>
          </w:p>
        </w:tc>
        <w:tc>
          <w:tcPr>
            <w:tcW w:w="7140" w:type="dxa"/>
            <w:vAlign w:val="bottom"/>
            <w:gridSpan w:val="20"/>
          </w:tcPr>
          <w:p>
            <w:pPr>
              <w:spacing w:after="0"/>
              <w:rPr>
                <w:sz w:val="20"/>
                <w:szCs w:val="20"/>
                <w:color w:val="auto"/>
              </w:rPr>
            </w:pPr>
            <w:r>
              <w:rPr>
                <w:rFonts w:ascii="Arial" w:cs="Arial" w:eastAsia="Arial" w:hAnsi="Arial"/>
                <w:sz w:val="18"/>
                <w:szCs w:val="18"/>
                <w:color w:val="0000EE"/>
              </w:rPr>
              <w:t>Mine Safety Disclosures</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36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5.</w:t>
            </w:r>
          </w:p>
        </w:tc>
        <w:tc>
          <w:tcPr>
            <w:tcW w:w="714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2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Item 6.</w:t>
            </w:r>
          </w:p>
        </w:tc>
        <w:tc>
          <w:tcPr>
            <w:tcW w:w="714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885"/>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gridSpan w:val="10"/>
          </w:tcPr>
          <w:p>
            <w:pPr>
              <w:ind w:left="32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FORWARD-LOOKING STATEMENTS</w:t>
      </w:r>
    </w:p>
    <w:p>
      <w:pPr>
        <w:spacing w:after="0" w:line="200" w:lineRule="exact"/>
        <w:rPr>
          <w:sz w:val="20"/>
          <w:szCs w:val="20"/>
          <w:color w:val="auto"/>
        </w:rPr>
      </w:pPr>
    </w:p>
    <w:p>
      <w:pPr>
        <w:ind w:left="600" w:right="639"/>
        <w:spacing w:after="0" w:line="266" w:lineRule="auto"/>
        <w:rPr>
          <w:sz w:val="20"/>
          <w:szCs w:val="20"/>
          <w:color w:val="auto"/>
        </w:rPr>
      </w:pPr>
      <w:r>
        <w:rPr>
          <w:rFonts w:ascii="Arial" w:cs="Arial" w:eastAsia="Arial" w:hAnsi="Arial"/>
          <w:sz w:val="16"/>
          <w:szCs w:val="16"/>
          <w:color w:val="auto"/>
        </w:rPr>
        <w:t>This Quarterly Report on Form 10-Q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the timing or outcome of our ongoing or planned clinical trials for IMM-1-104,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and the plans and objectives of management for future operations, are forward-looking statements.</w:t>
      </w:r>
    </w:p>
    <w:p>
      <w:pPr>
        <w:spacing w:after="0" w:line="151" w:lineRule="exact"/>
        <w:rPr>
          <w:sz w:val="20"/>
          <w:szCs w:val="20"/>
          <w:color w:val="auto"/>
        </w:rPr>
      </w:pPr>
    </w:p>
    <w:p>
      <w:pPr>
        <w:ind w:left="600" w:right="599"/>
        <w:spacing w:after="0" w:line="270" w:lineRule="auto"/>
        <w:rPr>
          <w:sz w:val="20"/>
          <w:szCs w:val="20"/>
          <w:color w:val="auto"/>
        </w:rPr>
      </w:pPr>
      <w:r>
        <w:rPr>
          <w:rFonts w:ascii="Arial" w:cs="Arial" w:eastAsia="Arial" w:hAnsi="Arial"/>
          <w:sz w:val="16"/>
          <w:szCs w:val="16"/>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40" w:lineRule="exact"/>
        <w:rPr>
          <w:sz w:val="20"/>
          <w:szCs w:val="20"/>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operating history;</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history of operating losses;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pandemic related to COVID-19 and its variants;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the substantial additional capital that will be required to finance our operations;</w:t>
      </w:r>
    </w:p>
    <w:p>
      <w:pPr>
        <w:spacing w:after="0" w:line="194" w:lineRule="exact"/>
        <w:rPr>
          <w:rFonts w:ascii="Arial" w:cs="Arial" w:eastAsia="Arial" w:hAnsi="Arial"/>
          <w:sz w:val="16"/>
          <w:szCs w:val="16"/>
          <w:color w:val="auto"/>
        </w:rPr>
      </w:pPr>
    </w:p>
    <w:p>
      <w:pPr>
        <w:ind w:left="1260" w:hanging="31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obtaining regulatory approval for any of our current or future product candidates;</w:t>
      </w:r>
    </w:p>
    <w:p>
      <w:pPr>
        <w:spacing w:after="0" w:line="197" w:lineRule="exact"/>
        <w:rPr>
          <w:rFonts w:ascii="Arial" w:cs="Arial" w:eastAsia="Arial" w:hAnsi="Arial"/>
          <w:sz w:val="16"/>
          <w:szCs w:val="16"/>
          <w:color w:val="auto"/>
        </w:rPr>
      </w:pPr>
    </w:p>
    <w:p>
      <w:pPr>
        <w:ind w:left="1260" w:right="739" w:hanging="319"/>
        <w:spacing w:after="0" w:line="267"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file an Investigational New Drug application (“IND”), or IND amendments or comparable documents in foreign jurisdictions in order to commence clinical trials on the timelines we expect;</w:t>
      </w:r>
    </w:p>
    <w:p>
      <w:pPr>
        <w:spacing w:after="0" w:line="140"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experience in designing clinical trials;</w:t>
      </w:r>
    </w:p>
    <w:p>
      <w:pPr>
        <w:spacing w:after="0" w:line="182" w:lineRule="exact"/>
        <w:rPr>
          <w:rFonts w:ascii="Arial" w:cs="Arial" w:eastAsia="Arial" w:hAnsi="Arial"/>
          <w:sz w:val="17"/>
          <w:szCs w:val="17"/>
          <w:color w:val="auto"/>
        </w:rPr>
      </w:pPr>
    </w:p>
    <w:p>
      <w:pPr>
        <w:ind w:left="1260" w:right="97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of substantial delays in completing, if at all, the development and commercialization of our current or future product candidates;</w:t>
      </w:r>
    </w:p>
    <w:p>
      <w:pPr>
        <w:spacing w:after="0" w:line="134" w:lineRule="exact"/>
        <w:rPr>
          <w:rFonts w:ascii="Arial" w:cs="Arial" w:eastAsia="Arial" w:hAnsi="Arial"/>
          <w:sz w:val="17"/>
          <w:szCs w:val="17"/>
          <w:color w:val="auto"/>
        </w:rPr>
      </w:pPr>
    </w:p>
    <w:p>
      <w:pPr>
        <w:ind w:left="1260" w:right="61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adverse events, toxicities or other undesirable side effects caused by our current or future product candidates;</w:t>
      </w:r>
    </w:p>
    <w:p>
      <w:pPr>
        <w:spacing w:after="0" w:line="134"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of delays or difficulties in the enrollment and/or maintenance of patients in clinical trials;</w:t>
      </w:r>
    </w:p>
    <w:p>
      <w:pPr>
        <w:spacing w:after="0" w:line="182" w:lineRule="exact"/>
        <w:rPr>
          <w:rFonts w:ascii="Arial" w:cs="Arial" w:eastAsia="Arial" w:hAnsi="Arial"/>
          <w:sz w:val="17"/>
          <w:szCs w:val="17"/>
          <w:color w:val="auto"/>
        </w:rPr>
      </w:pPr>
    </w:p>
    <w:p>
      <w:pPr>
        <w:ind w:left="1260" w:right="759" w:hanging="319"/>
        <w:spacing w:after="0" w:line="342" w:lineRule="auto"/>
        <w:tabs>
          <w:tab w:leader="none" w:pos="12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substantial reliance on the successful development of our current and future product candidates, as well as our platform, including our proprietary technologies such as DCT and Fluency;</w:t>
      </w:r>
    </w:p>
    <w:p>
      <w:pPr>
        <w:spacing w:after="0" w:line="88" w:lineRule="exact"/>
        <w:rPr>
          <w:rFonts w:ascii="Arial" w:cs="Arial" w:eastAsia="Arial" w:hAnsi="Arial"/>
          <w:sz w:val="15"/>
          <w:szCs w:val="15"/>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competition in our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opportunity for our product candidates, if approved;</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manufacturing;</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reliance on third parties;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intellectual property; and</w:t>
      </w:r>
    </w:p>
    <w:p>
      <w:pPr>
        <w:spacing w:after="0" w:line="182" w:lineRule="exact"/>
        <w:rPr>
          <w:rFonts w:ascii="Arial" w:cs="Arial" w:eastAsia="Arial" w:hAnsi="Arial"/>
          <w:sz w:val="17"/>
          <w:szCs w:val="17"/>
          <w:color w:val="auto"/>
        </w:rPr>
      </w:pPr>
    </w:p>
    <w:p>
      <w:pPr>
        <w:ind w:left="1260" w:right="719" w:hanging="319"/>
        <w:spacing w:after="0" w:line="261"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important risk factors that could affect the outcome of the events set forth in these statements and that could affect our operating results and financial condition are described in Part II, Item 1A. “Risk Factors” section of this Quarterly Report on Form 10-Q.</w:t>
      </w:r>
    </w:p>
    <w:p>
      <w:pPr>
        <w:spacing w:after="0" w:line="159" w:lineRule="exact"/>
        <w:rPr>
          <w:sz w:val="20"/>
          <w:szCs w:val="20"/>
          <w:color w:val="auto"/>
        </w:rPr>
      </w:pPr>
    </w:p>
    <w:p>
      <w:pPr>
        <w:ind w:left="600" w:right="719"/>
        <w:spacing w:after="0" w:line="252"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359" w:lineRule="exact"/>
        <w:rPr>
          <w:sz w:val="20"/>
          <w:szCs w:val="20"/>
          <w:color w:val="auto"/>
        </w:rPr>
      </w:pPr>
    </w:p>
    <w:p>
      <w:pPr>
        <w:ind w:left="600" w:right="59"/>
        <w:spacing w:after="0" w:line="274" w:lineRule="auto"/>
        <w:rPr>
          <w:sz w:val="20"/>
          <w:szCs w:val="20"/>
          <w:color w:val="auto"/>
        </w:rPr>
      </w:pPr>
      <w:r>
        <w:rPr>
          <w:rFonts w:ascii="Arial" w:cs="Arial" w:eastAsia="Arial" w:hAnsi="Arial"/>
          <w:sz w:val="17"/>
          <w:szCs w:val="17"/>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subject to numerous risks and uncertainties, including those further described below in Part II, Item 1A.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92" w:lineRule="exact"/>
        <w:rPr>
          <w:sz w:val="20"/>
          <w:szCs w:val="20"/>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not completed any clinical trials and have no products approved for commercial sale, which may make it difficult for you to evaluate our current business and predict our future success and viability.</w:t>
      </w:r>
    </w:p>
    <w:p>
      <w:pPr>
        <w:spacing w:after="0" w:line="7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for the past several years and we expect to continue to incur significant net losses for the foreseeable future and may never attain profitability.</w:t>
      </w:r>
    </w:p>
    <w:p>
      <w:pPr>
        <w:spacing w:after="0" w:line="62"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5"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7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completing, or ultimately be unable to complete, the development and commercialization of our product candidates.</w:t>
      </w:r>
    </w:p>
    <w:p>
      <w:pPr>
        <w:spacing w:after="0" w:line="62"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7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78"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7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7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long-term prospects depend in part upon discovering, developing and commercializing product candidates, which may fail in development or suffer delays that adversely affect their commercial viability.</w:t>
      </w:r>
    </w:p>
    <w:p>
      <w:pPr>
        <w:spacing w:after="0" w:line="38"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7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never commercialized a product candidate before and may lack the necessary expertise, personnel and resources to successfully commercialize any products on our own or together with suitable collaborators.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could be negatively impacted.</w:t>
      </w:r>
    </w:p>
    <w:p>
      <w:pPr>
        <w:spacing w:after="0" w:line="7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COVID-19 pandemic and potential future pandemics could continue to adversely impact our business, including our anticipated clinical trials and their timelines, supply chain and business development activities.</w:t>
      </w:r>
    </w:p>
    <w:p>
      <w:pPr>
        <w:spacing w:after="0" w:line="38"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substantially rely, and expect to continue to rely, on third parties, including independent clinical investigators and contract research organizations, or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53" w:lineRule="exact"/>
        <w:rPr>
          <w:rFonts w:ascii="Arial" w:cs="Arial" w:eastAsia="Arial" w:hAnsi="Arial"/>
          <w:sz w:val="16"/>
          <w:szCs w:val="16"/>
          <w:color w:val="auto"/>
        </w:rPr>
      </w:pPr>
    </w:p>
    <w:p>
      <w:pPr>
        <w:jc w:val="both"/>
        <w:ind w:left="720" w:right="79" w:hanging="319"/>
        <w:spacing w:after="0" w:line="25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contract with third parties for the manufacturing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79" w:lineRule="exact"/>
        <w:rPr>
          <w:rFonts w:ascii="Arial" w:cs="Arial" w:eastAsia="Arial" w:hAnsi="Arial"/>
          <w:sz w:val="18"/>
          <w:szCs w:val="18"/>
          <w:color w:val="auto"/>
        </w:rPr>
      </w:pPr>
    </w:p>
    <w:p>
      <w:pPr>
        <w:jc w:val="both"/>
        <w:ind w:left="720" w:right="7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40" w:lineRule="exact"/>
        <w:rPr>
          <w:rFonts w:ascii="Arial" w:cs="Arial" w:eastAsia="Arial" w:hAnsi="Arial"/>
          <w:sz w:val="16"/>
          <w:szCs w:val="16"/>
          <w:color w:val="auto"/>
        </w:rPr>
      </w:pPr>
    </w:p>
    <w:p>
      <w:pPr>
        <w:jc w:val="both"/>
        <w:ind w:left="720" w:right="79" w:hanging="319"/>
        <w:spacing w:after="0" w:line="25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85"/>
              </w:rPr>
              <w:t>December 31, 2021</w:t>
            </w:r>
          </w:p>
        </w:tc>
      </w:tr>
      <w:tr>
        <w:trPr>
          <w:trHeight w:val="128"/>
        </w:trPr>
        <w:tc>
          <w:tcPr>
            <w:tcW w:w="6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87,937,479</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74,888,145</w:t>
            </w:r>
          </w:p>
        </w:tc>
      </w:tr>
      <w:tr>
        <w:trPr>
          <w:trHeight w:val="135"/>
        </w:trPr>
        <w:tc>
          <w:tcPr>
            <w:tcW w:w="6420" w:type="dxa"/>
            <w:vAlign w:val="bottom"/>
          </w:tcPr>
          <w:p>
            <w:pPr>
              <w:ind w:left="80"/>
              <w:spacing w:after="0" w:line="135" w:lineRule="exact"/>
              <w:rPr>
                <w:sz w:val="20"/>
                <w:szCs w:val="20"/>
                <w:color w:val="auto"/>
              </w:rPr>
            </w:pPr>
            <w:r>
              <w:rPr>
                <w:rFonts w:ascii="Arial" w:cs="Arial" w:eastAsia="Arial" w:hAnsi="Arial"/>
                <w:sz w:val="13"/>
                <w:szCs w:val="13"/>
                <w:color w:val="auto"/>
              </w:rPr>
              <w:t>Marketable securities, current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40,163,875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74,311,203</w:t>
            </w: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Accounts receivable</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178,425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246,040</w:t>
            </w:r>
          </w:p>
        </w:tc>
      </w:tr>
      <w:tr>
        <w:trPr>
          <w:trHeight w:val="135"/>
        </w:trPr>
        <w:tc>
          <w:tcPr>
            <w:tcW w:w="642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Prepaids and other current assets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890,409</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2,888,608</w:t>
            </w:r>
          </w:p>
        </w:tc>
      </w:tr>
      <w:tr>
        <w:trPr>
          <w:trHeight w:val="128"/>
        </w:trPr>
        <w:tc>
          <w:tcPr>
            <w:tcW w:w="642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129,170,188</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152,333,996</w:t>
            </w:r>
          </w:p>
        </w:tc>
      </w:tr>
      <w:tr>
        <w:trPr>
          <w:trHeight w:val="135"/>
        </w:trPr>
        <w:tc>
          <w:tcPr>
            <w:tcW w:w="6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Marketable securities, non-current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996,560</w:t>
            </w: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985,007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807,223</w:t>
            </w: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6,690,431</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6,701,726</w:t>
            </w: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3"/>
                <w:szCs w:val="13"/>
                <w:color w:val="auto"/>
              </w:rPr>
              <w:t>Intangible asset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423,580</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439,000</w:t>
            </w: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Right-of-use assets, net</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4,691,157</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5,324,198</w:t>
            </w:r>
          </w:p>
        </w:tc>
      </w:tr>
      <w:tr>
        <w:trPr>
          <w:trHeight w:val="135"/>
        </w:trPr>
        <w:tc>
          <w:tcPr>
            <w:tcW w:w="64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89,579</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102,129</w:t>
            </w:r>
          </w:p>
        </w:tc>
      </w:tr>
      <w:tr>
        <w:trPr>
          <w:trHeight w:val="129"/>
        </w:trPr>
        <w:tc>
          <w:tcPr>
            <w:tcW w:w="6420" w:type="dxa"/>
            <w:vAlign w:val="bottom"/>
            <w:tcBorders>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142,049,942</w:t>
            </w: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166,704,832</w:t>
            </w: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5"/>
        </w:trPr>
        <w:tc>
          <w:tcPr>
            <w:tcW w:w="6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1,240,241</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1,394,340</w:t>
            </w:r>
          </w:p>
        </w:tc>
      </w:tr>
      <w:tr>
        <w:trPr>
          <w:trHeight w:val="135"/>
        </w:trPr>
        <w:tc>
          <w:tcPr>
            <w:tcW w:w="6420" w:type="dxa"/>
            <w:vAlign w:val="bottom"/>
          </w:tcPr>
          <w:p>
            <w:pPr>
              <w:ind w:left="80"/>
              <w:spacing w:after="0" w:line="135" w:lineRule="exact"/>
              <w:rPr>
                <w:sz w:val="20"/>
                <w:szCs w:val="20"/>
                <w:color w:val="auto"/>
              </w:rPr>
            </w:pPr>
            <w:r>
              <w:rPr>
                <w:rFonts w:ascii="Arial" w:cs="Arial" w:eastAsia="Arial" w:hAnsi="Arial"/>
                <w:sz w:val="13"/>
                <w:szCs w:val="13"/>
                <w:color w:val="auto"/>
              </w:rPr>
              <w:t>Accrued expenses</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2,226,687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3,965,447</w:t>
            </w: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Other liabilities, current</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47,213</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42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Lease liabilities, current</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286,374</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274,039</w:t>
            </w:r>
          </w:p>
        </w:tc>
      </w:tr>
      <w:tr>
        <w:trPr>
          <w:trHeight w:val="128"/>
        </w:trPr>
        <w:tc>
          <w:tcPr>
            <w:tcW w:w="6420" w:type="dxa"/>
            <w:vAlign w:val="bottom"/>
            <w:shd w:val="clear" w:color="auto" w:fill="CCEEFF"/>
          </w:tcPr>
          <w:p>
            <w:pPr>
              <w:ind w:left="200"/>
              <w:spacing w:after="0" w:line="129" w:lineRule="exact"/>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3,800,515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5,633,826</w:t>
            </w:r>
          </w:p>
        </w:tc>
      </w:tr>
      <w:tr>
        <w:trPr>
          <w:trHeight w:val="135"/>
        </w:trPr>
        <w:tc>
          <w:tcPr>
            <w:tcW w:w="6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Long-term liabilities: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80"/>
              <w:spacing w:after="0" w:line="135" w:lineRule="exact"/>
              <w:rPr>
                <w:sz w:val="20"/>
                <w:szCs w:val="20"/>
                <w:color w:val="auto"/>
              </w:rPr>
            </w:pPr>
            <w:r>
              <w:rPr>
                <w:rFonts w:ascii="Arial" w:cs="Arial" w:eastAsia="Arial" w:hAnsi="Arial"/>
                <w:sz w:val="13"/>
                <w:szCs w:val="13"/>
                <w:color w:val="auto"/>
              </w:rPr>
              <w:t>Other liabilities, non-current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9,898</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Lease liabilities, non-current</w:t>
            </w:r>
          </w:p>
        </w:tc>
        <w:tc>
          <w:tcPr>
            <w:tcW w:w="1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4,644,683</w:t>
            </w:r>
          </w:p>
        </w:tc>
        <w:tc>
          <w:tcPr>
            <w:tcW w:w="1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5,090,897</w:t>
            </w:r>
          </w:p>
        </w:tc>
      </w:tr>
      <w:tr>
        <w:trPr>
          <w:trHeight w:val="129"/>
        </w:trPr>
        <w:tc>
          <w:tcPr>
            <w:tcW w:w="6420" w:type="dxa"/>
            <w:vAlign w:val="bottom"/>
            <w:tcBorders>
              <w:bottom w:val="single" w:sz="8" w:color="CCEEFF"/>
            </w:tcBorders>
          </w:tcPr>
          <w:p>
            <w:pPr>
              <w:ind w:left="2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8,455,096</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10,724,723</w:t>
            </w:r>
          </w:p>
        </w:tc>
      </w:tr>
      <w:tr>
        <w:trPr>
          <w:trHeight w:val="128"/>
        </w:trPr>
        <w:tc>
          <w:tcPr>
            <w:tcW w:w="64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Commitments and contingencies (Note 12)</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1"/>
        </w:trPr>
        <w:tc>
          <w:tcPr>
            <w:tcW w:w="6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89"/>
              </w:rPr>
              <w:t>Preferred stock, $0.001 par value; 10,000,000 shares authorized at June 30, 2022 and December 31, 2021; 0 shares issued</w:t>
            </w: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 outstanding at June 30, 2022 and December 31, 2021</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6420" w:type="dxa"/>
            <w:vAlign w:val="bottom"/>
          </w:tcPr>
          <w:p>
            <w:pPr>
              <w:ind w:left="20"/>
              <w:spacing w:after="0" w:line="121" w:lineRule="exact"/>
              <w:rPr>
                <w:sz w:val="20"/>
                <w:szCs w:val="20"/>
                <w:color w:val="auto"/>
              </w:rPr>
            </w:pPr>
            <w:r>
              <w:rPr>
                <w:rFonts w:ascii="Arial" w:cs="Arial" w:eastAsia="Arial" w:hAnsi="Arial"/>
                <w:sz w:val="13"/>
                <w:szCs w:val="13"/>
                <w:color w:val="auto"/>
                <w:w w:val="95"/>
              </w:rPr>
              <w:t>Class A common stock, $0.001 par value, 200,000,000 shares authorized at June 30, 2022 and December 31, 2021;</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9"/>
        </w:trPr>
        <w:tc>
          <w:tcPr>
            <w:tcW w:w="6420" w:type="dxa"/>
            <w:vAlign w:val="bottom"/>
          </w:tcPr>
          <w:p>
            <w:pPr>
              <w:ind w:left="20"/>
              <w:spacing w:after="0"/>
              <w:rPr>
                <w:sz w:val="20"/>
                <w:szCs w:val="20"/>
                <w:color w:val="auto"/>
              </w:rPr>
            </w:pPr>
            <w:r>
              <w:rPr>
                <w:rFonts w:ascii="Arial" w:cs="Arial" w:eastAsia="Arial" w:hAnsi="Arial"/>
                <w:sz w:val="13"/>
                <w:szCs w:val="13"/>
                <w:color w:val="auto"/>
                <w:w w:val="96"/>
              </w:rPr>
              <w:t>26,392,299 and 26,320,199 shares issued and outstanding at June 30, 2022 and December 31, 2021, respectively</w:t>
            </w: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26,392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26,320</w:t>
            </w:r>
          </w:p>
        </w:tc>
      </w:tr>
      <w:tr>
        <w:trPr>
          <w:trHeight w:val="121"/>
        </w:trPr>
        <w:tc>
          <w:tcPr>
            <w:tcW w:w="6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89"/>
              </w:rPr>
              <w:t>Class B common stock, $0.001 par value, 20,000,000 shares authorized at June 30, 2022 and December 31, 2021; 0 shares</w:t>
            </w: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9"/>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 and outstanding at June 30, 2022 and December 31, 2021</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217,447,080</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215,276,186</w:t>
            </w: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other comprehensive loss</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(181,561)</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(49,009)</w:t>
            </w:r>
          </w:p>
        </w:tc>
      </w:tr>
      <w:tr>
        <w:trPr>
          <w:trHeight w:val="135"/>
        </w:trPr>
        <w:tc>
          <w:tcPr>
            <w:tcW w:w="6420" w:type="dxa"/>
            <w:vAlign w:val="bottom"/>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140" w:type="dxa"/>
            <w:vAlign w:val="bottom"/>
          </w:tcPr>
          <w:p>
            <w:pPr>
              <w:spacing w:after="0"/>
              <w:rPr>
                <w:sz w:val="11"/>
                <w:szCs w:val="11"/>
                <w:color w:val="auto"/>
              </w:rPr>
            </w:pPr>
          </w:p>
        </w:tc>
        <w:tc>
          <w:tcPr>
            <w:tcW w:w="1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(83,697,065)</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(59,273,388)</w:t>
            </w:r>
          </w:p>
        </w:tc>
      </w:tr>
      <w:tr>
        <w:trPr>
          <w:trHeight w:val="128"/>
        </w:trPr>
        <w:tc>
          <w:tcPr>
            <w:tcW w:w="6420" w:type="dxa"/>
            <w:vAlign w:val="bottom"/>
            <w:tcBorders>
              <w:top w:val="single" w:sz="8" w:color="CCEEFF"/>
            </w:tcBorders>
            <w:shd w:val="clear" w:color="auto" w:fill="CCEEFF"/>
          </w:tcPr>
          <w:p>
            <w:pPr>
              <w:ind w:left="200"/>
              <w:spacing w:after="0" w:line="129" w:lineRule="exact"/>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133,594,846</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155,980,109</w:t>
            </w:r>
          </w:p>
        </w:tc>
      </w:tr>
      <w:tr>
        <w:trPr>
          <w:trHeight w:val="129"/>
        </w:trPr>
        <w:tc>
          <w:tcPr>
            <w:tcW w:w="6420" w:type="dxa"/>
            <w:vAlign w:val="bottom"/>
          </w:tcPr>
          <w:p>
            <w:pPr>
              <w:ind w:left="200"/>
              <w:spacing w:after="0" w:line="129" w:lineRule="exact"/>
              <w:rPr>
                <w:sz w:val="20"/>
                <w:szCs w:val="20"/>
                <w:color w:val="auto"/>
              </w:rPr>
            </w:pPr>
            <w:r>
              <w:rPr>
                <w:rFonts w:ascii="Arial" w:cs="Arial" w:eastAsia="Arial" w:hAnsi="Arial"/>
                <w:sz w:val="13"/>
                <w:szCs w:val="13"/>
                <w:color w:val="auto"/>
              </w:rPr>
              <w:t>Total liabilities and stockholders' equity</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142,049,942</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166,704,832</w:t>
            </w: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left="1520" w:right="440"/>
        <w:spacing w:after="0" w:line="261" w:lineRule="auto"/>
        <w:rPr>
          <w:sz w:val="20"/>
          <w:szCs w:val="20"/>
          <w:color w:val="auto"/>
        </w:rPr>
      </w:pPr>
      <w:r>
        <w:rPr>
          <w:rFonts w:ascii="Arial" w:cs="Arial" w:eastAsia="Arial" w:hAnsi="Arial"/>
          <w:sz w:val="18"/>
          <w:szCs w:val="18"/>
          <w:b w:val="1"/>
          <w:bCs w:val="1"/>
          <w:color w:val="auto"/>
        </w:rPr>
        <w:t>CONDENSED CONSOLIDATED STATEMENTS OF OPERATIONS AND COMPREHENSIVE LOSS (Unaudited)</w:t>
      </w:r>
    </w:p>
    <w:tbl>
      <w:tblPr>
        <w:tblLayout w:type="fixed"/>
        <w:tblInd w:w="4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22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1,408,240</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revenue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318,601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727,763</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341,439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680,477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7,981,075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6,991,965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17,031,517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12,382,985</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3,704,143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1,340,398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7,664,112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2,524,422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11,692,535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8,332,363</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24,711,049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14,907,407</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(11,646,049)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(7,990,924)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(24,571,710)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(14,226,930)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275,304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(24,053)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(127,271)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(11,527,303)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(7,987,665)</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(24,423,677)</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(14,217,316)</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line="201" w:lineRule="exact"/>
              <w:rPr>
                <w:sz w:val="20"/>
                <w:szCs w:val="20"/>
                <w:color w:val="auto"/>
              </w:rPr>
            </w:pPr>
            <w:r>
              <w:rPr>
                <w:rFonts w:ascii="Arial" w:cs="Arial" w:eastAsia="Arial" w:hAnsi="Arial"/>
                <w:sz w:val="18"/>
                <w:szCs w:val="18"/>
                <w:color w:val="auto"/>
                <w:w w:val="93"/>
              </w:rPr>
              <w:t>Net loss per share attributable to common stockholders,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(0.44)</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(0.93)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14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2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common shares outstanding, basic</w:t>
            </w: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26,386,343</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4,954,553</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26,372,787</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4,952,352</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Unrealized losses from marketable securities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(14,166)</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(132,552)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(11,541,469)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(7,987,665)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(24,556,229)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(14,217,316)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IMMUNEERING CORPORATION</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ind w:left="4660"/>
        <w:spacing w:after="0" w:line="219" w:lineRule="auto"/>
        <w:rPr>
          <w:sz w:val="20"/>
          <w:szCs w:val="20"/>
          <w:color w:val="auto"/>
        </w:rPr>
      </w:pPr>
      <w:r>
        <w:rPr>
          <w:rFonts w:ascii="Arial" w:cs="Arial" w:eastAsia="Arial" w:hAnsi="Arial"/>
          <w:sz w:val="18"/>
          <w:szCs w:val="18"/>
          <w:b w:val="1"/>
          <w:bCs w:val="1"/>
          <w:color w:val="auto"/>
        </w:rPr>
        <w:t>(DEFICIT)</w:t>
      </w:r>
    </w:p>
    <w:p>
      <w:pPr>
        <w:ind w:left="4640"/>
        <w:spacing w:after="0"/>
        <w:rPr>
          <w:sz w:val="20"/>
          <w:szCs w:val="20"/>
          <w:color w:val="auto"/>
        </w:rPr>
      </w:pPr>
      <w:r>
        <w:rPr>
          <w:rFonts w:ascii="Arial" w:cs="Arial" w:eastAsia="Arial" w:hAnsi="Arial"/>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5"/>
          </w:tcPr>
          <w:p>
            <w:pPr>
              <w:jc w:val="right"/>
              <w:ind w:right="86"/>
              <w:spacing w:after="0"/>
              <w:rPr>
                <w:sz w:val="20"/>
                <w:szCs w:val="20"/>
                <w:color w:val="auto"/>
              </w:rPr>
            </w:pPr>
            <w:r>
              <w:rPr>
                <w:rFonts w:ascii="Arial" w:cs="Arial" w:eastAsia="Arial" w:hAnsi="Arial"/>
                <w:sz w:val="11"/>
                <w:szCs w:val="11"/>
                <w:b w:val="1"/>
                <w:bCs w:val="1"/>
                <w:color w:val="auto"/>
              </w:rPr>
              <w:t>Convertible Preferred Stock</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8"/>
          </w:tcPr>
          <w:p>
            <w:pPr>
              <w:ind w:left="120"/>
              <w:spacing w:after="0"/>
              <w:rPr>
                <w:sz w:val="20"/>
                <w:szCs w:val="20"/>
                <w:color w:val="auto"/>
              </w:rPr>
            </w:pPr>
            <w:r>
              <w:rPr>
                <w:rFonts w:ascii="Arial" w:cs="Arial" w:eastAsia="Arial" w:hAnsi="Arial"/>
                <w:sz w:val="11"/>
                <w:szCs w:val="11"/>
                <w:b w:val="1"/>
                <w:bCs w:val="1"/>
                <w:color w:val="auto"/>
              </w:rPr>
              <w:t>Stockholders' Equity (Deficit)</w:t>
            </w: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46"/>
              <w:spacing w:after="0" w:line="102" w:lineRule="exact"/>
              <w:rPr>
                <w:sz w:val="20"/>
                <w:szCs w:val="20"/>
                <w:color w:val="auto"/>
              </w:rPr>
            </w:pPr>
            <w:r>
              <w:rPr>
                <w:rFonts w:ascii="Arial" w:cs="Arial" w:eastAsia="Arial" w:hAnsi="Arial"/>
                <w:sz w:val="11"/>
                <w:szCs w:val="11"/>
                <w:b w:val="1"/>
                <w:bCs w:val="1"/>
                <w:color w:val="auto"/>
                <w:w w:val="91"/>
              </w:rPr>
              <w:t>Total</w:t>
            </w:r>
          </w:p>
        </w:tc>
        <w:tc>
          <w:tcPr>
            <w:tcW w:w="16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92"/>
              </w:rPr>
              <w:t>Additional</w:t>
            </w:r>
          </w:p>
        </w:tc>
        <w:tc>
          <w:tcPr>
            <w:tcW w:w="980" w:type="dxa"/>
            <w:vAlign w:val="bottom"/>
            <w:gridSpan w:val="4"/>
          </w:tcPr>
          <w:p>
            <w:pPr>
              <w:ind w:left="80"/>
              <w:spacing w:after="0" w:line="102" w:lineRule="exact"/>
              <w:rPr>
                <w:sz w:val="20"/>
                <w:szCs w:val="20"/>
                <w:color w:val="auto"/>
              </w:rPr>
            </w:pPr>
            <w:r>
              <w:rPr>
                <w:rFonts w:ascii="Arial" w:cs="Arial" w:eastAsia="Arial" w:hAnsi="Arial"/>
                <w:sz w:val="11"/>
                <w:szCs w:val="11"/>
                <w:b w:val="1"/>
                <w:bCs w:val="1"/>
                <w:color w:val="auto"/>
                <w:w w:val="88"/>
              </w:rPr>
              <w:t>Accumulated other</w:t>
            </w: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ind w:right="186"/>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360"/>
              <w:spacing w:after="0"/>
              <w:rPr>
                <w:sz w:val="20"/>
                <w:szCs w:val="20"/>
                <w:color w:val="auto"/>
              </w:rPr>
            </w:pPr>
            <w:r>
              <w:rPr>
                <w:rFonts w:ascii="Arial" w:cs="Arial" w:eastAsia="Arial" w:hAnsi="Arial"/>
                <w:sz w:val="11"/>
                <w:szCs w:val="11"/>
                <w:b w:val="1"/>
                <w:bCs w:val="1"/>
                <w:color w:val="auto"/>
              </w:rPr>
              <w:t>Series B</w:t>
            </w:r>
          </w:p>
        </w:tc>
        <w:tc>
          <w:tcPr>
            <w:tcW w:w="1180" w:type="dxa"/>
            <w:vAlign w:val="bottom"/>
            <w:gridSpan w:val="3"/>
          </w:tcPr>
          <w:p>
            <w:pPr>
              <w:jc w:val="right"/>
              <w:ind w:right="346"/>
              <w:spacing w:after="0"/>
              <w:rPr>
                <w:sz w:val="20"/>
                <w:szCs w:val="20"/>
                <w:color w:val="auto"/>
              </w:rPr>
            </w:pPr>
            <w:r>
              <w:rPr>
                <w:rFonts w:ascii="Arial" w:cs="Arial" w:eastAsia="Arial" w:hAnsi="Arial"/>
                <w:sz w:val="11"/>
                <w:szCs w:val="11"/>
                <w:b w:val="1"/>
                <w:bCs w:val="1"/>
                <w:color w:val="auto"/>
              </w:rPr>
              <w:t>Series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9"/>
              </w:rPr>
              <w:t>Convertible</w:t>
            </w:r>
          </w:p>
        </w:tc>
        <w:tc>
          <w:tcPr>
            <w:tcW w:w="1100" w:type="dxa"/>
            <w:vAlign w:val="bottom"/>
            <w:gridSpan w:val="4"/>
          </w:tcPr>
          <w:p>
            <w:pPr>
              <w:jc w:val="right"/>
              <w:spacing w:after="0"/>
              <w:rPr>
                <w:sz w:val="20"/>
                <w:szCs w:val="20"/>
                <w:color w:val="auto"/>
              </w:rPr>
            </w:pPr>
            <w:r>
              <w:rPr>
                <w:rFonts w:ascii="Arial" w:cs="Arial" w:eastAsia="Arial" w:hAnsi="Arial"/>
                <w:sz w:val="11"/>
                <w:szCs w:val="11"/>
                <w:b w:val="1"/>
                <w:bCs w:val="1"/>
                <w:color w:val="auto"/>
                <w:w w:val="85"/>
              </w:rPr>
              <w:t>Class A Common Stock</w:t>
            </w:r>
          </w:p>
        </w:tc>
        <w:tc>
          <w:tcPr>
            <w:tcW w:w="1200" w:type="dxa"/>
            <w:vAlign w:val="bottom"/>
            <w:gridSpan w:val="6"/>
          </w:tcPr>
          <w:p>
            <w:pPr>
              <w:ind w:left="80"/>
              <w:spacing w:after="0"/>
              <w:rPr>
                <w:sz w:val="20"/>
                <w:szCs w:val="20"/>
                <w:color w:val="auto"/>
              </w:rPr>
            </w:pPr>
            <w:r>
              <w:rPr>
                <w:rFonts w:ascii="Arial" w:cs="Arial" w:eastAsia="Arial" w:hAnsi="Arial"/>
                <w:sz w:val="11"/>
                <w:szCs w:val="11"/>
                <w:b w:val="1"/>
                <w:bCs w:val="1"/>
                <w:color w:val="auto"/>
                <w:w w:val="88"/>
              </w:rPr>
              <w:t>Class B Common Stock</w:t>
            </w:r>
          </w:p>
        </w:tc>
        <w:tc>
          <w:tcPr>
            <w:tcW w:w="4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w w:val="96"/>
              </w:rPr>
              <w:t>comprehensive</w:t>
            </w:r>
          </w:p>
        </w:tc>
        <w:tc>
          <w:tcPr>
            <w:tcW w:w="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7"/>
              </w:rPr>
              <w:t>Shares</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Amount</w:t>
            </w:r>
          </w:p>
        </w:tc>
        <w:tc>
          <w:tcPr>
            <w:tcW w:w="980" w:type="dxa"/>
            <w:vAlign w:val="bottom"/>
            <w:gridSpan w:val="5"/>
          </w:tcPr>
          <w:p>
            <w:pPr>
              <w:ind w:left="80"/>
              <w:spacing w:after="0" w:line="115" w:lineRule="exact"/>
              <w:rPr>
                <w:sz w:val="20"/>
                <w:szCs w:val="20"/>
                <w:color w:val="auto"/>
              </w:rPr>
            </w:pPr>
            <w:r>
              <w:rPr>
                <w:rFonts w:ascii="Arial" w:cs="Arial" w:eastAsia="Arial" w:hAnsi="Arial"/>
                <w:sz w:val="11"/>
                <w:szCs w:val="11"/>
                <w:b w:val="1"/>
                <w:bCs w:val="1"/>
                <w:color w:val="auto"/>
              </w:rPr>
              <w:t>Preferred Stock</w:t>
            </w:r>
          </w:p>
        </w:tc>
        <w:tc>
          <w:tcPr>
            <w:tcW w:w="54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87"/>
              </w:rPr>
              <w:t>Par Value</w:t>
            </w:r>
          </w:p>
        </w:tc>
        <w:tc>
          <w:tcPr>
            <w:tcW w:w="8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w w:val="97"/>
              </w:rPr>
              <w:t>Shares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5"/>
              </w:rPr>
              <w:t>Par Value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66"/>
              <w:spacing w:after="0" w:line="115"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ind w:left="300"/>
              <w:spacing w:after="0" w:line="115" w:lineRule="exact"/>
              <w:rPr>
                <w:sz w:val="20"/>
                <w:szCs w:val="20"/>
                <w:color w:val="auto"/>
              </w:rPr>
            </w:pPr>
            <w:r>
              <w:rPr>
                <w:rFonts w:ascii="Arial" w:cs="Arial" w:eastAsia="Arial" w:hAnsi="Arial"/>
                <w:sz w:val="11"/>
                <w:szCs w:val="11"/>
                <w:b w:val="1"/>
                <w:bCs w:val="1"/>
                <w:color w:val="auto"/>
              </w:rPr>
              <w:t>loss</w:t>
            </w:r>
          </w:p>
        </w:tc>
        <w:tc>
          <w:tcPr>
            <w:tcW w:w="20" w:type="dxa"/>
            <w:vAlign w:val="bottom"/>
          </w:tcPr>
          <w:p>
            <w:pPr>
              <w:spacing w:after="0"/>
              <w:rPr>
                <w:sz w:val="10"/>
                <w:szCs w:val="10"/>
                <w:color w:val="auto"/>
              </w:rPr>
            </w:pPr>
          </w:p>
        </w:tc>
        <w:tc>
          <w:tcPr>
            <w:tcW w:w="660" w:type="dxa"/>
            <w:vAlign w:val="bottom"/>
          </w:tcPr>
          <w:p>
            <w:pPr>
              <w:jc w:val="right"/>
              <w:ind w:right="126"/>
              <w:spacing w:after="0" w:line="115" w:lineRule="exact"/>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0"/>
                <w:szCs w:val="10"/>
                <w:color w:val="auto"/>
              </w:rPr>
            </w:pPr>
          </w:p>
        </w:tc>
        <w:tc>
          <w:tcPr>
            <w:tcW w:w="7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w w:val="89"/>
              </w:rPr>
              <w:t>Balance at December 31, 2020</w:t>
            </w:r>
          </w:p>
        </w:tc>
        <w:tc>
          <w:tcPr>
            <w:tcW w:w="5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9"/>
              </w:rPr>
              <w:t>3,619,292</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3"/>
              </w:rPr>
              <w:t>$ 36,983,910</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3"/>
              </w:rPr>
              <w:t>2,495,933</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3"/>
              </w:rPr>
              <w:t>$ 21,119,940</w:t>
            </w:r>
          </w:p>
        </w:tc>
        <w:tc>
          <w:tcPr>
            <w:tcW w:w="1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58,103,850</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4,950,129</w:t>
            </w:r>
          </w:p>
        </w:tc>
        <w:tc>
          <w:tcPr>
            <w:tcW w:w="20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4,950</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5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2"/>
              </w:rPr>
              <w:t>$ 3,251,240</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66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2"/>
              </w:rPr>
              <w:t>$ (25,737,640)</w:t>
            </w:r>
          </w:p>
        </w:tc>
        <w:tc>
          <w:tcPr>
            <w:tcW w:w="18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6"/>
              </w:rPr>
              <w:t>(22,481,450)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Stock-based compensation</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rPr>
              <w:t>expense</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182,225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182,225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66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(6,229,651)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(6,229,651)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March 31, 2021</w:t>
            </w:r>
          </w:p>
        </w:tc>
        <w:tc>
          <w:tcPr>
            <w:tcW w:w="4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1"/>
              </w:rPr>
              <w:t>3,619,292</w:t>
            </w: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0"/>
              </w:rPr>
              <w:t>$ 36,983,910</w:t>
            </w: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3"/>
              </w:rPr>
              <w:t>2,495,933</w:t>
            </w: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4"/>
              </w:rPr>
              <w:t>$ 21,119,940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58,103,850</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7"/>
              </w:rPr>
              <w:t>4,950,129</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4,950</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5"/>
              </w:rPr>
              <w:t>$ 3,433,465</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ind w:left="660"/>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9"/>
              </w:rPr>
              <w:t>$ (31,967,291)</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6"/>
              </w:rPr>
              <w:t>(28,528,876)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89"/>
              </w:rPr>
              <w:t>Issuance of Series B convertible</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1"/>
              </w:rPr>
              <w:t>preferred stock, net of issuance</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rPr>
              <w:t>costs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9"/>
              </w:rPr>
              <w:t>2,412,853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24,788,851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24,788,851</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88"/>
              </w:rPr>
              <w:t>Issuance of common stock upon</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52,609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52,627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88"/>
              </w:rPr>
              <w:t>Issuance of common stock upon</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rPr>
              <w:t>exercise of warrants</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308,308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926,817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927,125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Stock-based compensation</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rPr>
              <w:t>expense</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351,009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351,009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66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(7,987,665)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(7,987,665)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June 30, 2021</w:t>
            </w:r>
          </w:p>
        </w:tc>
        <w:tc>
          <w:tcPr>
            <w:tcW w:w="4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1"/>
              </w:rPr>
              <w:t>6,032,145</w:t>
            </w: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0"/>
              </w:rPr>
              <w:t>$ 61,772,761</w:t>
            </w: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3"/>
              </w:rPr>
              <w:t>2,495,933</w:t>
            </w: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4"/>
              </w:rPr>
              <w:t>$ 21,119,940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82,892,701</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7"/>
              </w:rPr>
              <w:t>5,275,936</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5,276</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5"/>
              </w:rPr>
              <w:t>$ 4,763,900</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ind w:left="660"/>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9"/>
              </w:rPr>
              <w:t>$ (39,954,956)</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6"/>
              </w:rPr>
              <w:t>(35,185,780)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7"/>
          </w:tcPr>
          <w:p>
            <w:pPr>
              <w:ind w:left="260"/>
              <w:spacing w:after="0"/>
              <w:rPr>
                <w:sz w:val="20"/>
                <w:szCs w:val="20"/>
                <w:color w:val="auto"/>
              </w:rPr>
            </w:pPr>
            <w:r>
              <w:rPr>
                <w:rFonts w:ascii="Arial" w:cs="Arial" w:eastAsia="Arial" w:hAnsi="Arial"/>
                <w:sz w:val="11"/>
                <w:szCs w:val="11"/>
                <w:b w:val="1"/>
                <w:bCs w:val="1"/>
                <w:color w:val="auto"/>
                <w:w w:val="87"/>
              </w:rPr>
              <w:t>Convertible Preferred Stock</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8"/>
          </w:tcPr>
          <w:p>
            <w:pPr>
              <w:ind w:left="120"/>
              <w:spacing w:after="0"/>
              <w:rPr>
                <w:sz w:val="20"/>
                <w:szCs w:val="20"/>
                <w:color w:val="auto"/>
              </w:rPr>
            </w:pPr>
            <w:r>
              <w:rPr>
                <w:rFonts w:ascii="Arial" w:cs="Arial" w:eastAsia="Arial" w:hAnsi="Arial"/>
                <w:sz w:val="11"/>
                <w:szCs w:val="11"/>
                <w:b w:val="1"/>
                <w:bCs w:val="1"/>
                <w:color w:val="auto"/>
              </w:rPr>
              <w:t>Stockholders' Equity (Deficit)</w:t>
            </w: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91"/>
              </w:rPr>
              <w:t>Total</w:t>
            </w:r>
          </w:p>
        </w:tc>
        <w:tc>
          <w:tcPr>
            <w:tcW w:w="1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rPr>
              <w:t>Additional</w:t>
            </w:r>
          </w:p>
        </w:tc>
        <w:tc>
          <w:tcPr>
            <w:tcW w:w="1000" w:type="dxa"/>
            <w:vAlign w:val="bottom"/>
            <w:gridSpan w:val="4"/>
          </w:tcPr>
          <w:p>
            <w:pPr>
              <w:ind w:left="80"/>
              <w:spacing w:after="0" w:line="102" w:lineRule="exact"/>
              <w:rPr>
                <w:sz w:val="20"/>
                <w:szCs w:val="20"/>
                <w:color w:val="auto"/>
              </w:rPr>
            </w:pPr>
            <w:r>
              <w:rPr>
                <w:rFonts w:ascii="Arial" w:cs="Arial" w:eastAsia="Arial" w:hAnsi="Arial"/>
                <w:sz w:val="11"/>
                <w:szCs w:val="11"/>
                <w:b w:val="1"/>
                <w:bCs w:val="1"/>
                <w:color w:val="auto"/>
                <w:w w:val="90"/>
              </w:rPr>
              <w:t>Accumulated other</w:t>
            </w: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ind w:right="186"/>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20" w:type="dxa"/>
            <w:vAlign w:val="bottom"/>
            <w:gridSpan w:val="5"/>
          </w:tcPr>
          <w:p>
            <w:pPr>
              <w:ind w:left="280"/>
              <w:spacing w:after="0"/>
              <w:rPr>
                <w:sz w:val="20"/>
                <w:szCs w:val="20"/>
                <w:color w:val="auto"/>
              </w:rPr>
            </w:pPr>
            <w:r>
              <w:rPr>
                <w:rFonts w:ascii="Arial" w:cs="Arial" w:eastAsia="Arial" w:hAnsi="Arial"/>
                <w:sz w:val="11"/>
                <w:szCs w:val="11"/>
                <w:b w:val="1"/>
                <w:bCs w:val="1"/>
                <w:color w:val="auto"/>
              </w:rPr>
              <w:t>Series B</w:t>
            </w:r>
          </w:p>
        </w:tc>
        <w:tc>
          <w:tcPr>
            <w:tcW w:w="740" w:type="dxa"/>
            <w:vAlign w:val="bottom"/>
            <w:gridSpan w:val="3"/>
          </w:tcPr>
          <w:p>
            <w:pPr>
              <w:ind w:left="300"/>
              <w:spacing w:after="0"/>
              <w:rPr>
                <w:sz w:val="20"/>
                <w:szCs w:val="20"/>
                <w:color w:val="auto"/>
              </w:rPr>
            </w:pPr>
            <w:r>
              <w:rPr>
                <w:rFonts w:ascii="Arial" w:cs="Arial" w:eastAsia="Arial" w:hAnsi="Arial"/>
                <w:sz w:val="11"/>
                <w:szCs w:val="11"/>
                <w:b w:val="1"/>
                <w:bCs w:val="1"/>
                <w:color w:val="auto"/>
                <w:w w:val="95"/>
              </w:rPr>
              <w:t>Series A</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9"/>
              </w:rPr>
              <w:t>Convertible</w:t>
            </w:r>
          </w:p>
        </w:tc>
        <w:tc>
          <w:tcPr>
            <w:tcW w:w="1160" w:type="dxa"/>
            <w:vAlign w:val="bottom"/>
            <w:gridSpan w:val="4"/>
          </w:tcPr>
          <w:p>
            <w:pPr>
              <w:jc w:val="right"/>
              <w:spacing w:after="0"/>
              <w:rPr>
                <w:sz w:val="20"/>
                <w:szCs w:val="20"/>
                <w:color w:val="auto"/>
              </w:rPr>
            </w:pPr>
            <w:r>
              <w:rPr>
                <w:rFonts w:ascii="Arial" w:cs="Arial" w:eastAsia="Arial" w:hAnsi="Arial"/>
                <w:sz w:val="11"/>
                <w:szCs w:val="11"/>
                <w:b w:val="1"/>
                <w:bCs w:val="1"/>
                <w:color w:val="auto"/>
                <w:w w:val="88"/>
              </w:rPr>
              <w:t>Class A Common Stock</w:t>
            </w:r>
          </w:p>
        </w:tc>
        <w:tc>
          <w:tcPr>
            <w:tcW w:w="1200" w:type="dxa"/>
            <w:vAlign w:val="bottom"/>
            <w:gridSpan w:val="6"/>
          </w:tcPr>
          <w:p>
            <w:pPr>
              <w:ind w:left="80"/>
              <w:spacing w:after="0"/>
              <w:rPr>
                <w:sz w:val="20"/>
                <w:szCs w:val="20"/>
                <w:color w:val="auto"/>
              </w:rPr>
            </w:pPr>
            <w:r>
              <w:rPr>
                <w:rFonts w:ascii="Arial" w:cs="Arial" w:eastAsia="Arial" w:hAnsi="Arial"/>
                <w:sz w:val="11"/>
                <w:szCs w:val="11"/>
                <w:b w:val="1"/>
                <w:bCs w:val="1"/>
                <w:color w:val="auto"/>
                <w:w w:val="88"/>
              </w:rPr>
              <w:t>Class B Common Stock</w:t>
            </w:r>
          </w:p>
        </w:tc>
        <w:tc>
          <w:tcPr>
            <w:tcW w:w="20" w:type="dxa"/>
            <w:vAlign w:val="bottom"/>
          </w:tcPr>
          <w:p>
            <w:pPr>
              <w:spacing w:after="0"/>
              <w:rPr>
                <w:sz w:val="11"/>
                <w:szCs w:val="11"/>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comprehensive</w:t>
            </w:r>
          </w:p>
        </w:tc>
        <w:tc>
          <w:tcPr>
            <w:tcW w:w="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Borders>
              <w:top w:val="single" w:sz="8" w:color="auto"/>
            </w:tcBorders>
          </w:tcPr>
          <w:p>
            <w:pPr>
              <w:ind w:left="40"/>
              <w:spacing w:after="0" w:line="115" w:lineRule="exact"/>
              <w:rPr>
                <w:sz w:val="20"/>
                <w:szCs w:val="20"/>
                <w:color w:val="auto"/>
              </w:rPr>
            </w:pPr>
            <w:r>
              <w:rPr>
                <w:rFonts w:ascii="Arial" w:cs="Arial" w:eastAsia="Arial" w:hAnsi="Arial"/>
                <w:sz w:val="11"/>
                <w:szCs w:val="11"/>
                <w:b w:val="1"/>
                <w:bCs w:val="1"/>
                <w:color w:val="auto"/>
                <w:w w:val="87"/>
              </w:rPr>
              <w:t>Shares</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w w:val="97"/>
              </w:rPr>
              <w:t>Shares</w:t>
            </w: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60" w:type="dxa"/>
            <w:vAlign w:val="bottom"/>
          </w:tcPr>
          <w:p>
            <w:pPr>
              <w:spacing w:after="0"/>
              <w:rPr>
                <w:sz w:val="10"/>
                <w:szCs w:val="10"/>
                <w:color w:val="auto"/>
              </w:rPr>
            </w:pPr>
          </w:p>
        </w:tc>
        <w:tc>
          <w:tcPr>
            <w:tcW w:w="900" w:type="dxa"/>
            <w:vAlign w:val="bottom"/>
            <w:gridSpan w:val="5"/>
          </w:tcPr>
          <w:p>
            <w:pPr>
              <w:jc w:val="center"/>
              <w:ind w:right="140"/>
              <w:spacing w:after="0" w:line="115" w:lineRule="exact"/>
              <w:rPr>
                <w:sz w:val="20"/>
                <w:szCs w:val="20"/>
                <w:color w:val="auto"/>
              </w:rPr>
            </w:pPr>
            <w:r>
              <w:rPr>
                <w:rFonts w:ascii="Arial" w:cs="Arial" w:eastAsia="Arial" w:hAnsi="Arial"/>
                <w:sz w:val="11"/>
                <w:szCs w:val="11"/>
                <w:b w:val="1"/>
                <w:bCs w:val="1"/>
                <w:color w:val="auto"/>
                <w:w w:val="87"/>
              </w:rPr>
              <w:t>Preferred Stock</w:t>
            </w:r>
          </w:p>
        </w:tc>
        <w:tc>
          <w:tcPr>
            <w:tcW w:w="620" w:type="dxa"/>
            <w:vAlign w:val="bottom"/>
            <w:tcBorders>
              <w:top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87"/>
              </w:rPr>
              <w:t>Par Value</w:t>
            </w:r>
          </w:p>
        </w:tc>
        <w:tc>
          <w:tcPr>
            <w:tcW w:w="80" w:type="dxa"/>
            <w:vAlign w:val="bottom"/>
          </w:tcPr>
          <w:p>
            <w:pPr>
              <w:spacing w:after="0"/>
              <w:rPr>
                <w:sz w:val="10"/>
                <w:szCs w:val="10"/>
                <w:color w:val="auto"/>
              </w:rPr>
            </w:pPr>
          </w:p>
        </w:tc>
        <w:tc>
          <w:tcPr>
            <w:tcW w:w="460" w:type="dxa"/>
            <w:vAlign w:val="bottom"/>
            <w:tcBorders>
              <w:top w:val="single" w:sz="8" w:color="auto"/>
            </w:tcBorders>
          </w:tcPr>
          <w:p>
            <w:pPr>
              <w:ind w:left="80"/>
              <w:spacing w:after="0" w:line="115" w:lineRule="exact"/>
              <w:rPr>
                <w:sz w:val="20"/>
                <w:szCs w:val="20"/>
                <w:color w:val="auto"/>
              </w:rPr>
            </w:pPr>
            <w:r>
              <w:rPr>
                <w:rFonts w:ascii="Arial" w:cs="Arial" w:eastAsia="Arial" w:hAnsi="Arial"/>
                <w:sz w:val="11"/>
                <w:szCs w:val="11"/>
                <w:b w:val="1"/>
                <w:bCs w:val="1"/>
                <w:color w:val="auto"/>
                <w:w w:val="97"/>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Par Value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72"/>
              </w:rPr>
              <w:t>loss</w:t>
            </w:r>
          </w:p>
        </w:tc>
        <w:tc>
          <w:tcPr>
            <w:tcW w:w="20" w:type="dxa"/>
            <w:vAlign w:val="bottom"/>
          </w:tcPr>
          <w:p>
            <w:pPr>
              <w:spacing w:after="0"/>
              <w:rPr>
                <w:sz w:val="10"/>
                <w:szCs w:val="10"/>
                <w:color w:val="auto"/>
              </w:rPr>
            </w:pPr>
          </w:p>
        </w:tc>
        <w:tc>
          <w:tcPr>
            <w:tcW w:w="660" w:type="dxa"/>
            <w:vAlign w:val="bottom"/>
          </w:tcPr>
          <w:p>
            <w:pPr>
              <w:jc w:val="right"/>
              <w:ind w:right="126"/>
              <w:spacing w:after="0" w:line="115" w:lineRule="exact"/>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0"/>
                <w:szCs w:val="10"/>
                <w:color w:val="auto"/>
              </w:rPr>
            </w:pPr>
          </w:p>
        </w:tc>
        <w:tc>
          <w:tcPr>
            <w:tcW w:w="7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at December 31, 2021</w:t>
            </w:r>
          </w:p>
        </w:tc>
        <w:tc>
          <w:tcPr>
            <w:tcW w:w="3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w:t>
            </w:r>
          </w:p>
        </w:tc>
        <w:tc>
          <w:tcPr>
            <w:tcW w:w="1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auto"/>
            </w:tcBorders>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26,320,199</w:t>
            </w:r>
          </w:p>
        </w:tc>
        <w:tc>
          <w:tcPr>
            <w:tcW w:w="160" w:type="dxa"/>
            <w:vAlign w:val="bottom"/>
            <w:gridSpan w:val="2"/>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26,320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04"/>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88"/>
              </w:rPr>
              <w:t>$ 215,276,186</w:t>
            </w:r>
          </w:p>
        </w:tc>
        <w:tc>
          <w:tcPr>
            <w:tcW w:w="1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(49,009)</w:t>
            </w: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2"/>
              </w:rPr>
              <w:t>$ (59,273,388)</w:t>
            </w:r>
          </w:p>
        </w:tc>
        <w:tc>
          <w:tcPr>
            <w:tcW w:w="18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1"/>
              </w:rPr>
              <w:t>155,980,109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common stock upon</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63,100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193,048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193,111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4"/>
              </w:rPr>
              <w:t>Stock-based compensation expense</w:t>
            </w:r>
          </w:p>
        </w:tc>
        <w:tc>
          <w:tcPr>
            <w:tcW w:w="3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897,650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897,650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3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(12,896,374)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6"/>
              </w:rPr>
              <w:t>(12,896,374)</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comprehensive loss</w:t>
            </w:r>
          </w:p>
        </w:tc>
        <w:tc>
          <w:tcPr>
            <w:tcW w:w="3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(118,386)</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(118,386)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March 31, 2022</w:t>
            </w:r>
          </w:p>
        </w:tc>
        <w:tc>
          <w:tcPr>
            <w:tcW w:w="380" w:type="dxa"/>
            <w:vAlign w:val="bottom"/>
            <w:tcBorders>
              <w:bottom w:val="single" w:sz="8" w:color="auto"/>
            </w:tcBorders>
            <w:shd w:val="clear" w:color="auto" w:fill="CCEEFF"/>
          </w:tcPr>
          <w:p>
            <w:pPr>
              <w:ind w:left="2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shd w:val="clear" w:color="auto" w:fill="CCEEFF"/>
          </w:tcPr>
          <w:p>
            <w:pPr>
              <w:ind w:left="28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28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5"/>
                <w:szCs w:val="5"/>
                <w:color w:val="auto"/>
                <w:w w:val="70"/>
              </w:rPr>
              <w:t>$</w:t>
            </w:r>
          </w:p>
        </w:tc>
        <w:tc>
          <w:tcPr>
            <w:tcW w:w="2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shd w:val="clear" w:color="auto" w:fill="CCEEFF"/>
          </w:tcPr>
          <w:p>
            <w:pPr>
              <w:ind w:left="52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26,383,299</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4"/>
              </w:rPr>
              <w:t>26,383</w:t>
            </w: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5"/>
              </w:rPr>
              <w:t>$ 216,366,884</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(167,395)</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9"/>
              </w:rPr>
              <w:t>$ (72,169,762)</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1"/>
              </w:rPr>
              <w:t>144,056,110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common stock upon</w:t>
            </w: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27,775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27,784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4"/>
              </w:rPr>
              <w:t>Stock-based compensation expense</w:t>
            </w:r>
          </w:p>
        </w:tc>
        <w:tc>
          <w:tcPr>
            <w:tcW w:w="3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1,052,421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1,052,421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3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(11,527,303)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6"/>
              </w:rPr>
              <w:t>(11,527,303)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comprehensive loss</w:t>
            </w:r>
          </w:p>
        </w:tc>
        <w:tc>
          <w:tcPr>
            <w:tcW w:w="3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tcBorders>
              <w:right w:val="single" w:sz="8" w:color="auto"/>
            </w:tcBorders>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(14,166)</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(14,166)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June 30, 2022</w:t>
            </w:r>
          </w:p>
        </w:tc>
        <w:tc>
          <w:tcPr>
            <w:tcW w:w="380" w:type="dxa"/>
            <w:vAlign w:val="bottom"/>
            <w:tcBorders>
              <w:bottom w:val="single" w:sz="8" w:color="auto"/>
            </w:tcBorders>
            <w:shd w:val="clear" w:color="auto" w:fill="CCEEFF"/>
          </w:tcPr>
          <w:p>
            <w:pPr>
              <w:ind w:left="2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shd w:val="clear" w:color="auto" w:fill="CCEEFF"/>
          </w:tcPr>
          <w:p>
            <w:pPr>
              <w:ind w:left="28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ind w:left="28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5"/>
                <w:szCs w:val="5"/>
                <w:color w:val="auto"/>
                <w:w w:val="70"/>
              </w:rPr>
              <w:t>$</w:t>
            </w:r>
          </w:p>
        </w:tc>
        <w:tc>
          <w:tcPr>
            <w:tcW w:w="2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shd w:val="clear" w:color="auto" w:fill="CCEEFF"/>
          </w:tcPr>
          <w:p>
            <w:pPr>
              <w:ind w:left="52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26,392,299</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4"/>
              </w:rPr>
              <w:t>26,392</w:t>
            </w: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5"/>
              </w:rPr>
              <w:t>$ 217,447,080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(181,561)</w:t>
            </w: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9"/>
              </w:rPr>
              <w:t>$ (83,697,065)</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1"/>
              </w:rPr>
              <w:t>133,594,846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left="1500" w:right="1740"/>
        <w:spacing w:after="0" w:line="257" w:lineRule="auto"/>
        <w:rPr>
          <w:sz w:val="20"/>
          <w:szCs w:val="20"/>
          <w:color w:val="auto"/>
        </w:rPr>
      </w:pPr>
      <w:r>
        <w:rPr>
          <w:rFonts w:ascii="Arial" w:cs="Arial" w:eastAsia="Arial" w:hAnsi="Arial"/>
          <w:sz w:val="18"/>
          <w:szCs w:val="18"/>
          <w:b w:val="1"/>
          <w:bCs w:val="1"/>
          <w:color w:val="auto"/>
        </w:rPr>
        <w:t>CONDENSED CONSOLIDATED STATEMENTS OF CASH FLOWS FOR THE SIX MONTHS ENDED JUNE 30, 2022 and 2021 (Unaudited)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r>
      <w:tr>
        <w:trPr>
          <w:trHeight w:val="142"/>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(24,423,677)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(14,217,316)</w:t>
            </w: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to reconcile to net loss to net cash used in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18,674</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50,333</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533,234</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Net amortization of premium (accretion of discount) on marketable securities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(Increase) decrease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2,026,298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(555,726)</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(946,053)</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Increase (decrease)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(154,099)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(48,021)</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(1,727,466)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2,619,878</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liability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(37,271)</w:t>
            </w:r>
          </w:p>
        </w:tc>
      </w:tr>
      <w:tr>
        <w:trPr>
          <w:trHeight w:val="216"/>
        </w:trPr>
        <w:tc>
          <w:tcPr>
            <w:tcW w:w="65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(21,730,312)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(12,577,263)</w:t>
            </w:r>
          </w:p>
        </w:tc>
      </w:tr>
      <w:tr>
        <w:trPr>
          <w:trHeight w:val="210"/>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(280,047)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(36,388)</w:t>
            </w:r>
          </w:p>
        </w:tc>
      </w:tr>
      <w:tr>
        <w:trPr>
          <w:trHeight w:val="216"/>
        </w:trPr>
        <w:tc>
          <w:tcPr>
            <w:tcW w:w="6540" w:type="dxa"/>
            <w:vAlign w:val="bottom"/>
          </w:tcPr>
          <w:p>
            <w:pPr>
              <w:ind w:left="14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(17,989,202)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Maturities of marketable securities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52,828,000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34,558,751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(36,388)</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52,627</w:t>
            </w: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issuance of Series B preferred stock, net of issuance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24,788,851</w:t>
            </w: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Proceeds from exercise of warrants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927,125</w:t>
            </w:r>
          </w:p>
        </w:tc>
      </w:tr>
      <w:tr>
        <w:trPr>
          <w:trHeight w:val="210"/>
        </w:trPr>
        <w:tc>
          <w:tcPr>
            <w:tcW w:w="65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25,768,603</w:t>
            </w:r>
          </w:p>
        </w:tc>
      </w:tr>
      <w:tr>
        <w:trPr>
          <w:trHeight w:val="210"/>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13,049,334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13,154,952</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74,888,145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37,090,151</w:t>
            </w:r>
          </w:p>
        </w:tc>
      </w:tr>
      <w:tr>
        <w:trPr>
          <w:trHeight w:val="25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87,937,479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50,245,103</w:t>
            </w:r>
          </w:p>
        </w:tc>
      </w:tr>
      <w:tr>
        <w:trPr>
          <w:trHeight w:val="197"/>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noncash information: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56"/>
        </w:trPr>
        <w:tc>
          <w:tcPr>
            <w:tcW w:w="6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3"/>
              </w:rPr>
              <w:t>Reduction of right of use asset and lease liability in connection with lease modification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347,739</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65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Deferred offering costs included in accounts payable and accrued expenses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875,078</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21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Immuneering Corporation, a Delaware corporation, (“Immuneering” or the “Company”) was incorporated in 2008. The Company aims to improve patient outcomes by advancing a pipeline of product candidates designed to benefit large populations of patients with cancer and other diseases, developed using the Company’s translational bioinformatics platform. The Company has more than a decade of experience applying translational bioinformatics to generate insights into drug mechanism of action and patient treatment response. Building on this experience, the Company’s disease-agnostic discovery platform enables the Company to create product candidates based on 1) biological insights that are both counterintuitive and deeply rooted in data, and 2) novel chemistry.</w:t>
      </w:r>
    </w:p>
    <w:p>
      <w:pPr>
        <w:spacing w:after="0" w:line="17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December 22, 2021, the Company acquired all outstanding shares of capital stock of BioArkive, Inc. (“BioArkive”), a California corporation, which as a result became a wholly owned subsidiary.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Immuneering, ISC and BioArkive are collectively referred to as “the Company” throughout these condensed consolidated financial statements.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June 30, 2022, the Company had an accumulated deficit of $83,697,065.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considers that there are no conditions or events, in the aggregate, that raise substantial doubt about the entity’s ability to continue as a going concern and estimates that its cash and cash equivalents will be sufficient to fund its operating expenses and capital expenditure requirements for at least 12 months from the issuance date of the consolidated financial statements. The full extent to which coronavirus (“COVID-19”) pandemic will directly or indirectly impact the Company’s business, results of operations and financial</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condensed consolidated financial statements have been prepared in accordance with accounting standards set by the Financial Accounting Standards Board (“FASB”). The FASB sets generally accepted accounting principles (“GAAP”) to ensure the condensed consolidated financial statements are consistently reported. References to GAAP issued by the FASB in these footnotes are to the FASB Accounting Standards Codifications (“ASC”). The condensed consolidated financial statements include the accounts of the Company and its wholly owned subsidiary. All intercompany balances and transactions have been eliminated in consolidation.</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been no material changes to the accounting policies of the Company as those set forth in Note 2 to the audited consolidated financial statements contained in the Annual Report on Form 10-K for the fiscal period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unaudited interim condensed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2021.</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condensed consolidated financial statements included but are not limited to, the research and development expenses, determination of fair value of stock-based awards, the valuation of common stock prior to the IPO, and the right-to-use assets and operating lease liability. Actual results may differ materially and adversely from these estimates.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Goodwill represents the excess of the fair value of the acquiree over the recognized bases of the net identifiable assets acquired and includes the future economic benefits from other assets that could not be individually identified and separately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recognized. Goodwill is not amortized, but instead is periodically reviewed for impairment and an impairment charge is recorded in the periods in which the recorded carrying value of goodwill exceeds its fair value.</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goodwill test is performed at least annually, or more frequently if events or changes in circumstances indicate that the asset might be impaired.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performs its annual impairment test during the fourth quarter of each fiscal year. There were no impairments in 2021.</w:t>
      </w:r>
    </w:p>
    <w:p>
      <w:pPr>
        <w:spacing w:after="0" w:line="170"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Subsequent to December 31, 2021, the Company’s market capitalization has declined which may be an indicator of impairment. The Company will continue to assess the impact of its market capitalization and any other indicators of potential impairment. It is possible that if the Company’s market capitalization decline is more than temporary, or if other indicators of impairment are identified, an interim impairment analysis may be necessary, which could result in an impairment of goodwill, intangible assets and other long-lived assets in 2022.</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2016, the FASB issued Accounting Standards Update (“ASU”) No.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Financial Instruments - Credit Losses (Topic 326) will become effective for the Company on January 1, 2023. The Company is currently evaluating the new guidance and assessing the potential impact on its condensed consolidated financial statements.</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January 2017, the FASB issued ASU 2017-04, Intangibles - Goodwill and Other (Topic 350</w:t>
      </w:r>
      <w:r>
        <w:rPr>
          <w:rFonts w:ascii="Arial" w:cs="Arial" w:eastAsia="Arial" w:hAnsi="Arial"/>
          <w:sz w:val="17"/>
          <w:szCs w:val="17"/>
          <w:i w:val="1"/>
          <w:iCs w:val="1"/>
          <w:color w:val="auto"/>
        </w:rPr>
        <w:t>)</w:t>
      </w:r>
      <w:r>
        <w:rPr>
          <w:rFonts w:ascii="Arial" w:cs="Arial" w:eastAsia="Arial" w:hAnsi="Arial"/>
          <w:sz w:val="17"/>
          <w:szCs w:val="17"/>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is currently evaluating the new guidance and assessing the potential impact on its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Marketable Securities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marketable securities are classified as available-for-sale pursuant to ASC 320, Investments – Debt and Equity Securities and are recorded at fair value. Unrealized gains/(losses) are included as a component of accumulated other comprehensive loss in the condensed consolidated balance sheets and statements of convertible preferred stock and stockholders’ equity and a component of total comprehensive loss in the condensed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three and six months ended June 30, 2022 or 2021. Realized gains and losses are included in other expense on a specific-identification basis. There were no realized gains or losses on marketable securities for the three and six months ended June 30, 2022 or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Marketable securities as of June 30, 2022 consisted of the following: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6"/>
                <w:szCs w:val="16"/>
                <w:color w:val="auto"/>
              </w:rPr>
            </w:pPr>
          </w:p>
        </w:tc>
        <w:tc>
          <w:tcPr>
            <w:tcW w:w="13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3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6"/>
                <w:szCs w:val="16"/>
                <w:color w:val="auto"/>
              </w:rPr>
            </w:pPr>
          </w:p>
        </w:tc>
        <w:tc>
          <w:tcPr>
            <w:tcW w:w="12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0"/>
                <w:szCs w:val="10"/>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jc w:val="right"/>
              <w:ind w:right="2410"/>
              <w:spacing w:after="0"/>
              <w:rPr>
                <w:sz w:val="20"/>
                <w:szCs w:val="20"/>
                <w:color w:val="auto"/>
              </w:rPr>
            </w:pPr>
            <w:r>
              <w:rPr>
                <w:rFonts w:ascii="Arial" w:cs="Arial" w:eastAsia="Arial" w:hAnsi="Arial"/>
                <w:sz w:val="18"/>
                <w:szCs w:val="18"/>
                <w:b w:val="1"/>
                <w:bCs w:val="1"/>
                <w:color w:val="auto"/>
                <w:w w:val="82"/>
              </w:rPr>
              <w:t>Assets:</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0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Pr>
          <w:p>
            <w:pPr>
              <w:jc w:val="right"/>
              <w:ind w:right="169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21,748,299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(125,724)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21,622,575</w:t>
            </w:r>
          </w:p>
        </w:tc>
        <w:tc>
          <w:tcPr>
            <w:tcW w:w="0" w:type="dxa"/>
            <w:vAlign w:val="bottom"/>
          </w:tcPr>
          <w:p>
            <w:pPr>
              <w:spacing w:after="0"/>
              <w:rPr>
                <w:sz w:val="1"/>
                <w:szCs w:val="1"/>
                <w:color w:val="auto"/>
              </w:rPr>
            </w:pPr>
          </w:p>
        </w:tc>
      </w:tr>
      <w:tr>
        <w:trPr>
          <w:trHeight w:val="216"/>
        </w:trPr>
        <w:tc>
          <w:tcPr>
            <w:tcW w:w="3060" w:type="dxa"/>
            <w:vAlign w:val="bottom"/>
          </w:tcPr>
          <w:p>
            <w:pPr>
              <w:jc w:val="right"/>
              <w:ind w:right="210"/>
              <w:spacing w:after="0"/>
              <w:rPr>
                <w:sz w:val="20"/>
                <w:szCs w:val="20"/>
                <w:color w:val="auto"/>
              </w:rPr>
            </w:pPr>
            <w:r>
              <w:rPr>
                <w:rFonts w:ascii="Arial" w:cs="Arial" w:eastAsia="Arial" w:hAnsi="Arial"/>
                <w:sz w:val="18"/>
                <w:szCs w:val="18"/>
                <w:color w:val="auto"/>
              </w:rPr>
              <w:t>Government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8,600,549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(29,869)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8,570,680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9,995,295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(24,675)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9,970,620</w:t>
            </w:r>
          </w:p>
        </w:tc>
        <w:tc>
          <w:tcPr>
            <w:tcW w:w="0" w:type="dxa"/>
            <w:vAlign w:val="bottom"/>
          </w:tcPr>
          <w:p>
            <w:pPr>
              <w:spacing w:after="0"/>
              <w:rPr>
                <w:sz w:val="1"/>
                <w:szCs w:val="1"/>
                <w:color w:val="auto"/>
              </w:rPr>
            </w:pPr>
          </w:p>
        </w:tc>
      </w:tr>
      <w:tr>
        <w:trPr>
          <w:trHeight w:val="210"/>
        </w:trPr>
        <w:tc>
          <w:tcPr>
            <w:tcW w:w="30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40,344,143</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(180,268)</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40,163,875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Marketable securities as of December 31, 2021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6"/>
                <w:szCs w:val="16"/>
                <w:color w:val="auto"/>
              </w:rPr>
            </w:pPr>
          </w:p>
        </w:tc>
        <w:tc>
          <w:tcPr>
            <w:tcW w:w="13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3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6"/>
                <w:szCs w:val="16"/>
                <w:color w:val="auto"/>
              </w:rPr>
            </w:pPr>
          </w:p>
        </w:tc>
        <w:tc>
          <w:tcPr>
            <w:tcW w:w="12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0"/>
                <w:szCs w:val="10"/>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jc w:val="right"/>
              <w:ind w:right="2410"/>
              <w:spacing w:after="0"/>
              <w:rPr>
                <w:sz w:val="20"/>
                <w:szCs w:val="20"/>
                <w:color w:val="auto"/>
              </w:rPr>
            </w:pPr>
            <w:r>
              <w:rPr>
                <w:rFonts w:ascii="Arial" w:cs="Arial" w:eastAsia="Arial" w:hAnsi="Arial"/>
                <w:sz w:val="18"/>
                <w:szCs w:val="18"/>
                <w:b w:val="1"/>
                <w:bCs w:val="1"/>
                <w:color w:val="auto"/>
                <w:w w:val="82"/>
              </w:rPr>
              <w:t>Assets:</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0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Pr>
          <w:p>
            <w:pPr>
              <w:jc w:val="right"/>
              <w:ind w:right="169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42,147,385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(28,575)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42,118,810</w:t>
            </w:r>
          </w:p>
        </w:tc>
        <w:tc>
          <w:tcPr>
            <w:tcW w:w="0" w:type="dxa"/>
            <w:vAlign w:val="bottom"/>
          </w:tcPr>
          <w:p>
            <w:pPr>
              <w:spacing w:after="0"/>
              <w:rPr>
                <w:sz w:val="1"/>
                <w:szCs w:val="1"/>
                <w:color w:val="auto"/>
              </w:rPr>
            </w:pPr>
          </w:p>
        </w:tc>
      </w:tr>
      <w:tr>
        <w:trPr>
          <w:trHeight w:val="216"/>
        </w:trPr>
        <w:tc>
          <w:tcPr>
            <w:tcW w:w="3060" w:type="dxa"/>
            <w:vAlign w:val="bottom"/>
          </w:tcPr>
          <w:p>
            <w:pPr>
              <w:jc w:val="right"/>
              <w:ind w:right="210"/>
              <w:spacing w:after="0"/>
              <w:rPr>
                <w:sz w:val="20"/>
                <w:szCs w:val="20"/>
                <w:color w:val="auto"/>
              </w:rPr>
            </w:pPr>
            <w:r>
              <w:rPr>
                <w:rFonts w:ascii="Arial" w:cs="Arial" w:eastAsia="Arial" w:hAnsi="Arial"/>
                <w:sz w:val="18"/>
                <w:szCs w:val="18"/>
                <w:color w:val="auto"/>
              </w:rPr>
              <w:t>Government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19,218,057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(13,689)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19,204,368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12,992,165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12,988,025</w:t>
            </w:r>
          </w:p>
        </w:tc>
        <w:tc>
          <w:tcPr>
            <w:tcW w:w="0" w:type="dxa"/>
            <w:vAlign w:val="bottom"/>
          </w:tcPr>
          <w:p>
            <w:pPr>
              <w:spacing w:after="0"/>
              <w:rPr>
                <w:sz w:val="1"/>
                <w:szCs w:val="1"/>
                <w:color w:val="auto"/>
              </w:rPr>
            </w:pPr>
          </w:p>
        </w:tc>
      </w:tr>
      <w:tr>
        <w:trPr>
          <w:trHeight w:val="210"/>
        </w:trPr>
        <w:tc>
          <w:tcPr>
            <w:tcW w:w="30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Current</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74,357,607</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(46,461)</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74,311,203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1450"/>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999,186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996,560</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Government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Total Non-current</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999,186</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996,560</w:t>
            </w:r>
          </w:p>
        </w:tc>
        <w:tc>
          <w:tcPr>
            <w:tcW w:w="0" w:type="dxa"/>
            <w:vAlign w:val="bottom"/>
          </w:tcPr>
          <w:p>
            <w:pPr>
              <w:spacing w:after="0"/>
              <w:rPr>
                <w:sz w:val="1"/>
                <w:szCs w:val="1"/>
                <w:color w:val="auto"/>
              </w:rPr>
            </w:pPr>
          </w:p>
        </w:tc>
      </w:tr>
      <w:tr>
        <w:trPr>
          <w:trHeight w:val="210"/>
        </w:trPr>
        <w:tc>
          <w:tcPr>
            <w:tcW w:w="30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marketable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75,356,793</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(49,087)</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75,307,763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assets and liabilities in active markets, quoted prices in markets that are not active,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inputs which are observable, directly or indirectly, for substantially the full term of the asset or liability.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reflect our own assumptions about the assumptions market participants would use in</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the asset or liability in which there is little, if any, market activity for the asset or liability at the measurement date.</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June 30,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38,003,223</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38,003,223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7,996,140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7,996,140</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38,003,223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7,996,140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45,999,363</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21,622,575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21,622,575</w:t>
            </w: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8,570,680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8,570,680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9,970,620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9,970,620</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21,622,575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18,541,300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40,163,875</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cash equivalents and marketable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59,625,798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26,537,440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86,163,238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valuation procedures, we did not adjust or override any fair value measurements provided by the pricing services as of June 30, 2022.</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been no changes to the valuation methods during the three months ended June 30, 2022. There were no transfers between Level 1 and Level 2 and we had no financial assets or liabilities that were classified as Level 3 at any point during the six months ended June 30, 2022.</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December 31,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33,961,344</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33,961,344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33,961,344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35,961,344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43,115,370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43,115,370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rPr>
              <w:t>Government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19,204,368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19,204,368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12,988,025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43,115,370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32,192,393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75,307,763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cash equivalents and marketable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77,076,714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34,192,393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111,269,107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Property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r>
      <w:tr>
        <w:trPr>
          <w:trHeight w:val="210"/>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281,666</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84,477</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463,182</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207,492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152,117</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1,261,489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981,442</w:t>
            </w:r>
          </w:p>
        </w:tc>
      </w:tr>
      <w:tr>
        <w:trPr>
          <w:trHeight w:val="20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(276,482)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(174,219)</w:t>
            </w:r>
          </w:p>
        </w:tc>
      </w:tr>
      <w:tr>
        <w:trPr>
          <w:trHeight w:val="210"/>
        </w:trPr>
        <w:tc>
          <w:tcPr>
            <w:tcW w:w="6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985,007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807,223</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expense totaled $54,560 and $9,807 for the three months ended June 30, 2022 and 2021, respectively.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expense totaled $102,263 and $18,674 for the six months ended June 30, 2022 and 2021, respectively.</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Business Combination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BioArkive Acquisition</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On December 22, 2021, the Company completed the acquisition of all outstanding shares of capital stock of BioArkive, Inc., a California corporation, for a market value of $8.75 million.</w:t>
      </w:r>
    </w:p>
    <w:p>
      <w:pPr>
        <w:spacing w:after="0" w:line="170"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BioArkive is a San Diego based contract research organization that has previously provided preclinical research services and biosample storage to the Company and other biotechnology companies. BioArkive is in the process of being fully integrated into the Company to exclusively support the Company's internal preclinical research activities for its oncology pipeline.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connection with the acquisition, the Company has assumed the obligations under BioArkive’s three lease agreements.</w:t>
      </w:r>
    </w:p>
    <w:p>
      <w:pPr>
        <w:spacing w:after="0" w:line="248"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purchase price was paid by Immuneering through the issuance of an aggregate of 379,635 shares of Immuneering’s Class A common stock. The number of shares of common stock issued was calculated using a value based on the average of the daily volume weighted average prices of the common stock on the Nasdaq Stock Exchange for the 30-trading day period ending on and including the trading day immediately prior to the closing date. The sellers of BioArkive were restricted from selling these shares for a six-month period from the date of the acquisition. As such, we estimated that there was an approximate 10% discount for the lack of marketability of the shares. The fair value of the purchase price in the acquisition was $7,875,000.</w:t>
      </w:r>
    </w:p>
    <w:p>
      <w:pPr>
        <w:spacing w:after="0" w:line="19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Prior to the acquistion, Brett Hall, Chief Scientific Officer of Immuneering and the Founder and Chairman of the board of directors of BioArkive, held the majority of the outstanding shares of BioArkive capital stock. BioArkive provided contract services to the Company. Research and development expenses in the consolidated statement of operations include the cost of services provided by BioArkive to the Company which amounted to $4,548,780 in 2021 through the date of the acquisition. The results of BioArkive’s operations are included in accounts payable or accrued contract research expenses in the consolidated balance sheets.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Assets Acquired and Liabilities Assumed at Fair Value</w:t>
      </w:r>
    </w:p>
    <w:p>
      <w:pPr>
        <w:spacing w:after="0" w:line="22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The BioArkive acquisition has been accounted for using the acquisition method of accounting. This method requires assets acquired and liabilities assumed in a business combination to be recognized at their fair values as of the acquisition date. As of March 31, 2022, the purchase accounting had been finalized, and there was an immaterial measurement period adjustment related to accrued expenses and goodwill. No other adjustments were identified.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estimated fair value of the intangible assets was determined using the relief from royalty approach.</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Goodwill is the excess of the consideration transferred over the net assets recognized and represents the expected cost savings of the combined company and assembled workforce. One of the key factors that contributes to the recognition of goodwill, and a driver for the Company's acquisition of BioArkive, is the planned investment in the internal preclinical research activities for our oncology pipeline. Goodwill recognized as a result of this acquisition is non-deductible for income tax purposes.</w:t>
      </w:r>
    </w:p>
    <w:p>
      <w:pPr>
        <w:spacing w:after="0" w:line="188" w:lineRule="exact"/>
        <w:rPr>
          <w:sz w:val="20"/>
          <w:szCs w:val="20"/>
          <w:color w:val="auto"/>
        </w:rPr>
      </w:pPr>
    </w:p>
    <w:p>
      <w:pPr>
        <w:ind w:left="60" w:right="99"/>
        <w:spacing w:after="0" w:line="258" w:lineRule="auto"/>
        <w:rPr>
          <w:sz w:val="20"/>
          <w:szCs w:val="20"/>
          <w:color w:val="auto"/>
        </w:rPr>
      </w:pPr>
      <w:r>
        <w:rPr>
          <w:rFonts w:ascii="Arial" w:cs="Arial" w:eastAsia="Arial" w:hAnsi="Arial"/>
          <w:sz w:val="18"/>
          <w:szCs w:val="18"/>
          <w:color w:val="auto"/>
        </w:rPr>
        <w:t>Pro forma results are not presented for this acquisition as they are not material to the consolidated results of the Company’s operations.</w:t>
      </w:r>
    </w:p>
    <w:tbl>
      <w:tblPr>
        <w:tblLayout w:type="fixed"/>
        <w:tblInd w:w="40" w:type="dxa"/>
        <w:tblCellMar>
          <w:top w:w="0" w:type="dxa"/>
          <w:left w:w="0" w:type="dxa"/>
          <w:bottom w:w="0" w:type="dxa"/>
          <w:right w:w="0" w:type="dxa"/>
        </w:tblCellMar>
      </w:tblPr>
      <w:tr>
        <w:trPr>
          <w:trHeight w:val="141"/>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Preliminary</w:t>
            </w:r>
          </w:p>
        </w:tc>
        <w:tc>
          <w:tcPr>
            <w:tcW w:w="100" w:type="dxa"/>
            <w:vAlign w:val="bottom"/>
          </w:tcPr>
          <w:p>
            <w:pPr>
              <w:spacing w:after="0"/>
              <w:rPr>
                <w:sz w:val="12"/>
                <w:szCs w:val="12"/>
                <w:color w:val="auto"/>
              </w:rPr>
            </w:pPr>
          </w:p>
        </w:tc>
        <w:tc>
          <w:tcPr>
            <w:tcW w:w="1240" w:type="dxa"/>
            <w:vAlign w:val="bottom"/>
            <w:gridSpan w:val="3"/>
          </w:tcPr>
          <w:p>
            <w:pPr>
              <w:jc w:val="center"/>
              <w:ind w:right="240"/>
              <w:spacing w:after="0" w:line="141" w:lineRule="exact"/>
              <w:rPr>
                <w:sz w:val="20"/>
                <w:szCs w:val="20"/>
                <w:color w:val="auto"/>
              </w:rPr>
            </w:pPr>
            <w:r>
              <w:rPr>
                <w:rFonts w:ascii="Arial" w:cs="Arial" w:eastAsia="Arial" w:hAnsi="Arial"/>
                <w:sz w:val="14"/>
                <w:szCs w:val="14"/>
                <w:b w:val="1"/>
                <w:bCs w:val="1"/>
                <w:color w:val="auto"/>
                <w:w w:val="93"/>
              </w:rPr>
              <w:t>Measurement</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Final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Valuation</w:t>
            </w:r>
          </w:p>
        </w:tc>
        <w:tc>
          <w:tcPr>
            <w:tcW w:w="10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Valuation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70,348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Other currents assets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225,790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87,796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727,539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727,539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4,824,700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Intangible asset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6,701,726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6,690,431</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13,076,899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5"/>
              </w:rPr>
              <w:t>13,065,604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w w:val="94"/>
              </w:rPr>
              <w:t>Accounts payable, accrued expenses and other liabilities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(11,295)</w:t>
            </w: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58,419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307,485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4,824,700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4,824,700</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Note 7 – Accrued Expenses</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ind w:left="20"/>
              <w:spacing w:after="0"/>
              <w:rPr>
                <w:sz w:val="20"/>
                <w:szCs w:val="20"/>
                <w:color w:val="auto"/>
              </w:rPr>
            </w:pPr>
            <w:r>
              <w:rPr>
                <w:rFonts w:ascii="Arial" w:cs="Arial" w:eastAsia="Arial" w:hAnsi="Arial"/>
                <w:sz w:val="18"/>
                <w:szCs w:val="18"/>
                <w:color w:val="auto"/>
              </w:rPr>
              <w:t>Accrued expenses consisted of the following: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251,271</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250,977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Accrued employee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2"/>
              </w:rPr>
              <w:t>1,591,656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2,917,282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contract research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335,658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585,416</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211,772</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$ 2,226,687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3,965,447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Preferred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B Preferred Stock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April and May 2021, 2,412,853 shares of the second tranche of Series B Preferred Stock were issued based on the voluntary election of substantially all of the holders of Series B Preferred Stock. The Company received gross proceeds of $24,799,786. The Company incurred issuance costs of $10,935 in connection with the second tranche of Series B Preferred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Upon the closing of the IPO on August 3, 2021, all 8,528,078 shares of the Company’s convertible preferred stock then outstanding automatically converted into 11,939,281 shares of Class A common stock.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Common Stock</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had 200,000,000 authorized shares of Class A common stock, $0.001 par value per share as of June 30, 2022 and December 31, 2021 of which 26,392,299 and 26,320,199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June 30, 2022 and December 31, 2021, the following number of shares of Class A common stock have been reserved: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9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r>
      <w:tr>
        <w:trPr>
          <w:trHeight w:val="210"/>
        </w:trPr>
        <w:tc>
          <w:tcPr>
            <w:tcW w:w="6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common stock options</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3,827,454</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2,859,544</w:t>
            </w:r>
          </w:p>
        </w:tc>
      </w:tr>
      <w:tr>
        <w:trPr>
          <w:trHeight w:val="209"/>
        </w:trPr>
        <w:tc>
          <w:tcPr>
            <w:tcW w:w="69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3,827,454</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2,859,544</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had 20,000,000 authorized shares of Class B common stock, $0.001 par value per share as of June 30, 2022 and December 31, 2021,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IPO</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28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20,000,000 shares of Class B common stock, par value $0.001 per share, and (ii) authorize 10,000,000 shares of Preferred Stock; and (iii) authorize the Board of Directors to establish the rights, preferences and restrictions on any unissued series of Preferred Stock.</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Net Loss Per Share Attributable to Common Stockholders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6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Company’s participating securities include the Company’s Preferred Stock, as the holders are entitled to receive noncumulative dividends in the event that a dividend is paid on common stock. The holders of Preferred Stock do not have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 contractual obligation to share in losses of the Company, and therefore during periods of loss there is no allocation required under the two-class method.</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at June 30, 2022 and 2021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22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(11,527,303)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(7,987,665)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(24,423,677)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(14,217,316)</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 basic and diluted: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2"/>
        </w:trPr>
        <w:tc>
          <w:tcPr>
            <w:tcW w:w="4200" w:type="dxa"/>
            <w:vAlign w:val="bottom"/>
          </w:tcPr>
          <w:p>
            <w:pPr>
              <w:ind w:left="120"/>
              <w:spacing w:after="0" w:line="201" w:lineRule="exact"/>
              <w:rPr>
                <w:sz w:val="20"/>
                <w:szCs w:val="20"/>
                <w:color w:val="auto"/>
              </w:rPr>
            </w:pPr>
            <w:r>
              <w:rPr>
                <w:rFonts w:ascii="Arial" w:cs="Arial" w:eastAsia="Arial" w:hAnsi="Arial"/>
                <w:sz w:val="18"/>
                <w:szCs w:val="18"/>
                <w:color w:val="auto"/>
                <w:w w:val="94"/>
              </w:rPr>
              <w:t>Weighted-average common shares outstanding, basic</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and diluted</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26,386,343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4,954,553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26,372,787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4,952,352</w:t>
            </w:r>
          </w:p>
        </w:tc>
      </w:tr>
      <w:tr>
        <w:trPr>
          <w:trHeight w:val="21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following table sets forth the potentially dilutive securities that have been excluded from the calculation of diluted net loss per share because to include them would be anti-dilutive (in common stock equivalent shares) at June 30, 2022 and 2021:</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10"/>
        </w:trPr>
        <w:tc>
          <w:tcPr>
            <w:tcW w:w="7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3,827,454</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2,668,327</w:t>
            </w:r>
          </w:p>
        </w:tc>
      </w:tr>
      <w:tr>
        <w:trPr>
          <w:trHeight w:val="210"/>
        </w:trPr>
        <w:tc>
          <w:tcPr>
            <w:tcW w:w="7040" w:type="dxa"/>
            <w:vAlign w:val="bottom"/>
          </w:tcPr>
          <w:p>
            <w:pPr>
              <w:ind w:left="120"/>
              <w:spacing w:after="0"/>
              <w:rPr>
                <w:sz w:val="20"/>
                <w:szCs w:val="20"/>
                <w:color w:val="auto"/>
              </w:rPr>
            </w:pPr>
            <w:r>
              <w:rPr>
                <w:rFonts w:ascii="Arial" w:cs="Arial" w:eastAsia="Arial" w:hAnsi="Arial"/>
                <w:sz w:val="18"/>
                <w:szCs w:val="18"/>
                <w:color w:val="auto"/>
              </w:rPr>
              <w:t>Total shares of common stock equivalents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3,827,454</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2,668,327</w:t>
            </w:r>
          </w:p>
        </w:tc>
      </w:tr>
      <w:tr>
        <w:trPr>
          <w:trHeight w:val="20"/>
        </w:trPr>
        <w:tc>
          <w:tcPr>
            <w:tcW w:w="7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June 30, 2022, the maximum number of shares available for issuance under the Incentive Plan was 2,825,173 shares. Upon the effectiveness of the Company’s 2021 Incentive Award Plan, the Company ceased granting awards under the Incentive Plan. However, the Incentive Plan continues to govern awards outstanding thereunder.</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June 30, 2022, there were 2,311,230 shares available for future issuance under the 2021 Plan.</w:t>
      </w:r>
    </w:p>
    <w:p>
      <w:pPr>
        <w:spacing w:after="0" w:line="16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June 30, 2022, no shares had been issued under the 2021 ESPP.</w:t>
      </w:r>
    </w:p>
    <w:p>
      <w:pPr>
        <w:spacing w:after="0" w:line="19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During the three and six months ended June 30, 2022, the Company recognized stock-based compensation expense of $1,052,421 and $1,950,071, respectively. During the three and six months ended June 30, 2021, the Company recognized stock-based compensation expense of $351,009 and $533,234, respectively. As of June 30, 2022, compensation expense remaining to be recognized for outstanding stock options was $12,585,048 and to be recognized over a weighted-average period of 2.83 years.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fair value of options granted is calculated on the grant date using the Black-Scholes option valuation model. </w:t>
      </w:r>
      <w:r>
        <w:rPr>
          <w:rFonts w:ascii="Arial" w:cs="Arial" w:eastAsia="Arial" w:hAnsi="Arial"/>
          <w:sz w:val="17"/>
          <w:szCs w:val="17"/>
          <w:color w:val="auto"/>
        </w:rPr>
        <w:t>The</w:t>
      </w:r>
      <w:r>
        <w:rPr>
          <w:rFonts w:ascii="Arial" w:cs="Arial" w:eastAsia="Arial" w:hAnsi="Arial"/>
          <w:sz w:val="18"/>
          <w:szCs w:val="18"/>
          <w:color w:val="auto"/>
        </w:rPr>
        <w:t xml:space="preserve"> Company historically has been a private company and lacks company-specific historical and implied volatility information. Therefore, it estimates its expected stock volatility based on the historical volatility of a publicly traded set of peer public companies and expects to continue to do so until such time as it has adequate historical data regarding the volatility of its own traded stock price. For the six months ended June 30, 2022, the Company granted 1,067,410 shares of stock options at a weighted-average grant date fair value of $9.50.</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used the following assumptions in its application of the Black-Scholes option pricing model for grants during the six months ended June 30, 2022 and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2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38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1"/>
              </w:rPr>
              <w:t>1.35% - 3.31%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 - 1.71%</w:t>
            </w:r>
          </w:p>
        </w:tc>
        <w:tc>
          <w:tcPr>
            <w:tcW w:w="20" w:type="dxa"/>
            <w:vAlign w:val="bottom"/>
          </w:tcPr>
          <w:p>
            <w:pPr>
              <w:spacing w:after="0"/>
              <w:rPr>
                <w:sz w:val="18"/>
                <w:szCs w:val="18"/>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5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5.00 - 10 years</w:t>
            </w:r>
          </w:p>
        </w:tc>
        <w:tc>
          <w:tcPr>
            <w:tcW w:w="1280" w:type="dxa"/>
            <w:vAlign w:val="bottom"/>
          </w:tcPr>
          <w:p>
            <w:pPr>
              <w:ind w:left="120"/>
              <w:spacing w:after="0"/>
              <w:rPr>
                <w:sz w:val="20"/>
                <w:szCs w:val="20"/>
                <w:color w:val="auto"/>
              </w:rPr>
            </w:pPr>
            <w:r>
              <w:rPr>
                <w:rFonts w:ascii="Arial" w:cs="Arial" w:eastAsia="Arial" w:hAnsi="Arial"/>
                <w:sz w:val="18"/>
                <w:szCs w:val="18"/>
                <w:color w:val="auto"/>
                <w:w w:val="94"/>
              </w:rPr>
              <w:t>5.83 - 10 years</w:t>
            </w:r>
          </w:p>
        </w:tc>
        <w:tc>
          <w:tcPr>
            <w:tcW w:w="20" w:type="dxa"/>
            <w:vAlign w:val="bottom"/>
          </w:tcPr>
          <w:p>
            <w:pPr>
              <w:spacing w:after="0"/>
              <w:rPr>
                <w:sz w:val="18"/>
                <w:szCs w:val="18"/>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86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2"/>
              </w:rPr>
              <w:t>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18"/>
                <w:szCs w:val="18"/>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60" w:type="dxa"/>
            <w:vAlign w:val="bottom"/>
            <w:gridSpan w:val="2"/>
          </w:tcPr>
          <w:p>
            <w:pPr>
              <w:jc w:val="center"/>
              <w:ind w:left="2470"/>
              <w:spacing w:after="0"/>
              <w:rPr>
                <w:sz w:val="20"/>
                <w:szCs w:val="20"/>
                <w:color w:val="auto"/>
              </w:rPr>
            </w:pPr>
            <w:r>
              <w:rPr>
                <w:rFonts w:ascii="Arial" w:cs="Arial" w:eastAsia="Arial" w:hAnsi="Arial"/>
                <w:sz w:val="18"/>
                <w:szCs w:val="18"/>
                <w:color w:val="auto"/>
                <w:w w:val="91"/>
              </w:rPr>
              <w:t>65.24% - 78.12%</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68.92% - 80.99%</w:t>
            </w:r>
          </w:p>
        </w:tc>
        <w:tc>
          <w:tcPr>
            <w:tcW w:w="20" w:type="dxa"/>
            <w:vAlign w:val="bottom"/>
          </w:tcPr>
          <w:p>
            <w:pPr>
              <w:spacing w:after="0"/>
              <w:rPr>
                <w:sz w:val="20"/>
                <w:szCs w:val="20"/>
                <w:color w:val="auto"/>
              </w:rPr>
            </w:pPr>
          </w:p>
        </w:tc>
      </w:tr>
      <w:tr>
        <w:trPr>
          <w:trHeight w:val="850"/>
        </w:trPr>
        <w:tc>
          <w:tcPr>
            <w:tcW w:w="3620" w:type="dxa"/>
            <w:vAlign w:val="bottom"/>
          </w:tcPr>
          <w:p>
            <w:pPr>
              <w:spacing w:after="0"/>
              <w:rPr>
                <w:sz w:val="24"/>
                <w:szCs w:val="24"/>
                <w:color w:val="auto"/>
              </w:rPr>
            </w:pPr>
          </w:p>
        </w:tc>
        <w:tc>
          <w:tcPr>
            <w:tcW w:w="2580" w:type="dxa"/>
            <w:vAlign w:val="bottom"/>
          </w:tcPr>
          <w:p>
            <w:pPr>
              <w:jc w:val="right"/>
              <w:ind w:right="1550"/>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stock option activity during the six months ended June 30, 2022 under the Plan:</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of December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2,859,544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1,067,410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(27,400)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3,827,454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3,669,555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at June 30, 2022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1,539,603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2,820,514</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Vested and expected to vest at June 30, 2022</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3,827,454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3,669,555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three months ended June 30, 2022 and 2021, the Company recognized share-based compensation expense recognized on the accompanying condensed consolidated statements of operations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8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49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44,882</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504,938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168,725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937,657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222,732</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543,469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159,917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1,003,770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265,620</w:t>
            </w:r>
          </w:p>
        </w:tc>
      </w:tr>
      <w:tr>
        <w:trPr>
          <w:trHeight w:val="209"/>
        </w:trPr>
        <w:tc>
          <w:tcPr>
            <w:tcW w:w="49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1,052,421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351,009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1,950,071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533,234</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leases office space in Cambridge, Massachusetts, New York, New York and San Francisco, California, pursuant to short-term arrangements. The Cambridge and San Francisco leases are on a month-to-month basis, requiring one month’s notice before termination. The New York lease is renewable on an annual basis and the last renewal extended the lease term until March 31, 2023. These lease agreements include payments for lease and non-lease components and the Company has elected to not separate such components and these payments were recognized as rent expense.</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June 30, 2022, total future minimum lease payments for its short-term leases in Cambridge, Massachusetts, New York, New York and San Francisco, California was $39,600 due in 2022.</w:t>
      </w:r>
    </w:p>
    <w:p>
      <w:pPr>
        <w:spacing w:after="0" w:line="170"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 The lease will terminate on October 1, 2023. This was accounted for as a lease modification which reduces the term of the existing lease and the Company adjusted the value of its right-of-use asset and operating lease liability by $347,739 using an incremental borrowing rate of approximately 6%.</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modification is reflected as a non-cash operating activity in the statement of cash flows for the six months ended June 30, 2022.</w:t>
      </w:r>
    </w:p>
    <w:p>
      <w:pPr>
        <w:spacing w:after="0" w:line="170"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The Company subsequently entered into a sublease of the Via Frontera Lease, the term of which commenced in March 2022 and continues through the full remaining obligation. Sublease income will be accounted for as a reduction of rent expense in the statement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part of the BioArkive acquisition, the Company assumed the obligations of three leases in San Diego, California. One is for 38,613 square feet of office and laboratory space, under a lease that terminates on April 30, 2032, the second is for a 6,100 square feet of office and laboratory space under a lease that terminates on December 31, 2022 (the “Site 2 Lease”), and the third is for a lease for 4,760 square feet of office and laboratory space under a lease that terminates on March 31, 2024. As a result, the Company recorded right-to-use assets and lease liabilities of $4,824,700 on the acquisition date of December 22, 2021. In February 2022, the Company entered into a sublease of the Site 2 Lease, the term of which continues through the remaining term of the Site 2 Lease.</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Future minimum lease payments for operating leases with initial or remaining terms in excess of one year at June 30, 2022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331,740</w:t>
            </w: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843,463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732,546</w:t>
            </w: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739,689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761,877</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4,467,246</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7,876,561</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(2,945,504)</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4,931,057</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Current portion lease liability</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286,374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4,644,683</w:t>
            </w:r>
          </w:p>
        </w:tc>
        <w:tc>
          <w:tcPr>
            <w:tcW w:w="0" w:type="dxa"/>
            <w:vAlign w:val="bottom"/>
          </w:tcPr>
          <w:p>
            <w:pPr>
              <w:spacing w:after="0"/>
              <w:rPr>
                <w:sz w:val="1"/>
                <w:szCs w:val="1"/>
                <w:color w:val="auto"/>
              </w:rPr>
            </w:pPr>
          </w:p>
        </w:tc>
      </w:tr>
      <w:tr>
        <w:trPr>
          <w:trHeight w:val="210"/>
        </w:trPr>
        <w:tc>
          <w:tcPr>
            <w:tcW w:w="7820" w:type="dxa"/>
            <w:vAlign w:val="bottom"/>
          </w:tcPr>
          <w:p>
            <w:pPr>
              <w:ind w:left="120"/>
              <w:spacing w:after="0"/>
              <w:rPr>
                <w:sz w:val="20"/>
                <w:szCs w:val="20"/>
                <w:color w:val="auto"/>
              </w:rPr>
            </w:pPr>
            <w:r>
              <w:rPr>
                <w:rFonts w:ascii="Arial" w:cs="Arial" w:eastAsia="Arial" w:hAnsi="Arial"/>
                <w:sz w:val="18"/>
                <w:szCs w:val="18"/>
                <w:color w:val="auto"/>
              </w:rPr>
              <w:t>Total lease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4,931,057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Quantitative information regarding the Company’s leases for the six months ended June 30, 2022 and 2021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527,413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68,502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(95,470)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596,316</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cash flows from short-term leases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164,373</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492,623</w:t>
            </w: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85"/>
              </w:rPr>
              <w:t>9.49 years</w:t>
            </w:r>
          </w:p>
        </w:tc>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87"/>
              </w:rPr>
              <w:t>4.83 years</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Clinical Research Contracts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with our Annual Report on Form 10-K for the fiscal year ended December 31, 2021, including the audited consolidated financial statements and notes thereto.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aim to improve patient outcomes by advancing a pipeline of product candidates designed to benefit large populations of patients with cancer and other diseases, developed using our translational bioinformatics platform. We have more than a decade of experience applying translational bioinformatics to generate insights into drug mechanism of action and patient treatment response. Building on this experience, our disease-agnostic discovery platform enables us to create product candidates based on 1) biological insights that are both counterintuitive and deeply rooted in data, and 2) novel chemistry. Our lead product candidate IMM-1-104 aims to achieve pan-KRAS/NRAS activity that selectively impacts cancer cells to a greater extent than healthy cells. IMM 1-104 is designed to be a highly selective dual-MEK inhibitor that further disrupts KSR to modulate the signaling dynamics of the MAPK pathway by driving deep cyclic inhibition that deprives tumor cells of the sustained proliferative signaling required for rapid growth, while providing a cadenced, moderate level of signaling sufficient to spare healthy cells. IMM-1-104 is being developed to treat advanced solid tumors in patients harboring RAS mutations, and is translationally guided by our proprietary, human-aligned 3D tumor modeling platform combined with patient-aligned bioinformatics. In addition to IMM-1-104, we are evaluating our MEK-io product candidate, IMM-6-415, in IND enabling studies, and we have five other oncology programs in the discovery stage that are designed to target components of the MAPK or mTOR pathway, as well as two discovery stage neuroscience programs.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plan to submit an IND, for IMM-1-104 to the U.S. Food and Drug Administration, or the FDA, in the third quarter of 2022. In addition, we plan to submit an IND for IMM-6-415 to the FDA in 2023. We anticipate filing at least one additional IND for our other oncology programs in 2024.</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December 22, 2021, we completed the acquisition of all outstanding shares of capital stock of BioArkive, Inc., a California corporation (“BioArkive”) for a market value of $8.75 million.</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BioArkive is a San Diego based contract research organization that has previously provided preclinical research services and biosample storage to us and other biotechnology companies. BioArkive was fully integrated into our operations and exclusively supports our internal preclinical research activities for our oncology pipeline. In connection with the acquisition, we have assumed the obligations under BioArkive’s three lease agreements.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purchase price was paid by us through the issuance of an aggregate of 379,635 shares of our Class A common stock. The number of shares of Class A common stock issued was calculated using a value based on the average of the daily volume weighted average prices of our Class A common stock on the Nasdaq Stock Exchange for the 30-trading day period ending on and including the trading day immediately prior to the closing date. The sellers of BioArkive were restricted from selling these shares for a six month period from the date of the acquisition. As such, we estimated that there was an approximate 10% discount for the lack of marketability of the shares. The fair value of the purchase price in the acquisition was $7.88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operations have been financed primarily by service revenues and aggregate net proceeds of approximately $81.4 million from the issuance of convertible notes payable, convertible preferred stock (Series A and B) including gross proceeds of approximately $24.8 million from the issuance of shares in the second tranche of Series B Preferred in April and May 2021, common stock, exercise of stock options. On August 3,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Since inception, we have had significant annual operating losses. Our net loss was approximately $24.4 million, for the six months ended June 30, 2022 and $33.5 million for the year ended December 31, 2021. As of June 30, 2022, we had an accumulated deficit of approximately $83.7 million and approximately $128.1 million in cash and cash equivalents and marketable securities.</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Based upon our current business plans, we believe that our existing cash and cash equivalents and marketable securities will be sufficient to fund our development activities and other operations into the third quarter of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5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service revenue,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6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March 2020, the World Health Organization declared the coronavirus (“COVID-19”) outbreak a pandemic and we continue to monitor the ongoing impacts of the COVID-19 pandemic. We cannot presently predict the scope and severity of any future potential business shutdowns or disruptions, but if we or any of the third parties with whom we engage, including personnel at third-party manufacturing facilities and other third parties with whom we conduct business, were to experience shutdowns or other business disruptions, our ability to conduct our business in the manner and on the timeline presently planned could be materially and adversely impacted. While to date we have been able to continue to execute our overall business plan, it is unknown how long these conditions will last and what the complete effect will be on us. Overall, we recognize the challenges the pandemic may pose to our business, will continue to closely monitor events as they develop and plan for alternative and mitigating measures that we can implement if needed.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revenue is generated by providing computational biology professional services to pharmaceutical and biotechnology companies. We charge an agreed upon rate per hour based on the aggregate level of personnel assigned to work on the project or a fixed fee for a defined scope of work. Our contracts specify the period of time over which these professional services will be provided. We recognize revenue over time by measuring the progress toward complete satisfaction of the performance obligation using a single method of measuring progress, which depicts the performance in transferring control of the associated services to the customer. We use input methods to measure the progress toward the complete satisfaction of performance obligations and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revenue to continue to decrease as we have deprioritized new services work in order to focus on developing our wholly owned pipeline. We expect that, by the end of 2022, revenue associated with this computational biology professional services business will be eliminated.</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are in the process of discontinuing biosample storage, which was acquired through the BioArkive transaction, to external parties and expect it to complete in the second half of 2022. The revenue earned associated with this is immaterial to the financial statements and is expected to continue to decrease until these external services are discontinued.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cost of revenue expenses consists primarily of costs related to providing professional services to our customers. These costs include salaries, bonuses, benefits, and stock-based compensation expense, depreciation, facilities, and other outside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operating expenses consist of (i) research and development expenses and (ii) general and administrative expenses.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Research and development expenses account for a significant portion of our operating expenses. Our research and development expenses consist primarily of direct and indirect costs incurred in connection with the development of our research platform, product candidates, discovery efforts and preclinical studies related to our program pipeline.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direct costs include:</w:t>
      </w:r>
    </w:p>
    <w:p>
      <w:pPr>
        <w:spacing w:after="0" w:line="225" w:lineRule="exact"/>
        <w:rPr>
          <w:sz w:val="20"/>
          <w:szCs w:val="20"/>
          <w:color w:val="auto"/>
        </w:rPr>
      </w:pPr>
    </w:p>
    <w:p>
      <w:pPr>
        <w:jc w:val="both"/>
        <w:ind w:left="1040" w:right="79" w:hanging="315"/>
        <w:spacing w:after="0" w:line="255"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other vendors that conduct our preclinical activities on our behalf; including laboratory expenses related to the execution of preclinical studies on our behalf;</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the manufacturing of our product candidates and preclinical material, including fees paid to contract manufacturers; and</w:t>
      </w: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and expenses related to preparation of initiation of clinical trials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indirect costs include:</w:t>
      </w:r>
    </w:p>
    <w:p>
      <w:pPr>
        <w:spacing w:after="0" w:line="225" w:lineRule="exact"/>
        <w:rPr>
          <w:sz w:val="20"/>
          <w:szCs w:val="20"/>
          <w:color w:val="auto"/>
        </w:rPr>
      </w:pPr>
    </w:p>
    <w:p>
      <w:pPr>
        <w:ind w:left="1040" w:right="79" w:hanging="315"/>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personnel-related expenses, consisting of employee salaries, bonuses, benefits and stock-based compensation expense and recruiting costs for personnel engaged in research and development activities; and</w:t>
      </w:r>
    </w:p>
    <w:p>
      <w:pPr>
        <w:ind w:left="1040" w:right="79" w:hanging="315"/>
        <w:spacing w:after="0" w:line="26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facility and equipment related expenses, consisting of indirect and allocated expenses for rent, depreciation, maintenance of facilities, insurance, and other supplies.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expense research and development costs as incurred. Our direct research and development expenses are not currently tracked on a program-by-program basis, but we anticipate tracking costs on a program-by-program basis at the time IMM-1-104 enters clinical trials, which we expect to occur in the fourth quarter of 2022, assuming our IND application is accepted. We use our personnel and infrastructure resources across multiple research and development programs directed toward identifying and developing product candidates.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duration, costs and timing of preclinical studies and clinical trials and development of our product candidates will depend on a variety of factors, such as:</w:t>
      </w:r>
    </w:p>
    <w:p>
      <w:pPr>
        <w:spacing w:after="0" w:line="170"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successful completion of preclinical studies and initiation of clinical trials for future product candidates;</w:t>
      </w:r>
    </w:p>
    <w:p>
      <w:pPr>
        <w:spacing w:after="0" w:line="34" w:lineRule="exact"/>
        <w:rPr>
          <w:rFonts w:ascii="Arial" w:cs="Arial" w:eastAsia="Arial" w:hAnsi="Arial"/>
          <w:sz w:val="17"/>
          <w:szCs w:val="17"/>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for our current product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 from our clinical programs that support an acceptable risk-benefit profile of our product candidates in the intended patient populations;</w:t>
      </w: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by the FDA or other applicable regulatory agencies of IND applications, clinical trial applications and/or other regulatory filings for our product candidates;</w:t>
      </w: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and maintenance of a workforce of experienced scientists and others to continue to develop our product candidates;</w:t>
      </w: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application for and receipt of marketing approvals from applicable regulatory authorities;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obtainment and maintenance of intellectual property protection and regulatory exclusivity for our product candidates;</w:t>
      </w: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of arrangements with contract manufacturing organizations for, or establishment of, commercial manufacturing capabilities;</w:t>
      </w:r>
    </w:p>
    <w:p>
      <w:pPr>
        <w:ind w:left="1040" w:right="79" w:hanging="315"/>
        <w:spacing w:after="0" w:line="265"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establishment of sales, marketing and distribution capabilities and successful launch of commercial sales of our product candidates, if and when approved, whether alone or in collaboration with others;</w:t>
      </w: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obtainment and maintenance of coverage, adequate pricing and adequate reimbursement from third-party payors, including government payors;</w:t>
      </w: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enforcement, defense and protection of our rights in our intellectual property portfolio;</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avoidance of infringement, misappropriation or other violations with respect to others’ intellectual property or proprietary rights; and</w:t>
      </w:r>
    </w:p>
    <w:p>
      <w:pPr>
        <w:ind w:left="1040" w:right="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products following receipt of any marketing approvals.</w:t>
      </w:r>
    </w:p>
    <w:p>
      <w:pPr>
        <w:spacing w:after="0" w:line="18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4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4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71"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 Sarbanes-Oxley Act, director and officer insurance costs, and investor and public relations costs.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Amortization of intangible asset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of intangible asset relates to the technology acquired in the BioArkive acquisition.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23"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Interest income consists of interest earned on our cash and cash equivalents balances and our marketable securities. The primary objective of our investment policy is capital preservation.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expense consists of the amortization of premiums or accretion of discounts related to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2022 and 2021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80"/>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78"/>
              </w:rPr>
              <w:t>thousands, except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75"/>
              </w:rPr>
              <w:t>percentages)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5"/>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(566)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r>
      <w:tr>
        <w:trPr>
          <w:trHeight w:val="21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(271)</w:t>
            </w: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(85.0)%</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w:t>
            </w: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14.1 %</w:t>
            </w: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2,364</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176.4 %</w:t>
            </w:r>
          </w:p>
        </w:tc>
      </w:tr>
      <w:tr>
        <w:trPr>
          <w:trHeight w:val="216"/>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N/M %</w:t>
            </w:r>
          </w:p>
        </w:tc>
      </w:tr>
      <w:tr>
        <w:trPr>
          <w:trHeight w:val="20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11,693</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8,332</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3,361</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40.3 %</w:t>
            </w:r>
          </w:p>
        </w:tc>
      </w:tr>
      <w:tr>
        <w:trPr>
          <w:trHeight w:val="21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45.8 %</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4,666.7 %</w:t>
            </w: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N/M %</w:t>
            </w:r>
          </w:p>
        </w:tc>
      </w:tr>
      <w:tr>
        <w:trPr>
          <w:trHeight w:val="210"/>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(3,540)</w:t>
            </w:r>
          </w:p>
        </w:tc>
        <w:tc>
          <w:tcPr>
            <w:tcW w:w="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44.3 %</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5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3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80"/>
        </w:trPr>
        <w:tc>
          <w:tcPr>
            <w:tcW w:w="5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79"/>
              </w:rPr>
              <w:t>thousands, except</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77"/>
              </w:rPr>
              <w:t>percentages)</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5"/>
        </w:trPr>
        <w:tc>
          <w:tcPr>
            <w:tcW w:w="5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(566)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Revenue decreased by approximately $0.6 million, or 85.8%, to approximately $0.1 million for the three months ended June 30, 2022 compared to approximately $0.7 million for the three months ended June 30, 2021. The decrease in revenue was due to approximately $0.6 million decrease in existing customers in the three months ended June 30, 2022 compared to June 30,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Cost of revenue decreased by approximately $0.3 million, or 85.0%, to approximately $50 thousand for the three months ended June 30, 2022 compared to approximately $0.3 million for the three months June 30, 2021. The decrease was primarily due to decreased employee-related costs of approximately $0.3 million related to services contracts.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research and development expenses for the periods indicated:</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0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June 30,</w:t>
            </w:r>
          </w:p>
        </w:tc>
        <w:tc>
          <w:tcPr>
            <w:tcW w:w="132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80"/>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74"/>
              </w:rPr>
              <w:t>percentages)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5"/>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$ 1,186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contract research services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878.6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09"/>
        </w:trPr>
        <w:tc>
          <w:tcPr>
            <w:tcW w:w="5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research and development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989</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Research and development expenses increased by approximately $1.0 million, or 14.1%, to approximately $8.0 million for the three months ended June 30, 2022 compared to approximately $7.0 million for the three months ended June 30, 2021. The increase of approximately $1.0 million was primarily due to approximately $1.2 million of additional employee-related costs, approximately $0.3 million increase for equity-based compensation expense, an increase of $1.0 million for facilities, depreciation and other allocated expenses offset by approximately $1.5 million decrease in outside contract research services for preclinical candidates due to savings in outside consultant costs that were related to BioArkive which are now incorporated in the employee and facility related costs.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general and administrative expenses for the periods indicated:</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48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Change</w:t>
            </w:r>
          </w:p>
        </w:tc>
      </w:tr>
      <w:tr>
        <w:trPr>
          <w:trHeight w:val="142"/>
        </w:trPr>
        <w:tc>
          <w:tcPr>
            <w:tcW w:w="5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w:t>
            </w:r>
          </w:p>
        </w:tc>
      </w:tr>
      <w:tr>
        <w:trPr>
          <w:trHeight w:val="180"/>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79"/>
              </w:rPr>
              <w:t>thousands, except</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percentages)</w:t>
            </w:r>
          </w:p>
        </w:tc>
        <w:tc>
          <w:tcPr>
            <w:tcW w:w="840" w:type="dxa"/>
            <w:vAlign w:val="bottom"/>
          </w:tcPr>
          <w:p>
            <w:pPr>
              <w:spacing w:after="0"/>
              <w:rPr>
                <w:sz w:val="15"/>
                <w:szCs w:val="15"/>
                <w:color w:val="auto"/>
              </w:rPr>
            </w:pPr>
          </w:p>
        </w:tc>
      </w:tr>
      <w:tr>
        <w:trPr>
          <w:trHeight w:val="165"/>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32"/>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$ 1,492</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264.1 %</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221.3 %</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Outside consultants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3,036.4 %</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75.2 %</w:t>
            </w:r>
          </w:p>
        </w:tc>
      </w:tr>
      <w:tr>
        <w:trPr>
          <w:trHeight w:val="210"/>
        </w:trPr>
        <w:tc>
          <w:tcPr>
            <w:tcW w:w="5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r>
      <w:tr>
        <w:trPr>
          <w:trHeight w:val="425"/>
        </w:trPr>
        <w:tc>
          <w:tcPr>
            <w:tcW w:w="5280" w:type="dxa"/>
            <w:vAlign w:val="bottom"/>
          </w:tcPr>
          <w:p>
            <w:pPr>
              <w:ind w:left="440"/>
              <w:spacing w:after="0"/>
              <w:rPr>
                <w:sz w:val="20"/>
                <w:szCs w:val="20"/>
                <w:color w:val="auto"/>
              </w:rPr>
            </w:pPr>
            <w:r>
              <w:rPr>
                <w:rFonts w:ascii="Arial" w:cs="Arial" w:eastAsia="Arial" w:hAnsi="Arial"/>
                <w:sz w:val="18"/>
                <w:szCs w:val="18"/>
                <w:color w:val="auto"/>
              </w:rPr>
              <w:t>Total general and administrative</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$ 2,364</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176.4 %</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General and administrative expenses increased by approximately $2.4 million, or 176.3%, to approximately $3.7 million for the three months ended June 30, 2022 compared to approximately $1.3 million for the three months ended June 30, 2021. The increase of approximately $2.4 million was primarily due to an increase in employee-related costs and equity-based compensation expense of approximately $1.9 million, increased facilities and allocated expenses of approximately $0.3 million, increased professional fees for accounting, auditing and legal of $0.1 million and approximately $0.1 million in other expenses as a result of the Company becoming a public company in the third quarter of 2021.</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Amortization of Intangible Asset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Amortization of intangible asset of $7,317 in the three months ended June 30, 2022 is related to the technology acquired for the BioArkive acquisition completed in December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increased by approximately $0.1 million due to the interest earned on our cash and cash equivalents and marketable securities balances due to the higher balances as a result of the IPO proceeds.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Other expense increased by $127,000 as a result of the increase in the amortization of premiums related to our marketable 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June 30, 2022 and 2021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76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Six Months Ended June 30,</w:t>
            </w:r>
          </w:p>
        </w:tc>
        <w:tc>
          <w:tcPr>
            <w:tcW w:w="120" w:type="dxa"/>
            <w:vAlign w:val="bottom"/>
          </w:tcPr>
          <w:p>
            <w:pPr>
              <w:spacing w:after="0"/>
              <w:rPr>
                <w:sz w:val="14"/>
                <w:szCs w:val="14"/>
                <w:color w:val="auto"/>
              </w:rPr>
            </w:pPr>
          </w:p>
        </w:tc>
        <w:tc>
          <w:tcPr>
            <w:tcW w:w="17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1"/>
                <w:szCs w:val="11"/>
                <w:color w:val="auto"/>
              </w:rPr>
            </w:pPr>
          </w:p>
        </w:tc>
        <w:tc>
          <w:tcPr>
            <w:tcW w:w="9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71"/>
              </w:rPr>
              <w:t>thousands, except</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percentages)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(1,130)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revenue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(589)</w:t>
            </w: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(80.9)%</w:t>
            </w:r>
          </w:p>
        </w:tc>
      </w:tr>
      <w:tr>
        <w:trPr>
          <w:trHeight w:val="210"/>
        </w:trPr>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3"/>
          </w:tcPr>
          <w:p>
            <w:pPr>
              <w:jc w:val="right"/>
              <w:ind w:right="140"/>
              <w:spacing w:after="0"/>
              <w:rPr>
                <w:sz w:val="20"/>
                <w:szCs w:val="20"/>
                <w:color w:val="auto"/>
              </w:rPr>
            </w:pPr>
            <w:r>
              <w:rPr>
                <w:rFonts w:ascii="Arial" w:cs="Arial" w:eastAsia="Arial" w:hAnsi="Arial"/>
                <w:sz w:val="18"/>
                <w:szCs w:val="18"/>
                <w:color w:val="auto"/>
              </w:rPr>
              <w:t>(541)</w:t>
            </w: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(79.6)%</w:t>
            </w:r>
          </w:p>
        </w:tc>
      </w:tr>
      <w:tr>
        <w:trPr>
          <w:trHeight w:val="210"/>
        </w:trPr>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37.5 %</w:t>
            </w:r>
          </w:p>
        </w:tc>
      </w:tr>
      <w:tr>
        <w:trPr>
          <w:trHeight w:val="216"/>
        </w:trPr>
        <w:tc>
          <w:tcPr>
            <w:tcW w:w="52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2,524</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5,140</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203.6 %</w:t>
            </w: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N/M %</w:t>
            </w:r>
          </w:p>
        </w:tc>
      </w:tr>
      <w:tr>
        <w:trPr>
          <w:trHeight w:val="209"/>
        </w:trPr>
        <w:tc>
          <w:tcPr>
            <w:tcW w:w="5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14,907</w:t>
            </w:r>
          </w:p>
        </w:tc>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9,804</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65.8 %</w:t>
            </w:r>
          </w:p>
        </w:tc>
      </w:tr>
      <w:tr>
        <w:trPr>
          <w:trHeight w:val="210"/>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(14,227)</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(10,345)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72.7 %</w:t>
            </w: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2,650.0 %</w:t>
            </w: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N/M %</w:t>
            </w:r>
          </w:p>
        </w:tc>
      </w:tr>
      <w:tr>
        <w:trPr>
          <w:trHeight w:val="210"/>
        </w:trPr>
        <w:tc>
          <w:tcPr>
            <w:tcW w:w="5280" w:type="dxa"/>
            <w:vAlign w:val="bottom"/>
          </w:tcPr>
          <w:p>
            <w:pPr>
              <w:ind w:left="44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(24,424)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(14,217)</w:t>
            </w:r>
          </w:p>
        </w:tc>
        <w:tc>
          <w:tcPr>
            <w:tcW w:w="20" w:type="dxa"/>
            <w:vAlign w:val="bottom"/>
            <w:tcBorders>
              <w:bottom w:val="single" w:sz="8" w:color="auto"/>
            </w:tcBorders>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(10,207)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71.8 %</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4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80"/>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73"/>
              </w:rPr>
              <w:t>thousands, except</w:t>
            </w:r>
          </w:p>
        </w:tc>
        <w:tc>
          <w:tcPr>
            <w:tcW w:w="720" w:type="dxa"/>
            <w:vAlign w:val="bottom"/>
          </w:tcPr>
          <w:p>
            <w:pPr>
              <w:ind w:left="100"/>
              <w:spacing w:after="0"/>
              <w:rPr>
                <w:sz w:val="20"/>
                <w:szCs w:val="20"/>
                <w:color w:val="auto"/>
              </w:rPr>
            </w:pPr>
            <w:r>
              <w:rPr>
                <w:rFonts w:ascii="Arial" w:cs="Arial" w:eastAsia="Arial" w:hAnsi="Arial"/>
                <w:sz w:val="13"/>
                <w:szCs w:val="13"/>
                <w:b w:val="1"/>
                <w:bCs w:val="1"/>
                <w:color w:val="auto"/>
                <w:w w:val="74"/>
              </w:rPr>
              <w:t>percentages)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5"/>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(1,130)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(80.3)%</w:t>
            </w:r>
          </w:p>
        </w:tc>
      </w:tr>
      <w:tr>
        <w:trPr>
          <w:trHeight w:val="20"/>
        </w:trPr>
        <w:tc>
          <w:tcPr>
            <w:tcW w:w="5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Revenue decreased by approximately $1.1 million, or 80.3%, to approximately $0.3 million for the six months ended June 30, 2022 compared to approximately $1.4 million for the six months ended June 30, 2021. The decrease in revenue was due to the decrease and wind down of the numbers and scope of customer agreements in 2022 compared to 2021.</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Costs of Revenue</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Cost of revenue decreased by approximately $0.6 million, or 80.9%, to approximately $0.1 million for the six months ended June 30, 2022 compared to approximately $0.7 million for the six months ended June 30, 2021. The decrease was primarily due to decreased employee related costs as a result of the wind down of the customer agreements in 2022 compared to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research and development expenses for the periods indicated:</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15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76"/>
        </w:trPr>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(in</w:t>
            </w:r>
          </w:p>
        </w:tc>
        <w:tc>
          <w:tcPr>
            <w:tcW w:w="920" w:type="dxa"/>
            <w:vAlign w:val="bottom"/>
            <w:gridSpan w:val="3"/>
          </w:tcPr>
          <w:p>
            <w:pPr>
              <w:spacing w:after="0"/>
              <w:rPr>
                <w:sz w:val="20"/>
                <w:szCs w:val="20"/>
                <w:color w:val="auto"/>
              </w:rPr>
            </w:pPr>
            <w:r>
              <w:rPr>
                <w:rFonts w:ascii="Arial" w:cs="Arial" w:eastAsia="Arial" w:hAnsi="Arial"/>
                <w:sz w:val="14"/>
                <w:szCs w:val="14"/>
                <w:color w:val="auto"/>
                <w:w w:val="79"/>
              </w:rPr>
              <w:t>thousands, except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5"/>
              </w:rPr>
              <w:t>percentages)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76.2 %</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252.6 %</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contract research services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(1,449)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2,475</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1,162.0 %</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275.0 %</w:t>
            </w:r>
          </w:p>
        </w:tc>
      </w:tr>
      <w:tr>
        <w:trPr>
          <w:trHeight w:val="209"/>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37.5 %</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Research and development expenses increased by approximately $4.6 million, or 37.5%, to approximately $17.0 million for the six months ended June 30, 2022 as compared to approximately $12.4 million for the year ended June 30, 2021. The increase of approximately $4.6 million was primarily due to an increase of approximately $3.6 million related to additional employee related costs, primarily due to higher headcount and increased equity-based compensation, facilities and other allocated expense of approximately $2.5 million. Increases in research and development are partially offset by a decrease of $1.5 million in outside contract research services for preclinical candidates which is due to savings in outside consultant costs that were related to BioArkive which are now incorporated in the employee and facility related costs.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general and administrative expenses for the periods indicated:</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14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76"/>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(in</w:t>
            </w:r>
          </w:p>
        </w:tc>
        <w:tc>
          <w:tcPr>
            <w:tcW w:w="920" w:type="dxa"/>
            <w:vAlign w:val="bottom"/>
            <w:gridSpan w:val="3"/>
          </w:tcPr>
          <w:p>
            <w:pPr>
              <w:spacing w:after="0"/>
              <w:rPr>
                <w:sz w:val="20"/>
                <w:szCs w:val="20"/>
                <w:color w:val="auto"/>
              </w:rPr>
            </w:pPr>
            <w:r>
              <w:rPr>
                <w:rFonts w:ascii="Arial" w:cs="Arial" w:eastAsia="Arial" w:hAnsi="Arial"/>
                <w:sz w:val="14"/>
                <w:szCs w:val="14"/>
                <w:color w:val="auto"/>
                <w:w w:val="79"/>
              </w:rPr>
              <w:t>thousands, except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83"/>
              </w:rPr>
              <w:t>percentages)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270.1 %</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350.2 %</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36.9 %</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Outside consultants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518.2 %</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3,405.0 %</w:t>
            </w:r>
          </w:p>
        </w:tc>
      </w:tr>
      <w:tr>
        <w:trPr>
          <w:trHeight w:val="216"/>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93.4 %</w:t>
            </w:r>
          </w:p>
        </w:tc>
      </w:tr>
      <w:tr>
        <w:trPr>
          <w:trHeight w:val="209"/>
        </w:trPr>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Total general and administrative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203.6 %</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General and administrative expenses increased by approximately $5.1 million, or 203.6%, to approximately $7.6 million for the six months ended June 30, 2022 compared to approximately $2.5 million for the six months ended June 30, 2021 as a result of the Company becoming a public company in third quarter of 2021. The increase of approximately $5.1 million was primarily due to increased employee related costs and equity-based compensation expense of approximately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$3.9 million, increased professional fees incurred for accounting, auditing, legal, and tax services of approximately $0.3 million, increase of $0.7 million for facilities and other allocated expense, increase of $0.2 million in other expenses.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Amortization of Intangible Asset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Amortization of intangible asset of $15,420 in the six months ended June 30, 2022 is related to the technology acquired for the BioArkive acquisition completed in December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increased by approximately $0.3 million due to the interest earned on our cash and cash equivalents and marketable securities balances due to the higher balances as a result of the IPO proceeds.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expense increased by $0.1 million as a result of the increase in the amortization of premiums related to our marketable 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Since our inception, we have financed our operations through service revenues, the issuance of convertible notes payable, convertible preferred stock, common stock, and the exercise of stock options. As of June 30, 2022, we had an accumulated deficit of $83.7 million and $128.1 million in cash and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and the exercise of stock options. In August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8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As of June 30, 2022, we have contractual obligations related to various leases of $0.3 million for 2022, $0.8 million for 2023, $0.7 million for 2024, $0.7 million for 2025, $0.8 million for 2026 and $4.5 million for the periods thereafter.</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sources and uses of cash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4"/>
          </w:tcPr>
          <w:p>
            <w:pPr>
              <w:jc w:val="right"/>
              <w:ind w:right="514"/>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(21,730)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During the six months ended June 30, 2022, operating activities used approximately $21.7 million of cash, primarily resulting from our net loss of approximately $24.4 million, partially offset by right-of-use asset amortization of $0.3 million and equity-based compensation expense of approximately $2.0 million.</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During the six months ended June 30, 2021, operating activities used approximately $12.6 million of cash, primarily resulting from our net loss of approximately $14.2 million partially offset by cash provided by changes in our operating assets and liabilities of approximately $1.0 million, and equity-based compensation expense of approximately $0.5 million.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six months ended June 30, 2022, investing activities provided approximately $34.6 million of cash, primarily resulting from the maturities of marketable securities of approximately $52.8 million, partially offset by purchases of marketable securities for $18.0 million and purchases of property and equipment of $0.3 million.</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six months ended June 30, 2021, cash used in investing was $36,388, resulting from purchases of property and equipment.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six months ended June 30, 2022, net cash provided by financing activities was approximately $0.2 million, consisting of approximately $0.2 million from the exercise of stock options.</w:t>
      </w:r>
    </w:p>
    <w:p>
      <w:pPr>
        <w:spacing w:after="0" w:line="170"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During the six months ended June 30, 2021, net cash provided by financing activities was approximately $25.8 million, consisting primarily of approximately $24.8 million in net proceeds received from the issuance of Series B preferred stock and approximately $1.0 million in net proceeds from the exercise of warrants and approximately $52,627 from the exercise of 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Funding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84"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impacts of the pandemic related to COVID-19 and its variants and potential future pandemics;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results of our potential future clinical trials for our other product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other product candidates;</w:t>
      </w: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enter into contract manufacturing arrangements for supply of active pharmaceutical ingredient, or API, and manufacture of our product candidates and the terms of such arrangements;</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9" w:lineRule="exact"/>
        <w:rPr>
          <w:rFonts w:ascii="Arial" w:cs="Arial" w:eastAsia="Arial" w:hAnsi="Arial"/>
          <w:sz w:val="18"/>
          <w:szCs w:val="18"/>
          <w:color w:val="auto"/>
        </w:rPr>
      </w:pPr>
    </w:p>
    <w:p>
      <w:pPr>
        <w:ind w:left="1040" w:right="79" w:hanging="315"/>
        <w:spacing w:after="0" w:line="28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and timing of any future commercialization activities, including product manufacturing, sales, marketing and distribution, for any of our product candidates for which we may receive marketing approval;</w:t>
      </w:r>
    </w:p>
    <w:p>
      <w:pPr>
        <w:spacing w:after="0" w:line="1"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revenue, if any, received from commercial sales of our product candidates for which we receive marketing approval;</w:t>
      </w:r>
    </w:p>
    <w:p>
      <w:pPr>
        <w:ind w:left="1040" w:right="79" w:hanging="315"/>
        <w:spacing w:after="0" w:line="265"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and proprietary rights and defending any intellectual property related claims;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such arrangements;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the private and public capital markets or to obtain financing at commercially reasonable rate;</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 and</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believe that our existing cash, cash equivalents and marketable securities, will enable us to fund our operating expenses and capital expenditure requirements into the third quarter of 2024. We have based this estimate on assumptions that may prove to be wrong, and we could utilize our available capital resources sooner than we expect.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Use of Estimates” in our Annual Report on 10-K for the fiscal year ending December 31, 2021.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the 10-K.</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may remain classified as an EGC until the end of the fiscal year following the fifth anniversary of our IPO, although if the market value of our common stock that is held by non-affiliates exceeds $700 million as of September 30 of any year before that time, or if we have annual gross revenues of $1.07 billion or more in any fiscal year, we would cease to be an EGC as of December 31 of the applicable year. We also would cease to be an EGC if we issue more than $1.0 billion of non-convertible debt over a three-year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we are not required to provide this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Exchange Act) as of June 30, 2022. Based on that evaluation, our Chief Executive Officer and Chief Financial Officer concluded that, as of June 30, 2022, our disclosure controls and procedures were effective at the reasonable assurance level.</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ind w:left="60" w:right="59"/>
        <w:spacing w:after="0" w:line="292" w:lineRule="auto"/>
        <w:rPr>
          <w:sz w:val="20"/>
          <w:szCs w:val="20"/>
          <w:color w:val="auto"/>
        </w:rPr>
      </w:pPr>
      <w:r>
        <w:rPr>
          <w:rFonts w:ascii="Arial" w:cs="Arial" w:eastAsia="Arial" w:hAnsi="Arial"/>
          <w:sz w:val="16"/>
          <w:szCs w:val="16"/>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i w:val="1"/>
          <w:iCs w:val="1"/>
          <w:color w:val="auto"/>
        </w:rPr>
        <w:t>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Pharmaceutical product development is a highly speculative undertaking and involves a substantial degree of risk. We are a biopharmaceutical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of our product candidates, including the anticipated Phase 1 clinical trial of IMM-1-104 for the treatment of advanced solid tumors in patients harboring RAS mutant tumors. We have not yet demonstrated our ability to successfully initiate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$24.4 million and $33.5 million for the six months ended June 30, 2022 and year ended December 31, 2021 respectively. As of June 30, 2022, we had an accumulated deficit of approximately $83.7 million. Our losses have resulted principally from expenses incurred in research and development of our product candidates, from management and administrative costs and other expenses that we have incurred while building our business infrastructure. Our lead product candidate, IMM-1-104, is undergoing IND-enabling studies and we expect to submit an IND to the FDA in the third quarter of 2022. Subject to the FDA’s allowing us to proceed with clinical studies under an IND, we intend to enroll the first patient in a Phase 1 clinical trial of IMM-1-104 in the fourth quarter of 2022 for the treatment of advanced solid tumors in patients harboring RAS mutant tumors, if our IND for IMM-1-104 is accepted.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substantially if and as we:</w:t>
      </w:r>
    </w:p>
    <w:p>
      <w:pPr>
        <w:spacing w:after="0" w:line="170" w:lineRule="exact"/>
        <w:rPr>
          <w:sz w:val="20"/>
          <w:szCs w:val="20"/>
          <w:color w:val="auto"/>
        </w:rPr>
      </w:pPr>
    </w:p>
    <w:p>
      <w:pPr>
        <w:jc w:val="both"/>
        <w:ind w:left="60" w:right="59" w:hanging="10"/>
        <w:spacing w:after="0" w:line="263" w:lineRule="auto"/>
        <w:tabs>
          <w:tab w:leader="none" w:pos="1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IMM-1-104, and our other product candidates, including IMM-6-415, through preclinical and clinical development, and, if approved by the FDA or other comparable foreign regulatory authorities, commercialization;</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manufacturing costs for our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research and development activities to identify and develop new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252" w:lineRule="exact"/>
        <w:rPr>
          <w:rFonts w:ascii="Arial" w:cs="Arial" w:eastAsia="Arial" w:hAnsi="Arial"/>
          <w:sz w:val="18"/>
          <w:szCs w:val="18"/>
          <w:color w:val="auto"/>
        </w:rPr>
      </w:pPr>
    </w:p>
    <w:p>
      <w:pPr>
        <w:ind w:left="60" w:right="79" w:hanging="10"/>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manufacturing and develop our commercialization efforts;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3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8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 of June 30, 2022, we had approximately $128.1 million in cash and cash equivalents and marketable securities. Based on our current business plans, we believe that our existing cash and cash equivalents and marketable securities will be sufficient to fund our operating expenses and capital expenditures requirements into the third quarter of 2024. Our estimate as to how long we expect our existing cash and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25" w:lineRule="exact"/>
        <w:rPr>
          <w:sz w:val="20"/>
          <w:szCs w:val="20"/>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our clinical trials for our product candidates;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additional research and preclinical studies related to pipeline development and other research programs we initiate in the future;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manufacturing activities as we advance our product candidates through preclinical and clinical development, and commercialization;</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expansion of our current development programs to seek new indications;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negative impact of the COVID-19 pandemic or future pandemics on our business;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patent claims and other intellectual property rights, in-licensed or otherwise;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licensing fees, potential royalty payments and potential milestone payments;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general operating expenses;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Advancing the development of our product candidates will require a significant amount of capital. Our existing cash and cash equivalents will not be sufficient to fund all of the activities that are necessary to complete the development of our product candidates.</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Our failure to raise capital as and when needed or on acceptable terms would have a negative impact 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our financial condition and our ability to pursue our business strategy, and we may have to delay, reduce the scope of, suspend or eliminate one or more of our research-stage programs, clinical trials or future commercialization efforts.</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offering,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losses and other tax attributes may be limited.</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of December 31, 2021, we had approximately $56.5 million of federal and $51.3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regulatory approval for any product candidate, and it is possible that none of our existing product candidates or any product candidates we may seek to develop in the future will ever obtain regulatory approval.</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70" w:lineRule="exact"/>
        <w:rPr>
          <w:sz w:val="20"/>
          <w:szCs w:val="20"/>
          <w:color w:val="auto"/>
        </w:rPr>
      </w:pPr>
    </w:p>
    <w:p>
      <w:pPr>
        <w:ind w:left="60" w:right="59" w:hanging="10"/>
        <w:spacing w:after="0" w:line="277" w:lineRule="auto"/>
        <w:tabs>
          <w:tab w:leader="none" w:pos="1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pacing w:after="0" w:line="183" w:lineRule="exact"/>
        <w:rPr>
          <w:rFonts w:ascii="Arial" w:cs="Arial" w:eastAsia="Arial" w:hAnsi="Arial"/>
          <w:sz w:val="18"/>
          <w:szCs w:val="18"/>
          <w:color w:val="auto"/>
        </w:rPr>
      </w:pPr>
    </w:p>
    <w:p>
      <w:pPr>
        <w:ind w:left="60" w:right="59" w:hanging="10"/>
        <w:spacing w:after="0" w:line="308" w:lineRule="auto"/>
        <w:tabs>
          <w:tab w:leader="none" w:pos="17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59" w:lineRule="exact"/>
        <w:rPr>
          <w:rFonts w:ascii="Arial" w:cs="Arial" w:eastAsia="Arial" w:hAnsi="Arial"/>
          <w:sz w:val="17"/>
          <w:szCs w:val="17"/>
          <w:color w:val="auto"/>
        </w:rPr>
      </w:pPr>
    </w:p>
    <w:p>
      <w:pPr>
        <w:ind w:left="60" w:right="79" w:hanging="10"/>
        <w:spacing w:after="0" w:line="277"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a product candidate’s risk-benefit ratio for its proposed indication is acceptable;</w:t>
      </w:r>
    </w:p>
    <w:p>
      <w:pPr>
        <w:spacing w:after="0" w:line="183" w:lineRule="exact"/>
        <w:rPr>
          <w:rFonts w:ascii="Arial" w:cs="Arial" w:eastAsia="Arial" w:hAnsi="Arial"/>
          <w:sz w:val="18"/>
          <w:szCs w:val="18"/>
          <w:color w:val="auto"/>
        </w:rPr>
      </w:pPr>
    </w:p>
    <w:p>
      <w:pPr>
        <w:jc w:val="both"/>
        <w:ind w:left="60" w:right="79" w:hanging="10"/>
        <w:spacing w:after="0" w:line="263" w:lineRule="auto"/>
        <w:tabs>
          <w:tab w:leader="none" w:pos="2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9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may not be able to submit INDs or IND amendments or comparable documents in foreign jurisdictions to commence additional clinical trials on the timelines we expect, and even if we are able to, the FDA may not permit us to proceed.</w:t>
      </w:r>
    </w:p>
    <w:p>
      <w:pPr>
        <w:spacing w:after="0" w:line="10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While we plan to submit INDs or comparable documents for our potential product candidates, we may not be able to submit such INDs or comparable documents on the timeline we expect. For example, due to supply chain constraints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impact of follow-on effects due to such constraints, we have had to move our planned submission of the IND for IMM-1-104 to the FDA from the first quarter of 2022 to the third quarter of 2022.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company has limited experience in designing clinical trials and may experience delays or unexpected difficulties in obtaining regulatory approval for our current and future product candidates.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have limited experience in designing clinical trials and may be unable to design and execute a clinical trial to support marketing approval. We cannot be certain that our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completing, or ultimately be unable to complete, the development and commercialization of our product candidates.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84" w:lineRule="exact"/>
        <w:rPr>
          <w:sz w:val="20"/>
          <w:szCs w:val="20"/>
          <w:color w:val="auto"/>
        </w:rPr>
      </w:pPr>
    </w:p>
    <w:p>
      <w:pPr>
        <w:ind w:left="60" w:right="79" w:hanging="10"/>
        <w:spacing w:after="0" w:line="277" w:lineRule="auto"/>
        <w:tabs>
          <w:tab w:leader="none" w:pos="1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2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21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•delays in enrollment due to travel or quarantine policies, or other factors related to COVID-19 and its variants, other pandemics or other events outside our control;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to clinical trial protocol;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•clinical sites deviating from trial protocol or dropping out of a trial;</w:t>
      </w:r>
    </w:p>
    <w:p>
      <w:pPr>
        <w:spacing w:after="0" w:line="23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•manufacturing sufficient quantities of product candidates or obtaining sufficient quantities of combination therapies for use in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•subjects failing to enroll or remain in our trial at the rate we expect, or failing to return for post-treatment follow-up;</w:t>
      </w:r>
    </w:p>
    <w:p>
      <w:pPr>
        <w:spacing w:after="0" w:line="25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•subjects choosing an alternative treatment for the indication for which we are developing our product candidates, or participating in competing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•subjects experiencing severe or unexpected drug-related adverse effects;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•selection of clinical end points that require prolonged periods of clinical observation or analysis of the resulting data;</w:t>
      </w:r>
    </w:p>
    <w:p>
      <w:pPr>
        <w:spacing w:after="0" w:line="25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changes to our manufacturing process that may be necessary or desired;</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For instance, due to supply chain constraints and the impact of follow-on effects due to such constraints, we have had to move our previously announced planned enrollment of the first patient in our first-in-human Phase 1 clinical trial of IMM-1-104 for the treatment of advanced solid tumors in patients harboring RAS mutant tumors in the fourth quarter of 2022 from the first half of 2022 as previously expected, assuming our IND for IMM-1-104 is accepted. In addition, the ongoing pandemic related to COVID-19 and its variants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70" w:lineRule="exact"/>
        <w:rPr>
          <w:sz w:val="20"/>
          <w:szCs w:val="20"/>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REMS;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3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66"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w:t>
      </w:r>
    </w:p>
    <w:p>
      <w:pPr>
        <w:sectPr>
          <w:pgSz w:w="11900" w:h="16838" w:orient="portrait"/>
          <w:cols w:equalWidth="0" w:num="1">
            <w:col w:w="9019"/>
          </w:cols>
          <w:pgMar w:left="1440" w:top="517" w:right="1440"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92" w:lineRule="exact"/>
        <w:rPr>
          <w:sz w:val="20"/>
          <w:szCs w:val="20"/>
          <w:color w:val="auto"/>
        </w:rPr>
      </w:pPr>
    </w:p>
    <w:p>
      <w:pPr>
        <w:ind w:left="60" w:right="79" w:hanging="10"/>
        <w:spacing w:after="0" w:line="277" w:lineRule="auto"/>
        <w:tabs>
          <w:tab w:leader="none" w:pos="1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be forced to or decide to remove the product form the marketplace;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or change their approvals of that product in one or more countries;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access of that product to selective</w:t>
      </w:r>
    </w:p>
    <w:p>
      <w:pPr>
        <w:spacing w:after="0" w:line="23"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specialized centers with additional safety reporting and with requirements that patients be geographically close to these centers for all or part of their treatment;</w:t>
      </w:r>
    </w:p>
    <w:p>
      <w:pPr>
        <w:spacing w:after="0" w:line="199" w:lineRule="exact"/>
        <w:rPr>
          <w:sz w:val="20"/>
          <w:szCs w:val="20"/>
          <w:color w:val="auto"/>
        </w:rPr>
      </w:pPr>
    </w:p>
    <w:p>
      <w:pPr>
        <w:ind w:left="60" w:right="59" w:hanging="10"/>
        <w:spacing w:after="0" w:line="277"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the product for patients, or to conduct post-marketing studies;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be sued and held liable for harm caused to subjects or patients;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87" w:lineRule="exact"/>
        <w:rPr>
          <w:sz w:val="20"/>
          <w:szCs w:val="20"/>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38" w:lineRule="exact"/>
        <w:rPr>
          <w:rFonts w:ascii="Arial" w:cs="Arial" w:eastAsia="Arial" w:hAnsi="Arial"/>
          <w:sz w:val="18"/>
          <w:szCs w:val="18"/>
          <w:color w:val="auto"/>
        </w:rPr>
      </w:pPr>
    </w:p>
    <w:p>
      <w:pPr>
        <w:ind w:left="60" w:right="79" w:hanging="10"/>
        <w:spacing w:after="0" w:line="308" w:lineRule="auto"/>
        <w:tabs>
          <w:tab w:leader="none" w:pos="183"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59" w:lineRule="exact"/>
        <w:rPr>
          <w:rFonts w:ascii="Arial" w:cs="Arial" w:eastAsia="Arial" w:hAnsi="Arial"/>
          <w:sz w:val="17"/>
          <w:szCs w:val="17"/>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enrollment and completion of studies due to the pandemic related to COVID-19 and its variants or any future pandemic.</w:t>
      </w:r>
    </w:p>
    <w:p>
      <w:pPr>
        <w:spacing w:after="0" w:line="184"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8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84" w:lineRule="exact"/>
        <w:rPr>
          <w:sz w:val="20"/>
          <w:szCs w:val="20"/>
          <w:color w:val="auto"/>
        </w:rPr>
      </w:pPr>
    </w:p>
    <w:p>
      <w:pPr>
        <w:ind w:left="160" w:hanging="110"/>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hanging="10"/>
        <w:spacing w:after="0" w:line="277" w:lineRule="auto"/>
        <w:tabs>
          <w:tab w:leader="none" w:pos="1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as well as pricing, by third-party payors, including government authorities;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65" w:lineRule="exact"/>
        <w:rPr>
          <w:rFonts w:ascii="Arial" w:cs="Arial" w:eastAsia="Arial" w:hAnsi="Arial"/>
          <w:sz w:val="18"/>
          <w:szCs w:val="18"/>
          <w:color w:val="auto"/>
        </w:rPr>
      </w:pPr>
    </w:p>
    <w:p>
      <w:pPr>
        <w:ind w:left="60" w:right="79" w:hanging="10"/>
        <w:spacing w:after="0" w:line="277" w:lineRule="auto"/>
        <w:tabs>
          <w:tab w:leader="none" w:pos="1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3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our product candidates.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5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and preclinical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9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have not commenced clinical trials for any product candidates developed with our DCT platform. 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not tested any of the product candidates being developed using our DCT platform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19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19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develop our current and future product candidates in combination with other therapies, which exposes us to additional risks.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7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4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7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7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are early in our development efforts and we have not yet submitted our IND for our lead product candidate, IMM-1-</w:t>
      </w:r>
    </w:p>
    <w:p>
      <w:pPr>
        <w:spacing w:after="0" w:line="46" w:lineRule="exact"/>
        <w:rPr>
          <w:sz w:val="20"/>
          <w:szCs w:val="20"/>
          <w:color w:val="auto"/>
        </w:rPr>
      </w:pPr>
    </w:p>
    <w:p>
      <w:pPr>
        <w:jc w:val="both"/>
        <w:ind w:left="60" w:right="59" w:hanging="10"/>
        <w:spacing w:after="0" w:line="253" w:lineRule="auto"/>
        <w:tabs>
          <w:tab w:leader="none" w:pos="4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other product candidates are in earlier stages of drug development. We have invested substantially all of our efforts and financial resources in the identification of targets and preclinical development of small molecules targeting the MAPK and mTOR pathways in cancer therapy and small molecules targeting central nervous system disorders, including AD.</w:t>
      </w:r>
    </w:p>
    <w:p>
      <w:pPr>
        <w:spacing w:after="0" w:line="193"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clinical development and commercial production, building of a commercial organization, and substantial investment and significant marketing efforts before we generate any revenues from product sales.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successful and timely completion of additional preclinical studies;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successful initiation, patient enrollment and completion of our anticipated clinical trials on a timely basis, including any delays arising out of the pandemic related to COVID-19 and its variants or any future pandemic;</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clinical development,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 in the clinical trials;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safety and tolerability profiles that are satisfactory to the FDA or any comparable foreign regulatory authority for marketing approval;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239" w:lineRule="exact"/>
        <w:rPr>
          <w:sz w:val="20"/>
          <w:szCs w:val="20"/>
          <w:color w:val="auto"/>
        </w:rPr>
      </w:pPr>
    </w:p>
    <w:p>
      <w:pPr>
        <w:ind w:left="60" w:right="59" w:hanging="10"/>
        <w:spacing w:after="0" w:line="277" w:lineRule="auto"/>
        <w:tabs>
          <w:tab w:leader="none" w:pos="1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w:t>
      </w:r>
    </w:p>
    <w:p>
      <w:pPr>
        <w:spacing w:after="0" w:line="183" w:lineRule="exact"/>
        <w:rPr>
          <w:rFonts w:ascii="Arial" w:cs="Arial" w:eastAsia="Arial" w:hAnsi="Arial"/>
          <w:sz w:val="18"/>
          <w:szCs w:val="18"/>
          <w:color w:val="auto"/>
        </w:rPr>
      </w:pPr>
    </w:p>
    <w:p>
      <w:pPr>
        <w:ind w:left="60" w:right="79" w:hanging="10"/>
        <w:spacing w:after="0" w:line="342"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37" w:lineRule="exact"/>
        <w:rPr>
          <w:rFonts w:ascii="Arial" w:cs="Arial" w:eastAsia="Arial" w:hAnsi="Arial"/>
          <w:sz w:val="16"/>
          <w:szCs w:val="16"/>
          <w:color w:val="auto"/>
        </w:rPr>
      </w:pPr>
    </w:p>
    <w:p>
      <w:pPr>
        <w:ind w:left="60" w:right="59" w:hanging="10"/>
        <w:spacing w:after="0" w:line="277" w:lineRule="auto"/>
        <w:tabs>
          <w:tab w:leader="none" w:pos="1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3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8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4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success of the product candidates we have or may develop will depend on many factors, including the following:</w:t>
      </w:r>
    </w:p>
    <w:p>
      <w:pPr>
        <w:spacing w:after="0" w:line="237" w:lineRule="exact"/>
        <w:rPr>
          <w:sz w:val="20"/>
          <w:szCs w:val="20"/>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research methodology in identifying potential indications or product candidates;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events in the clinical trials; and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potential interruptions or delays resulting from factors related to the pandemic related to COVID-19 and its variants or any future pandemic.</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and neuroscience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FDA or other comparable foreign regulatory authorities or in discovering, developing and commercializing products in our field before we do.</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We believe our approach of treating conditions or diseases through neuroregeneration is novel and, as a result, the process for, and the outcome of, FDA approval is especially uncertain.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and potential future pandemics could continue to adversely impact our business, including our anticipated clinical trials, supply chain and business development activities.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We may experience limitations 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employee resources in the future, including because of sickness of employees or their families. The effects of government actions and our own policies and those of third parties to reduce the spread of COVID-19 and its variants may negatively impact productivity and slow down or delay our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COVID-19 and its variants continues to spread, we may experience ongoing disruptions that could severely impact our business, preclinical studies and clinical trials, including:</w:t>
      </w:r>
    </w:p>
    <w:p>
      <w:pPr>
        <w:spacing w:after="0" w:line="170" w:lineRule="exact"/>
        <w:rPr>
          <w:sz w:val="20"/>
          <w:szCs w:val="20"/>
          <w:color w:val="auto"/>
        </w:rPr>
      </w:pPr>
    </w:p>
    <w:p>
      <w:pPr>
        <w:ind w:left="60" w:right="59" w:hanging="10"/>
        <w:spacing w:after="0" w:line="277" w:lineRule="auto"/>
        <w:tabs>
          <w:tab w:leader="none" w:pos="1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or delays in our operations, which may impact our ability to conduct and produce preclinical results required for submission of an IND;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70" w:lineRule="exact"/>
        <w:rPr>
          <w:rFonts w:ascii="Arial" w:cs="Arial" w:eastAsia="Arial" w:hAnsi="Arial"/>
          <w:sz w:val="18"/>
          <w:szCs w:val="18"/>
          <w:color w:val="auto"/>
        </w:rPr>
      </w:pPr>
    </w:p>
    <w:p>
      <w:pPr>
        <w:jc w:val="both"/>
        <w:ind w:left="60" w:right="59" w:hanging="10"/>
        <w:spacing w:after="0" w:line="263" w:lineRule="auto"/>
        <w:tabs>
          <w:tab w:leader="none" w:pos="1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83" w:lineRule="exact"/>
        <w:rPr>
          <w:rFonts w:ascii="Arial" w:cs="Arial" w:eastAsia="Arial" w:hAnsi="Arial"/>
          <w:sz w:val="18"/>
          <w:szCs w:val="18"/>
          <w:color w:val="auto"/>
        </w:rPr>
      </w:pPr>
    </w:p>
    <w:p>
      <w:pPr>
        <w:ind w:left="60" w:right="79" w:hanging="10"/>
        <w:spacing w:after="0" w:line="308" w:lineRule="auto"/>
        <w:tabs>
          <w:tab w:leader="none" w:pos="1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risk that participants enrolled in our clinical trials will contract COVID-19 while the clinical trial is ongoing, which could impact the results of the clinical trial, including by increasing the number of observed adverse events; and</w:t>
      </w:r>
    </w:p>
    <w:p>
      <w:pPr>
        <w:spacing w:after="0" w:line="159" w:lineRule="exact"/>
        <w:rPr>
          <w:rFonts w:ascii="Arial" w:cs="Arial" w:eastAsia="Arial" w:hAnsi="Arial"/>
          <w:sz w:val="17"/>
          <w:szCs w:val="17"/>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23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These and other disruptions in our operations and the global economy could negatively impact our business, results of operations and financial condition. For example, due to supply chain constraints and the impact of follow-on effects due to such constraints, we had to move the timing of our recently announced plans to submit an IND for IMM-1-104 to the FDA, which are now expected to be in the third quarter of 2022, as well as the timing of our enrollment of the first patient in our first-in-human Phase 1 clinical trial of IMM-1-104 for the treatment of advanced solid tumors in patients harboring RAS mutant tumors in the fourth quarter of 2022, assuming our IND for IMM-1-104 is accepted and authorized to proceed.</w:t>
      </w:r>
    </w:p>
    <w:p>
      <w:pPr>
        <w:spacing w:after="0" w:line="16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future clinical trials may be affected by the pandemic related to COVID-19 and its variants or any future pandemic. For example, some clinical trial sites have slowed down or stopped further enrollment of new patients in clinical trials, denied access to site monitors and otherwise curtailed certain operations. Similarly, our ability to recruit and retain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principal investigators and site staff who, as healthcare providers, may have heightened exposure to COVID-19 and its variants, may be adversely impacted. Our planned clinical trials may also be impacted by interruptions or delays in the operations of the FDA and comparable foreign regulatory agencies. We and our CROs will act in accordance with the guidance issued by the FDA in our future clinical trials to ensure the monitoring and safety of patients and minimize risks to trial integrity during the pandemic related to COVID-19 and its variants. This may have unforeseen effects on the enrollment, progress and completion of these trials and the findings. These events could delay our clinical trials, increase the cost of completing our clinical trials and negatively impact the integrity, reliability or robustness of the data from our clinical trials.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and its variants or other infectious diseases could impact personnel at third-party manufacturing facilities upon which we may rely in the future, or the availability or cost of materials, which could disrupt the supply chain for our product candidates. To the extent our future suppliers and service providers are unable to comply with their obligations under our future agreements with them or they are otherwise unable to deliver or are delayed in delivering goods and services to us due to the pandemic related to COVID-19 and its variants, our future ability to continue meeting clinical supply demand for our product candidates or otherwise advancing development of our product candidates may become impaired.</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spread of COVID-19 and its variants and actions taken to reduce its spread may also materially affect us economically. 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 As a result, we may face difficulties raising capital through sales of our Class A common stock or such sales may be on unfavorable terms. COVID-19 and its variants and actions taken to reduce their spread continue to rapidly evolve. The extent to which COVID-19 and its variants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pandemic related to COVID-19 and its variants adversely affects our business and financial results, it may also have the effect of heightening many of the other risks described in this “Risk Factors” section, such as those relating to the timing and results of our clinical trials and our financing needs</w:t>
      </w:r>
    </w:p>
    <w:p>
      <w:pPr>
        <w:spacing w:after="0" w:line="17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fail to adequately meet the requirements under our computational biology service contracts to pharmaceutical and biotechnology companies, which may harm our reputation, possibly resulting in related losses.</w:t>
      </w:r>
    </w:p>
    <w:p>
      <w:pPr>
        <w:spacing w:after="0" w:line="12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Over a decade ago, we began to offer computational biology services to pharmaceutical and biotechnology companies. We have deprioritized this business and plan to gradually wind down our computational biology services to pharmaceutical and biotechnology companies in the future. However, we are currently still servicing one company and in doing so, we must:</w:t>
      </w:r>
    </w:p>
    <w:p>
      <w:pPr>
        <w:spacing w:after="0" w:line="149" w:lineRule="exact"/>
        <w:rPr>
          <w:sz w:val="20"/>
          <w:szCs w:val="20"/>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accurately assess and meet the customer’s needs;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ensure our computational biology services meet industry standards and practices for performance of similar services;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retain the proper personnel to fulfill these service contracts;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compete effectively with other computational biology service providers performing similar services.</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fail to adequately meet the requirements under our computational biology service contracts to our typical high standards, our reputation, growth opportunities and prospects could be adversely affected, possibly resulting in related losses. In addition, as is typical for contracts of this nature, there are inherent legal risks and potential liabilities associated with our work under each of our past and present contracts.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We substantially rely, and expect to continue to rely, on third parties, including independent clinical investigators and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7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9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4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6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4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66" w:lineRule="exact"/>
        <w:rPr>
          <w:sz w:val="20"/>
          <w:szCs w:val="20"/>
          <w:color w:val="auto"/>
        </w:rPr>
      </w:pPr>
    </w:p>
    <w:p>
      <w:pPr>
        <w:ind w:left="60" w:right="59" w:hanging="10"/>
        <w:spacing w:after="0" w:line="277" w:lineRule="auto"/>
        <w:tabs>
          <w:tab w:leader="none" w:pos="2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83" w:lineRule="exact"/>
        <w:rPr>
          <w:rFonts w:ascii="Arial" w:cs="Arial" w:eastAsia="Arial" w:hAnsi="Arial"/>
          <w:sz w:val="18"/>
          <w:szCs w:val="18"/>
          <w:color w:val="auto"/>
        </w:rPr>
      </w:pPr>
    </w:p>
    <w:p>
      <w:pPr>
        <w:jc w:val="both"/>
        <w:ind w:left="60" w:right="59" w:hanging="10"/>
        <w:spacing w:after="0" w:line="301" w:lineRule="auto"/>
        <w:tabs>
          <w:tab w:leader="none" w:pos="1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70" w:lineRule="exact"/>
        <w:rPr>
          <w:rFonts w:ascii="Arial" w:cs="Arial" w:eastAsia="Arial" w:hAnsi="Arial"/>
          <w:sz w:val="16"/>
          <w:szCs w:val="16"/>
          <w:color w:val="auto"/>
        </w:rPr>
      </w:pPr>
    </w:p>
    <w:p>
      <w:pPr>
        <w:jc w:val="both"/>
        <w:ind w:left="60" w:right="59" w:hanging="10"/>
        <w:spacing w:after="0" w:line="263" w:lineRule="auto"/>
        <w:tabs>
          <w:tab w:leader="none" w:pos="19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7" w:lineRule="exact"/>
        <w:rPr>
          <w:rFonts w:ascii="Arial" w:cs="Arial" w:eastAsia="Arial" w:hAnsi="Arial"/>
          <w:sz w:val="18"/>
          <w:szCs w:val="18"/>
          <w:color w:val="auto"/>
        </w:rPr>
      </w:pPr>
    </w:p>
    <w:p>
      <w:pPr>
        <w:jc w:val="both"/>
        <w:ind w:left="60" w:right="79" w:hanging="10"/>
        <w:spacing w:after="0" w:line="263" w:lineRule="auto"/>
        <w:tabs>
          <w:tab w:leader="none" w:pos="1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183" w:lineRule="exact"/>
        <w:rPr>
          <w:rFonts w:ascii="Arial" w:cs="Arial" w:eastAsia="Arial" w:hAnsi="Arial"/>
          <w:sz w:val="18"/>
          <w:szCs w:val="18"/>
          <w:color w:val="auto"/>
        </w:rPr>
      </w:pPr>
    </w:p>
    <w:p>
      <w:pPr>
        <w:jc w:val="both"/>
        <w:ind w:left="60" w:right="59" w:hanging="10"/>
        <w:spacing w:after="0" w:line="259" w:lineRule="auto"/>
        <w:tabs>
          <w:tab w:leader="none" w:pos="2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0" w:lineRule="exact"/>
        <w:rPr>
          <w:rFonts w:ascii="Arial" w:cs="Arial" w:eastAsia="Arial" w:hAnsi="Arial"/>
          <w:sz w:val="18"/>
          <w:szCs w:val="18"/>
          <w:color w:val="auto"/>
        </w:rPr>
      </w:pPr>
    </w:p>
    <w:p>
      <w:pPr>
        <w:jc w:val="both"/>
        <w:ind w:left="60" w:right="79" w:hanging="10"/>
        <w:spacing w:after="0" w:line="263" w:lineRule="auto"/>
        <w:tabs>
          <w:tab w:leader="none" w:pos="1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2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5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71" w:lineRule="exact"/>
        <w:rPr>
          <w:sz w:val="20"/>
          <w:szCs w:val="20"/>
          <w:color w:val="auto"/>
        </w:rPr>
      </w:pPr>
    </w:p>
    <w:p>
      <w:pPr>
        <w:jc w:val="both"/>
        <w:ind w:left="60" w:right="59" w:hanging="10"/>
        <w:spacing w:after="0" w:line="286"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8" w:lineRule="exact"/>
        <w:rPr>
          <w:rFonts w:ascii="Arial" w:cs="Arial" w:eastAsia="Arial" w:hAnsi="Arial"/>
          <w:sz w:val="17"/>
          <w:szCs w:val="17"/>
          <w:color w:val="auto"/>
        </w:rPr>
      </w:pPr>
    </w:p>
    <w:p>
      <w:pPr>
        <w:ind w:left="160" w:hanging="110"/>
        <w:spacing w:after="0"/>
        <w:tabs>
          <w:tab w:leader="none" w:pos="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278" w:lineRule="exact"/>
        <w:rPr>
          <w:rFonts w:ascii="Arial" w:cs="Arial" w:eastAsia="Arial" w:hAnsi="Arial"/>
          <w:sz w:val="18"/>
          <w:szCs w:val="18"/>
          <w:color w:val="auto"/>
        </w:rPr>
      </w:pPr>
    </w:p>
    <w:p>
      <w:pPr>
        <w:ind w:left="60" w:right="159" w:hanging="10"/>
        <w:spacing w:after="0" w:line="277" w:lineRule="auto"/>
        <w:tabs>
          <w:tab w:leader="none" w:pos="1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60" w:hanging="110"/>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3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8"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9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24" w:lineRule="exact"/>
        <w:rPr>
          <w:sz w:val="20"/>
          <w:szCs w:val="20"/>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meet our product specifications and quality requirements consistently;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initiate or continue clinical trials of our product candidates under development;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delays in submitting regulatory applications, or receiving marketing approvals, for our product candidates, if at all;</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commercialize any product candidates that receive marketing approval on a timely basis;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the cooperation of future collaborators;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70"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profit margins.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248"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As product candidates progress through preclinical and clinical trials to marketing approval and commercialization, it is common that various aspects of the development program, such as manufacturing methods and formulation, are altered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78" w:lineRule="exact"/>
        <w:rPr>
          <w:sz w:val="20"/>
          <w:szCs w:val="20"/>
          <w:color w:val="auto"/>
        </w:rPr>
      </w:pPr>
    </w:p>
    <w:p>
      <w:pPr>
        <w:jc w:val="both"/>
        <w:ind w:left="60" w:right="59" w:hanging="10"/>
        <w:spacing w:after="0" w:line="293" w:lineRule="auto"/>
        <w:tabs>
          <w:tab w:leader="none" w:pos="2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177" w:lineRule="exact"/>
        <w:rPr>
          <w:rFonts w:ascii="Arial" w:cs="Arial" w:eastAsia="Arial" w:hAnsi="Arial"/>
          <w:sz w:val="16"/>
          <w:szCs w:val="16"/>
          <w:color w:val="auto"/>
        </w:rPr>
      </w:pPr>
    </w:p>
    <w:p>
      <w:pPr>
        <w:jc w:val="both"/>
        <w:ind w:left="60" w:right="59" w:hanging="10"/>
        <w:spacing w:after="0" w:line="291" w:lineRule="auto"/>
        <w:tabs>
          <w:tab w:leader="none" w:pos="16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179" w:lineRule="exact"/>
        <w:rPr>
          <w:rFonts w:ascii="Arial" w:cs="Arial" w:eastAsia="Arial" w:hAnsi="Arial"/>
          <w:sz w:val="16"/>
          <w:szCs w:val="16"/>
          <w:color w:val="auto"/>
        </w:rPr>
      </w:pPr>
    </w:p>
    <w:p>
      <w:pPr>
        <w:jc w:val="both"/>
        <w:ind w:left="60" w:right="59" w:hanging="10"/>
        <w:spacing w:after="0" w:line="257" w:lineRule="auto"/>
        <w:tabs>
          <w:tab w:leader="none" w:pos="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7" w:lineRule="exact"/>
        <w:rPr>
          <w:rFonts w:ascii="Arial" w:cs="Arial" w:eastAsia="Arial" w:hAnsi="Arial"/>
          <w:sz w:val="18"/>
          <w:szCs w:val="18"/>
          <w:color w:val="auto"/>
        </w:rPr>
      </w:pPr>
    </w:p>
    <w:p>
      <w:pPr>
        <w:jc w:val="both"/>
        <w:ind w:left="60" w:right="59" w:hanging="10"/>
        <w:spacing w:after="0" w:line="273" w:lineRule="auto"/>
        <w:tabs>
          <w:tab w:leader="none" w:pos="17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91" w:lineRule="exact"/>
        <w:rPr>
          <w:rFonts w:ascii="Arial" w:cs="Arial" w:eastAsia="Arial" w:hAnsi="Arial"/>
          <w:sz w:val="17"/>
          <w:szCs w:val="17"/>
          <w:color w:val="auto"/>
        </w:rPr>
      </w:pPr>
    </w:p>
    <w:p>
      <w:pPr>
        <w:ind w:left="60" w:right="79" w:hanging="10"/>
        <w:spacing w:after="0" w:line="342" w:lineRule="auto"/>
        <w:tabs>
          <w:tab w:leader="none" w:pos="20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executing or attempting to execute a scheme to defraud any healthcare benefit program or making false statements relating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to healthcare matters. Similar to the federal Anti-Kickback Statute, a person or entity does not need to have actual knowledge of the statute or specific intent to violate it in order to have committed a violation;</w:t>
      </w:r>
    </w:p>
    <w:p>
      <w:pPr>
        <w:spacing w:after="0" w:line="170" w:lineRule="exact"/>
        <w:rPr>
          <w:sz w:val="20"/>
          <w:szCs w:val="20"/>
          <w:color w:val="auto"/>
        </w:rPr>
      </w:pPr>
    </w:p>
    <w:p>
      <w:pPr>
        <w:jc w:val="both"/>
        <w:ind w:left="60" w:right="59" w:hanging="10"/>
        <w:spacing w:after="0" w:line="272" w:lineRule="auto"/>
        <w:tabs>
          <w:tab w:leader="none" w:pos="1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190" w:lineRule="exact"/>
        <w:rPr>
          <w:rFonts w:ascii="Arial" w:cs="Arial" w:eastAsia="Arial" w:hAnsi="Arial"/>
          <w:sz w:val="17"/>
          <w:szCs w:val="17"/>
          <w:color w:val="auto"/>
        </w:rPr>
      </w:pPr>
    </w:p>
    <w:p>
      <w:pPr>
        <w:jc w:val="both"/>
        <w:ind w:left="60" w:right="59" w:hanging="10"/>
        <w:spacing w:after="0" w:line="273" w:lineRule="auto"/>
        <w:tabs>
          <w:tab w:leader="none" w:pos="172"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91" w:lineRule="exact"/>
        <w:rPr>
          <w:rFonts w:ascii="Arial" w:cs="Arial" w:eastAsia="Arial" w:hAnsi="Arial"/>
          <w:sz w:val="17"/>
          <w:szCs w:val="17"/>
          <w:color w:val="auto"/>
        </w:rPr>
      </w:pPr>
    </w:p>
    <w:p>
      <w:pPr>
        <w:jc w:val="both"/>
        <w:ind w:left="60" w:right="59" w:hanging="10"/>
        <w:spacing w:after="0" w:line="257" w:lineRule="auto"/>
        <w:tabs>
          <w:tab w:leader="none" w:pos="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88"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1"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damage to our reputation, any of which could have a material adverse effect on our business, results of operation, and financial condition.</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We are not currently acting as a covered entity or business associate under HIPAA and thus are not subject to its requirements.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8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are also or may become subject to rapidly evolving data protection laws, rules and regulations in foreign jurisdictions. For example, the European Union General Data Protection Regulation, or the GDPR, governs certain collection and other processing activities involving personal data about individuals in the European Economic Area, or the EEA. Among other things, the GDPR imposes requirements regarding the security of personal data, the rights of data subjects to access and delete personal data, requires having lawful bases on which personal data can be processed, includes requirements relating to the consent of individuals to whom the personal data relates, requires detailed notices for clinical trial participants and investigators and regulates transfers of personal data from the EEA to third countries that have not been found to provide adequate protection to such personal data, including the United States. In addition,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These changes may lead to additional costs and increase our overall risk exposure.</w:t>
      </w:r>
    </w:p>
    <w:p>
      <w:pPr>
        <w:spacing w:after="0" w:line="39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00" w:lineRule="exact"/>
        <w:rPr>
          <w:sz w:val="20"/>
          <w:szCs w:val="20"/>
          <w:color w:val="auto"/>
        </w:rPr>
      </w:pPr>
    </w:p>
    <w:p>
      <w:pPr>
        <w:spacing w:after="0" w:line="20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4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6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6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FDA or other comparable foreign regulatory authorities may not accept data from trials conducted in locations outside of their jurisdiction.</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6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spacing w:after="0" w:line="171" w:lineRule="exact"/>
        <w:rPr>
          <w:sz w:val="20"/>
          <w:szCs w:val="20"/>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 down or other disruption at the FDA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9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required reporting of certain financial arrangements between manufacturers of biologics, physicians and teaching hospitals under the federal Physician Payments Sunshine Act;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6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6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with the exception of a temporary suspension from May 1, 2020 through March 31, 2022 due to the coronavirus pandemic, unless additional congressional action is taken. Under current legislation, the actual reduction in Medicare payments varies from 1% from April 1, 2022 through June 30, 2022, to up to 3% in the final fiscal year of this period.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8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As of August 10, 2022, we owned one issued patent and pending patent applications, in the United States only, related to our platform technologies, as well as pending patent applications related to our product candidates. We currently do not have any issued patents related to our product candidates.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38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84" w:lineRule="exact"/>
        <w:rPr>
          <w:sz w:val="20"/>
          <w:szCs w:val="20"/>
          <w:color w:val="auto"/>
        </w:rPr>
      </w:pPr>
    </w:p>
    <w:p>
      <w:pPr>
        <w:jc w:val="both"/>
        <w:ind w:left="60" w:right="59" w:hanging="10"/>
        <w:spacing w:after="0" w:line="259" w:lineRule="auto"/>
        <w:tabs>
          <w:tab w:leader="none" w:pos="2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0"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65"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patents may be challenged, invalidated, modified, revoked, circumvented, found to be unenforceable or otherwise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not provide any competitive advantage;</w:t>
      </w:r>
    </w:p>
    <w:p>
      <w:pPr>
        <w:spacing w:after="0" w:line="224" w:lineRule="exact"/>
        <w:rPr>
          <w:sz w:val="20"/>
          <w:szCs w:val="20"/>
          <w:color w:val="auto"/>
        </w:rPr>
      </w:pPr>
    </w:p>
    <w:p>
      <w:pPr>
        <w:jc w:val="both"/>
        <w:ind w:left="60" w:right="59" w:hanging="10"/>
        <w:spacing w:after="0" w:line="263" w:lineRule="auto"/>
        <w:tabs>
          <w:tab w:leader="none" w:pos="1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97" w:lineRule="exact"/>
        <w:rPr>
          <w:rFonts w:ascii="Arial" w:cs="Arial" w:eastAsia="Arial" w:hAnsi="Arial"/>
          <w:sz w:val="18"/>
          <w:szCs w:val="18"/>
          <w:color w:val="auto"/>
        </w:rPr>
      </w:pPr>
    </w:p>
    <w:p>
      <w:pPr>
        <w:jc w:val="both"/>
        <w:ind w:left="60" w:right="59" w:hanging="10"/>
        <w:spacing w:after="0" w:line="263" w:lineRule="auto"/>
        <w:tabs>
          <w:tab w:leader="none" w:pos="1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97" w:lineRule="exact"/>
        <w:rPr>
          <w:rFonts w:ascii="Arial" w:cs="Arial" w:eastAsia="Arial" w:hAnsi="Arial"/>
          <w:sz w:val="18"/>
          <w:szCs w:val="18"/>
          <w:color w:val="auto"/>
        </w:rPr>
      </w:pPr>
    </w:p>
    <w:p>
      <w:pPr>
        <w:jc w:val="both"/>
        <w:ind w:left="60" w:right="59" w:hanging="10"/>
        <w:spacing w:after="0" w:line="263" w:lineRule="auto"/>
        <w:tabs>
          <w:tab w:leader="none" w:pos="1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9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6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7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royalties and other obligations. If we fail to comply with our obligations under these agreements (including as a result of COVID-19 and its variants impacting our operations),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addition, disputes may arise between us and any future licensors regarding intellectual property subject to a license agreement, including:</w:t>
      </w:r>
    </w:p>
    <w:p>
      <w:pPr>
        <w:spacing w:after="0" w:line="170" w:lineRule="exact"/>
        <w:rPr>
          <w:sz w:val="20"/>
          <w:szCs w:val="20"/>
          <w:color w:val="auto"/>
        </w:rPr>
      </w:pPr>
    </w:p>
    <w:p>
      <w:pPr>
        <w:ind w:left="160" w:hanging="110"/>
        <w:spacing w:after="0"/>
        <w:tabs>
          <w:tab w:leader="none" w:pos="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scope of rights granted and obligations imposed under the license agreement and other interpretation-related issues;</w:t>
      </w:r>
    </w:p>
    <w:p>
      <w:pPr>
        <w:spacing w:after="0" w:line="261" w:lineRule="exact"/>
        <w:rPr>
          <w:rFonts w:ascii="Arial" w:cs="Arial" w:eastAsia="Arial" w:hAnsi="Arial"/>
          <w:sz w:val="16"/>
          <w:szCs w:val="16"/>
          <w:color w:val="auto"/>
        </w:rPr>
      </w:pPr>
    </w:p>
    <w:p>
      <w:pPr>
        <w:ind w:left="60" w:right="59" w:hanging="10"/>
        <w:spacing w:after="0" w:line="277" w:lineRule="auto"/>
        <w:tabs>
          <w:tab w:leader="none" w:pos="1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intellectual property of the licensor that is not subject to the licensing agreement;</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if any, we owe to a potential licensor in respect of sublicense fees or income or in respect of backup product;</w:t>
      </w:r>
    </w:p>
    <w:p>
      <w:pPr>
        <w:spacing w:after="0" w:line="261" w:lineRule="exact"/>
        <w:rPr>
          <w:rFonts w:ascii="Arial" w:cs="Arial" w:eastAsia="Arial" w:hAnsi="Arial"/>
          <w:sz w:val="16"/>
          <w:szCs w:val="16"/>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its affiliates and sublicensees and by us and our partners and sublicensees.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9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our future licensors and third parties.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4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7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8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Further, third parties may obtain patents in the future and claim that use of our technologies infringes upon these patents.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211" w:lineRule="exact"/>
        <w:rPr>
          <w:sz w:val="20"/>
          <w:szCs w:val="20"/>
          <w:color w:val="auto"/>
        </w:rPr>
      </w:pPr>
    </w:p>
    <w:p>
      <w:pPr>
        <w:ind w:left="160" w:hanging="110"/>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cause development delays;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unenforceable or not infringed in a court of law;</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38" w:lineRule="exact"/>
        <w:rPr>
          <w:rFonts w:ascii="Arial" w:cs="Arial" w:eastAsia="Arial" w:hAnsi="Arial"/>
          <w:sz w:val="18"/>
          <w:szCs w:val="18"/>
          <w:color w:val="auto"/>
        </w:rPr>
      </w:pPr>
    </w:p>
    <w:p>
      <w:pPr>
        <w:ind w:left="60" w:right="59" w:hanging="10"/>
        <w:spacing w:after="0" w:line="308" w:lineRule="auto"/>
        <w:tabs>
          <w:tab w:leader="none" w:pos="1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6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Although no third party has asserted a claim of patent infringement against us as of the date of this Quarterly Report on Form 10-Q,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7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92" w:lineRule="exact"/>
        <w:rPr>
          <w:sz w:val="20"/>
          <w:szCs w:val="20"/>
          <w:color w:val="auto"/>
        </w:rPr>
      </w:pPr>
    </w:p>
    <w:p>
      <w:pPr>
        <w:jc w:val="both"/>
        <w:ind w:left="60" w:right="79"/>
        <w:spacing w:after="0" w:line="381" w:lineRule="auto"/>
        <w:rPr>
          <w:sz w:val="20"/>
          <w:szCs w:val="20"/>
          <w:color w:val="auto"/>
        </w:rPr>
      </w:pPr>
      <w:r>
        <w:rPr>
          <w:rFonts w:ascii="Arial" w:cs="Arial" w:eastAsia="Arial" w:hAnsi="Arial"/>
          <w:sz w:val="15"/>
          <w:szCs w:val="15"/>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0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6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6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6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 addition, Congress or other foreign legislative bodies may pass patent reform legislation that is unfavorable to us. For example, the U.S. Supreme Court has ruled on several patent cases in recent years, either narrowing the scope of patent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72"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w:t>
      </w:r>
    </w:p>
    <w:p>
      <w:pPr>
        <w:jc w:val="both"/>
        <w:ind w:left="60" w:right="59"/>
        <w:spacing w:after="0" w:line="253" w:lineRule="auto"/>
        <w:rPr>
          <w:sz w:val="20"/>
          <w:szCs w:val="20"/>
          <w:color w:val="auto"/>
        </w:rPr>
      </w:pPr>
      <w:r>
        <w:rPr>
          <w:rFonts w:ascii="Arial" w:cs="Arial" w:eastAsia="Arial" w:hAnsi="Arial"/>
          <w:sz w:val="18"/>
          <w:szCs w:val="18"/>
          <w:color w:val="auto"/>
        </w:rPr>
        <w:t>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3"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6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use third-party open source software, which could negatively affect our ability to offer our solutions and subject us to litigation or other actions.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make our systems more vulnerable to data breaches. In addition, the public availability of such software may make it easier for others to compromise our platform.</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84" w:lineRule="exact"/>
        <w:rPr>
          <w:sz w:val="20"/>
          <w:szCs w:val="20"/>
          <w:color w:val="auto"/>
        </w:rPr>
      </w:pPr>
    </w:p>
    <w:p>
      <w:pPr>
        <w:ind w:left="60" w:right="59" w:hanging="10"/>
        <w:spacing w:after="0" w:line="277" w:lineRule="auto"/>
        <w:tabs>
          <w:tab w:leader="none" w:pos="1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may own or license;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make the inventions covered by the issued patents or patent application that we may own or license;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file patent applications covering certain of our inventions;</w:t>
      </w:r>
    </w:p>
    <w:p>
      <w:pPr>
        <w:spacing w:after="0" w:line="170" w:lineRule="exact"/>
        <w:rPr>
          <w:rFonts w:ascii="Arial" w:cs="Arial" w:eastAsia="Arial" w:hAnsi="Arial"/>
          <w:sz w:val="18"/>
          <w:szCs w:val="18"/>
          <w:color w:val="auto"/>
        </w:rPr>
      </w:pPr>
    </w:p>
    <w:p>
      <w:pPr>
        <w:ind w:left="60" w:right="659" w:hanging="10"/>
        <w:spacing w:after="0" w:line="277" w:lineRule="auto"/>
        <w:tabs>
          <w:tab w:leader="none" w:pos="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or our future licensors’ pending patent applications will not lead to issued patents;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issued patents that we own or license may be held invalid or unenforceable, as a result of legal challenges by our competitors;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3" w:lineRule="auto"/>
        <w:tabs>
          <w:tab w:leader="none" w:pos="1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success is highly dependent on our ability to attract and retain highly skilled executive officers and employees.</w:t>
      </w:r>
    </w:p>
    <w:p>
      <w:pPr>
        <w:spacing w:after="0" w:line="24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rate and success at which we can discover, develop and commercialize our product candidates will be limited and the potential for successfully growing our business will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of June 30, 2022, we had 74 full-time employees, including 62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spacing w:after="0" w:line="171" w:lineRule="exact"/>
        <w:rPr>
          <w:sz w:val="20"/>
          <w:szCs w:val="20"/>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8" w:lineRule="exact"/>
        <w:rPr>
          <w:rFonts w:ascii="Arial" w:cs="Arial" w:eastAsia="Arial" w:hAnsi="Arial"/>
          <w:sz w:val="18"/>
          <w:szCs w:val="18"/>
          <w:color w:val="auto"/>
        </w:rPr>
      </w:pPr>
    </w:p>
    <w:p>
      <w:pPr>
        <w:jc w:val="both"/>
        <w:ind w:left="60" w:right="59" w:hanging="10"/>
        <w:spacing w:after="0" w:line="286" w:lineRule="auto"/>
        <w:tabs>
          <w:tab w:leader="none" w:pos="217"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spacing w:after="0" w:line="178" w:lineRule="exact"/>
        <w:rPr>
          <w:rFonts w:ascii="Arial" w:cs="Arial" w:eastAsia="Arial" w:hAnsi="Arial"/>
          <w:sz w:val="17"/>
          <w:szCs w:val="17"/>
          <w:color w:val="auto"/>
        </w:rPr>
      </w:pPr>
    </w:p>
    <w:p>
      <w:pPr>
        <w:ind w:left="160" w:hanging="110"/>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 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market value of our Class A common stock may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common stock of other pharmaceutical and biotechnology companies have also been highly volatile as a result of the pandemic related to COVID-19 and its variants.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spacing w:after="0" w:line="184" w:lineRule="exact"/>
        <w:rPr>
          <w:sz w:val="20"/>
          <w:szCs w:val="20"/>
          <w:color w:val="auto"/>
        </w:rPr>
      </w:pPr>
    </w:p>
    <w:p>
      <w:pPr>
        <w:ind w:left="160" w:hanging="110"/>
        <w:spacing w:after="0"/>
        <w:tabs>
          <w:tab w:leader="none" w:pos="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timing and results of preclinical studies and clinical trials of our product candidates or those of our competitors;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success of competitive products or announcements by potential competitors of their product development efforts;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ongoing and future impact of the pandemic related to COVID-19 and its variants, or any future pandemics, and actions taken to slow their spread;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hanging="10"/>
        <w:spacing w:after="0" w:line="259" w:lineRule="auto"/>
        <w:tabs>
          <w:tab w:leader="none" w:pos="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the effects of recession or slow economic growth in the U.S. and abroad, interest rates, inflation, fuel prices, international currency fluctuations, corruption, political instability, acts of war, including the Russian Federation’s invasion of Ukraine in February 2022, acts of terrorism, and the ongoing COVID-19 pandemic or other public health crises.</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4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June 30, 2022, our executive officers, directors, holders of 5% or more of our capital stock and their respective affiliates beneficially owned approximately 68.0%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in the public market could cause our stock price to fall.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of our Class A common stock are freely transferable without restrictions or further registration under the Securities Act of 1933, as amended, or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65" w:lineRule="exact"/>
        <w:rPr>
          <w:sz w:val="20"/>
          <w:szCs w:val="20"/>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that directors may only be removed “for cause” and only with the approval of two-thirds of our stockholders;</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Quarterly Report on Form 10-Q. Nothing in our amended and restated certificate of incorporation or amended and restated bylaws preclude stockholders that assert claims under the Exchange Act from bringing such claims in state or federal court, subject to applicable law.</w:t>
      </w:r>
    </w:p>
    <w:p>
      <w:pPr>
        <w:spacing w:after="0" w:line="17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information technology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Despite the implementation of security measures, our information technology systems and those of our current and any future CROs and other contractors, consultants, collaborators and third-party service providers, are vulnerable to attack and damage from computer viruses (e.g. ransomware), cybersecurity threats, unauthorized access, natural disasters, terrorism, war and telecommunication and electrical failure, phishing attacks and other social engineering schemes,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spacing w:after="0" w:line="157" w:lineRule="exact"/>
        <w:rPr>
          <w:sz w:val="20"/>
          <w:szCs w:val="20"/>
          <w:color w:val="auto"/>
        </w:rPr>
      </w:pPr>
    </w:p>
    <w:p>
      <w:pPr>
        <w:ind w:left="60" w:right="59"/>
        <w:spacing w:after="0" w:line="252"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w:t>
      </w:r>
    </w:p>
    <w:p>
      <w:pPr>
        <w:spacing w:after="0" w:line="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If such an event were to occur and cause interruptions in our operations or result in the unauthorized acquisition of or access to health-related or other personal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5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2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6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3" w:lineRule="auto"/>
        <w:tabs>
          <w:tab w:leader="none" w:pos="1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Quarterly Report on Form 10-Q;</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w:t>
      </w:r>
    </w:p>
    <w:p>
      <w:pPr>
        <w:spacing w:after="0" w:line="250" w:lineRule="exact"/>
        <w:rPr>
          <w:rFonts w:ascii="Arial" w:cs="Arial" w:eastAsia="Arial" w:hAnsi="Arial"/>
          <w:sz w:val="17"/>
          <w:szCs w:val="17"/>
          <w:color w:val="auto"/>
        </w:rPr>
      </w:pPr>
    </w:p>
    <w:p>
      <w:pPr>
        <w:ind w:left="60" w:right="59" w:hanging="10"/>
        <w:spacing w:after="0" w:line="308" w:lineRule="auto"/>
        <w:tabs>
          <w:tab w:leader="none" w:pos="182"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59" w:lineRule="exact"/>
        <w:rPr>
          <w:rFonts w:ascii="Arial" w:cs="Arial" w:eastAsia="Arial" w:hAnsi="Arial"/>
          <w:sz w:val="17"/>
          <w:szCs w:val="17"/>
          <w:color w:val="auto"/>
        </w:rPr>
      </w:pPr>
    </w:p>
    <w:p>
      <w:pPr>
        <w:ind w:left="160" w:hanging="110"/>
        <w:spacing w:after="0"/>
        <w:tabs>
          <w:tab w:leader="none" w:pos="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proxy statements; and</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4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6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tax legislation may impact our results of operations and financial condition.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The likelihood of these changes being enacted or implemented is unclear. We are currently unable to predict whether such changes will occur. If such changes are enacted or implemented, we are currently unable to predict the ultimate impact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0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880" w:type="dxa"/>
            <w:vAlign w:val="bottom"/>
          </w:tcPr>
          <w:p>
            <w:pPr>
              <w:spacing w:after="0"/>
              <w:rPr>
                <w:sz w:val="10"/>
                <w:szCs w:val="10"/>
                <w:color w:val="auto"/>
              </w:rPr>
            </w:pPr>
          </w:p>
        </w:tc>
        <w:tc>
          <w:tcPr>
            <w:tcW w:w="3160" w:type="dxa"/>
            <w:vAlign w:val="bottom"/>
            <w:gridSpan w:val="9"/>
            <w:vMerge w:val="restart"/>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8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3900" w:type="dxa"/>
            <w:vAlign w:val="bottom"/>
            <w:tcBorders>
              <w:bottom w:val="single" w:sz="8" w:color="0000EE"/>
            </w:tcBorders>
            <w:gridSpan w:val="8"/>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and Restated Certificate of Incorporation of</w:t>
              </w:r>
            </w:hyperlink>
          </w:p>
        </w:tc>
        <w:tc>
          <w:tcPr>
            <w:tcW w:w="140" w:type="dxa"/>
            <w:vAlign w:val="bottom"/>
            <w:gridSpan w:val="2"/>
          </w:tcPr>
          <w:p>
            <w:pPr>
              <w:spacing w:after="0"/>
              <w:rPr>
                <w:sz w:val="22"/>
                <w:szCs w:val="22"/>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001-40675</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80" w:type="dxa"/>
            <w:vAlign w:val="bottom"/>
          </w:tcPr>
          <w:p>
            <w:pPr>
              <w:jc w:val="center"/>
              <w:ind w:right="20"/>
              <w:spacing w:after="0"/>
              <w:rPr>
                <w:sz w:val="20"/>
                <w:szCs w:val="20"/>
                <w:color w:val="auto"/>
              </w:rPr>
            </w:pPr>
            <w:r>
              <w:rPr>
                <w:rFonts w:ascii="Arial" w:cs="Arial" w:eastAsia="Arial" w:hAnsi="Arial"/>
                <w:sz w:val="18"/>
                <w:szCs w:val="18"/>
                <w:color w:val="auto"/>
                <w:w w:val="91"/>
              </w:rPr>
              <w:t>9/9/2021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0"/>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Immuneering Corporation</w:t>
              </w:r>
            </w:hyperlink>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040" w:type="dxa"/>
            <w:vAlign w:val="bottom"/>
            <w:gridSpan w:val="1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Amended and Restated Bylaws of Immuneering</w:t>
              </w:r>
            </w:hyperlink>
          </w:p>
        </w:tc>
        <w:tc>
          <w:tcPr>
            <w:tcW w:w="560" w:type="dxa"/>
            <w:vAlign w:val="bottom"/>
          </w:tcPr>
          <w:p>
            <w:pPr>
              <w:ind w:left="100"/>
              <w:spacing w:after="0" w:line="196" w:lineRule="exact"/>
              <w:rPr>
                <w:sz w:val="20"/>
                <w:szCs w:val="20"/>
                <w:color w:val="auto"/>
              </w:rPr>
            </w:pPr>
            <w:r>
              <w:rPr>
                <w:rFonts w:ascii="Arial" w:cs="Arial" w:eastAsia="Arial" w:hAnsi="Arial"/>
                <w:sz w:val="18"/>
                <w:szCs w:val="18"/>
                <w:color w:val="auto"/>
              </w:rPr>
              <w:t>10-Q</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001-40675</w:t>
            </w: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980" w:type="dxa"/>
            <w:vAlign w:val="bottom"/>
          </w:tcPr>
          <w:p>
            <w:pPr>
              <w:jc w:val="center"/>
              <w:ind w:right="20"/>
              <w:spacing w:after="0" w:line="196" w:lineRule="exact"/>
              <w:rPr>
                <w:sz w:val="20"/>
                <w:szCs w:val="20"/>
                <w:color w:val="auto"/>
              </w:rPr>
            </w:pPr>
            <w:r>
              <w:rPr>
                <w:rFonts w:ascii="Arial" w:cs="Arial" w:eastAsia="Arial" w:hAnsi="Arial"/>
                <w:sz w:val="18"/>
                <w:szCs w:val="18"/>
                <w:color w:val="auto"/>
                <w:w w:val="91"/>
              </w:rPr>
              <w:t>9/9/2021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Corporation</w:t>
              </w:r>
            </w:hyperlink>
          </w:p>
        </w:tc>
        <w:tc>
          <w:tcPr>
            <w:tcW w:w="258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040" w:type="dxa"/>
            <w:vAlign w:val="bottom"/>
            <w:gridSpan w:val="10"/>
          </w:tcPr>
          <w:p>
            <w:pPr>
              <w:spacing w:after="0" w:line="196" w:lineRule="exact"/>
              <w:rPr>
                <w:sz w:val="20"/>
                <w:szCs w:val="20"/>
                <w:color w:val="auto"/>
              </w:rPr>
            </w:pPr>
            <w:r>
              <w:rPr>
                <w:rFonts w:ascii="Arial" w:cs="Arial" w:eastAsia="Arial" w:hAnsi="Arial"/>
                <w:sz w:val="18"/>
                <w:szCs w:val="18"/>
                <w:color w:val="0000EE"/>
              </w:rPr>
              <w:t>Certification of Chief Executive Officer pursuant to</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Rule 13a-14(a)/15d-14(a).</w:t>
            </w:r>
          </w:p>
        </w:tc>
        <w:tc>
          <w:tcPr>
            <w:tcW w:w="1820" w:type="dxa"/>
            <w:vAlign w:val="bottom"/>
            <w:tcBorders>
              <w:top w:val="single" w:sz="8" w:color="0000EE"/>
            </w:tcBorders>
            <w:gridSpan w:val="3"/>
          </w:tcPr>
          <w:p>
            <w:pPr>
              <w:spacing w:after="0"/>
              <w:rPr>
                <w:sz w:val="17"/>
                <w:szCs w:val="17"/>
                <w:color w:val="auto"/>
              </w:rPr>
            </w:pPr>
          </w:p>
        </w:tc>
        <w:tc>
          <w:tcPr>
            <w:tcW w:w="3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36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Certification of Chief Financial Officer pursuant to</w:t>
            </w:r>
          </w:p>
        </w:tc>
        <w:tc>
          <w:tcPr>
            <w:tcW w:w="3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Rule 13a-14(a)/15d-14(a).</w:t>
            </w:r>
          </w:p>
        </w:tc>
        <w:tc>
          <w:tcPr>
            <w:tcW w:w="214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9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Certification of Chief Executive Officer pursuant to 18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0"/>
          </w:tcPr>
          <w:p>
            <w:pPr>
              <w:spacing w:after="0" w:line="196" w:lineRule="exact"/>
              <w:rPr>
                <w:sz w:val="20"/>
                <w:szCs w:val="20"/>
                <w:color w:val="auto"/>
              </w:rPr>
            </w:pPr>
            <w:r>
              <w:rPr>
                <w:rFonts w:ascii="Arial" w:cs="Arial" w:eastAsia="Arial" w:hAnsi="Arial"/>
                <w:sz w:val="18"/>
                <w:szCs w:val="18"/>
                <w:color w:val="0000EE"/>
              </w:rPr>
              <w:t>U.S.C. Section 1350.</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040" w:type="dxa"/>
            <w:vAlign w:val="bottom"/>
            <w:gridSpan w:val="10"/>
          </w:tcPr>
          <w:p>
            <w:pPr>
              <w:spacing w:after="0" w:line="196" w:lineRule="exact"/>
              <w:rPr>
                <w:sz w:val="20"/>
                <w:szCs w:val="20"/>
                <w:color w:val="auto"/>
              </w:rPr>
            </w:pPr>
            <w:r>
              <w:rPr>
                <w:rFonts w:ascii="Arial" w:cs="Arial" w:eastAsia="Arial" w:hAnsi="Arial"/>
                <w:sz w:val="18"/>
                <w:szCs w:val="18"/>
                <w:color w:val="0000EE"/>
                <w:w w:val="96"/>
              </w:rPr>
              <w:t>Certification of Chief Financial Officer pursuant to 18</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9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U.S.C. Section 1350.</w:t>
            </w:r>
          </w:p>
        </w:tc>
        <w:tc>
          <w:tcPr>
            <w:tcW w:w="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0"/>
          </w:tcPr>
          <w:p>
            <w:pPr>
              <w:spacing w:after="0"/>
              <w:rPr>
                <w:sz w:val="20"/>
                <w:szCs w:val="20"/>
                <w:color w:val="auto"/>
              </w:rPr>
            </w:pPr>
            <w:r>
              <w:rPr>
                <w:rFonts w:ascii="Arial" w:cs="Arial" w:eastAsia="Arial" w:hAnsi="Arial"/>
                <w:sz w:val="18"/>
                <w:szCs w:val="18"/>
                <w:color w:val="auto"/>
                <w:w w:val="93"/>
              </w:rPr>
              <w:t>document does not appear in the Interactive Data File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0"/>
          </w:tcPr>
          <w:p>
            <w:pPr>
              <w:spacing w:after="0"/>
              <w:rPr>
                <w:sz w:val="20"/>
                <w:szCs w:val="20"/>
                <w:color w:val="auto"/>
              </w:rPr>
            </w:pPr>
            <w:r>
              <w:rPr>
                <w:rFonts w:ascii="Arial" w:cs="Arial" w:eastAsia="Arial" w:hAnsi="Arial"/>
                <w:sz w:val="18"/>
                <w:szCs w:val="18"/>
                <w:color w:val="auto"/>
                <w:w w:val="92"/>
              </w:rPr>
              <w:t>because its XBRL tags are embedded within the Inline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040" w:type="dxa"/>
            <w:vAlign w:val="bottom"/>
            <w:gridSpan w:val="10"/>
          </w:tcPr>
          <w:p>
            <w:pPr>
              <w:spacing w:after="0"/>
              <w:rPr>
                <w:sz w:val="20"/>
                <w:szCs w:val="20"/>
                <w:color w:val="auto"/>
              </w:rPr>
            </w:pPr>
            <w:r>
              <w:rPr>
                <w:rFonts w:ascii="Arial" w:cs="Arial" w:eastAsia="Arial" w:hAnsi="Arial"/>
                <w:sz w:val="18"/>
                <w:szCs w:val="18"/>
                <w:color w:val="auto"/>
              </w:rPr>
              <w:t>XBRL document.</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3"/>
              </w:rPr>
              <w:t>Incorporated by Reference</w:t>
            </w:r>
          </w:p>
        </w:tc>
        <w:tc>
          <w:tcPr>
            <w:tcW w:w="740" w:type="dxa"/>
            <w:vAlign w:val="bottom"/>
            <w:tcBorders>
              <w:bottom w:val="single" w:sz="8" w:color="auto"/>
            </w:tcBorders>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74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41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jc w:val="center"/>
              <w:ind w:right="271"/>
              <w:spacing w:after="0" w:line="119" w:lineRule="exact"/>
              <w:rPr>
                <w:sz w:val="20"/>
                <w:szCs w:val="20"/>
                <w:color w:val="auto"/>
              </w:rPr>
            </w:pPr>
            <w:r>
              <w:rPr>
                <w:rFonts w:ascii="Arial" w:cs="Arial" w:eastAsia="Arial" w:hAnsi="Arial"/>
                <w:sz w:val="13"/>
                <w:szCs w:val="13"/>
                <w:b w:val="1"/>
                <w:bCs w:val="1"/>
                <w:color w:val="auto"/>
              </w:rPr>
              <w:t>Filing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1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4100" w:type="dxa"/>
            <w:vAlign w:val="bottom"/>
          </w:tcPr>
          <w:p>
            <w:pPr>
              <w:ind w:left="60"/>
              <w:spacing w:after="0"/>
              <w:rPr>
                <w:sz w:val="20"/>
                <w:szCs w:val="20"/>
                <w:color w:val="auto"/>
              </w:rPr>
            </w:pPr>
            <w:r>
              <w:rPr>
                <w:rFonts w:ascii="Arial" w:cs="Arial" w:eastAsia="Arial" w:hAnsi="Arial"/>
                <w:sz w:val="18"/>
                <w:szCs w:val="18"/>
                <w:color w:val="auto"/>
                <w:w w:val="93"/>
              </w:rPr>
              <w:t>Inline XBRL Taxonomy Extension Schema Document.</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4100" w:type="dxa"/>
            <w:vAlign w:val="bottom"/>
          </w:tcPr>
          <w:p>
            <w:pPr>
              <w:ind w:left="60"/>
              <w:spacing w:after="0"/>
              <w:rPr>
                <w:sz w:val="20"/>
                <w:szCs w:val="20"/>
                <w:color w:val="auto"/>
              </w:rPr>
            </w:pPr>
            <w:r>
              <w:rPr>
                <w:rFonts w:ascii="Arial" w:cs="Arial" w:eastAsia="Arial" w:hAnsi="Arial"/>
                <w:sz w:val="18"/>
                <w:szCs w:val="18"/>
                <w:color w:val="auto"/>
              </w:rPr>
              <w:t>Inline XBRL Taxonomy Extension Calculation</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Linkbase Document.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4100" w:type="dxa"/>
            <w:vAlign w:val="bottom"/>
          </w:tcPr>
          <w:p>
            <w:pPr>
              <w:ind w:left="60"/>
              <w:spacing w:after="0"/>
              <w:rPr>
                <w:sz w:val="20"/>
                <w:szCs w:val="20"/>
                <w:color w:val="auto"/>
              </w:rPr>
            </w:pPr>
            <w:r>
              <w:rPr>
                <w:rFonts w:ascii="Arial" w:cs="Arial" w:eastAsia="Arial" w:hAnsi="Arial"/>
                <w:sz w:val="18"/>
                <w:szCs w:val="18"/>
                <w:color w:val="auto"/>
                <w:w w:val="94"/>
              </w:rPr>
              <w:t>Inline XBRL Taxonomy Extension Definition Linkbase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410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4100" w:type="dxa"/>
            <w:vAlign w:val="bottom"/>
          </w:tcPr>
          <w:p>
            <w:pPr>
              <w:ind w:left="60"/>
              <w:spacing w:after="0"/>
              <w:rPr>
                <w:sz w:val="20"/>
                <w:szCs w:val="20"/>
                <w:color w:val="auto"/>
              </w:rPr>
            </w:pPr>
            <w:r>
              <w:rPr>
                <w:rFonts w:ascii="Arial" w:cs="Arial" w:eastAsia="Arial" w:hAnsi="Arial"/>
                <w:sz w:val="18"/>
                <w:szCs w:val="18"/>
                <w:color w:val="auto"/>
              </w:rPr>
              <w:t>Inline XBRL Taxonomy Extension Presentation</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Linkbase Document.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4100" w:type="dxa"/>
            <w:vAlign w:val="bottom"/>
          </w:tcPr>
          <w:p>
            <w:pPr>
              <w:ind w:left="60"/>
              <w:spacing w:after="0"/>
              <w:rPr>
                <w:sz w:val="20"/>
                <w:szCs w:val="20"/>
                <w:color w:val="auto"/>
              </w:rPr>
            </w:pPr>
            <w:r>
              <w:rPr>
                <w:rFonts w:ascii="Arial" w:cs="Arial" w:eastAsia="Arial" w:hAnsi="Arial"/>
                <w:sz w:val="18"/>
                <w:szCs w:val="18"/>
                <w:color w:val="auto"/>
                <w:w w:val="95"/>
              </w:rPr>
              <w:t>Cover Page Interactive Data File (formatted as Inline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XBRL and contained in Exhibit 101)</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80" w:hanging="730"/>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730"/>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6140" w:type="dxa"/>
            <w:vAlign w:val="bottom"/>
            <w:gridSpan w:val="2"/>
          </w:tcPr>
          <w:p>
            <w:pPr>
              <w:ind w:left="1140"/>
              <w:spacing w:after="0"/>
              <w:rPr>
                <w:sz w:val="20"/>
                <w:szCs w:val="20"/>
                <w:color w:val="auto"/>
              </w:rPr>
            </w:pPr>
            <w:r>
              <w:rPr>
                <w:rFonts w:ascii="Arial" w:cs="Arial" w:eastAsia="Arial" w:hAnsi="Arial"/>
                <w:sz w:val="18"/>
                <w:szCs w:val="18"/>
                <w:b w:val="1"/>
                <w:bCs w:val="1"/>
                <w:color w:val="auto"/>
              </w:rPr>
              <w:t>IMMUNEERING CORPORATION</w:t>
            </w:r>
          </w:p>
        </w:tc>
      </w:tr>
      <w:tr>
        <w:trPr>
          <w:trHeight w:val="648"/>
        </w:trPr>
        <w:tc>
          <w:tcPr>
            <w:tcW w:w="2740" w:type="dxa"/>
            <w:vAlign w:val="bottom"/>
          </w:tcPr>
          <w:p>
            <w:pPr>
              <w:spacing w:after="0"/>
              <w:rPr>
                <w:sz w:val="20"/>
                <w:szCs w:val="20"/>
                <w:color w:val="auto"/>
              </w:rPr>
            </w:pPr>
            <w:r>
              <w:rPr>
                <w:rFonts w:ascii="Arial" w:cs="Arial" w:eastAsia="Arial" w:hAnsi="Arial"/>
                <w:sz w:val="18"/>
                <w:szCs w:val="18"/>
                <w:color w:val="auto"/>
              </w:rPr>
              <w:t>Date: August 10, 2022</w:t>
            </w:r>
          </w:p>
        </w:tc>
        <w:tc>
          <w:tcPr>
            <w:tcW w:w="1720" w:type="dxa"/>
            <w:vAlign w:val="bottom"/>
          </w:tcPr>
          <w:p>
            <w:pPr>
              <w:ind w:left="114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J. Zeskind</w:t>
            </w:r>
          </w:p>
        </w:tc>
      </w:tr>
      <w:tr>
        <w:trPr>
          <w:trHeight w:val="195"/>
        </w:trPr>
        <w:tc>
          <w:tcPr>
            <w:tcW w:w="2740" w:type="dxa"/>
            <w:vAlign w:val="bottom"/>
          </w:tcPr>
          <w:p>
            <w:pPr>
              <w:spacing w:after="0"/>
              <w:rPr>
                <w:sz w:val="16"/>
                <w:szCs w:val="16"/>
                <w:color w:val="auto"/>
              </w:rPr>
            </w:pPr>
          </w:p>
        </w:tc>
        <w:tc>
          <w:tcPr>
            <w:tcW w:w="1720" w:type="dxa"/>
            <w:vAlign w:val="bottom"/>
          </w:tcPr>
          <w:p>
            <w:pPr>
              <w:ind w:left="1140"/>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Benjamin J. Zeskind, Ph.D.</w:t>
            </w:r>
          </w:p>
        </w:tc>
      </w:tr>
      <w:tr>
        <w:trPr>
          <w:trHeight w:val="216"/>
        </w:trPr>
        <w:tc>
          <w:tcPr>
            <w:tcW w:w="2740" w:type="dxa"/>
            <w:vAlign w:val="bottom"/>
          </w:tcPr>
          <w:p>
            <w:pPr>
              <w:spacing w:after="0"/>
              <w:rPr>
                <w:sz w:val="18"/>
                <w:szCs w:val="18"/>
                <w:color w:val="auto"/>
              </w:rPr>
            </w:pPr>
          </w:p>
        </w:tc>
        <w:tc>
          <w:tcPr>
            <w:tcW w:w="1720" w:type="dxa"/>
            <w:vAlign w:val="bottom"/>
          </w:tcPr>
          <w:p>
            <w:pPr>
              <w:ind w:left="114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w w:val="92"/>
              </w:rPr>
              <w:t>Co-Founder, President, Chief Executive Officer and Director</w:t>
            </w:r>
          </w:p>
        </w:tc>
      </w:tr>
      <w:tr>
        <w:trPr>
          <w:trHeight w:val="230"/>
        </w:trPr>
        <w:tc>
          <w:tcPr>
            <w:tcW w:w="2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Date: August 10, 2022</w:t>
            </w:r>
          </w:p>
        </w:tc>
        <w:tc>
          <w:tcPr>
            <w:tcW w:w="1720" w:type="dxa"/>
            <w:vAlign w:val="bottom"/>
          </w:tcPr>
          <w:p>
            <w:pPr>
              <w:ind w:left="114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Biren Amin</w:t>
            </w:r>
          </w:p>
        </w:tc>
      </w:tr>
      <w:tr>
        <w:trPr>
          <w:trHeight w:val="195"/>
        </w:trPr>
        <w:tc>
          <w:tcPr>
            <w:tcW w:w="2740" w:type="dxa"/>
            <w:vAlign w:val="bottom"/>
          </w:tcPr>
          <w:p>
            <w:pPr>
              <w:spacing w:after="0"/>
              <w:rPr>
                <w:sz w:val="16"/>
                <w:szCs w:val="16"/>
                <w:color w:val="auto"/>
              </w:rPr>
            </w:pPr>
          </w:p>
        </w:tc>
        <w:tc>
          <w:tcPr>
            <w:tcW w:w="1720" w:type="dxa"/>
            <w:vAlign w:val="bottom"/>
          </w:tcPr>
          <w:p>
            <w:pPr>
              <w:ind w:left="1140"/>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Biren Amin</w:t>
            </w:r>
          </w:p>
        </w:tc>
      </w:tr>
      <w:tr>
        <w:trPr>
          <w:trHeight w:val="216"/>
        </w:trPr>
        <w:tc>
          <w:tcPr>
            <w:tcW w:w="2740" w:type="dxa"/>
            <w:vAlign w:val="bottom"/>
          </w:tcPr>
          <w:p>
            <w:pPr>
              <w:spacing w:after="0"/>
              <w:rPr>
                <w:sz w:val="18"/>
                <w:szCs w:val="18"/>
                <w:color w:val="auto"/>
              </w:rPr>
            </w:pPr>
          </w:p>
        </w:tc>
        <w:tc>
          <w:tcPr>
            <w:tcW w:w="1720" w:type="dxa"/>
            <w:vAlign w:val="bottom"/>
          </w:tcPr>
          <w:p>
            <w:pPr>
              <w:ind w:left="114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w:t>
            </w:r>
          </w:p>
        </w:tc>
      </w:tr>
      <w:tr>
        <w:trPr>
          <w:trHeight w:val="230"/>
        </w:trPr>
        <w:tc>
          <w:tcPr>
            <w:tcW w:w="2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Benjamin J. Zeskind, certify that:</w:t>
      </w:r>
    </w:p>
    <w:p>
      <w:pPr>
        <w:spacing w:after="0" w:line="117" w:lineRule="exact"/>
        <w:rPr>
          <w:sz w:val="20"/>
          <w:szCs w:val="20"/>
          <w:color w:val="auto"/>
        </w:rPr>
      </w:pPr>
    </w:p>
    <w:p>
      <w:pPr>
        <w:ind w:left="700" w:hanging="6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17" w:lineRule="exact"/>
        <w:rPr>
          <w:rFonts w:ascii="Arial" w:cs="Arial" w:eastAsia="Arial" w:hAnsi="Arial"/>
          <w:sz w:val="18"/>
          <w:szCs w:val="18"/>
          <w:color w:val="auto"/>
        </w:rPr>
      </w:pPr>
    </w:p>
    <w:p>
      <w:pPr>
        <w:ind w:left="700" w:right="299" w:hanging="656"/>
        <w:spacing w:after="0" w:line="256"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700" w:right="199" w:hanging="656"/>
        <w:spacing w:after="0" w:line="256"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43" w:lineRule="exact"/>
        <w:rPr>
          <w:rFonts w:ascii="Arial" w:cs="Arial" w:eastAsia="Arial" w:hAnsi="Arial"/>
          <w:sz w:val="16"/>
          <w:szCs w:val="16"/>
          <w:color w:val="auto"/>
        </w:rPr>
      </w:pPr>
    </w:p>
    <w:p>
      <w:pPr>
        <w:ind w:left="1340" w:right="79" w:hanging="648"/>
        <w:spacing w:after="0" w:line="254"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340" w:hanging="648"/>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ind w:left="1340" w:right="179" w:hanging="648"/>
        <w:spacing w:after="0" w:line="256"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40" w:right="119" w:hanging="648"/>
        <w:spacing w:after="0" w:line="254"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700" w:right="379" w:hanging="656"/>
        <w:spacing w:after="0" w:line="256"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40" w:right="319" w:hanging="648"/>
        <w:spacing w:after="0" w:line="256"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10, 2022</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Title:  Co-Founder, President, Chief Executive Officer and</w:t>
      </w:r>
    </w:p>
    <w:p>
      <w:pPr>
        <w:spacing w:after="0" w:line="4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Biren Amin, certify that:</w:t>
      </w:r>
    </w:p>
    <w:p>
      <w:pPr>
        <w:spacing w:after="0" w:line="117" w:lineRule="exact"/>
        <w:rPr>
          <w:sz w:val="20"/>
          <w:szCs w:val="20"/>
          <w:color w:val="auto"/>
        </w:rPr>
      </w:pPr>
    </w:p>
    <w:p>
      <w:pPr>
        <w:ind w:left="700" w:hanging="65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17" w:lineRule="exact"/>
        <w:rPr>
          <w:rFonts w:ascii="Arial" w:cs="Arial" w:eastAsia="Arial" w:hAnsi="Arial"/>
          <w:sz w:val="18"/>
          <w:szCs w:val="18"/>
          <w:color w:val="auto"/>
        </w:rPr>
      </w:pPr>
    </w:p>
    <w:p>
      <w:pPr>
        <w:ind w:left="700" w:right="299" w:hanging="656"/>
        <w:spacing w:after="0" w:line="256"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700" w:right="199" w:hanging="656"/>
        <w:spacing w:after="0" w:line="256"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43" w:lineRule="exact"/>
        <w:rPr>
          <w:rFonts w:ascii="Arial" w:cs="Arial" w:eastAsia="Arial" w:hAnsi="Arial"/>
          <w:sz w:val="16"/>
          <w:szCs w:val="16"/>
          <w:color w:val="auto"/>
        </w:rPr>
      </w:pPr>
    </w:p>
    <w:p>
      <w:pPr>
        <w:ind w:left="1340" w:right="79" w:hanging="648"/>
        <w:spacing w:after="0" w:line="254"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340" w:hanging="648"/>
        <w:spacing w:after="0"/>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ind w:left="1340" w:right="179" w:hanging="648"/>
        <w:spacing w:after="0" w:line="256"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40" w:right="119" w:hanging="648"/>
        <w:spacing w:after="0" w:line="254"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700" w:right="379" w:hanging="656"/>
        <w:spacing w:after="0" w:line="256"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40" w:right="319" w:hanging="648"/>
        <w:spacing w:after="0" w:line="256"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10, 2022</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Biren Amin</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Biren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ind w:left="4700"/>
        <w:spacing w:after="0" w:line="192" w:lineRule="auto"/>
        <w:rPr>
          <w:sz w:val="20"/>
          <w:szCs w:val="20"/>
          <w:color w:val="auto"/>
        </w:rPr>
      </w:pPr>
      <w:r>
        <w:rPr>
          <w:rFonts w:ascii="Arial" w:cs="Arial" w:eastAsia="Arial" w:hAnsi="Arial"/>
          <w:sz w:val="35"/>
          <w:szCs w:val="35"/>
          <w:color w:val="auto"/>
          <w:vertAlign w:val="superscript"/>
        </w:rPr>
        <w:t>Title:</w:t>
      </w:r>
      <w:r>
        <w:rPr>
          <w:rFonts w:ascii="Arial" w:cs="Arial" w:eastAsia="Arial" w:hAnsi="Arial"/>
          <w:sz w:val="18"/>
          <w:szCs w:val="18"/>
          <w:color w:val="auto"/>
        </w:rPr>
        <w:t xml:space="preserve">  Chief Financial Officer and Treasurer</w:t>
      </w:r>
    </w:p>
    <w:p>
      <w:pPr>
        <w:ind w:left="5200"/>
        <w:spacing w:after="0"/>
        <w:rPr>
          <w:sz w:val="20"/>
          <w:szCs w:val="20"/>
          <w:color w:val="auto"/>
        </w:rPr>
      </w:pPr>
      <w:r>
        <w:rPr>
          <w:rFonts w:ascii="Arial" w:cs="Arial" w:eastAsia="Arial" w:hAnsi="Arial"/>
          <w:sz w:val="18"/>
          <w:szCs w:val="18"/>
          <w:color w:val="auto"/>
        </w:rPr>
        <w:t>(Principal Financial Officer and Principal</w:t>
      </w:r>
    </w:p>
    <w:p>
      <w:pPr>
        <w:spacing w:after="0" w:line="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ind w:left="40" w:right="59"/>
        <w:spacing w:after="0" w:line="391"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2"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June 30, 2022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5" w:lineRule="exact"/>
        <w:rPr>
          <w:sz w:val="20"/>
          <w:szCs w:val="20"/>
          <w:color w:val="auto"/>
        </w:rPr>
      </w:pPr>
    </w:p>
    <w:p>
      <w:pPr>
        <w:ind w:left="1340" w:right="539" w:hanging="648"/>
        <w:spacing w:after="0" w:line="277"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77"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10, 2022</w:t>
      </w:r>
    </w:p>
    <w:p>
      <w:pPr>
        <w:spacing w:after="0" w:line="200" w:lineRule="exact"/>
        <w:rPr>
          <w:sz w:val="20"/>
          <w:szCs w:val="20"/>
          <w:color w:val="auto"/>
        </w:rPr>
      </w:pPr>
    </w:p>
    <w:p>
      <w:pPr>
        <w:spacing w:after="0" w:line="349"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7"/>
          <w:szCs w:val="17"/>
          <w:color w:val="auto"/>
        </w:rPr>
        <w:t>Title:</w:t>
        <w:tab/>
        <w:t>Co-Founder, President, Chief Executive Officer and</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674370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104" w:name="page105"/>
    <w:bookmarkEnd w:id="10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ind w:left="40" w:right="59"/>
        <w:spacing w:after="0" w:line="391"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2"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June 30, 2022,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65" w:lineRule="exact"/>
        <w:rPr>
          <w:sz w:val="20"/>
          <w:szCs w:val="20"/>
          <w:color w:val="auto"/>
        </w:rPr>
      </w:pPr>
    </w:p>
    <w:p>
      <w:pPr>
        <w:ind w:left="1340" w:right="539" w:hanging="648"/>
        <w:spacing w:after="0" w:line="277" w:lineRule="auto"/>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77" w:lineRule="auto"/>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10, 2022</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40" w:type="dxa"/>
            <w:vAlign w:val="bottom"/>
          </w:tcPr>
          <w:p>
            <w:pPr>
              <w:ind w:left="4460"/>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/s/ Biren Amin</w:t>
            </w:r>
          </w:p>
        </w:tc>
        <w:tc>
          <w:tcPr>
            <w:tcW w:w="0" w:type="dxa"/>
            <w:vAlign w:val="bottom"/>
          </w:tcPr>
          <w:p>
            <w:pPr>
              <w:spacing w:after="0"/>
              <w:rPr>
                <w:sz w:val="1"/>
                <w:szCs w:val="1"/>
                <w:color w:val="auto"/>
              </w:rPr>
            </w:pPr>
          </w:p>
        </w:tc>
      </w:tr>
      <w:tr>
        <w:trPr>
          <w:trHeight w:val="41"/>
        </w:trPr>
        <w:tc>
          <w:tcPr>
            <w:tcW w:w="5040" w:type="dxa"/>
            <w:vAlign w:val="bottom"/>
            <w:vMerge w:val="restart"/>
          </w:tcPr>
          <w:p>
            <w:pPr>
              <w:ind w:left="4460"/>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Biren Amin</w:t>
            </w:r>
          </w:p>
        </w:tc>
        <w:tc>
          <w:tcPr>
            <w:tcW w:w="0" w:type="dxa"/>
            <w:vAlign w:val="bottom"/>
          </w:tcPr>
          <w:p>
            <w:pPr>
              <w:spacing w:after="0"/>
              <w:rPr>
                <w:sz w:val="1"/>
                <w:szCs w:val="1"/>
                <w:color w:val="auto"/>
              </w:rPr>
            </w:pPr>
          </w:p>
        </w:tc>
      </w:tr>
      <w:tr>
        <w:trPr>
          <w:trHeight w:val="257"/>
        </w:trPr>
        <w:tc>
          <w:tcPr>
            <w:tcW w:w="5040" w:type="dxa"/>
            <w:vAlign w:val="bottom"/>
          </w:tcPr>
          <w:p>
            <w:pPr>
              <w:ind w:left="446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17"/>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04"/>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09" Type="http://schemas.openxmlformats.org/officeDocument/2006/relationships/hyperlink" Target="https://www.sec.gov/Archives/edgar/data/1790340/000155837021012336/imrx-20210630xex3d1.htm" TargetMode="External"/><Relationship Id="rId110" Type="http://schemas.openxmlformats.org/officeDocument/2006/relationships/hyperlink" Target="https://www.sec.gov/Archives/edgar/data/1790340/000155837021012336/imrx-20210630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2022-08-10T15:45:47Z</dcterms:created>
  <dcterms:modified xsi:type="dcterms:W3CDTF">2022-08-10T15:45:47Z</dcterms:modified>
</cp:coreProperties>
</file>