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4232635.xml.htm"/>
      <w:bookmarkStart w:id="1" w:name="kswkform3_178423263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Gengos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MAIN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07/16/2026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Immuneering Corp</w:t>
              </w:r>
            </w:hyperlink>
            <w:r>
              <w:rPr/>
              <w:t xml:space="preserve"> [ </w:t>
            </w:r>
            <w:r>
              <w:rPr>
                <w:rFonts w:ascii="Times;serif" w:hAnsi="Times;serif"/>
                <w:color w:val="0000FF"/>
                <w:sz w:val="24"/>
                <w:shd w:fill="FFFFFF" w:val="clear"/>
              </w:rPr>
              <w:t>IMRX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Bookman, Attorney-in-Fact for Andrew Gengos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POWER OF ATTORNEY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respect to holdings of and transactions in securities issued by Immuneering Corporation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2.execute for and on behalf of the undersigned, Forms 3, 4, and 5 in accordance with Section 16 of the Securities Exchange Act of 1934, as amended, and the rules thereunder;</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Power of Attorney to be executed as of this 16th day of July,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 Andrew Gengos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Gengos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Individuals Appointed as Attorney-in-Fact with Full Power of Substitution and Resubstitution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Benjamin J. Zeskind, Ph.D.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Michael Bookman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Dominic Capasso</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63623" TargetMode="External"/><Relationship Id="rId3" Type="http://schemas.openxmlformats.org/officeDocument/2006/relationships/hyperlink" Target="http://www.sec.gov/cgi-bin/browse-edgar?action=getcompany&amp;CIK=00017903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950</Words>
  <Characters>5107</Characters>
  <CharactersWithSpaces>5998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