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As confidentially submitted to the Securities and Exchange Commission on June 21, 2021.</w:t>
      </w:r>
    </w:p>
    <w:p>
      <w:pPr>
        <w:spacing w:after="0" w:line="38" w:lineRule="exact"/>
        <w:rPr>
          <w:sz w:val="24"/>
          <w:szCs w:val="24"/>
          <w:color w:val="auto"/>
        </w:rPr>
      </w:pPr>
    </w:p>
    <w:p>
      <w:pPr>
        <w:ind w:left="706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48895</wp:posOffset>
            </wp:positionV>
            <wp:extent cx="503682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1397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83820</wp:posOffset>
            </wp:positionV>
            <wp:extent cx="5036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69850</wp:posOffset>
            </wp:positionV>
            <wp:extent cx="8928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S-1</w:t>
      </w:r>
    </w:p>
    <w:p>
      <w:pPr>
        <w:jc w:val="center"/>
        <w:ind w:right="19"/>
        <w:spacing w:after="0" w:line="191" w:lineRule="auto"/>
        <w:rPr>
          <w:sz w:val="20"/>
          <w:szCs w:val="20"/>
          <w:color w:val="auto"/>
        </w:rPr>
      </w:pPr>
      <w:r>
        <w:rPr>
          <w:rFonts w:ascii="Arial" w:cs="Arial" w:eastAsia="Arial" w:hAnsi="Arial"/>
          <w:sz w:val="12"/>
          <w:szCs w:val="12"/>
          <w:b w:val="1"/>
          <w:bCs w:val="1"/>
          <w:color w:val="auto"/>
        </w:rPr>
        <w:t>REGISTRATION STATEMENT</w:t>
      </w:r>
    </w:p>
    <w:p>
      <w:pPr>
        <w:jc w:val="center"/>
        <w:ind w:right="19"/>
        <w:spacing w:after="0"/>
        <w:rPr>
          <w:sz w:val="20"/>
          <w:szCs w:val="20"/>
          <w:color w:val="auto"/>
        </w:rPr>
      </w:pPr>
      <w:r>
        <w:rPr>
          <w:rFonts w:ascii="Arial" w:cs="Arial" w:eastAsia="Arial" w:hAnsi="Arial"/>
          <w:sz w:val="12"/>
          <w:szCs w:val="12"/>
          <w:b w:val="1"/>
          <w:bCs w:val="1"/>
          <w:color w:val="auto"/>
        </w:rPr>
        <w:t>UNDER</w:t>
      </w:r>
    </w:p>
    <w:p>
      <w:pPr>
        <w:jc w:val="center"/>
        <w:spacing w:after="0"/>
        <w:rPr>
          <w:sz w:val="20"/>
          <w:szCs w:val="20"/>
          <w:color w:val="auto"/>
        </w:rPr>
      </w:pPr>
      <w:r>
        <w:rPr>
          <w:rFonts w:ascii="Arial" w:cs="Arial" w:eastAsia="Arial" w:hAnsi="Arial"/>
          <w:sz w:val="12"/>
          <w:szCs w:val="12"/>
          <w:b w:val="1"/>
          <w:bCs w:val="1"/>
          <w:color w:val="auto"/>
        </w:rPr>
        <w:t>THE SECURITIES ACT OF 1933</w:t>
      </w:r>
    </w:p>
    <w:p>
      <w:pPr>
        <w:spacing w:after="0" w:line="48" w:lineRule="exact"/>
        <w:rPr>
          <w:sz w:val="24"/>
          <w:szCs w:val="24"/>
          <w:color w:val="auto"/>
        </w:rPr>
      </w:pPr>
    </w:p>
    <w:tbl>
      <w:tblPr>
        <w:tblLayout w:type="fixed"/>
        <w:tblInd w:w="1120" w:type="dxa"/>
        <w:tblCellMar>
          <w:top w:w="0" w:type="dxa"/>
          <w:left w:w="0" w:type="dxa"/>
          <w:bottom w:w="0" w:type="dxa"/>
          <w:right w:w="0" w:type="dxa"/>
        </w:tblCellMar>
      </w:tblPr>
      <w:tr>
        <w:trPr>
          <w:trHeight w:val="20"/>
        </w:trPr>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9"/>
        </w:trPr>
        <w:tc>
          <w:tcPr>
            <w:tcW w:w="1600" w:type="dxa"/>
            <w:vAlign w:val="bottom"/>
          </w:tcPr>
          <w:p>
            <w:pPr>
              <w:spacing w:after="0"/>
              <w:rPr>
                <w:sz w:val="16"/>
                <w:szCs w:val="16"/>
                <w:color w:val="auto"/>
              </w:rPr>
            </w:pPr>
          </w:p>
        </w:tc>
        <w:tc>
          <w:tcPr>
            <w:tcW w:w="3680" w:type="dxa"/>
            <w:vAlign w:val="bottom"/>
            <w:gridSpan w:val="3"/>
          </w:tcPr>
          <w:p>
            <w:pPr>
              <w:jc w:val="center"/>
              <w:ind w:right="160"/>
              <w:spacing w:after="0" w:line="189" w:lineRule="exact"/>
              <w:rPr>
                <w:sz w:val="20"/>
                <w:szCs w:val="20"/>
                <w:color w:val="auto"/>
              </w:rPr>
            </w:pPr>
            <w:r>
              <w:rPr>
                <w:rFonts w:ascii="Arial" w:cs="Arial" w:eastAsia="Arial" w:hAnsi="Arial"/>
                <w:sz w:val="21"/>
                <w:szCs w:val="21"/>
                <w:b w:val="1"/>
                <w:bCs w:val="1"/>
                <w:color w:val="auto"/>
                <w:w w:val="97"/>
              </w:rPr>
              <w:t>IMMUNEERING CORPORATION</w:t>
            </w:r>
          </w:p>
        </w:tc>
        <w:tc>
          <w:tcPr>
            <w:tcW w:w="1220" w:type="dxa"/>
            <w:vAlign w:val="bottom"/>
          </w:tcPr>
          <w:p>
            <w:pPr>
              <w:spacing w:after="0"/>
              <w:rPr>
                <w:sz w:val="16"/>
                <w:szCs w:val="16"/>
                <w:color w:val="auto"/>
              </w:rPr>
            </w:pPr>
          </w:p>
        </w:tc>
      </w:tr>
      <w:tr>
        <w:trPr>
          <w:trHeight w:val="138"/>
        </w:trPr>
        <w:tc>
          <w:tcPr>
            <w:tcW w:w="1600" w:type="dxa"/>
            <w:vAlign w:val="bottom"/>
          </w:tcPr>
          <w:p>
            <w:pPr>
              <w:spacing w:after="0"/>
              <w:rPr>
                <w:sz w:val="11"/>
                <w:szCs w:val="11"/>
                <w:color w:val="auto"/>
              </w:rPr>
            </w:pPr>
          </w:p>
        </w:tc>
        <w:tc>
          <w:tcPr>
            <w:tcW w:w="3680" w:type="dxa"/>
            <w:vAlign w:val="bottom"/>
            <w:gridSpan w:val="3"/>
          </w:tcPr>
          <w:p>
            <w:pPr>
              <w:jc w:val="center"/>
              <w:ind w:right="120"/>
              <w:spacing w:after="0"/>
              <w:rPr>
                <w:sz w:val="20"/>
                <w:szCs w:val="20"/>
                <w:color w:val="auto"/>
              </w:rPr>
            </w:pPr>
            <w:r>
              <w:rPr>
                <w:rFonts w:ascii="Arial" w:cs="Arial" w:eastAsia="Arial" w:hAnsi="Arial"/>
                <w:sz w:val="11"/>
                <w:szCs w:val="11"/>
                <w:color w:val="auto"/>
                <w:w w:val="95"/>
              </w:rPr>
              <w:t>(Exact name of registrant as specified in its charter)</w:t>
            </w:r>
          </w:p>
        </w:tc>
        <w:tc>
          <w:tcPr>
            <w:tcW w:w="1220" w:type="dxa"/>
            <w:vAlign w:val="bottom"/>
          </w:tcPr>
          <w:p>
            <w:pPr>
              <w:spacing w:after="0"/>
              <w:rPr>
                <w:sz w:val="11"/>
                <w:szCs w:val="11"/>
                <w:color w:val="auto"/>
              </w:rPr>
            </w:pPr>
          </w:p>
        </w:tc>
      </w:tr>
      <w:tr>
        <w:trPr>
          <w:trHeight w:val="171"/>
        </w:trPr>
        <w:tc>
          <w:tcPr>
            <w:tcW w:w="1600" w:type="dxa"/>
            <w:vAlign w:val="bottom"/>
          </w:tcPr>
          <w:p>
            <w:pPr>
              <w:ind w:left="460"/>
              <w:spacing w:after="0"/>
              <w:rPr>
                <w:sz w:val="20"/>
                <w:szCs w:val="20"/>
                <w:color w:val="auto"/>
              </w:rPr>
            </w:pPr>
            <w:r>
              <w:rPr>
                <w:rFonts w:ascii="Arial" w:cs="Arial" w:eastAsia="Arial" w:hAnsi="Arial"/>
                <w:sz w:val="12"/>
                <w:szCs w:val="12"/>
                <w:b w:val="1"/>
                <w:bCs w:val="1"/>
                <w:color w:val="auto"/>
              </w:rPr>
              <w:t>Delaware</w:t>
            </w:r>
          </w:p>
        </w:tc>
        <w:tc>
          <w:tcPr>
            <w:tcW w:w="2480" w:type="dxa"/>
            <w:vAlign w:val="bottom"/>
            <w:gridSpan w:val="2"/>
          </w:tcPr>
          <w:p>
            <w:pPr>
              <w:jc w:val="center"/>
              <w:ind w:left="1008"/>
              <w:spacing w:after="0"/>
              <w:rPr>
                <w:sz w:val="20"/>
                <w:szCs w:val="20"/>
                <w:color w:val="auto"/>
              </w:rPr>
            </w:pPr>
            <w:r>
              <w:rPr>
                <w:rFonts w:ascii="Arial" w:cs="Arial" w:eastAsia="Arial" w:hAnsi="Arial"/>
                <w:sz w:val="12"/>
                <w:szCs w:val="12"/>
                <w:b w:val="1"/>
                <w:bCs w:val="1"/>
                <w:color w:val="auto"/>
                <w:w w:val="89"/>
              </w:rPr>
              <w:t>2834</w:t>
            </w:r>
          </w:p>
        </w:tc>
        <w:tc>
          <w:tcPr>
            <w:tcW w:w="1200" w:type="dxa"/>
            <w:vAlign w:val="bottom"/>
          </w:tcPr>
          <w:p>
            <w:pPr>
              <w:spacing w:after="0"/>
              <w:rPr>
                <w:sz w:val="14"/>
                <w:szCs w:val="14"/>
                <w:color w:val="auto"/>
              </w:rPr>
            </w:pPr>
          </w:p>
        </w:tc>
        <w:tc>
          <w:tcPr>
            <w:tcW w:w="1220" w:type="dxa"/>
            <w:vAlign w:val="bottom"/>
          </w:tcPr>
          <w:p>
            <w:pPr>
              <w:jc w:val="right"/>
              <w:ind w:right="104"/>
              <w:spacing w:after="0"/>
              <w:rPr>
                <w:sz w:val="20"/>
                <w:szCs w:val="20"/>
                <w:color w:val="auto"/>
              </w:rPr>
            </w:pPr>
            <w:r>
              <w:rPr>
                <w:rFonts w:ascii="Arial" w:cs="Arial" w:eastAsia="Arial" w:hAnsi="Arial"/>
                <w:sz w:val="12"/>
                <w:szCs w:val="12"/>
                <w:b w:val="1"/>
                <w:bCs w:val="1"/>
                <w:color w:val="auto"/>
              </w:rPr>
              <w:t>26-1976972</w:t>
            </w:r>
          </w:p>
        </w:tc>
      </w:tr>
      <w:tr>
        <w:trPr>
          <w:trHeight w:val="113"/>
        </w:trPr>
        <w:tc>
          <w:tcPr>
            <w:tcW w:w="1600" w:type="dxa"/>
            <w:vAlign w:val="bottom"/>
          </w:tcPr>
          <w:p>
            <w:pPr>
              <w:spacing w:after="0" w:line="113" w:lineRule="exact"/>
              <w:rPr>
                <w:sz w:val="20"/>
                <w:szCs w:val="20"/>
                <w:color w:val="auto"/>
              </w:rPr>
            </w:pPr>
            <w:r>
              <w:rPr>
                <w:rFonts w:ascii="Arial" w:cs="Arial" w:eastAsia="Arial" w:hAnsi="Arial"/>
                <w:sz w:val="11"/>
                <w:szCs w:val="11"/>
                <w:color w:val="auto"/>
              </w:rPr>
              <w:t>(State or other jurisdiction of</w:t>
            </w:r>
          </w:p>
        </w:tc>
        <w:tc>
          <w:tcPr>
            <w:tcW w:w="1080" w:type="dxa"/>
            <w:vAlign w:val="bottom"/>
          </w:tcPr>
          <w:p>
            <w:pPr>
              <w:spacing w:after="0"/>
              <w:rPr>
                <w:sz w:val="9"/>
                <w:szCs w:val="9"/>
                <w:color w:val="auto"/>
              </w:rPr>
            </w:pPr>
          </w:p>
        </w:tc>
        <w:tc>
          <w:tcPr>
            <w:tcW w:w="2600" w:type="dxa"/>
            <w:vAlign w:val="bottom"/>
            <w:gridSpan w:val="2"/>
          </w:tcPr>
          <w:p>
            <w:pPr>
              <w:jc w:val="center"/>
              <w:ind w:right="1240"/>
              <w:spacing w:after="0" w:line="113" w:lineRule="exact"/>
              <w:rPr>
                <w:sz w:val="20"/>
                <w:szCs w:val="20"/>
                <w:color w:val="auto"/>
              </w:rPr>
            </w:pPr>
            <w:r>
              <w:rPr>
                <w:rFonts w:ascii="Arial" w:cs="Arial" w:eastAsia="Arial" w:hAnsi="Arial"/>
                <w:sz w:val="11"/>
                <w:szCs w:val="11"/>
                <w:color w:val="auto"/>
                <w:w w:val="96"/>
              </w:rPr>
              <w:t>(Primary Standard Industrial</w:t>
            </w:r>
          </w:p>
        </w:tc>
        <w:tc>
          <w:tcPr>
            <w:tcW w:w="1220" w:type="dxa"/>
            <w:vAlign w:val="bottom"/>
          </w:tcPr>
          <w:p>
            <w:pPr>
              <w:jc w:val="center"/>
              <w:ind w:left="264"/>
              <w:spacing w:after="0" w:line="113" w:lineRule="exact"/>
              <w:rPr>
                <w:sz w:val="20"/>
                <w:szCs w:val="20"/>
                <w:color w:val="auto"/>
              </w:rPr>
            </w:pPr>
            <w:r>
              <w:rPr>
                <w:rFonts w:ascii="Arial" w:cs="Arial" w:eastAsia="Arial" w:hAnsi="Arial"/>
                <w:sz w:val="11"/>
                <w:szCs w:val="11"/>
                <w:color w:val="auto"/>
                <w:w w:val="96"/>
              </w:rPr>
              <w:t>(I.R.S. Employer</w:t>
            </w:r>
          </w:p>
        </w:tc>
      </w:tr>
      <w:tr>
        <w:trPr>
          <w:trHeight w:val="138"/>
        </w:trPr>
        <w:tc>
          <w:tcPr>
            <w:tcW w:w="1600" w:type="dxa"/>
            <w:vAlign w:val="bottom"/>
          </w:tcPr>
          <w:p>
            <w:pPr>
              <w:spacing w:after="0"/>
              <w:rPr>
                <w:sz w:val="20"/>
                <w:szCs w:val="20"/>
                <w:color w:val="auto"/>
              </w:rPr>
            </w:pPr>
            <w:r>
              <w:rPr>
                <w:rFonts w:ascii="Arial" w:cs="Arial" w:eastAsia="Arial" w:hAnsi="Arial"/>
                <w:sz w:val="11"/>
                <w:szCs w:val="11"/>
                <w:color w:val="auto"/>
              </w:rPr>
              <w:t>incorporation or organization)</w:t>
            </w:r>
          </w:p>
        </w:tc>
        <w:tc>
          <w:tcPr>
            <w:tcW w:w="1080" w:type="dxa"/>
            <w:vAlign w:val="bottom"/>
          </w:tcPr>
          <w:p>
            <w:pPr>
              <w:spacing w:after="0"/>
              <w:rPr>
                <w:sz w:val="11"/>
                <w:szCs w:val="11"/>
                <w:color w:val="auto"/>
              </w:rPr>
            </w:pPr>
          </w:p>
        </w:tc>
        <w:tc>
          <w:tcPr>
            <w:tcW w:w="2600" w:type="dxa"/>
            <w:vAlign w:val="bottom"/>
            <w:gridSpan w:val="2"/>
          </w:tcPr>
          <w:p>
            <w:pPr>
              <w:jc w:val="center"/>
              <w:ind w:right="1200"/>
              <w:spacing w:after="0"/>
              <w:rPr>
                <w:sz w:val="20"/>
                <w:szCs w:val="20"/>
                <w:color w:val="auto"/>
              </w:rPr>
            </w:pPr>
            <w:r>
              <w:rPr>
                <w:rFonts w:ascii="Arial" w:cs="Arial" w:eastAsia="Arial" w:hAnsi="Arial"/>
                <w:sz w:val="11"/>
                <w:szCs w:val="11"/>
                <w:color w:val="auto"/>
                <w:w w:val="97"/>
              </w:rPr>
              <w:t>Classification Code Number)</w:t>
            </w:r>
          </w:p>
        </w:tc>
        <w:tc>
          <w:tcPr>
            <w:tcW w:w="1220" w:type="dxa"/>
            <w:vAlign w:val="bottom"/>
          </w:tcPr>
          <w:p>
            <w:pPr>
              <w:jc w:val="center"/>
              <w:ind w:left="304"/>
              <w:spacing w:after="0"/>
              <w:rPr>
                <w:sz w:val="20"/>
                <w:szCs w:val="20"/>
                <w:color w:val="auto"/>
              </w:rPr>
            </w:pPr>
            <w:r>
              <w:rPr>
                <w:rFonts w:ascii="Arial" w:cs="Arial" w:eastAsia="Arial" w:hAnsi="Arial"/>
                <w:sz w:val="11"/>
                <w:szCs w:val="11"/>
                <w:color w:val="auto"/>
              </w:rPr>
              <w:t>Identification No.)</w:t>
            </w:r>
          </w:p>
        </w:tc>
      </w:tr>
    </w:tbl>
    <w:p>
      <w:pPr>
        <w:spacing w:after="0" w:line="93" w:lineRule="exact"/>
        <w:rPr>
          <w:sz w:val="24"/>
          <w:szCs w:val="24"/>
          <w:color w:val="auto"/>
        </w:rPr>
      </w:pPr>
    </w:p>
    <w:p>
      <w:pPr>
        <w:ind w:left="3760"/>
        <w:spacing w:after="0"/>
        <w:rPr>
          <w:sz w:val="20"/>
          <w:szCs w:val="20"/>
          <w:color w:val="auto"/>
        </w:rPr>
      </w:pPr>
      <w:r>
        <w:rPr>
          <w:rFonts w:ascii="Arial" w:cs="Arial" w:eastAsia="Arial" w:hAnsi="Arial"/>
          <w:sz w:val="12"/>
          <w:szCs w:val="12"/>
          <w:b w:val="1"/>
          <w:bCs w:val="1"/>
          <w:color w:val="auto"/>
        </w:rPr>
        <w:t>245 Main Street, Second Floor</w:t>
      </w:r>
    </w:p>
    <w:p>
      <w:pPr>
        <w:ind w:left="3700"/>
        <w:spacing w:after="0"/>
        <w:rPr>
          <w:sz w:val="20"/>
          <w:szCs w:val="20"/>
          <w:color w:val="auto"/>
        </w:rPr>
      </w:pPr>
      <w:r>
        <w:rPr>
          <w:rFonts w:ascii="Arial" w:cs="Arial" w:eastAsia="Arial" w:hAnsi="Arial"/>
          <w:sz w:val="12"/>
          <w:szCs w:val="12"/>
          <w:b w:val="1"/>
          <w:bCs w:val="1"/>
          <w:color w:val="auto"/>
        </w:rPr>
        <w:t>Cambridge, Massachusetts 02142</w:t>
      </w:r>
    </w:p>
    <w:p>
      <w:pPr>
        <w:ind w:left="3880"/>
        <w:spacing w:after="0"/>
        <w:rPr>
          <w:sz w:val="20"/>
          <w:szCs w:val="20"/>
          <w:color w:val="auto"/>
        </w:rPr>
      </w:pPr>
      <w:r>
        <w:rPr>
          <w:rFonts w:ascii="Arial" w:cs="Arial" w:eastAsia="Arial" w:hAnsi="Arial"/>
          <w:sz w:val="12"/>
          <w:szCs w:val="12"/>
          <w:b w:val="1"/>
          <w:bCs w:val="1"/>
          <w:color w:val="auto"/>
        </w:rPr>
        <w:t>Telephone: (617) 500-8080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49530</wp:posOffset>
            </wp:positionV>
            <wp:extent cx="8928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18" w:lineRule="exact"/>
        <w:rPr>
          <w:sz w:val="24"/>
          <w:szCs w:val="24"/>
          <w:color w:val="auto"/>
        </w:rPr>
      </w:pPr>
    </w:p>
    <w:p>
      <w:pPr>
        <w:ind w:left="3840"/>
        <w:spacing w:after="0"/>
        <w:rPr>
          <w:sz w:val="20"/>
          <w:szCs w:val="20"/>
          <w:color w:val="auto"/>
        </w:rPr>
      </w:pPr>
      <w:r>
        <w:rPr>
          <w:rFonts w:ascii="Arial" w:cs="Arial" w:eastAsia="Arial" w:hAnsi="Arial"/>
          <w:sz w:val="12"/>
          <w:szCs w:val="12"/>
          <w:b w:val="1"/>
          <w:bCs w:val="1"/>
          <w:color w:val="auto"/>
        </w:rPr>
        <w:t>Benjamin J. Zeskind, Ph.D.</w:t>
      </w:r>
    </w:p>
    <w:p>
      <w:pPr>
        <w:ind w:left="3920"/>
        <w:spacing w:after="0"/>
        <w:rPr>
          <w:sz w:val="20"/>
          <w:szCs w:val="20"/>
          <w:color w:val="auto"/>
        </w:rPr>
      </w:pPr>
      <w:r>
        <w:rPr>
          <w:rFonts w:ascii="Arial" w:cs="Arial" w:eastAsia="Arial" w:hAnsi="Arial"/>
          <w:sz w:val="12"/>
          <w:szCs w:val="12"/>
          <w:b w:val="1"/>
          <w:bCs w:val="1"/>
          <w:color w:val="auto"/>
        </w:rPr>
        <w:t>Chief Executive Officer</w:t>
      </w:r>
    </w:p>
    <w:p>
      <w:pPr>
        <w:ind w:left="3840"/>
        <w:spacing w:after="0" w:line="229" w:lineRule="auto"/>
        <w:rPr>
          <w:sz w:val="20"/>
          <w:szCs w:val="20"/>
          <w:color w:val="auto"/>
        </w:rPr>
      </w:pPr>
      <w:r>
        <w:rPr>
          <w:rFonts w:ascii="Arial" w:cs="Arial" w:eastAsia="Arial" w:hAnsi="Arial"/>
          <w:sz w:val="12"/>
          <w:szCs w:val="12"/>
          <w:b w:val="1"/>
          <w:bCs w:val="1"/>
          <w:color w:val="auto"/>
        </w:rPr>
        <w:t>Immuneering Corporation</w:t>
      </w:r>
    </w:p>
    <w:p>
      <w:pPr>
        <w:ind w:left="3760"/>
        <w:spacing w:after="0" w:line="229" w:lineRule="auto"/>
        <w:rPr>
          <w:sz w:val="20"/>
          <w:szCs w:val="20"/>
          <w:color w:val="auto"/>
        </w:rPr>
      </w:pPr>
      <w:r>
        <w:rPr>
          <w:rFonts w:ascii="Arial" w:cs="Arial" w:eastAsia="Arial" w:hAnsi="Arial"/>
          <w:sz w:val="12"/>
          <w:szCs w:val="12"/>
          <w:b w:val="1"/>
          <w:bCs w:val="1"/>
          <w:color w:val="auto"/>
        </w:rPr>
        <w:t>245 Main Street, Second Floor</w:t>
      </w:r>
    </w:p>
    <w:p>
      <w:pPr>
        <w:ind w:left="3700"/>
        <w:spacing w:after="0" w:line="229" w:lineRule="auto"/>
        <w:rPr>
          <w:sz w:val="20"/>
          <w:szCs w:val="20"/>
          <w:color w:val="auto"/>
        </w:rPr>
      </w:pPr>
      <w:r>
        <w:rPr>
          <w:rFonts w:ascii="Arial" w:cs="Arial" w:eastAsia="Arial" w:hAnsi="Arial"/>
          <w:sz w:val="12"/>
          <w:szCs w:val="12"/>
          <w:b w:val="1"/>
          <w:bCs w:val="1"/>
          <w:color w:val="auto"/>
        </w:rPr>
        <w:t>Cambridge, Massachusetts 02142</w:t>
      </w:r>
    </w:p>
    <w:p>
      <w:pPr>
        <w:spacing w:after="0" w:line="1" w:lineRule="exact"/>
        <w:rPr>
          <w:sz w:val="24"/>
          <w:szCs w:val="24"/>
          <w:color w:val="auto"/>
        </w:rPr>
      </w:pPr>
    </w:p>
    <w:p>
      <w:pPr>
        <w:ind w:left="3880"/>
        <w:spacing w:after="0"/>
        <w:rPr>
          <w:sz w:val="20"/>
          <w:szCs w:val="20"/>
          <w:color w:val="auto"/>
        </w:rPr>
      </w:pPr>
      <w:r>
        <w:rPr>
          <w:rFonts w:ascii="Arial" w:cs="Arial" w:eastAsia="Arial" w:hAnsi="Arial"/>
          <w:sz w:val="12"/>
          <w:szCs w:val="12"/>
          <w:b w:val="1"/>
          <w:bCs w:val="1"/>
          <w:color w:val="auto"/>
        </w:rPr>
        <w:t>Telephone: (617) 500-8080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49530</wp:posOffset>
            </wp:positionV>
            <wp:extent cx="8928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09" w:lineRule="exact"/>
        <w:rPr>
          <w:sz w:val="24"/>
          <w:szCs w:val="24"/>
          <w:color w:val="auto"/>
        </w:rPr>
      </w:pPr>
    </w:p>
    <w:tbl>
      <w:tblPr>
        <w:tblLayout w:type="fixed"/>
        <w:tblInd w:w="1760" w:type="dxa"/>
        <w:tblCellMar>
          <w:top w:w="0" w:type="dxa"/>
          <w:left w:w="0" w:type="dxa"/>
          <w:bottom w:w="0" w:type="dxa"/>
          <w:right w:w="0" w:type="dxa"/>
        </w:tblCellMar>
      </w:tblPr>
      <w:tr>
        <w:trPr>
          <w:trHeight w:val="148"/>
        </w:trPr>
        <w:tc>
          <w:tcPr>
            <w:tcW w:w="1960" w:type="dxa"/>
            <w:vAlign w:val="bottom"/>
          </w:tcPr>
          <w:p>
            <w:pPr>
              <w:spacing w:after="0"/>
              <w:rPr>
                <w:sz w:val="12"/>
                <w:szCs w:val="12"/>
                <w:color w:val="auto"/>
              </w:rPr>
            </w:pPr>
          </w:p>
        </w:tc>
        <w:tc>
          <w:tcPr>
            <w:tcW w:w="3560" w:type="dxa"/>
            <w:vAlign w:val="bottom"/>
          </w:tcPr>
          <w:p>
            <w:pPr>
              <w:ind w:left="560"/>
              <w:spacing w:after="0"/>
              <w:rPr>
                <w:sz w:val="20"/>
                <w:szCs w:val="20"/>
                <w:color w:val="auto"/>
              </w:rPr>
            </w:pPr>
            <w:r>
              <w:rPr>
                <w:rFonts w:ascii="Arial" w:cs="Arial" w:eastAsia="Arial" w:hAnsi="Arial"/>
                <w:sz w:val="12"/>
                <w:szCs w:val="12"/>
                <w:b w:val="1"/>
                <w:bCs w:val="1"/>
                <w:i w:val="1"/>
                <w:iCs w:val="1"/>
                <w:color w:val="auto"/>
              </w:rPr>
              <w:t>Copies to:</w:t>
            </w:r>
          </w:p>
        </w:tc>
      </w:tr>
      <w:tr>
        <w:trPr>
          <w:trHeight w:val="146"/>
        </w:trPr>
        <w:tc>
          <w:tcPr>
            <w:tcW w:w="1960" w:type="dxa"/>
            <w:vAlign w:val="bottom"/>
          </w:tcPr>
          <w:p>
            <w:pPr>
              <w:jc w:val="center"/>
              <w:ind w:right="501"/>
              <w:spacing w:after="0"/>
              <w:rPr>
                <w:sz w:val="20"/>
                <w:szCs w:val="20"/>
                <w:color w:val="auto"/>
              </w:rPr>
            </w:pPr>
            <w:r>
              <w:rPr>
                <w:rFonts w:ascii="Arial" w:cs="Arial" w:eastAsia="Arial" w:hAnsi="Arial"/>
                <w:sz w:val="12"/>
                <w:szCs w:val="12"/>
                <w:b w:val="1"/>
                <w:bCs w:val="1"/>
                <w:color w:val="auto"/>
                <w:w w:val="83"/>
              </w:rPr>
              <w:t>John Chory</w:t>
            </w:r>
          </w:p>
        </w:tc>
        <w:tc>
          <w:tcPr>
            <w:tcW w:w="3560" w:type="dxa"/>
            <w:vAlign w:val="bottom"/>
          </w:tcPr>
          <w:p>
            <w:pPr>
              <w:jc w:val="center"/>
              <w:ind w:left="1941"/>
              <w:spacing w:after="0"/>
              <w:rPr>
                <w:sz w:val="20"/>
                <w:szCs w:val="20"/>
                <w:color w:val="auto"/>
              </w:rPr>
            </w:pPr>
            <w:r>
              <w:rPr>
                <w:rFonts w:ascii="Arial" w:cs="Arial" w:eastAsia="Arial" w:hAnsi="Arial"/>
                <w:sz w:val="12"/>
                <w:szCs w:val="12"/>
                <w:b w:val="1"/>
                <w:bCs w:val="1"/>
                <w:color w:val="auto"/>
                <w:w w:val="87"/>
              </w:rPr>
              <w:t>Frank F. Rahmani</w:t>
            </w:r>
          </w:p>
        </w:tc>
      </w:tr>
      <w:tr>
        <w:trPr>
          <w:trHeight w:val="132"/>
        </w:trPr>
        <w:tc>
          <w:tcPr>
            <w:tcW w:w="1960" w:type="dxa"/>
            <w:vAlign w:val="bottom"/>
          </w:tcPr>
          <w:p>
            <w:pPr>
              <w:jc w:val="center"/>
              <w:ind w:right="501"/>
              <w:spacing w:after="0" w:line="132" w:lineRule="exact"/>
              <w:rPr>
                <w:sz w:val="20"/>
                <w:szCs w:val="20"/>
                <w:color w:val="auto"/>
              </w:rPr>
            </w:pPr>
            <w:r>
              <w:rPr>
                <w:rFonts w:ascii="Arial" w:cs="Arial" w:eastAsia="Arial" w:hAnsi="Arial"/>
                <w:sz w:val="12"/>
                <w:szCs w:val="12"/>
                <w:b w:val="1"/>
                <w:bCs w:val="1"/>
                <w:color w:val="auto"/>
                <w:w w:val="86"/>
              </w:rPr>
              <w:t>Nathan Ajiashvili</w:t>
            </w:r>
          </w:p>
        </w:tc>
        <w:tc>
          <w:tcPr>
            <w:tcW w:w="3560" w:type="dxa"/>
            <w:vAlign w:val="bottom"/>
          </w:tcPr>
          <w:p>
            <w:pPr>
              <w:jc w:val="center"/>
              <w:ind w:left="1961"/>
              <w:spacing w:after="0" w:line="132" w:lineRule="exact"/>
              <w:rPr>
                <w:sz w:val="20"/>
                <w:szCs w:val="20"/>
                <w:color w:val="auto"/>
              </w:rPr>
            </w:pPr>
            <w:r>
              <w:rPr>
                <w:rFonts w:ascii="Arial" w:cs="Arial" w:eastAsia="Arial" w:hAnsi="Arial"/>
                <w:sz w:val="12"/>
                <w:szCs w:val="12"/>
                <w:b w:val="1"/>
                <w:bCs w:val="1"/>
                <w:color w:val="auto"/>
                <w:w w:val="87"/>
              </w:rPr>
              <w:t>Samir A. Gandhi</w:t>
            </w:r>
          </w:p>
        </w:tc>
      </w:tr>
      <w:tr>
        <w:trPr>
          <w:trHeight w:val="132"/>
        </w:trPr>
        <w:tc>
          <w:tcPr>
            <w:tcW w:w="1960" w:type="dxa"/>
            <w:vAlign w:val="bottom"/>
          </w:tcPr>
          <w:p>
            <w:pPr>
              <w:jc w:val="center"/>
              <w:ind w:right="501"/>
              <w:spacing w:after="0" w:line="132" w:lineRule="exact"/>
              <w:rPr>
                <w:sz w:val="20"/>
                <w:szCs w:val="20"/>
                <w:color w:val="auto"/>
              </w:rPr>
            </w:pPr>
            <w:r>
              <w:rPr>
                <w:rFonts w:ascii="Arial" w:cs="Arial" w:eastAsia="Arial" w:hAnsi="Arial"/>
                <w:sz w:val="12"/>
                <w:szCs w:val="12"/>
                <w:b w:val="1"/>
                <w:bCs w:val="1"/>
                <w:color w:val="auto"/>
                <w:w w:val="85"/>
              </w:rPr>
              <w:t>Evan Smith</w:t>
            </w:r>
          </w:p>
        </w:tc>
        <w:tc>
          <w:tcPr>
            <w:tcW w:w="3560" w:type="dxa"/>
            <w:vAlign w:val="bottom"/>
          </w:tcPr>
          <w:p>
            <w:pPr>
              <w:jc w:val="center"/>
              <w:ind w:left="1941"/>
              <w:spacing w:after="0" w:line="132" w:lineRule="exact"/>
              <w:rPr>
                <w:sz w:val="20"/>
                <w:szCs w:val="20"/>
                <w:color w:val="auto"/>
              </w:rPr>
            </w:pPr>
            <w:r>
              <w:rPr>
                <w:rFonts w:ascii="Arial" w:cs="Arial" w:eastAsia="Arial" w:hAnsi="Arial"/>
                <w:sz w:val="12"/>
                <w:szCs w:val="12"/>
                <w:b w:val="1"/>
                <w:bCs w:val="1"/>
                <w:color w:val="auto"/>
                <w:w w:val="86"/>
              </w:rPr>
              <w:t>Sidley Austin LLP</w:t>
            </w:r>
          </w:p>
        </w:tc>
      </w:tr>
      <w:tr>
        <w:trPr>
          <w:trHeight w:val="132"/>
        </w:trPr>
        <w:tc>
          <w:tcPr>
            <w:tcW w:w="1960" w:type="dxa"/>
            <w:vAlign w:val="bottom"/>
          </w:tcPr>
          <w:p>
            <w:pPr>
              <w:jc w:val="center"/>
              <w:ind w:right="501"/>
              <w:spacing w:after="0" w:line="132" w:lineRule="exact"/>
              <w:rPr>
                <w:sz w:val="20"/>
                <w:szCs w:val="20"/>
                <w:color w:val="auto"/>
              </w:rPr>
            </w:pPr>
            <w:r>
              <w:rPr>
                <w:rFonts w:ascii="Arial" w:cs="Arial" w:eastAsia="Arial" w:hAnsi="Arial"/>
                <w:sz w:val="12"/>
                <w:szCs w:val="12"/>
                <w:b w:val="1"/>
                <w:bCs w:val="1"/>
                <w:color w:val="auto"/>
                <w:w w:val="92"/>
              </w:rPr>
              <w:t>Latham &amp; Watkins LLP</w:t>
            </w:r>
          </w:p>
        </w:tc>
        <w:tc>
          <w:tcPr>
            <w:tcW w:w="3560" w:type="dxa"/>
            <w:vAlign w:val="bottom"/>
          </w:tcPr>
          <w:p>
            <w:pPr>
              <w:jc w:val="center"/>
              <w:ind w:left="1941"/>
              <w:spacing w:after="0" w:line="132" w:lineRule="exact"/>
              <w:rPr>
                <w:sz w:val="20"/>
                <w:szCs w:val="20"/>
                <w:color w:val="auto"/>
              </w:rPr>
            </w:pPr>
            <w:r>
              <w:rPr>
                <w:rFonts w:ascii="Arial" w:cs="Arial" w:eastAsia="Arial" w:hAnsi="Arial"/>
                <w:sz w:val="12"/>
                <w:szCs w:val="12"/>
                <w:b w:val="1"/>
                <w:bCs w:val="1"/>
                <w:color w:val="auto"/>
                <w:w w:val="85"/>
              </w:rPr>
              <w:t>555 California Street, Suite 2000</w:t>
            </w:r>
          </w:p>
        </w:tc>
      </w:tr>
      <w:tr>
        <w:trPr>
          <w:trHeight w:val="132"/>
        </w:trPr>
        <w:tc>
          <w:tcPr>
            <w:tcW w:w="1960" w:type="dxa"/>
            <w:vAlign w:val="bottom"/>
          </w:tcPr>
          <w:p>
            <w:pPr>
              <w:jc w:val="center"/>
              <w:ind w:right="501"/>
              <w:spacing w:after="0" w:line="132" w:lineRule="exact"/>
              <w:rPr>
                <w:sz w:val="20"/>
                <w:szCs w:val="20"/>
                <w:color w:val="auto"/>
              </w:rPr>
            </w:pPr>
            <w:r>
              <w:rPr>
                <w:rFonts w:ascii="Arial" w:cs="Arial" w:eastAsia="Arial" w:hAnsi="Arial"/>
                <w:sz w:val="12"/>
                <w:szCs w:val="12"/>
                <w:b w:val="1"/>
                <w:bCs w:val="1"/>
                <w:color w:val="auto"/>
                <w:w w:val="83"/>
              </w:rPr>
              <w:t>1271 Avenue of the Americas</w:t>
            </w:r>
          </w:p>
        </w:tc>
        <w:tc>
          <w:tcPr>
            <w:tcW w:w="3560" w:type="dxa"/>
            <w:vAlign w:val="bottom"/>
          </w:tcPr>
          <w:p>
            <w:pPr>
              <w:jc w:val="center"/>
              <w:ind w:left="1941"/>
              <w:spacing w:after="0" w:line="132" w:lineRule="exact"/>
              <w:rPr>
                <w:sz w:val="20"/>
                <w:szCs w:val="20"/>
                <w:color w:val="auto"/>
              </w:rPr>
            </w:pPr>
            <w:r>
              <w:rPr>
                <w:rFonts w:ascii="Arial" w:cs="Arial" w:eastAsia="Arial" w:hAnsi="Arial"/>
                <w:sz w:val="12"/>
                <w:szCs w:val="12"/>
                <w:b w:val="1"/>
                <w:bCs w:val="1"/>
                <w:color w:val="auto"/>
                <w:w w:val="84"/>
              </w:rPr>
              <w:t>San Francisco, California 94104</w:t>
            </w:r>
          </w:p>
        </w:tc>
      </w:tr>
      <w:tr>
        <w:trPr>
          <w:trHeight w:val="132"/>
        </w:trPr>
        <w:tc>
          <w:tcPr>
            <w:tcW w:w="1960" w:type="dxa"/>
            <w:vAlign w:val="bottom"/>
          </w:tcPr>
          <w:p>
            <w:pPr>
              <w:jc w:val="center"/>
              <w:ind w:right="501"/>
              <w:spacing w:after="0" w:line="132" w:lineRule="exact"/>
              <w:rPr>
                <w:sz w:val="20"/>
                <w:szCs w:val="20"/>
                <w:color w:val="auto"/>
              </w:rPr>
            </w:pPr>
            <w:r>
              <w:rPr>
                <w:rFonts w:ascii="Arial" w:cs="Arial" w:eastAsia="Arial" w:hAnsi="Arial"/>
                <w:sz w:val="12"/>
                <w:szCs w:val="12"/>
                <w:b w:val="1"/>
                <w:bCs w:val="1"/>
                <w:color w:val="auto"/>
                <w:w w:val="86"/>
              </w:rPr>
              <w:t>New York, New York 10020</w:t>
            </w:r>
          </w:p>
        </w:tc>
        <w:tc>
          <w:tcPr>
            <w:tcW w:w="3560" w:type="dxa"/>
            <w:vAlign w:val="bottom"/>
          </w:tcPr>
          <w:p>
            <w:pPr>
              <w:jc w:val="center"/>
              <w:ind w:left="1961"/>
              <w:spacing w:after="0" w:line="132" w:lineRule="exact"/>
              <w:rPr>
                <w:sz w:val="20"/>
                <w:szCs w:val="20"/>
                <w:color w:val="auto"/>
              </w:rPr>
            </w:pPr>
            <w:r>
              <w:rPr>
                <w:rFonts w:ascii="Arial" w:cs="Arial" w:eastAsia="Arial" w:hAnsi="Arial"/>
                <w:sz w:val="12"/>
                <w:szCs w:val="12"/>
                <w:b w:val="1"/>
                <w:bCs w:val="1"/>
                <w:color w:val="auto"/>
                <w:w w:val="85"/>
              </w:rPr>
              <w:t>(415) 772-1200</w:t>
            </w:r>
          </w:p>
        </w:tc>
      </w:tr>
      <w:tr>
        <w:trPr>
          <w:trHeight w:val="150"/>
        </w:trPr>
        <w:tc>
          <w:tcPr>
            <w:tcW w:w="1960" w:type="dxa"/>
            <w:vAlign w:val="bottom"/>
          </w:tcPr>
          <w:p>
            <w:pPr>
              <w:jc w:val="center"/>
              <w:ind w:right="481"/>
              <w:spacing w:after="0"/>
              <w:rPr>
                <w:sz w:val="20"/>
                <w:szCs w:val="20"/>
                <w:color w:val="auto"/>
              </w:rPr>
            </w:pPr>
            <w:r>
              <w:rPr>
                <w:rFonts w:ascii="Arial" w:cs="Arial" w:eastAsia="Arial" w:hAnsi="Arial"/>
                <w:sz w:val="12"/>
                <w:szCs w:val="12"/>
                <w:b w:val="1"/>
                <w:bCs w:val="1"/>
                <w:color w:val="auto"/>
                <w:w w:val="85"/>
              </w:rPr>
              <w:t>(212) 906-1200</w:t>
            </w:r>
          </w:p>
        </w:tc>
        <w:tc>
          <w:tcPr>
            <w:tcW w:w="356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48260</wp:posOffset>
            </wp:positionV>
            <wp:extent cx="8928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As soon as practicable after this Registration Statement is declared effective.</w:t>
      </w:r>
    </w:p>
    <w:p>
      <w:pPr>
        <w:spacing w:after="0" w:line="17" w:lineRule="exact"/>
        <w:rPr>
          <w:sz w:val="24"/>
          <w:szCs w:val="24"/>
          <w:color w:val="auto"/>
        </w:rPr>
      </w:pPr>
    </w:p>
    <w:p>
      <w:pPr>
        <w:jc w:val="both"/>
        <w:ind w:left="540" w:right="559"/>
        <w:spacing w:after="0" w:line="142"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3" w:lineRule="exact"/>
        <w:rPr>
          <w:sz w:val="24"/>
          <w:szCs w:val="24"/>
          <w:color w:val="auto"/>
        </w:rPr>
      </w:pPr>
    </w:p>
    <w:p>
      <w:pPr>
        <w:jc w:val="both"/>
        <w:ind w:left="540" w:right="559"/>
        <w:spacing w:after="0" w:line="142"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 w:lineRule="exact"/>
        <w:rPr>
          <w:sz w:val="24"/>
          <w:szCs w:val="24"/>
          <w:color w:val="auto"/>
        </w:rPr>
      </w:pPr>
    </w:p>
    <w:p>
      <w:pPr>
        <w:jc w:val="both"/>
        <w:ind w:left="540" w:right="559"/>
        <w:spacing w:after="0" w:line="142" w:lineRule="exact"/>
        <w:rPr>
          <w:sz w:val="20"/>
          <w:szCs w:val="20"/>
          <w:color w:val="auto"/>
        </w:rPr>
      </w:pPr>
      <w:r>
        <w:rPr>
          <w:rFonts w:ascii="Arial" w:cs="Arial" w:eastAsia="Arial" w:hAnsi="Arial"/>
          <w:sz w:val="12"/>
          <w:szCs w:val="12"/>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 w:lineRule="exact"/>
        <w:rPr>
          <w:sz w:val="24"/>
          <w:szCs w:val="24"/>
          <w:color w:val="auto"/>
        </w:rPr>
      </w:pPr>
    </w:p>
    <w:p>
      <w:pPr>
        <w:jc w:val="both"/>
        <w:ind w:left="540" w:right="559"/>
        <w:spacing w:after="0" w:line="142" w:lineRule="exact"/>
        <w:rPr>
          <w:sz w:val="20"/>
          <w:szCs w:val="20"/>
          <w:color w:val="auto"/>
        </w:rPr>
      </w:pPr>
      <w:r>
        <w:rPr>
          <w:rFonts w:ascii="Arial" w:cs="Arial" w:eastAsia="Arial" w:hAnsi="Arial"/>
          <w:sz w:val="12"/>
          <w:szCs w:val="12"/>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 w:lineRule="exact"/>
        <w:rPr>
          <w:sz w:val="24"/>
          <w:szCs w:val="24"/>
          <w:color w:val="auto"/>
        </w:rPr>
      </w:pPr>
    </w:p>
    <w:p>
      <w:pPr>
        <w:jc w:val="both"/>
        <w:ind w:left="540" w:right="559"/>
        <w:spacing w:after="0" w:line="22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540" w:type="dxa"/>
        <w:tblCellMar>
          <w:top w:w="0" w:type="dxa"/>
          <w:left w:w="0" w:type="dxa"/>
          <w:bottom w:w="0" w:type="dxa"/>
          <w:right w:w="0" w:type="dxa"/>
        </w:tblCellMar>
      </w:tblPr>
      <w:tr>
        <w:trPr>
          <w:trHeight w:val="139"/>
        </w:trPr>
        <w:tc>
          <w:tcPr>
            <w:tcW w:w="1340" w:type="dxa"/>
            <w:vAlign w:val="bottom"/>
          </w:tcPr>
          <w:p>
            <w:pPr>
              <w:spacing w:after="0"/>
              <w:rPr>
                <w:sz w:val="20"/>
                <w:szCs w:val="20"/>
                <w:color w:val="auto"/>
              </w:rPr>
            </w:pPr>
            <w:r>
              <w:rPr>
                <w:rFonts w:ascii="Arial" w:cs="Arial" w:eastAsia="Arial" w:hAnsi="Arial"/>
                <w:sz w:val="12"/>
                <w:szCs w:val="12"/>
                <w:b w:val="1"/>
                <w:bCs w:val="1"/>
                <w:color w:val="auto"/>
              </w:rPr>
              <w:t>Large accelerated filer</w:t>
            </w:r>
          </w:p>
        </w:tc>
        <w:tc>
          <w:tcPr>
            <w:tcW w:w="258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680" w:type="dxa"/>
            <w:vAlign w:val="bottom"/>
          </w:tcPr>
          <w:p>
            <w:pPr>
              <w:ind w:left="2240"/>
              <w:spacing w:after="0"/>
              <w:rPr>
                <w:sz w:val="20"/>
                <w:szCs w:val="20"/>
                <w:color w:val="auto"/>
              </w:rPr>
            </w:pPr>
            <w:r>
              <w:rPr>
                <w:rFonts w:ascii="Arial" w:cs="Arial" w:eastAsia="Arial" w:hAnsi="Arial"/>
                <w:sz w:val="12"/>
                <w:szCs w:val="12"/>
                <w:b w:val="1"/>
                <w:bCs w:val="1"/>
                <w:color w:val="auto"/>
              </w:rPr>
              <w:t>Accelerated filer</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3"/>
        </w:trPr>
        <w:tc>
          <w:tcPr>
            <w:tcW w:w="1340" w:type="dxa"/>
            <w:vAlign w:val="bottom"/>
          </w:tcPr>
          <w:p>
            <w:pPr>
              <w:spacing w:after="0"/>
              <w:rPr>
                <w:sz w:val="20"/>
                <w:szCs w:val="20"/>
                <w:color w:val="auto"/>
              </w:rPr>
            </w:pPr>
            <w:r>
              <w:rPr>
                <w:rFonts w:ascii="Arial" w:cs="Arial" w:eastAsia="Arial" w:hAnsi="Arial"/>
                <w:sz w:val="12"/>
                <w:szCs w:val="12"/>
                <w:b w:val="1"/>
                <w:bCs w:val="1"/>
                <w:color w:val="auto"/>
              </w:rPr>
              <w:t>Non-accelerated filer</w:t>
            </w:r>
          </w:p>
        </w:tc>
        <w:tc>
          <w:tcPr>
            <w:tcW w:w="258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680" w:type="dxa"/>
            <w:vAlign w:val="bottom"/>
          </w:tcPr>
          <w:p>
            <w:pPr>
              <w:ind w:left="2240"/>
              <w:spacing w:after="0"/>
              <w:rPr>
                <w:sz w:val="20"/>
                <w:szCs w:val="20"/>
                <w:color w:val="auto"/>
              </w:rPr>
            </w:pPr>
            <w:r>
              <w:rPr>
                <w:rFonts w:ascii="Arial" w:cs="Arial" w:eastAsia="Arial" w:hAnsi="Arial"/>
                <w:sz w:val="12"/>
                <w:szCs w:val="12"/>
                <w:b w:val="1"/>
                <w:bCs w:val="1"/>
                <w:color w:val="auto"/>
                <w:w w:val="91"/>
              </w:rPr>
              <w:t>Smaller reporting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3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80" w:type="dxa"/>
            <w:vAlign w:val="bottom"/>
          </w:tcPr>
          <w:p>
            <w:pPr>
              <w:ind w:left="2240"/>
              <w:spacing w:after="0"/>
              <w:rPr>
                <w:sz w:val="20"/>
                <w:szCs w:val="20"/>
                <w:color w:val="auto"/>
              </w:rPr>
            </w:pPr>
            <w:r>
              <w:rPr>
                <w:rFonts w:ascii="Arial" w:cs="Arial" w:eastAsia="Arial" w:hAnsi="Arial"/>
                <w:sz w:val="12"/>
                <w:szCs w:val="12"/>
                <w:b w:val="1"/>
                <w:bCs w:val="1"/>
                <w:color w:val="auto"/>
                <w:w w:val="91"/>
              </w:rPr>
              <w:t>Emerging growth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5" w:lineRule="exact"/>
        <w:rPr>
          <w:sz w:val="24"/>
          <w:szCs w:val="24"/>
          <w:color w:val="auto"/>
        </w:rPr>
      </w:pPr>
    </w:p>
    <w:p>
      <w:pPr>
        <w:ind w:left="540" w:right="539"/>
        <w:spacing w:after="0" w:line="143" w:lineRule="exact"/>
        <w:rPr>
          <w:sz w:val="20"/>
          <w:szCs w:val="20"/>
          <w:color w:val="auto"/>
        </w:rPr>
      </w:pPr>
      <w:r>
        <w:rPr>
          <w:rFonts w:ascii="Arial" w:cs="Arial" w:eastAsia="Arial" w:hAnsi="Arial"/>
          <w:sz w:val="12"/>
          <w:szCs w:val="12"/>
          <w:b w:val="1"/>
          <w:bCs w:val="1"/>
          <w:color w:val="auto"/>
        </w:rPr>
        <w:t xml:space="preserve">If an emerging growth company, indicate by checkmark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18415</wp:posOffset>
            </wp:positionV>
            <wp:extent cx="8928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CALCULATION OF REGISTRATION FEE</w:t>
      </w:r>
    </w:p>
    <w:p>
      <w:pPr>
        <w:spacing w:after="0" w:line="11" w:lineRule="exact"/>
        <w:rPr>
          <w:sz w:val="24"/>
          <w:szCs w:val="24"/>
          <w:color w:val="auto"/>
        </w:rPr>
      </w:pPr>
    </w:p>
    <w:tbl>
      <w:tblPr>
        <w:tblLayout w:type="fixed"/>
        <w:tblInd w:w="540" w:type="dxa"/>
        <w:tblCellMar>
          <w:top w:w="0" w:type="dxa"/>
          <w:left w:w="0" w:type="dxa"/>
          <w:bottom w:w="0" w:type="dxa"/>
          <w:right w:w="0" w:type="dxa"/>
        </w:tblCellMar>
      </w:tblPr>
      <w:tr>
        <w:trPr>
          <w:trHeight w:val="138"/>
        </w:trPr>
        <w:tc>
          <w:tcPr>
            <w:tcW w:w="416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83"/>
              </w:rPr>
              <w:t>Proposed</w:t>
            </w:r>
          </w:p>
        </w:tc>
        <w:tc>
          <w:tcPr>
            <w:tcW w:w="1840" w:type="dxa"/>
            <w:vAlign w:val="bottom"/>
            <w:tcBorders>
              <w:top w:val="single" w:sz="8" w:color="auto"/>
            </w:tcBorders>
          </w:tcPr>
          <w:p>
            <w:pPr>
              <w:spacing w:after="0"/>
              <w:rPr>
                <w:sz w:val="12"/>
                <w:szCs w:val="12"/>
                <w:color w:val="auto"/>
              </w:rPr>
            </w:pPr>
          </w:p>
        </w:tc>
      </w:tr>
      <w:tr>
        <w:trPr>
          <w:trHeight w:val="121"/>
        </w:trPr>
        <w:tc>
          <w:tcPr>
            <w:tcW w:w="416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jc w:val="center"/>
              <w:ind w:right="1"/>
              <w:spacing w:after="0" w:line="121" w:lineRule="exact"/>
              <w:rPr>
                <w:sz w:val="20"/>
                <w:szCs w:val="20"/>
                <w:color w:val="auto"/>
              </w:rPr>
            </w:pPr>
            <w:r>
              <w:rPr>
                <w:rFonts w:ascii="Arial" w:cs="Arial" w:eastAsia="Arial" w:hAnsi="Arial"/>
                <w:sz w:val="12"/>
                <w:szCs w:val="12"/>
                <w:b w:val="1"/>
                <w:bCs w:val="1"/>
                <w:color w:val="auto"/>
                <w:w w:val="90"/>
              </w:rPr>
              <w:t>Maximum</w:t>
            </w:r>
          </w:p>
        </w:tc>
        <w:tc>
          <w:tcPr>
            <w:tcW w:w="1840" w:type="dxa"/>
            <w:vAlign w:val="bottom"/>
          </w:tcPr>
          <w:p>
            <w:pPr>
              <w:spacing w:after="0"/>
              <w:rPr>
                <w:sz w:val="10"/>
                <w:szCs w:val="10"/>
                <w:color w:val="auto"/>
              </w:rPr>
            </w:pPr>
          </w:p>
        </w:tc>
      </w:tr>
      <w:tr>
        <w:trPr>
          <w:trHeight w:val="116"/>
        </w:trPr>
        <w:tc>
          <w:tcPr>
            <w:tcW w:w="416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jc w:val="center"/>
              <w:ind w:right="1"/>
              <w:spacing w:after="0" w:line="117" w:lineRule="exact"/>
              <w:rPr>
                <w:sz w:val="20"/>
                <w:szCs w:val="20"/>
                <w:color w:val="auto"/>
              </w:rPr>
            </w:pPr>
            <w:r>
              <w:rPr>
                <w:rFonts w:ascii="Arial" w:cs="Arial" w:eastAsia="Arial" w:hAnsi="Arial"/>
                <w:sz w:val="12"/>
                <w:szCs w:val="12"/>
                <w:b w:val="1"/>
                <w:bCs w:val="1"/>
                <w:color w:val="auto"/>
                <w:w w:val="84"/>
              </w:rPr>
              <w:t>Aggregate</w:t>
            </w:r>
          </w:p>
        </w:tc>
        <w:tc>
          <w:tcPr>
            <w:tcW w:w="18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6"/>
              </w:rPr>
              <w:t>Amount of</w:t>
            </w:r>
          </w:p>
        </w:tc>
      </w:tr>
      <w:tr>
        <w:trPr>
          <w:trHeight w:val="165"/>
        </w:trPr>
        <w:tc>
          <w:tcPr>
            <w:tcW w:w="416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92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82"/>
              </w:rPr>
              <w:t>Offering Price</w:t>
            </w:r>
            <w:r>
              <w:rPr>
                <w:rFonts w:ascii="Arial" w:cs="Arial" w:eastAsia="Arial" w:hAnsi="Arial"/>
                <w:sz w:val="17"/>
                <w:szCs w:val="17"/>
                <w:b w:val="1"/>
                <w:bCs w:val="1"/>
                <w:color w:val="auto"/>
                <w:w w:val="82"/>
                <w:vertAlign w:val="superscript"/>
              </w:rPr>
              <w:t>(1)(2)</w:t>
            </w:r>
          </w:p>
        </w:tc>
        <w:tc>
          <w:tcPr>
            <w:tcW w:w="1840" w:type="dxa"/>
            <w:vAlign w:val="bottom"/>
            <w:tcBorders>
              <w:bottom w:val="single" w:sz="8" w:color="auto"/>
            </w:tcBorders>
          </w:tcPr>
          <w:p>
            <w:pPr>
              <w:jc w:val="center"/>
              <w:ind w:left="1"/>
              <w:spacing w:after="0" w:line="165" w:lineRule="exact"/>
              <w:rPr>
                <w:sz w:val="20"/>
                <w:szCs w:val="20"/>
                <w:color w:val="auto"/>
              </w:rPr>
            </w:pPr>
            <w:r>
              <w:rPr>
                <w:rFonts w:ascii="Arial" w:cs="Arial" w:eastAsia="Arial" w:hAnsi="Arial"/>
                <w:sz w:val="12"/>
                <w:szCs w:val="12"/>
                <w:b w:val="1"/>
                <w:bCs w:val="1"/>
                <w:color w:val="auto"/>
                <w:w w:val="83"/>
              </w:rPr>
              <w:t>Registration Fee</w:t>
            </w:r>
            <w:r>
              <w:rPr>
                <w:rFonts w:ascii="Arial" w:cs="Arial" w:eastAsia="Arial" w:hAnsi="Arial"/>
                <w:sz w:val="17"/>
                <w:szCs w:val="17"/>
                <w:b w:val="1"/>
                <w:bCs w:val="1"/>
                <w:color w:val="auto"/>
                <w:w w:val="83"/>
                <w:vertAlign w:val="superscript"/>
              </w:rPr>
              <w:t>(3)</w:t>
            </w:r>
          </w:p>
        </w:tc>
      </w:tr>
      <w:tr>
        <w:trPr>
          <w:trHeight w:val="134"/>
        </w:trPr>
        <w:tc>
          <w:tcPr>
            <w:tcW w:w="4160" w:type="dxa"/>
            <w:vAlign w:val="bottom"/>
            <w:tcBorders>
              <w:bottom w:val="single" w:sz="8" w:color="auto"/>
              <w:right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Class A Common Stock, $0.001 par value per share</w:t>
            </w:r>
          </w:p>
        </w:tc>
        <w:tc>
          <w:tcPr>
            <w:tcW w:w="1920" w:type="dxa"/>
            <w:vAlign w:val="bottom"/>
            <w:tcBorders>
              <w:bottom w:val="single" w:sz="8" w:color="auto"/>
              <w:right w:val="single" w:sz="8" w:color="auto"/>
            </w:tcBorders>
            <w:shd w:val="clear" w:color="auto" w:fill="CCEEFF"/>
          </w:tcPr>
          <w:p>
            <w:pPr>
              <w:jc w:val="right"/>
              <w:ind w:right="1041"/>
              <w:spacing w:after="0" w:line="134" w:lineRule="exact"/>
              <w:rPr>
                <w:sz w:val="20"/>
                <w:szCs w:val="20"/>
                <w:color w:val="auto"/>
              </w:rPr>
            </w:pPr>
            <w:r>
              <w:rPr>
                <w:rFonts w:ascii="Arial" w:cs="Arial" w:eastAsia="Arial" w:hAnsi="Arial"/>
                <w:sz w:val="12"/>
                <w:szCs w:val="12"/>
                <w:color w:val="auto"/>
              </w:rPr>
              <w:t>$</w:t>
            </w:r>
          </w:p>
        </w:tc>
        <w:tc>
          <w:tcPr>
            <w:tcW w:w="1840" w:type="dxa"/>
            <w:vAlign w:val="bottom"/>
            <w:tcBorders>
              <w:bottom w:val="single" w:sz="8" w:color="auto"/>
            </w:tcBorders>
            <w:shd w:val="clear" w:color="auto" w:fill="CCEEFF"/>
          </w:tcPr>
          <w:p>
            <w:pPr>
              <w:jc w:val="right"/>
              <w:ind w:right="961"/>
              <w:spacing w:after="0" w:line="134" w:lineRule="exact"/>
              <w:rPr>
                <w:sz w:val="20"/>
                <w:szCs w:val="20"/>
                <w:color w:val="auto"/>
              </w:rPr>
            </w:pPr>
            <w:r>
              <w:rPr>
                <w:rFonts w:ascii="Arial" w:cs="Arial" w:eastAsia="Arial" w:hAnsi="Arial"/>
                <w:sz w:val="12"/>
                <w:szCs w:val="12"/>
                <w:color w:val="auto"/>
              </w:rPr>
              <w:t>$</w:t>
            </w:r>
          </w:p>
        </w:tc>
      </w:tr>
    </w:tbl>
    <w:p>
      <w:pPr>
        <w:spacing w:after="0" w:line="39" w:lineRule="exact"/>
        <w:rPr>
          <w:sz w:val="24"/>
          <w:szCs w:val="24"/>
          <w:color w:val="auto"/>
        </w:rPr>
      </w:pPr>
    </w:p>
    <w:p>
      <w:pPr>
        <w:ind w:left="840" w:hanging="301"/>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 of 1933, as amended.</w:t>
      </w:r>
    </w:p>
    <w:p>
      <w:pPr>
        <w:spacing w:after="0" w:line="26" w:lineRule="exact"/>
        <w:rPr>
          <w:rFonts w:ascii="Arial" w:cs="Arial" w:eastAsia="Arial" w:hAnsi="Arial"/>
          <w:sz w:val="12"/>
          <w:szCs w:val="12"/>
          <w:color w:val="auto"/>
        </w:rPr>
      </w:pPr>
    </w:p>
    <w:p>
      <w:pPr>
        <w:ind w:left="840" w:hanging="301"/>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the aggregate offering price of additional shares that the underwriters have the option to purchase.</w:t>
      </w:r>
    </w:p>
    <w:p>
      <w:pPr>
        <w:spacing w:after="0" w:line="15" w:lineRule="exact"/>
        <w:rPr>
          <w:rFonts w:ascii="Arial" w:cs="Arial" w:eastAsia="Arial" w:hAnsi="Arial"/>
          <w:sz w:val="12"/>
          <w:szCs w:val="12"/>
          <w:color w:val="auto"/>
        </w:rPr>
      </w:pPr>
    </w:p>
    <w:p>
      <w:pPr>
        <w:ind w:left="840" w:hanging="301"/>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40640</wp:posOffset>
            </wp:positionV>
            <wp:extent cx="8928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04" w:lineRule="exact"/>
        <w:rPr>
          <w:sz w:val="24"/>
          <w:szCs w:val="24"/>
          <w:color w:val="auto"/>
        </w:rPr>
      </w:pPr>
    </w:p>
    <w:p>
      <w:pPr>
        <w:jc w:val="both"/>
        <w:ind w:left="540" w:right="559"/>
        <w:spacing w:after="0" w:line="334" w:lineRule="auto"/>
        <w:rPr>
          <w:sz w:val="20"/>
          <w:szCs w:val="20"/>
          <w:color w:val="auto"/>
        </w:rPr>
      </w:pPr>
      <w:r>
        <w:rPr>
          <w:rFonts w:ascii="Arial" w:cs="Arial" w:eastAsia="Arial" w:hAnsi="Arial"/>
          <w:sz w:val="9"/>
          <w:szCs w:val="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-4445</wp:posOffset>
            </wp:positionV>
            <wp:extent cx="5036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3682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15875</wp:posOffset>
            </wp:positionV>
            <wp:extent cx="503682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226060</wp:posOffset>
            </wp:positionV>
            <wp:extent cx="556450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0" w:lineRule="exact"/>
        <w:rPr>
          <w:sz w:val="20"/>
          <w:szCs w:val="20"/>
          <w:color w:val="auto"/>
        </w:rPr>
      </w:pPr>
    </w:p>
    <w:p>
      <w:pPr>
        <w:ind w:left="540" w:right="659"/>
        <w:spacing w:after="0" w:line="351" w:lineRule="auto"/>
        <w:rPr>
          <w:sz w:val="20"/>
          <w:szCs w:val="20"/>
          <w:color w:val="auto"/>
        </w:rPr>
      </w:pPr>
      <w:r>
        <w:rPr>
          <w:rFonts w:ascii="Arial" w:cs="Arial" w:eastAsia="Arial" w:hAnsi="Arial"/>
          <w:sz w:val="12"/>
          <w:szCs w:val="12"/>
          <w:b w:val="1"/>
          <w:bCs w:val="1"/>
          <w:color w:val="FF665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FF665E"/>
        </w:rPr>
        <w:t>SUBJECT TO COMPLETION,</w:t>
      </w:r>
    </w:p>
    <w:p>
      <w:pPr>
        <w:ind w:left="540"/>
        <w:spacing w:after="0"/>
        <w:tabs>
          <w:tab w:leader="none" w:pos="2020" w:val="left"/>
        </w:tabs>
        <w:rPr>
          <w:sz w:val="20"/>
          <w:szCs w:val="20"/>
          <w:color w:val="auto"/>
        </w:rPr>
      </w:pPr>
      <w:r>
        <w:rPr>
          <w:rFonts w:ascii="Arial" w:cs="Arial" w:eastAsia="Arial" w:hAnsi="Arial"/>
          <w:sz w:val="18"/>
          <w:szCs w:val="18"/>
          <w:b w:val="1"/>
          <w:bCs w:val="1"/>
          <w:i w:val="1"/>
          <w:iCs w:val="1"/>
          <w:color w:val="FF665E"/>
        </w:rPr>
        <w:t>DATED</w:t>
      </w:r>
      <w:r>
        <w:rPr>
          <w:sz w:val="20"/>
          <w:szCs w:val="20"/>
          <w:color w:val="auto"/>
        </w:rPr>
        <w:tab/>
      </w:r>
      <w:r>
        <w:rPr>
          <w:rFonts w:ascii="Arial" w:cs="Arial" w:eastAsia="Arial" w:hAnsi="Arial"/>
          <w:sz w:val="18"/>
          <w:szCs w:val="18"/>
          <w:b w:val="1"/>
          <w:bCs w:val="1"/>
          <w:i w:val="1"/>
          <w:iCs w:val="1"/>
          <w:color w:val="FF665E"/>
        </w:rPr>
        <w:t>, 2021</w:t>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21"/>
          <w:szCs w:val="21"/>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92710</wp:posOffset>
            </wp:positionV>
            <wp:extent cx="1960245"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02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Immuneering Corporation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81280</wp:posOffset>
            </wp:positionV>
            <wp:extent cx="8928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8" w:lineRule="exact"/>
        <w:rPr>
          <w:sz w:val="20"/>
          <w:szCs w:val="20"/>
          <w:color w:val="auto"/>
        </w:rPr>
      </w:pPr>
    </w:p>
    <w:p>
      <w:pPr>
        <w:ind w:left="540" w:right="559"/>
        <w:spacing w:after="0" w:line="281" w:lineRule="auto"/>
        <w:rPr>
          <w:sz w:val="20"/>
          <w:szCs w:val="20"/>
          <w:color w:val="auto"/>
        </w:rPr>
      </w:pPr>
      <w:r>
        <w:rPr>
          <w:rFonts w:ascii="Arial" w:cs="Arial" w:eastAsia="Arial" w:hAnsi="Arial"/>
          <w:sz w:val="14"/>
          <w:szCs w:val="14"/>
          <w:b w:val="1"/>
          <w:bCs w:val="1"/>
          <w:i w:val="1"/>
          <w:iCs w:val="1"/>
          <w:color w:val="auto"/>
        </w:rPr>
        <w:t>We are offering shares of our Class A common stock. This is our initial public offering and no public market currently exists for our Class A common stock. We anticipate that the initial public offering price will be between $ and $ per share. We have applied to list our Class A common stock on the Nasdaq Global Market under the symbol “IMRX.”</w:t>
      </w:r>
    </w:p>
    <w:p>
      <w:pPr>
        <w:spacing w:after="0" w:line="50" w:lineRule="exact"/>
        <w:rPr>
          <w:sz w:val="20"/>
          <w:szCs w:val="20"/>
          <w:color w:val="auto"/>
        </w:rPr>
      </w:pPr>
    </w:p>
    <w:p>
      <w:pPr>
        <w:jc w:val="both"/>
        <w:ind w:left="540" w:right="559"/>
        <w:spacing w:after="0" w:line="292" w:lineRule="auto"/>
        <w:rPr>
          <w:sz w:val="20"/>
          <w:szCs w:val="20"/>
          <w:color w:val="auto"/>
        </w:rPr>
      </w:pPr>
      <w:r>
        <w:rPr>
          <w:rFonts w:ascii="Arial" w:cs="Arial" w:eastAsia="Arial" w:hAnsi="Arial"/>
          <w:sz w:val="13"/>
          <w:szCs w:val="13"/>
          <w:b w:val="1"/>
          <w:bCs w:val="1"/>
          <w:i w:val="1"/>
          <w:iCs w:val="1"/>
          <w:color w:val="auto"/>
        </w:rPr>
        <w:t>Following this offering, we will have two classes of common stock: Class A common stock and Class B common stock. The rights of the holders of Class A common stock and Class B common stock will be identical, except with respect to voting and conversion rights. Each share of Class A common stock will be entitled to one vote and will not be convertible into any other class of our capital stock. The shares of Class B common stock do not have associated voting rights (except as may be required by law) and each share of Class B common stock is convertible at any time at the election of the holder into one share of Class A common stock, subject to certain limitations. See “Description of Capital Stock—Common Stock” for more information on the rights of the holders of our Class A common stock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84455</wp:posOffset>
            </wp:positionV>
            <wp:extent cx="8928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45" w:lineRule="exact"/>
        <w:rPr>
          <w:sz w:val="20"/>
          <w:szCs w:val="20"/>
          <w:color w:val="auto"/>
        </w:rPr>
      </w:pPr>
    </w:p>
    <w:p>
      <w:pPr>
        <w:jc w:val="both"/>
        <w:ind w:left="540" w:right="559"/>
        <w:spacing w:after="0" w:line="281" w:lineRule="auto"/>
        <w:rPr>
          <w:sz w:val="20"/>
          <w:szCs w:val="20"/>
          <w:color w:val="auto"/>
        </w:rPr>
      </w:pPr>
      <w:r>
        <w:rPr>
          <w:rFonts w:ascii="Arial" w:cs="Arial" w:eastAsia="Arial" w:hAnsi="Arial"/>
          <w:sz w:val="14"/>
          <w:szCs w:val="14"/>
          <w:b w:val="1"/>
          <w:bCs w:val="1"/>
          <w:i w:val="1"/>
          <w:iCs w:val="1"/>
          <w:color w:val="auto"/>
        </w:rPr>
        <w:t>We are an “emerging growth company” as defined under the U.S. federal securities laws and, as such, may elect to comply with reduced public company reporting requirements for this and future filings. See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80010</wp:posOffset>
            </wp:positionV>
            <wp:extent cx="8928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32" w:lineRule="exact"/>
        <w:rPr>
          <w:sz w:val="20"/>
          <w:szCs w:val="20"/>
          <w:color w:val="auto"/>
        </w:rPr>
      </w:pPr>
    </w:p>
    <w:p>
      <w:pPr>
        <w:jc w:val="both"/>
        <w:ind w:left="540" w:right="559"/>
        <w:spacing w:after="0" w:line="247" w:lineRule="auto"/>
        <w:rPr>
          <w:rFonts w:ascii="Arial" w:cs="Arial" w:eastAsia="Arial" w:hAnsi="Arial"/>
          <w:sz w:val="18"/>
          <w:szCs w:val="18"/>
          <w:b w:val="1"/>
          <w:bCs w:val="1"/>
          <w:i w:val="1"/>
          <w:iCs w:val="1"/>
          <w:color w:val="0000EE"/>
        </w:rPr>
      </w:pPr>
      <w:r>
        <w:rPr>
          <w:rFonts w:ascii="Arial" w:cs="Arial" w:eastAsia="Arial" w:hAnsi="Arial"/>
          <w:sz w:val="18"/>
          <w:szCs w:val="18"/>
          <w:b w:val="1"/>
          <w:bCs w:val="1"/>
          <w:i w:val="1"/>
          <w:iCs w:val="1"/>
          <w:color w:val="auto"/>
        </w:rPr>
        <w:t xml:space="preserve">Investing in our Class A common stock involves a high degree of risk. See “Risk Factors” beginning on page </w:t>
      </w:r>
      <w:hyperlink w:anchor="page16">
        <w:r>
          <w:rPr>
            <w:rFonts w:ascii="Arial" w:cs="Arial" w:eastAsia="Arial" w:hAnsi="Arial"/>
            <w:sz w:val="18"/>
            <w:szCs w:val="18"/>
            <w:b w:val="1"/>
            <w:bCs w:val="1"/>
            <w:i w:val="1"/>
            <w:iCs w:val="1"/>
            <w:u w:val="single" w:color="auto"/>
            <w:color w:val="0000EE"/>
          </w:rPr>
          <w:t>13</w:t>
        </w:r>
        <w:r>
          <w:rPr>
            <w:rFonts w:ascii="Arial" w:cs="Arial" w:eastAsia="Arial" w:hAnsi="Arial"/>
            <w:sz w:val="18"/>
            <w:szCs w:val="18"/>
            <w:b w:val="1"/>
            <w:bCs w:val="1"/>
            <w:i w:val="1"/>
            <w:iCs w:val="1"/>
            <w:color w:val="0000EE"/>
          </w:rPr>
          <w:t xml:space="preserve"> </w:t>
        </w:r>
      </w:hyperlink>
      <w:r>
        <w:rPr>
          <w:rFonts w:ascii="Arial" w:cs="Arial" w:eastAsia="Arial" w:hAnsi="Arial"/>
          <w:sz w:val="18"/>
          <w:szCs w:val="18"/>
          <w:b w:val="1"/>
          <w:bCs w:val="1"/>
          <w:i w:val="1"/>
          <w:iCs w:val="1"/>
          <w:color w:val="000000"/>
        </w:rPr>
        <w:t>of</w:t>
      </w:r>
      <w:r>
        <w:rPr>
          <w:rFonts w:ascii="Arial" w:cs="Arial" w:eastAsia="Arial" w:hAnsi="Arial"/>
          <w:sz w:val="18"/>
          <w:szCs w:val="18"/>
          <w:b w:val="1"/>
          <w:bCs w:val="1"/>
          <w:i w:val="1"/>
          <w:iCs w:val="1"/>
          <w:color w:val="0000EE"/>
        </w:rPr>
        <w:t xml:space="preserve"> </w:t>
      </w:r>
      <w:r>
        <w:rPr>
          <w:rFonts w:ascii="Arial" w:cs="Arial" w:eastAsia="Arial" w:hAnsi="Arial"/>
          <w:sz w:val="18"/>
          <w:szCs w:val="18"/>
          <w:b w:val="1"/>
          <w:bCs w:val="1"/>
          <w:i w:val="1"/>
          <w:iCs w:val="1"/>
          <w:color w:val="000000"/>
        </w:rPr>
        <w:t>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95885</wp:posOffset>
            </wp:positionV>
            <wp:extent cx="8928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74" w:lineRule="exact"/>
        <w:rPr>
          <w:sz w:val="20"/>
          <w:szCs w:val="20"/>
          <w:color w:val="auto"/>
        </w:rPr>
      </w:pPr>
    </w:p>
    <w:p>
      <w:pPr>
        <w:jc w:val="both"/>
        <w:ind w:left="540" w:right="559"/>
        <w:spacing w:after="0" w:line="300" w:lineRule="auto"/>
        <w:rPr>
          <w:sz w:val="20"/>
          <w:szCs w:val="20"/>
          <w:color w:val="auto"/>
        </w:rPr>
      </w:pPr>
      <w:r>
        <w:rPr>
          <w:rFonts w:ascii="Arial" w:cs="Arial" w:eastAsia="Arial" w:hAnsi="Arial"/>
          <w:sz w:val="14"/>
          <w:szCs w:val="14"/>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72390</wp:posOffset>
            </wp:positionV>
            <wp:extent cx="8928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148"/>
        </w:trPr>
        <w:tc>
          <w:tcPr>
            <w:tcW w:w="690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Per share</w:t>
            </w:r>
          </w:p>
        </w:tc>
        <w:tc>
          <w:tcPr>
            <w:tcW w:w="360" w:type="dxa"/>
            <w:vAlign w:val="bottom"/>
          </w:tcPr>
          <w:p>
            <w:pPr>
              <w:jc w:val="right"/>
              <w:spacing w:after="0"/>
              <w:rPr>
                <w:sz w:val="20"/>
                <w:szCs w:val="20"/>
                <w:color w:val="auto"/>
              </w:rPr>
            </w:pPr>
            <w:r>
              <w:rPr>
                <w:rFonts w:ascii="Arial" w:cs="Arial" w:eastAsia="Arial" w:hAnsi="Arial"/>
                <w:sz w:val="12"/>
                <w:szCs w:val="12"/>
                <w:b w:val="1"/>
                <w:bCs w:val="1"/>
                <w:i w:val="1"/>
                <w:iCs w:val="1"/>
                <w:color w:val="auto"/>
                <w:w w:val="97"/>
              </w:rPr>
              <w:t>Total</w:t>
            </w:r>
          </w:p>
        </w:tc>
      </w:tr>
      <w:tr>
        <w:trPr>
          <w:trHeight w:val="21"/>
        </w:trPr>
        <w:tc>
          <w:tcPr>
            <w:tcW w:w="6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78"/>
        </w:trPr>
        <w:tc>
          <w:tcPr>
            <w:tcW w:w="6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Initial public offering price</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i w:val="1"/>
                <w:iCs w:val="1"/>
                <w:color w:val="auto"/>
                <w:w w:val="82"/>
              </w:rPr>
              <w:t>$</w:t>
            </w:r>
          </w:p>
        </w:tc>
      </w:tr>
      <w:tr>
        <w:trPr>
          <w:trHeight w:val="209"/>
        </w:trPr>
        <w:tc>
          <w:tcPr>
            <w:tcW w:w="6900" w:type="dxa"/>
            <w:vAlign w:val="bottom"/>
          </w:tcPr>
          <w:p>
            <w:pPr>
              <w:spacing w:after="0" w:line="208" w:lineRule="exact"/>
              <w:rPr>
                <w:sz w:val="20"/>
                <w:szCs w:val="20"/>
                <w:color w:val="auto"/>
              </w:rPr>
            </w:pPr>
            <w:r>
              <w:rPr>
                <w:rFonts w:ascii="Arial" w:cs="Arial" w:eastAsia="Arial" w:hAnsi="Arial"/>
                <w:sz w:val="13"/>
                <w:szCs w:val="13"/>
                <w:i w:val="1"/>
                <w:iCs w:val="1"/>
                <w:color w:val="auto"/>
              </w:rPr>
              <w:t>Underwriting discounts and commissions</w:t>
            </w:r>
            <w:r>
              <w:rPr>
                <w:rFonts w:ascii="Arial" w:cs="Arial" w:eastAsia="Arial" w:hAnsi="Arial"/>
                <w:sz w:val="20"/>
                <w:szCs w:val="20"/>
                <w:i w:val="1"/>
                <w:iCs w:val="1"/>
                <w:color w:val="auto"/>
                <w:vertAlign w:val="superscript"/>
              </w:rPr>
              <w:t>(1)</w:t>
            </w:r>
          </w:p>
        </w:tc>
        <w:tc>
          <w:tcPr>
            <w:tcW w:w="480" w:type="dxa"/>
            <w:vAlign w:val="bottom"/>
          </w:tcPr>
          <w:p>
            <w:pPr>
              <w:ind w:left="20"/>
              <w:spacing w:after="0"/>
              <w:rPr>
                <w:sz w:val="20"/>
                <w:szCs w:val="20"/>
                <w:color w:val="auto"/>
              </w:rPr>
            </w:pPr>
            <w:r>
              <w:rPr>
                <w:rFonts w:ascii="Arial" w:cs="Arial" w:eastAsia="Arial" w:hAnsi="Arial"/>
                <w:sz w:val="13"/>
                <w:szCs w:val="13"/>
                <w:i w:val="1"/>
                <w:iCs w:val="1"/>
                <w:color w:val="auto"/>
              </w:rPr>
              <w:t>$</w:t>
            </w:r>
          </w:p>
        </w:tc>
        <w:tc>
          <w:tcPr>
            <w:tcW w:w="180" w:type="dxa"/>
            <w:vAlign w:val="bottom"/>
          </w:tcPr>
          <w:p>
            <w:pPr>
              <w:spacing w:after="0"/>
              <w:rPr>
                <w:sz w:val="18"/>
                <w:szCs w:val="18"/>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i w:val="1"/>
                <w:iCs w:val="1"/>
                <w:color w:val="auto"/>
                <w:w w:val="82"/>
              </w:rPr>
              <w:t>$</w:t>
            </w:r>
          </w:p>
        </w:tc>
      </w:tr>
      <w:tr>
        <w:trPr>
          <w:trHeight w:val="198"/>
        </w:trPr>
        <w:tc>
          <w:tcPr>
            <w:tcW w:w="6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Proceeds, before expenses, to us</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i w:val="1"/>
                <w:iCs w:val="1"/>
                <w:color w:val="auto"/>
                <w:w w:val="8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-382905</wp:posOffset>
            </wp:positionV>
            <wp:extent cx="479996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9996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104775</wp:posOffset>
            </wp:positionV>
            <wp:extent cx="44640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95" w:lineRule="exact"/>
        <w:rPr>
          <w:sz w:val="20"/>
          <w:szCs w:val="20"/>
          <w:color w:val="auto"/>
        </w:rPr>
      </w:pPr>
    </w:p>
    <w:p>
      <w:pPr>
        <w:ind w:left="840" w:right="559" w:hanging="301"/>
        <w:spacing w:after="0" w:line="266" w:lineRule="auto"/>
        <w:tabs>
          <w:tab w:leader="none" w:pos="84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See “Underwriting” for a description of all compensation payable to the underwriters. We have agreed to reimburse the underwriters for certain FINRA-related expenses.</w:t>
      </w:r>
    </w:p>
    <w:p>
      <w:pPr>
        <w:spacing w:after="0" w:line="57" w:lineRule="exact"/>
        <w:rPr>
          <w:sz w:val="20"/>
          <w:szCs w:val="20"/>
          <w:color w:val="auto"/>
        </w:rPr>
      </w:pPr>
    </w:p>
    <w:p>
      <w:pPr>
        <w:ind w:left="540"/>
        <w:spacing w:after="0"/>
        <w:tabs>
          <w:tab w:leader="none" w:pos="5140" w:val="left"/>
        </w:tabs>
        <w:rPr>
          <w:sz w:val="20"/>
          <w:szCs w:val="20"/>
          <w:color w:val="auto"/>
        </w:rPr>
      </w:pPr>
      <w:r>
        <w:rPr>
          <w:rFonts w:ascii="Arial" w:cs="Arial" w:eastAsia="Arial" w:hAnsi="Arial"/>
          <w:sz w:val="12"/>
          <w:szCs w:val="12"/>
          <w:i w:val="1"/>
          <w:iCs w:val="1"/>
          <w:color w:val="auto"/>
        </w:rPr>
        <w:t>We have granted the underwriters an option for a period of 30 days to purchase up to</w:t>
      </w:r>
      <w:r>
        <w:rPr>
          <w:sz w:val="20"/>
          <w:szCs w:val="20"/>
          <w:color w:val="auto"/>
        </w:rPr>
        <w:tab/>
      </w:r>
      <w:r>
        <w:rPr>
          <w:rFonts w:ascii="Arial" w:cs="Arial" w:eastAsia="Arial" w:hAnsi="Arial"/>
          <w:sz w:val="9"/>
          <w:szCs w:val="9"/>
          <w:i w:val="1"/>
          <w:iCs w:val="1"/>
          <w:color w:val="auto"/>
        </w:rPr>
        <w:t>additional shares of Class A common stock.</w:t>
      </w:r>
    </w:p>
    <w:p>
      <w:pPr>
        <w:spacing w:after="0" w:line="71" w:lineRule="exact"/>
        <w:rPr>
          <w:sz w:val="20"/>
          <w:szCs w:val="20"/>
          <w:color w:val="auto"/>
        </w:rPr>
      </w:pPr>
    </w:p>
    <w:p>
      <w:pPr>
        <w:ind w:left="540"/>
        <w:spacing w:after="0"/>
        <w:tabs>
          <w:tab w:leader="none" w:pos="6940" w:val="left"/>
        </w:tabs>
        <w:rPr>
          <w:sz w:val="20"/>
          <w:szCs w:val="20"/>
          <w:color w:val="auto"/>
        </w:rPr>
      </w:pPr>
      <w:r>
        <w:rPr>
          <w:rFonts w:ascii="Arial" w:cs="Arial" w:eastAsia="Arial" w:hAnsi="Arial"/>
          <w:sz w:val="12"/>
          <w:szCs w:val="12"/>
          <w:i w:val="1"/>
          <w:iCs w:val="1"/>
          <w:color w:val="auto"/>
        </w:rPr>
        <w:t>The underwriters expect to deliver the shares of Class A common stock against payment in New York, New York on or about</w:t>
      </w:r>
      <w:r>
        <w:rPr>
          <w:sz w:val="20"/>
          <w:szCs w:val="20"/>
          <w:color w:val="auto"/>
        </w:rPr>
        <w:tab/>
      </w:r>
      <w:r>
        <w:rPr>
          <w:rFonts w:ascii="Arial" w:cs="Arial" w:eastAsia="Arial" w:hAnsi="Arial"/>
          <w:sz w:val="9"/>
          <w:szCs w:val="9"/>
          <w:i w:val="1"/>
          <w:i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82550</wp:posOffset>
            </wp:positionV>
            <wp:extent cx="8928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83" w:lineRule="exact"/>
        <w:rPr>
          <w:sz w:val="20"/>
          <w:szCs w:val="20"/>
          <w:color w:val="auto"/>
        </w:rPr>
      </w:pPr>
    </w:p>
    <w:tbl>
      <w:tblPr>
        <w:tblLayout w:type="fixed"/>
        <w:tblInd w:w="140" w:type="dxa"/>
        <w:tblCellMar>
          <w:top w:w="0" w:type="dxa"/>
          <w:left w:w="0" w:type="dxa"/>
          <w:bottom w:w="0" w:type="dxa"/>
          <w:right w:w="0" w:type="dxa"/>
        </w:tblCellMar>
      </w:tblPr>
      <w:tr>
        <w:trPr>
          <w:trHeight w:val="206"/>
        </w:trPr>
        <w:tc>
          <w:tcPr>
            <w:tcW w:w="2140" w:type="dxa"/>
            <w:vAlign w:val="bottom"/>
          </w:tcPr>
          <w:p>
            <w:pPr>
              <w:ind w:left="400"/>
              <w:spacing w:after="0"/>
              <w:rPr>
                <w:sz w:val="20"/>
                <w:szCs w:val="20"/>
                <w:color w:val="auto"/>
              </w:rPr>
            </w:pPr>
            <w:r>
              <w:rPr>
                <w:rFonts w:ascii="Arial" w:cs="Arial" w:eastAsia="Arial" w:hAnsi="Arial"/>
                <w:sz w:val="16"/>
                <w:szCs w:val="16"/>
                <w:i w:val="1"/>
                <w:iCs w:val="1"/>
                <w:color w:val="auto"/>
              </w:rPr>
              <w:t>MORGAN STANLEY</w:t>
            </w:r>
          </w:p>
        </w:tc>
        <w:tc>
          <w:tcPr>
            <w:tcW w:w="1880" w:type="dxa"/>
            <w:vAlign w:val="bottom"/>
          </w:tcPr>
          <w:p>
            <w:pPr>
              <w:jc w:val="right"/>
              <w:ind w:right="343"/>
              <w:spacing w:after="0"/>
              <w:rPr>
                <w:sz w:val="20"/>
                <w:szCs w:val="20"/>
                <w:color w:val="auto"/>
              </w:rPr>
            </w:pPr>
            <w:r>
              <w:rPr>
                <w:rFonts w:ascii="Arial" w:cs="Arial" w:eastAsia="Arial" w:hAnsi="Arial"/>
                <w:sz w:val="16"/>
                <w:szCs w:val="16"/>
                <w:i w:val="1"/>
                <w:iCs w:val="1"/>
                <w:color w:val="auto"/>
              </w:rPr>
              <w:t>JEFFERIES</w:t>
            </w:r>
          </w:p>
        </w:tc>
        <w:tc>
          <w:tcPr>
            <w:tcW w:w="1640" w:type="dxa"/>
            <w:vAlign w:val="bottom"/>
          </w:tcPr>
          <w:p>
            <w:pPr>
              <w:ind w:left="400"/>
              <w:spacing w:after="0"/>
              <w:rPr>
                <w:sz w:val="20"/>
                <w:szCs w:val="20"/>
                <w:color w:val="auto"/>
              </w:rPr>
            </w:pPr>
            <w:r>
              <w:rPr>
                <w:rFonts w:ascii="Arial" w:cs="Arial" w:eastAsia="Arial" w:hAnsi="Arial"/>
                <w:sz w:val="16"/>
                <w:szCs w:val="16"/>
                <w:i w:val="1"/>
                <w:iCs w:val="1"/>
                <w:color w:val="auto"/>
              </w:rPr>
              <w:t>COWEN</w:t>
            </w:r>
          </w:p>
        </w:tc>
        <w:tc>
          <w:tcPr>
            <w:tcW w:w="3060" w:type="dxa"/>
            <w:vAlign w:val="bottom"/>
          </w:tcPr>
          <w:p>
            <w:pPr>
              <w:ind w:left="660"/>
              <w:spacing w:after="0"/>
              <w:rPr>
                <w:sz w:val="20"/>
                <w:szCs w:val="20"/>
                <w:color w:val="auto"/>
              </w:rPr>
            </w:pPr>
            <w:r>
              <w:rPr>
                <w:rFonts w:ascii="Arial" w:cs="Arial" w:eastAsia="Arial" w:hAnsi="Arial"/>
                <w:sz w:val="16"/>
                <w:szCs w:val="16"/>
                <w:i w:val="1"/>
                <w:iCs w:val="1"/>
                <w:color w:val="auto"/>
              </w:rPr>
              <w:t>GUGGENHEIM SECURITIES</w:t>
            </w:r>
          </w:p>
        </w:tc>
      </w:tr>
      <w:tr>
        <w:trPr>
          <w:trHeight w:val="238"/>
        </w:trPr>
        <w:tc>
          <w:tcPr>
            <w:tcW w:w="2140" w:type="dxa"/>
            <w:vAlign w:val="bottom"/>
          </w:tcPr>
          <w:p>
            <w:pPr>
              <w:ind w:left="400"/>
              <w:spacing w:after="0"/>
              <w:rPr>
                <w:sz w:val="20"/>
                <w:szCs w:val="20"/>
                <w:color w:val="auto"/>
              </w:rPr>
            </w:pPr>
            <w:r>
              <w:rPr>
                <w:rFonts w:ascii="Arial" w:cs="Arial" w:eastAsia="Arial" w:hAnsi="Arial"/>
                <w:sz w:val="15"/>
                <w:szCs w:val="15"/>
                <w:i w:val="1"/>
                <w:iCs w:val="1"/>
                <w:color w:val="auto"/>
              </w:rPr>
              <w:t>Prospectus dated</w:t>
            </w:r>
          </w:p>
        </w:tc>
        <w:tc>
          <w:tcPr>
            <w:tcW w:w="1880" w:type="dxa"/>
            <w:vAlign w:val="bottom"/>
          </w:tcPr>
          <w:p>
            <w:pPr>
              <w:jc w:val="right"/>
              <w:ind w:right="1003"/>
              <w:spacing w:after="0"/>
              <w:rPr>
                <w:sz w:val="20"/>
                <w:szCs w:val="20"/>
                <w:color w:val="auto"/>
              </w:rPr>
            </w:pPr>
            <w:r>
              <w:rPr>
                <w:rFonts w:ascii="Arial" w:cs="Arial" w:eastAsia="Arial" w:hAnsi="Arial"/>
                <w:sz w:val="15"/>
                <w:szCs w:val="15"/>
                <w:i w:val="1"/>
                <w:iCs w:val="1"/>
                <w:color w:val="auto"/>
              </w:rPr>
              <w:t>, 2021.</w:t>
            </w:r>
          </w:p>
        </w:tc>
        <w:tc>
          <w:tcPr>
            <w:tcW w:w="16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1112"/>
        </w:trPr>
        <w:tc>
          <w:tcPr>
            <w:tcW w:w="2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 w:name="page3"/>
    <w:bookmarkEnd w:id="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gridSpan w:val="2"/>
          </w:tcPr>
          <w:p>
            <w:pPr>
              <w:spacing w:after="0"/>
              <w:rPr>
                <w:sz w:val="20"/>
                <w:szCs w:val="20"/>
                <w:color w:val="auto"/>
              </w:rPr>
            </w:pPr>
            <w:r>
              <w:rPr>
                <w:rFonts w:ascii="Arial" w:cs="Arial" w:eastAsia="Arial" w:hAnsi="Arial"/>
                <w:sz w:val="8"/>
                <w:szCs w:val="8"/>
                <w:b w:val="1"/>
                <w:bCs w:val="1"/>
                <w:color w:val="auto"/>
                <w:w w:val="72"/>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7"/>
        </w:trPr>
        <w:tc>
          <w:tcPr>
            <w:tcW w:w="1760" w:type="dxa"/>
            <w:vAlign w:val="bottom"/>
            <w:gridSpan w:val="6"/>
            <w:shd w:val="clear" w:color="auto" w:fill="CCEEFF"/>
          </w:tcPr>
          <w:p>
            <w:pPr>
              <w:spacing w:after="0" w:line="167" w:lineRule="exact"/>
              <w:rPr>
                <w:rFonts w:ascii="Arial" w:cs="Arial" w:eastAsia="Arial" w:hAnsi="Arial"/>
                <w:sz w:val="15"/>
                <w:szCs w:val="15"/>
                <w:color w:val="0000EE"/>
                <w:w w:val="94"/>
              </w:rPr>
            </w:pPr>
            <w:hyperlink w:anchor="page4">
              <w:r>
                <w:rPr>
                  <w:rFonts w:ascii="Arial" w:cs="Arial" w:eastAsia="Arial" w:hAnsi="Arial"/>
                  <w:sz w:val="15"/>
                  <w:szCs w:val="15"/>
                  <w:color w:val="0000EE"/>
                  <w:w w:val="94"/>
                </w:rPr>
                <w:t>PROSPECTUS SUMMARY</w:t>
              </w:r>
            </w:hyperlink>
          </w:p>
        </w:tc>
        <w:tc>
          <w:tcPr>
            <w:tcW w:w="4760" w:type="dxa"/>
            <w:vAlign w:val="bottom"/>
            <w:tcBorders>
              <w:right w:val="single" w:sz="8" w:color="CCEEFF"/>
            </w:tcBorders>
            <w:gridSpan w:val="11"/>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center"/>
              <w:spacing w:after="0" w:line="167" w:lineRule="exact"/>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c>
          <w:tcPr>
            <w:tcW w:w="60" w:type="dxa"/>
            <w:vAlign w:val="bottom"/>
            <w:tcBorders>
              <w:left w:val="single" w:sz="8" w:color="CCEEFF"/>
            </w:tcBorders>
            <w:shd w:val="clear" w:color="auto" w:fill="CCEEFF"/>
          </w:tcPr>
          <w:p>
            <w:pPr>
              <w:spacing w:after="0"/>
              <w:rPr>
                <w:sz w:val="14"/>
                <w:szCs w:val="14"/>
                <w:color w:val="auto"/>
              </w:rPr>
            </w:pPr>
          </w:p>
        </w:tc>
      </w:tr>
      <w:tr>
        <w:trPr>
          <w:trHeight w:val="33"/>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r>
      <w:tr>
        <w:trPr>
          <w:trHeight w:val="176"/>
        </w:trPr>
        <w:tc>
          <w:tcPr>
            <w:tcW w:w="1060" w:type="dxa"/>
            <w:vAlign w:val="bottom"/>
            <w:gridSpan w:val="3"/>
          </w:tcPr>
          <w:p>
            <w:pPr>
              <w:spacing w:after="0"/>
              <w:rPr>
                <w:rFonts w:ascii="Arial" w:cs="Arial" w:eastAsia="Arial" w:hAnsi="Arial"/>
                <w:sz w:val="15"/>
                <w:szCs w:val="15"/>
                <w:color w:val="0000EE"/>
                <w:w w:val="93"/>
              </w:rPr>
            </w:pPr>
            <w:hyperlink w:anchor="page16">
              <w:r>
                <w:rPr>
                  <w:rFonts w:ascii="Arial" w:cs="Arial" w:eastAsia="Arial" w:hAnsi="Arial"/>
                  <w:sz w:val="15"/>
                  <w:szCs w:val="15"/>
                  <w:color w:val="0000EE"/>
                  <w:w w:val="93"/>
                </w:rPr>
                <w:t>RISK FACTORS</w:t>
              </w:r>
            </w:hyperlink>
          </w:p>
        </w:tc>
        <w:tc>
          <w:tcPr>
            <w:tcW w:w="700" w:type="dxa"/>
            <w:vAlign w:val="bottom"/>
            <w:gridSpan w:val="3"/>
          </w:tcPr>
          <w:p>
            <w:pPr>
              <w:spacing w:after="0"/>
              <w:rPr>
                <w:sz w:val="15"/>
                <w:szCs w:val="15"/>
                <w:color w:val="auto"/>
              </w:rPr>
            </w:pPr>
          </w:p>
        </w:tc>
        <w:tc>
          <w:tcPr>
            <w:tcW w:w="4760" w:type="dxa"/>
            <w:vAlign w:val="bottom"/>
            <w:gridSpan w:val="11"/>
          </w:tcPr>
          <w:p>
            <w:pPr>
              <w:spacing w:after="0"/>
              <w:rPr>
                <w:sz w:val="15"/>
                <w:szCs w:val="15"/>
                <w:color w:val="auto"/>
              </w:rPr>
            </w:pPr>
          </w:p>
        </w:tc>
        <w:tc>
          <w:tcPr>
            <w:tcW w:w="100" w:type="dxa"/>
            <w:vAlign w:val="bottom"/>
          </w:tcPr>
          <w:p>
            <w:pPr>
              <w:jc w:val="center"/>
              <w:spacing w:after="0"/>
              <w:rPr>
                <w:rFonts w:ascii="Arial" w:cs="Arial" w:eastAsia="Arial" w:hAnsi="Arial"/>
                <w:sz w:val="12"/>
                <w:szCs w:val="12"/>
                <w:color w:val="0000EE"/>
                <w:w w:val="74"/>
              </w:rPr>
            </w:pPr>
            <w:hyperlink w:anchor="page16">
              <w:r>
                <w:rPr>
                  <w:rFonts w:ascii="Arial" w:cs="Arial" w:eastAsia="Arial" w:hAnsi="Arial"/>
                  <w:sz w:val="12"/>
                  <w:szCs w:val="12"/>
                  <w:color w:val="0000EE"/>
                  <w:w w:val="74"/>
                </w:rPr>
                <w:t>13</w:t>
              </w:r>
            </w:hyperlink>
          </w:p>
        </w:tc>
        <w:tc>
          <w:tcPr>
            <w:tcW w:w="60" w:type="dxa"/>
            <w:vAlign w:val="bottom"/>
          </w:tcPr>
          <w:p>
            <w:pPr>
              <w:spacing w:after="0"/>
              <w:rPr>
                <w:sz w:val="15"/>
                <w:szCs w:val="15"/>
                <w:color w:val="auto"/>
              </w:rPr>
            </w:pPr>
          </w:p>
        </w:tc>
      </w:tr>
      <w:tr>
        <w:trPr>
          <w:trHeight w:val="26"/>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6520" w:type="dxa"/>
            <w:vAlign w:val="bottom"/>
            <w:tcBorders>
              <w:right w:val="single" w:sz="8" w:color="CCEEFF"/>
            </w:tcBorders>
            <w:gridSpan w:val="17"/>
            <w:shd w:val="clear" w:color="auto" w:fill="CCEEFF"/>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CAUTIONARY NOTE REGARDING FORWARD-LOOKING STATEMENTS</w:t>
              </w:r>
            </w:hyperlink>
          </w:p>
        </w:tc>
        <w:tc>
          <w:tcPr>
            <w:tcW w:w="100" w:type="dxa"/>
            <w:vAlign w:val="bottom"/>
            <w:tcBorders>
              <w:right w:val="single" w:sz="8" w:color="CCEEFF"/>
            </w:tcBorders>
            <w:shd w:val="clear" w:color="auto" w:fill="CCEEFF"/>
          </w:tcPr>
          <w:p>
            <w:pPr>
              <w:jc w:val="center"/>
              <w:spacing w:after="0"/>
              <w:rPr>
                <w:rFonts w:ascii="Arial" w:cs="Arial" w:eastAsia="Arial" w:hAnsi="Arial"/>
                <w:sz w:val="12"/>
                <w:szCs w:val="12"/>
                <w:color w:val="0000EE"/>
                <w:w w:val="74"/>
              </w:rPr>
            </w:pPr>
            <w:hyperlink w:anchor="page76">
              <w:r>
                <w:rPr>
                  <w:rFonts w:ascii="Arial" w:cs="Arial" w:eastAsia="Arial" w:hAnsi="Arial"/>
                  <w:sz w:val="12"/>
                  <w:szCs w:val="12"/>
                  <w:color w:val="0000EE"/>
                  <w:w w:val="74"/>
                </w:rPr>
                <w:t>73</w:t>
              </w:r>
            </w:hyperlink>
          </w:p>
        </w:tc>
        <w:tc>
          <w:tcPr>
            <w:tcW w:w="60" w:type="dxa"/>
            <w:vAlign w:val="bottom"/>
            <w:tcBorders>
              <w:left w:val="single" w:sz="8" w:color="CCEEFF"/>
            </w:tcBorders>
            <w:shd w:val="clear" w:color="auto" w:fill="CCEEFF"/>
          </w:tcPr>
          <w:p>
            <w:pPr>
              <w:spacing w:after="0"/>
              <w:rPr>
                <w:sz w:val="15"/>
                <w:szCs w:val="15"/>
                <w:color w:val="auto"/>
              </w:rPr>
            </w:pPr>
          </w:p>
        </w:tc>
      </w:tr>
      <w:tr>
        <w:trPr>
          <w:trHeight w:val="33"/>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6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r>
      <w:tr>
        <w:trPr>
          <w:trHeight w:val="187"/>
        </w:trPr>
        <w:tc>
          <w:tcPr>
            <w:tcW w:w="1340" w:type="dxa"/>
            <w:vAlign w:val="bottom"/>
            <w:gridSpan w:val="5"/>
          </w:tcPr>
          <w:p>
            <w:pPr>
              <w:spacing w:after="0"/>
              <w:rPr>
                <w:rFonts w:ascii="Arial" w:cs="Arial" w:eastAsia="Arial" w:hAnsi="Arial"/>
                <w:sz w:val="15"/>
                <w:szCs w:val="15"/>
                <w:color w:val="0000EE"/>
                <w:w w:val="90"/>
              </w:rPr>
            </w:pPr>
            <w:hyperlink w:anchor="page78">
              <w:r>
                <w:rPr>
                  <w:rFonts w:ascii="Arial" w:cs="Arial" w:eastAsia="Arial" w:hAnsi="Arial"/>
                  <w:sz w:val="15"/>
                  <w:szCs w:val="15"/>
                  <w:color w:val="0000EE"/>
                  <w:w w:val="90"/>
                </w:rPr>
                <w:t>USE OF PROCEEDS</w:t>
              </w:r>
            </w:hyperlink>
          </w:p>
        </w:tc>
        <w:tc>
          <w:tcPr>
            <w:tcW w:w="3520" w:type="dxa"/>
            <w:vAlign w:val="bottom"/>
            <w:gridSpan w:val="9"/>
          </w:tcPr>
          <w:p>
            <w:pPr>
              <w:spacing w:after="0"/>
              <w:rPr>
                <w:sz w:val="16"/>
                <w:szCs w:val="16"/>
                <w:color w:val="auto"/>
              </w:rPr>
            </w:pPr>
          </w:p>
        </w:tc>
        <w:tc>
          <w:tcPr>
            <w:tcW w:w="1660" w:type="dxa"/>
            <w:vAlign w:val="bottom"/>
            <w:gridSpan w:val="3"/>
          </w:tcPr>
          <w:p>
            <w:pPr>
              <w:spacing w:after="0"/>
              <w:rPr>
                <w:sz w:val="16"/>
                <w:szCs w:val="16"/>
                <w:color w:val="auto"/>
              </w:rPr>
            </w:pPr>
          </w:p>
        </w:tc>
        <w:tc>
          <w:tcPr>
            <w:tcW w:w="100" w:type="dxa"/>
            <w:vAlign w:val="bottom"/>
          </w:tcPr>
          <w:p>
            <w:pPr>
              <w:jc w:val="center"/>
              <w:spacing w:after="0"/>
              <w:rPr>
                <w:rFonts w:ascii="Arial" w:cs="Arial" w:eastAsia="Arial" w:hAnsi="Arial"/>
                <w:sz w:val="12"/>
                <w:szCs w:val="12"/>
                <w:color w:val="0000EE"/>
                <w:w w:val="74"/>
              </w:rPr>
            </w:pPr>
            <w:hyperlink w:anchor="page78">
              <w:r>
                <w:rPr>
                  <w:rFonts w:ascii="Arial" w:cs="Arial" w:eastAsia="Arial" w:hAnsi="Arial"/>
                  <w:sz w:val="12"/>
                  <w:szCs w:val="12"/>
                  <w:color w:val="0000EE"/>
                  <w:w w:val="74"/>
                </w:rPr>
                <w:t>75</w:t>
              </w:r>
            </w:hyperlink>
          </w:p>
        </w:tc>
        <w:tc>
          <w:tcPr>
            <w:tcW w:w="60" w:type="dxa"/>
            <w:vAlign w:val="bottom"/>
          </w:tcPr>
          <w:p>
            <w:pPr>
              <w:spacing w:after="0"/>
              <w:rPr>
                <w:sz w:val="16"/>
                <w:szCs w:val="16"/>
                <w:color w:val="auto"/>
              </w:rPr>
            </w:pPr>
          </w:p>
        </w:tc>
      </w:tr>
      <w:tr>
        <w:trPr>
          <w:trHeight w:val="26"/>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93"/>
        </w:trPr>
        <w:tc>
          <w:tcPr>
            <w:tcW w:w="1340" w:type="dxa"/>
            <w:vAlign w:val="bottom"/>
            <w:tcBorders>
              <w:right w:val="single" w:sz="8" w:color="CCEEFF"/>
            </w:tcBorders>
            <w:gridSpan w:val="5"/>
            <w:shd w:val="clear" w:color="auto" w:fill="CCEEFF"/>
          </w:tcPr>
          <w:p>
            <w:pPr>
              <w:spacing w:after="0"/>
              <w:rPr>
                <w:rFonts w:ascii="Arial" w:cs="Arial" w:eastAsia="Arial" w:hAnsi="Arial"/>
                <w:sz w:val="15"/>
                <w:szCs w:val="15"/>
                <w:color w:val="0000EE"/>
                <w:w w:val="99"/>
              </w:rPr>
            </w:pPr>
            <w:hyperlink w:anchor="page79">
              <w:r>
                <w:rPr>
                  <w:rFonts w:ascii="Arial" w:cs="Arial" w:eastAsia="Arial" w:hAnsi="Arial"/>
                  <w:sz w:val="15"/>
                  <w:szCs w:val="15"/>
                  <w:color w:val="0000EE"/>
                  <w:w w:val="99"/>
                </w:rPr>
                <w:t>DIVIDEND POLICY</w:t>
              </w:r>
            </w:hyperlink>
          </w:p>
        </w:tc>
        <w:tc>
          <w:tcPr>
            <w:tcW w:w="5180" w:type="dxa"/>
            <w:vAlign w:val="bottom"/>
            <w:tcBorders>
              <w:right w:val="single" w:sz="8" w:color="CCEEFF"/>
            </w:tcBorders>
            <w:gridSpan w:val="12"/>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jc w:val="center"/>
              <w:spacing w:after="0"/>
              <w:rPr>
                <w:rFonts w:ascii="Arial" w:cs="Arial" w:eastAsia="Arial" w:hAnsi="Arial"/>
                <w:sz w:val="12"/>
                <w:szCs w:val="12"/>
                <w:color w:val="0000EE"/>
                <w:w w:val="74"/>
              </w:rPr>
            </w:pPr>
            <w:hyperlink w:anchor="page79">
              <w:r>
                <w:rPr>
                  <w:rFonts w:ascii="Arial" w:cs="Arial" w:eastAsia="Arial" w:hAnsi="Arial"/>
                  <w:sz w:val="12"/>
                  <w:szCs w:val="12"/>
                  <w:color w:val="0000EE"/>
                  <w:w w:val="74"/>
                </w:rPr>
                <w:t>76</w:t>
              </w:r>
            </w:hyperlink>
          </w:p>
        </w:tc>
        <w:tc>
          <w:tcPr>
            <w:tcW w:w="60" w:type="dxa"/>
            <w:vAlign w:val="bottom"/>
            <w:tcBorders>
              <w:left w:val="single" w:sz="8" w:color="CCEEFF"/>
            </w:tcBorders>
            <w:shd w:val="clear" w:color="auto" w:fill="CCEEFF"/>
          </w:tcPr>
          <w:p>
            <w:pPr>
              <w:spacing w:after="0"/>
              <w:rPr>
                <w:sz w:val="16"/>
                <w:szCs w:val="16"/>
                <w:color w:val="auto"/>
              </w:rPr>
            </w:pPr>
          </w:p>
        </w:tc>
      </w:tr>
      <w:tr>
        <w:trPr>
          <w:trHeight w:val="33"/>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right w:val="single" w:sz="8" w:color="CCEEFF"/>
            </w:tcBorders>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6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r>
      <w:tr>
        <w:trPr>
          <w:trHeight w:val="187"/>
        </w:trPr>
        <w:tc>
          <w:tcPr>
            <w:tcW w:w="1340" w:type="dxa"/>
            <w:vAlign w:val="bottom"/>
            <w:gridSpan w:val="5"/>
          </w:tcPr>
          <w:p>
            <w:pPr>
              <w:spacing w:after="0"/>
              <w:rPr>
                <w:rFonts w:ascii="Arial" w:cs="Arial" w:eastAsia="Arial" w:hAnsi="Arial"/>
                <w:sz w:val="15"/>
                <w:szCs w:val="15"/>
                <w:color w:val="0000EE"/>
              </w:rPr>
            </w:pPr>
            <w:hyperlink w:anchor="page80">
              <w:r>
                <w:rPr>
                  <w:rFonts w:ascii="Arial" w:cs="Arial" w:eastAsia="Arial" w:hAnsi="Arial"/>
                  <w:sz w:val="15"/>
                  <w:szCs w:val="15"/>
                  <w:color w:val="0000EE"/>
                </w:rPr>
                <w:t>CAPITALIZATION</w:t>
              </w:r>
            </w:hyperlink>
          </w:p>
        </w:tc>
        <w:tc>
          <w:tcPr>
            <w:tcW w:w="5180" w:type="dxa"/>
            <w:vAlign w:val="bottom"/>
            <w:gridSpan w:val="12"/>
          </w:tcPr>
          <w:p>
            <w:pPr>
              <w:spacing w:after="0"/>
              <w:rPr>
                <w:sz w:val="16"/>
                <w:szCs w:val="16"/>
                <w:color w:val="auto"/>
              </w:rPr>
            </w:pPr>
          </w:p>
        </w:tc>
        <w:tc>
          <w:tcPr>
            <w:tcW w:w="100" w:type="dxa"/>
            <w:vAlign w:val="bottom"/>
          </w:tcPr>
          <w:p>
            <w:pPr>
              <w:jc w:val="center"/>
              <w:spacing w:after="0"/>
              <w:rPr>
                <w:rFonts w:ascii="Arial" w:cs="Arial" w:eastAsia="Arial" w:hAnsi="Arial"/>
                <w:sz w:val="12"/>
                <w:szCs w:val="12"/>
                <w:color w:val="0000EE"/>
                <w:w w:val="74"/>
              </w:rPr>
            </w:pPr>
            <w:hyperlink w:anchor="page80">
              <w:r>
                <w:rPr>
                  <w:rFonts w:ascii="Arial" w:cs="Arial" w:eastAsia="Arial" w:hAnsi="Arial"/>
                  <w:sz w:val="12"/>
                  <w:szCs w:val="12"/>
                  <w:color w:val="0000EE"/>
                  <w:w w:val="74"/>
                </w:rPr>
                <w:t>77</w:t>
              </w:r>
            </w:hyperlink>
          </w:p>
        </w:tc>
        <w:tc>
          <w:tcPr>
            <w:tcW w:w="60" w:type="dxa"/>
            <w:vAlign w:val="bottom"/>
          </w:tcPr>
          <w:p>
            <w:pPr>
              <w:spacing w:after="0"/>
              <w:rPr>
                <w:sz w:val="16"/>
                <w:szCs w:val="16"/>
                <w:color w:val="auto"/>
              </w:rPr>
            </w:pPr>
          </w:p>
        </w:tc>
      </w:tr>
      <w:tr>
        <w:trPr>
          <w:trHeight w:val="26"/>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93"/>
        </w:trPr>
        <w:tc>
          <w:tcPr>
            <w:tcW w:w="1160" w:type="dxa"/>
            <w:vAlign w:val="bottom"/>
            <w:tcBorders>
              <w:right w:val="single" w:sz="8" w:color="CCEEFF"/>
            </w:tcBorders>
            <w:gridSpan w:val="4"/>
            <w:shd w:val="clear" w:color="auto" w:fill="CCEEFF"/>
          </w:tcPr>
          <w:p>
            <w:pPr>
              <w:spacing w:after="0"/>
              <w:rPr>
                <w:rFonts w:ascii="Arial" w:cs="Arial" w:eastAsia="Arial" w:hAnsi="Arial"/>
                <w:sz w:val="15"/>
                <w:szCs w:val="15"/>
                <w:color w:val="0000EE"/>
              </w:rPr>
            </w:pPr>
            <w:hyperlink w:anchor="page82">
              <w:r>
                <w:rPr>
                  <w:rFonts w:ascii="Arial" w:cs="Arial" w:eastAsia="Arial" w:hAnsi="Arial"/>
                  <w:sz w:val="15"/>
                  <w:szCs w:val="15"/>
                  <w:color w:val="0000EE"/>
                </w:rPr>
                <w:t>DILUTION</w:t>
              </w:r>
            </w:hyperlink>
          </w:p>
        </w:tc>
        <w:tc>
          <w:tcPr>
            <w:tcW w:w="5360" w:type="dxa"/>
            <w:vAlign w:val="bottom"/>
            <w:tcBorders>
              <w:left w:val="single" w:sz="8" w:color="CCEEFF"/>
              <w:right w:val="single" w:sz="8" w:color="CCEEFF"/>
            </w:tcBorders>
            <w:gridSpan w:val="13"/>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jc w:val="center"/>
              <w:spacing w:after="0"/>
              <w:rPr>
                <w:rFonts w:ascii="Arial" w:cs="Arial" w:eastAsia="Arial" w:hAnsi="Arial"/>
                <w:sz w:val="12"/>
                <w:szCs w:val="12"/>
                <w:color w:val="0000EE"/>
                <w:w w:val="74"/>
              </w:rPr>
            </w:pPr>
            <w:hyperlink w:anchor="page82">
              <w:r>
                <w:rPr>
                  <w:rFonts w:ascii="Arial" w:cs="Arial" w:eastAsia="Arial" w:hAnsi="Arial"/>
                  <w:sz w:val="12"/>
                  <w:szCs w:val="12"/>
                  <w:color w:val="0000EE"/>
                  <w:w w:val="74"/>
                </w:rPr>
                <w:t>79</w:t>
              </w:r>
            </w:hyperlink>
          </w:p>
        </w:tc>
        <w:tc>
          <w:tcPr>
            <w:tcW w:w="60" w:type="dxa"/>
            <w:vAlign w:val="bottom"/>
            <w:tcBorders>
              <w:left w:val="single" w:sz="8" w:color="CCEEFF"/>
            </w:tcBorders>
            <w:shd w:val="clear" w:color="auto" w:fill="CCEEFF"/>
          </w:tcPr>
          <w:p>
            <w:pPr>
              <w:spacing w:after="0"/>
              <w:rPr>
                <w:sz w:val="16"/>
                <w:szCs w:val="16"/>
                <w:color w:val="auto"/>
              </w:rPr>
            </w:pPr>
          </w:p>
        </w:tc>
      </w:tr>
      <w:tr>
        <w:trPr>
          <w:trHeight w:val="33"/>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tcBorders>
              <w:left w:val="single" w:sz="8" w:color="CCEEFF"/>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6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r>
      <w:tr>
        <w:trPr>
          <w:trHeight w:val="187"/>
        </w:trPr>
        <w:tc>
          <w:tcPr>
            <w:tcW w:w="3240" w:type="dxa"/>
            <w:vAlign w:val="bottom"/>
            <w:gridSpan w:val="11"/>
          </w:tcPr>
          <w:p>
            <w:pPr>
              <w:spacing w:after="0"/>
              <w:rPr>
                <w:rFonts w:ascii="Arial" w:cs="Arial" w:eastAsia="Arial" w:hAnsi="Arial"/>
                <w:sz w:val="15"/>
                <w:szCs w:val="15"/>
                <w:color w:val="0000EE"/>
                <w:w w:val="97"/>
              </w:rPr>
            </w:pPr>
            <w:hyperlink w:anchor="page84">
              <w:r>
                <w:rPr>
                  <w:rFonts w:ascii="Arial" w:cs="Arial" w:eastAsia="Arial" w:hAnsi="Arial"/>
                  <w:sz w:val="15"/>
                  <w:szCs w:val="15"/>
                  <w:color w:val="0000EE"/>
                  <w:w w:val="97"/>
                </w:rPr>
                <w:t>SELECTED CONSOLIDATED FINANCIAL DATA</w:t>
              </w:r>
            </w:hyperlink>
          </w:p>
        </w:tc>
        <w:tc>
          <w:tcPr>
            <w:tcW w:w="3280" w:type="dxa"/>
            <w:vAlign w:val="bottom"/>
            <w:gridSpan w:val="6"/>
          </w:tcPr>
          <w:p>
            <w:pPr>
              <w:spacing w:after="0"/>
              <w:rPr>
                <w:sz w:val="16"/>
                <w:szCs w:val="16"/>
                <w:color w:val="auto"/>
              </w:rPr>
            </w:pPr>
          </w:p>
        </w:tc>
        <w:tc>
          <w:tcPr>
            <w:tcW w:w="100" w:type="dxa"/>
            <w:vAlign w:val="bottom"/>
          </w:tcPr>
          <w:p>
            <w:pPr>
              <w:jc w:val="center"/>
              <w:spacing w:after="0"/>
              <w:rPr>
                <w:rFonts w:ascii="Arial" w:cs="Arial" w:eastAsia="Arial" w:hAnsi="Arial"/>
                <w:sz w:val="12"/>
                <w:szCs w:val="12"/>
                <w:color w:val="0000EE"/>
                <w:w w:val="74"/>
              </w:rPr>
            </w:pPr>
            <w:hyperlink w:anchor="page84">
              <w:r>
                <w:rPr>
                  <w:rFonts w:ascii="Arial" w:cs="Arial" w:eastAsia="Arial" w:hAnsi="Arial"/>
                  <w:sz w:val="12"/>
                  <w:szCs w:val="12"/>
                  <w:color w:val="0000EE"/>
                  <w:w w:val="74"/>
                </w:rPr>
                <w:t>81</w:t>
              </w:r>
            </w:hyperlink>
          </w:p>
        </w:tc>
        <w:tc>
          <w:tcPr>
            <w:tcW w:w="60" w:type="dxa"/>
            <w:vAlign w:val="bottom"/>
          </w:tcPr>
          <w:p>
            <w:pPr>
              <w:spacing w:after="0"/>
              <w:rPr>
                <w:sz w:val="16"/>
                <w:szCs w:val="16"/>
                <w:color w:val="auto"/>
              </w:rPr>
            </w:pPr>
          </w:p>
        </w:tc>
      </w:tr>
      <w:tr>
        <w:trPr>
          <w:trHeight w:val="26"/>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6520" w:type="dxa"/>
            <w:vAlign w:val="bottom"/>
            <w:tcBorders>
              <w:right w:val="single" w:sz="8" w:color="CCEEFF"/>
            </w:tcBorders>
            <w:gridSpan w:val="17"/>
            <w:shd w:val="clear" w:color="auto" w:fill="CCEEFF"/>
          </w:tcPr>
          <w:p>
            <w:pPr>
              <w:spacing w:after="0"/>
              <w:rPr>
                <w:rFonts w:ascii="Arial" w:cs="Arial" w:eastAsia="Arial" w:hAnsi="Arial"/>
                <w:sz w:val="15"/>
                <w:szCs w:val="15"/>
                <w:color w:val="0000EE"/>
              </w:rPr>
            </w:pPr>
            <w:hyperlink w:anchor="page86">
              <w:r>
                <w:rPr>
                  <w:rFonts w:ascii="Arial" w:cs="Arial" w:eastAsia="Arial" w:hAnsi="Arial"/>
                  <w:sz w:val="15"/>
                  <w:szCs w:val="15"/>
                  <w:color w:val="0000EE"/>
                </w:rPr>
                <w:t>MANAGEMENT’S DISCUSSION AND ANALYSIS OF FINANCIAL CONDITION AND</w:t>
              </w:r>
            </w:hyperlink>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r>
      <w:tr>
        <w:trPr>
          <w:trHeight w:val="156"/>
        </w:trPr>
        <w:tc>
          <w:tcPr>
            <w:tcW w:w="5620" w:type="dxa"/>
            <w:vAlign w:val="bottom"/>
            <w:tcBorders>
              <w:top w:val="single" w:sz="8" w:color="0000EE"/>
            </w:tcBorders>
            <w:gridSpan w:val="15"/>
            <w:shd w:val="clear" w:color="auto" w:fill="CCEEFF"/>
          </w:tcPr>
          <w:p>
            <w:pPr>
              <w:ind w:left="160"/>
              <w:spacing w:after="0" w:line="156" w:lineRule="exact"/>
              <w:rPr>
                <w:rFonts w:ascii="Arial" w:cs="Arial" w:eastAsia="Arial" w:hAnsi="Arial"/>
                <w:sz w:val="15"/>
                <w:szCs w:val="15"/>
                <w:color w:val="0000EE"/>
              </w:rPr>
            </w:pPr>
            <w:hyperlink w:anchor="page86">
              <w:r>
                <w:rPr>
                  <w:rFonts w:ascii="Arial" w:cs="Arial" w:eastAsia="Arial" w:hAnsi="Arial"/>
                  <w:sz w:val="15"/>
                  <w:szCs w:val="15"/>
                  <w:color w:val="0000EE"/>
                </w:rPr>
                <w:t>RESULTS OF OPERATIONS</w:t>
              </w:r>
            </w:hyperlink>
          </w:p>
        </w:tc>
        <w:tc>
          <w:tcPr>
            <w:tcW w:w="90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jc w:val="center"/>
              <w:spacing w:after="0"/>
              <w:rPr>
                <w:rFonts w:ascii="Arial" w:cs="Arial" w:eastAsia="Arial" w:hAnsi="Arial"/>
                <w:sz w:val="12"/>
                <w:szCs w:val="12"/>
                <w:color w:val="0000EE"/>
                <w:w w:val="74"/>
              </w:rPr>
            </w:pPr>
            <w:hyperlink w:anchor="page86">
              <w:r>
                <w:rPr>
                  <w:rFonts w:ascii="Arial" w:cs="Arial" w:eastAsia="Arial" w:hAnsi="Arial"/>
                  <w:sz w:val="12"/>
                  <w:szCs w:val="12"/>
                  <w:color w:val="0000EE"/>
                  <w:w w:val="74"/>
                </w:rPr>
                <w:t>83</w:t>
              </w:r>
            </w:hyperlink>
          </w:p>
        </w:tc>
        <w:tc>
          <w:tcPr>
            <w:tcW w:w="6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4"/>
        </w:trPr>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right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180" w:type="dxa"/>
            <w:vAlign w:val="bottom"/>
            <w:tcBorders>
              <w:top w:val="single" w:sz="8" w:color="0000EE"/>
              <w:left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7"/>
        </w:trPr>
        <w:tc>
          <w:tcPr>
            <w:tcW w:w="720" w:type="dxa"/>
            <w:vAlign w:val="bottom"/>
            <w:gridSpan w:val="2"/>
          </w:tcPr>
          <w:p>
            <w:pPr>
              <w:spacing w:after="0"/>
              <w:rPr>
                <w:rFonts w:ascii="Arial" w:cs="Arial" w:eastAsia="Arial" w:hAnsi="Arial"/>
                <w:sz w:val="15"/>
                <w:szCs w:val="15"/>
                <w:color w:val="0000EE"/>
                <w:w w:val="89"/>
              </w:rPr>
            </w:pPr>
            <w:hyperlink w:anchor="page102">
              <w:r>
                <w:rPr>
                  <w:rFonts w:ascii="Arial" w:cs="Arial" w:eastAsia="Arial" w:hAnsi="Arial"/>
                  <w:sz w:val="15"/>
                  <w:szCs w:val="15"/>
                  <w:color w:val="0000EE"/>
                  <w:w w:val="89"/>
                </w:rPr>
                <w:t>BUSINESS</w:t>
              </w:r>
            </w:hyperlink>
          </w:p>
        </w:tc>
        <w:tc>
          <w:tcPr>
            <w:tcW w:w="5800" w:type="dxa"/>
            <w:vAlign w:val="bottom"/>
            <w:gridSpan w:val="15"/>
          </w:tcPr>
          <w:p>
            <w:pPr>
              <w:spacing w:after="0"/>
              <w:rPr>
                <w:sz w:val="16"/>
                <w:szCs w:val="16"/>
                <w:color w:val="auto"/>
              </w:rPr>
            </w:pPr>
          </w:p>
        </w:tc>
        <w:tc>
          <w:tcPr>
            <w:tcW w:w="100" w:type="dxa"/>
            <w:vAlign w:val="bottom"/>
          </w:tcPr>
          <w:p>
            <w:pPr>
              <w:jc w:val="center"/>
              <w:spacing w:after="0"/>
              <w:rPr>
                <w:rFonts w:ascii="Arial" w:cs="Arial" w:eastAsia="Arial" w:hAnsi="Arial"/>
                <w:sz w:val="12"/>
                <w:szCs w:val="12"/>
                <w:color w:val="0000EE"/>
                <w:w w:val="74"/>
              </w:rPr>
            </w:pPr>
            <w:hyperlink w:anchor="page102">
              <w:r>
                <w:rPr>
                  <w:rFonts w:ascii="Arial" w:cs="Arial" w:eastAsia="Arial" w:hAnsi="Arial"/>
                  <w:sz w:val="12"/>
                  <w:szCs w:val="12"/>
                  <w:color w:val="0000EE"/>
                  <w:w w:val="74"/>
                </w:rPr>
                <w:t>99</w:t>
              </w:r>
            </w:hyperlink>
          </w:p>
        </w:tc>
        <w:tc>
          <w:tcPr>
            <w:tcW w:w="60" w:type="dxa"/>
            <w:vAlign w:val="bottom"/>
          </w:tcPr>
          <w:p>
            <w:pPr>
              <w:spacing w:after="0"/>
              <w:rPr>
                <w:sz w:val="16"/>
                <w:szCs w:val="16"/>
                <w:color w:val="auto"/>
              </w:rPr>
            </w:pPr>
          </w:p>
        </w:tc>
      </w:tr>
      <w:tr>
        <w:trPr>
          <w:trHeight w:val="26"/>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1160" w:type="dxa"/>
            <w:vAlign w:val="bottom"/>
            <w:tcBorders>
              <w:bottom w:val="single" w:sz="8" w:color="0000EE"/>
              <w:right w:val="single" w:sz="8" w:color="CCEEFF"/>
            </w:tcBorders>
            <w:gridSpan w:val="4"/>
            <w:shd w:val="clear" w:color="auto" w:fill="CCEEFF"/>
          </w:tcPr>
          <w:p>
            <w:pPr>
              <w:spacing w:after="0"/>
              <w:rPr>
                <w:rFonts w:ascii="Arial" w:cs="Arial" w:eastAsia="Arial" w:hAnsi="Arial"/>
                <w:sz w:val="15"/>
                <w:szCs w:val="15"/>
                <w:color w:val="0000EE"/>
              </w:rPr>
            </w:pPr>
            <w:hyperlink w:anchor="page146">
              <w:r>
                <w:rPr>
                  <w:rFonts w:ascii="Arial" w:cs="Arial" w:eastAsia="Arial" w:hAnsi="Arial"/>
                  <w:sz w:val="15"/>
                  <w:szCs w:val="15"/>
                  <w:color w:val="0000EE"/>
                </w:rPr>
                <w:t>MANAGEMENT</w:t>
              </w:r>
            </w:hyperlink>
          </w:p>
        </w:tc>
        <w:tc>
          <w:tcPr>
            <w:tcW w:w="5360" w:type="dxa"/>
            <w:vAlign w:val="bottom"/>
            <w:tcBorders>
              <w:left w:val="single" w:sz="8" w:color="CCEEFF"/>
              <w:bottom w:val="single" w:sz="8" w:color="CCEEFF"/>
              <w:right w:val="single" w:sz="8" w:color="CCEEFF"/>
            </w:tcBorders>
            <w:gridSpan w:val="13"/>
            <w:shd w:val="clear" w:color="auto" w:fill="CCEEFF"/>
          </w:tcPr>
          <w:p>
            <w:pPr>
              <w:spacing w:after="0"/>
              <w:rPr>
                <w:sz w:val="17"/>
                <w:szCs w:val="17"/>
                <w:color w:val="auto"/>
              </w:rPr>
            </w:pPr>
          </w:p>
        </w:tc>
        <w:tc>
          <w:tcPr>
            <w:tcW w:w="100" w:type="dxa"/>
            <w:vAlign w:val="bottom"/>
            <w:tcBorders>
              <w:bottom w:val="single" w:sz="8" w:color="0000EE"/>
              <w:right w:val="single" w:sz="8" w:color="CCEEFF"/>
            </w:tcBorders>
            <w:shd w:val="clear" w:color="auto" w:fill="CCEEFF"/>
          </w:tcPr>
          <w:p>
            <w:pPr>
              <w:jc w:val="center"/>
              <w:spacing w:after="0"/>
              <w:rPr>
                <w:rFonts w:ascii="Arial" w:cs="Arial" w:eastAsia="Arial" w:hAnsi="Arial"/>
                <w:sz w:val="10"/>
                <w:szCs w:val="10"/>
                <w:color w:val="0000EE"/>
                <w:w w:val="83"/>
              </w:rPr>
            </w:pPr>
            <w:hyperlink w:anchor="page146">
              <w:r>
                <w:rPr>
                  <w:rFonts w:ascii="Arial" w:cs="Arial" w:eastAsia="Arial" w:hAnsi="Arial"/>
                  <w:sz w:val="10"/>
                  <w:szCs w:val="10"/>
                  <w:color w:val="0000EE"/>
                  <w:w w:val="83"/>
                </w:rPr>
                <w:t>143</w:t>
              </w:r>
            </w:hyperlink>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3"/>
        </w:trPr>
        <w:tc>
          <w:tcPr>
            <w:tcW w:w="3240" w:type="dxa"/>
            <w:vAlign w:val="bottom"/>
            <w:tcBorders>
              <w:bottom w:val="single" w:sz="8" w:color="0000EE"/>
            </w:tcBorders>
            <w:gridSpan w:val="11"/>
          </w:tcPr>
          <w:p>
            <w:pPr>
              <w:spacing w:after="0"/>
              <w:rPr>
                <w:rFonts w:ascii="Arial" w:cs="Arial" w:eastAsia="Arial" w:hAnsi="Arial"/>
                <w:sz w:val="15"/>
                <w:szCs w:val="15"/>
                <w:color w:val="0000EE"/>
                <w:w w:val="97"/>
              </w:rPr>
            </w:pPr>
            <w:hyperlink w:anchor="page151">
              <w:r>
                <w:rPr>
                  <w:rFonts w:ascii="Arial" w:cs="Arial" w:eastAsia="Arial" w:hAnsi="Arial"/>
                  <w:sz w:val="15"/>
                  <w:szCs w:val="15"/>
                  <w:color w:val="0000EE"/>
                  <w:w w:val="97"/>
                </w:rPr>
                <w:t>EXECUTIVE AND DIRECTOR COMPENSATION</w:t>
              </w:r>
            </w:hyperlink>
          </w:p>
        </w:tc>
        <w:tc>
          <w:tcPr>
            <w:tcW w:w="3280" w:type="dxa"/>
            <w:vAlign w:val="bottom"/>
            <w:gridSpan w:val="6"/>
          </w:tcPr>
          <w:p>
            <w:pPr>
              <w:spacing w:after="0"/>
              <w:rPr>
                <w:sz w:val="16"/>
                <w:szCs w:val="16"/>
                <w:color w:val="auto"/>
              </w:rPr>
            </w:pPr>
          </w:p>
        </w:tc>
        <w:tc>
          <w:tcPr>
            <w:tcW w:w="100" w:type="dxa"/>
            <w:vAlign w:val="bottom"/>
            <w:tcBorders>
              <w:bottom w:val="single" w:sz="8" w:color="0000EE"/>
            </w:tcBorders>
          </w:tcPr>
          <w:p>
            <w:pPr>
              <w:jc w:val="center"/>
              <w:spacing w:after="0"/>
              <w:rPr>
                <w:rFonts w:ascii="Arial" w:cs="Arial" w:eastAsia="Arial" w:hAnsi="Arial"/>
                <w:sz w:val="10"/>
                <w:szCs w:val="10"/>
                <w:color w:val="0000EE"/>
                <w:w w:val="83"/>
              </w:rPr>
            </w:pPr>
            <w:hyperlink w:anchor="page151">
              <w:r>
                <w:rPr>
                  <w:rFonts w:ascii="Arial" w:cs="Arial" w:eastAsia="Arial" w:hAnsi="Arial"/>
                  <w:sz w:val="10"/>
                  <w:szCs w:val="10"/>
                  <w:color w:val="0000EE"/>
                  <w:w w:val="83"/>
                </w:rPr>
                <w:t>148</w:t>
              </w:r>
            </w:hyperlink>
          </w:p>
        </w:tc>
        <w:tc>
          <w:tcPr>
            <w:tcW w:w="60" w:type="dxa"/>
            <w:vAlign w:val="bottom"/>
          </w:tcPr>
          <w:p>
            <w:pPr>
              <w:spacing w:after="0"/>
              <w:rPr>
                <w:sz w:val="16"/>
                <w:szCs w:val="16"/>
                <w:color w:val="auto"/>
              </w:rPr>
            </w:pPr>
          </w:p>
        </w:tc>
      </w:tr>
      <w:tr>
        <w:trPr>
          <w:trHeight w:val="206"/>
        </w:trPr>
        <w:tc>
          <w:tcPr>
            <w:tcW w:w="6520" w:type="dxa"/>
            <w:vAlign w:val="bottom"/>
            <w:tcBorders>
              <w:right w:val="single" w:sz="8" w:color="CCEEFF"/>
            </w:tcBorders>
            <w:gridSpan w:val="17"/>
            <w:shd w:val="clear" w:color="auto" w:fill="CCEEFF"/>
          </w:tcPr>
          <w:p>
            <w:pPr>
              <w:spacing w:after="0"/>
              <w:rPr>
                <w:rFonts w:ascii="Arial" w:cs="Arial" w:eastAsia="Arial" w:hAnsi="Arial"/>
                <w:sz w:val="15"/>
                <w:szCs w:val="15"/>
                <w:color w:val="0000EE"/>
              </w:rPr>
            </w:pPr>
            <w:hyperlink w:anchor="page159">
              <w:r>
                <w:rPr>
                  <w:rFonts w:ascii="Arial" w:cs="Arial" w:eastAsia="Arial" w:hAnsi="Arial"/>
                  <w:sz w:val="15"/>
                  <w:szCs w:val="15"/>
                  <w:color w:val="0000EE"/>
                </w:rPr>
                <w:t>CERTAIN RELATIONSHIPS AND RELATED PARTY TRANSACTIONS</w:t>
              </w:r>
            </w:hyperlink>
          </w:p>
        </w:tc>
        <w:tc>
          <w:tcPr>
            <w:tcW w:w="100" w:type="dxa"/>
            <w:vAlign w:val="bottom"/>
            <w:tcBorders>
              <w:right w:val="single" w:sz="8" w:color="CCEEFF"/>
            </w:tcBorders>
            <w:shd w:val="clear" w:color="auto" w:fill="CCEEFF"/>
          </w:tcPr>
          <w:p>
            <w:pPr>
              <w:jc w:val="center"/>
              <w:spacing w:after="0"/>
              <w:rPr>
                <w:rFonts w:ascii="Arial" w:cs="Arial" w:eastAsia="Arial" w:hAnsi="Arial"/>
                <w:sz w:val="10"/>
                <w:szCs w:val="10"/>
                <w:color w:val="0000EE"/>
                <w:w w:val="83"/>
              </w:rPr>
            </w:pPr>
            <w:hyperlink w:anchor="page159">
              <w:r>
                <w:rPr>
                  <w:rFonts w:ascii="Arial" w:cs="Arial" w:eastAsia="Arial" w:hAnsi="Arial"/>
                  <w:sz w:val="10"/>
                  <w:szCs w:val="10"/>
                  <w:color w:val="0000EE"/>
                  <w:w w:val="83"/>
                </w:rPr>
                <w:t>156</w:t>
              </w:r>
            </w:hyperlink>
          </w:p>
        </w:tc>
        <w:tc>
          <w:tcPr>
            <w:tcW w:w="60" w:type="dxa"/>
            <w:vAlign w:val="bottom"/>
            <w:tcBorders>
              <w:left w:val="single" w:sz="8" w:color="CCEEFF"/>
            </w:tcBorders>
            <w:shd w:val="clear" w:color="auto" w:fill="CCEEFF"/>
          </w:tcPr>
          <w:p>
            <w:pPr>
              <w:spacing w:after="0"/>
              <w:rPr>
                <w:sz w:val="17"/>
                <w:szCs w:val="17"/>
                <w:color w:val="auto"/>
              </w:rPr>
            </w:pPr>
          </w:p>
        </w:tc>
      </w:tr>
      <w:tr>
        <w:trPr>
          <w:trHeight w:val="193"/>
        </w:trPr>
        <w:tc>
          <w:tcPr>
            <w:tcW w:w="2000" w:type="dxa"/>
            <w:vAlign w:val="bottom"/>
            <w:tcBorders>
              <w:top w:val="single" w:sz="8" w:color="0000EE"/>
              <w:bottom w:val="single" w:sz="8" w:color="0000EE"/>
            </w:tcBorders>
            <w:gridSpan w:val="8"/>
          </w:tcPr>
          <w:p>
            <w:pPr>
              <w:spacing w:after="0"/>
              <w:rPr>
                <w:rFonts w:ascii="Arial" w:cs="Arial" w:eastAsia="Arial" w:hAnsi="Arial"/>
                <w:sz w:val="15"/>
                <w:szCs w:val="15"/>
                <w:color w:val="0000EE"/>
                <w:w w:val="95"/>
              </w:rPr>
            </w:pPr>
            <w:hyperlink w:anchor="page162">
              <w:r>
                <w:rPr>
                  <w:rFonts w:ascii="Arial" w:cs="Arial" w:eastAsia="Arial" w:hAnsi="Arial"/>
                  <w:sz w:val="15"/>
                  <w:szCs w:val="15"/>
                  <w:color w:val="0000EE"/>
                  <w:w w:val="95"/>
                </w:rPr>
                <w:t>PRINCIPAL STOCKHOLDERS</w:t>
              </w:r>
            </w:hyperlink>
          </w:p>
        </w:tc>
        <w:tc>
          <w:tcPr>
            <w:tcW w:w="2600" w:type="dxa"/>
            <w:vAlign w:val="bottom"/>
            <w:tcBorders>
              <w:top w:val="single" w:sz="8" w:color="0000EE"/>
            </w:tcBorders>
            <w:gridSpan w:val="5"/>
          </w:tcPr>
          <w:p>
            <w:pPr>
              <w:spacing w:after="0"/>
              <w:rPr>
                <w:sz w:val="16"/>
                <w:szCs w:val="16"/>
                <w:color w:val="auto"/>
              </w:rPr>
            </w:pPr>
          </w:p>
        </w:tc>
        <w:tc>
          <w:tcPr>
            <w:tcW w:w="192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0"/>
                <w:szCs w:val="10"/>
                <w:color w:val="0000EE"/>
                <w:w w:val="83"/>
              </w:rPr>
            </w:pPr>
            <w:hyperlink w:anchor="page162">
              <w:r>
                <w:rPr>
                  <w:rFonts w:ascii="Arial" w:cs="Arial" w:eastAsia="Arial" w:hAnsi="Arial"/>
                  <w:sz w:val="10"/>
                  <w:szCs w:val="10"/>
                  <w:color w:val="0000EE"/>
                  <w:w w:val="83"/>
                </w:rPr>
                <w:t>159</w:t>
              </w:r>
            </w:hyperlink>
          </w:p>
        </w:tc>
        <w:tc>
          <w:tcPr>
            <w:tcW w:w="60" w:type="dxa"/>
            <w:vAlign w:val="bottom"/>
            <w:tcBorders>
              <w:top w:val="single" w:sz="8" w:color="CCEEFF"/>
            </w:tcBorders>
          </w:tcPr>
          <w:p>
            <w:pPr>
              <w:spacing w:after="0"/>
              <w:rPr>
                <w:sz w:val="16"/>
                <w:szCs w:val="16"/>
                <w:color w:val="auto"/>
              </w:rPr>
            </w:pPr>
          </w:p>
        </w:tc>
      </w:tr>
      <w:tr>
        <w:trPr>
          <w:trHeight w:val="206"/>
        </w:trPr>
        <w:tc>
          <w:tcPr>
            <w:tcW w:w="2420" w:type="dxa"/>
            <w:vAlign w:val="bottom"/>
            <w:tcBorders>
              <w:bottom w:val="single" w:sz="8" w:color="0000EE"/>
            </w:tcBorders>
            <w:gridSpan w:val="9"/>
            <w:shd w:val="clear" w:color="auto" w:fill="CCEEFF"/>
          </w:tcPr>
          <w:p>
            <w:pPr>
              <w:spacing w:after="0"/>
              <w:rPr>
                <w:rFonts w:ascii="Arial" w:cs="Arial" w:eastAsia="Arial" w:hAnsi="Arial"/>
                <w:sz w:val="15"/>
                <w:szCs w:val="15"/>
                <w:color w:val="0000EE"/>
                <w:w w:val="95"/>
              </w:rPr>
            </w:pPr>
            <w:hyperlink w:anchor="page165">
              <w:r>
                <w:rPr>
                  <w:rFonts w:ascii="Arial" w:cs="Arial" w:eastAsia="Arial" w:hAnsi="Arial"/>
                  <w:sz w:val="15"/>
                  <w:szCs w:val="15"/>
                  <w:color w:val="0000EE"/>
                  <w:w w:val="95"/>
                </w:rPr>
                <w:t>DESCRIPTION OF CAPITAL STOCK</w:t>
              </w:r>
            </w:hyperlink>
          </w:p>
        </w:tc>
        <w:tc>
          <w:tcPr>
            <w:tcW w:w="4100" w:type="dxa"/>
            <w:vAlign w:val="bottom"/>
            <w:tcBorders>
              <w:bottom w:val="single" w:sz="8" w:color="CCEEFF"/>
              <w:right w:val="single" w:sz="8" w:color="CCEEFF"/>
            </w:tcBorders>
            <w:gridSpan w:val="8"/>
            <w:shd w:val="clear" w:color="auto" w:fill="CCEEFF"/>
          </w:tcPr>
          <w:p>
            <w:pPr>
              <w:spacing w:after="0"/>
              <w:rPr>
                <w:sz w:val="17"/>
                <w:szCs w:val="17"/>
                <w:color w:val="auto"/>
              </w:rPr>
            </w:pPr>
          </w:p>
        </w:tc>
        <w:tc>
          <w:tcPr>
            <w:tcW w:w="100" w:type="dxa"/>
            <w:vAlign w:val="bottom"/>
            <w:tcBorders>
              <w:bottom w:val="single" w:sz="8" w:color="0000EE"/>
              <w:right w:val="single" w:sz="8" w:color="CCEEFF"/>
            </w:tcBorders>
            <w:shd w:val="clear" w:color="auto" w:fill="CCEEFF"/>
          </w:tcPr>
          <w:p>
            <w:pPr>
              <w:jc w:val="center"/>
              <w:spacing w:after="0"/>
              <w:rPr>
                <w:rFonts w:ascii="Arial" w:cs="Arial" w:eastAsia="Arial" w:hAnsi="Arial"/>
                <w:sz w:val="10"/>
                <w:szCs w:val="10"/>
                <w:color w:val="0000EE"/>
                <w:w w:val="83"/>
              </w:rPr>
            </w:pPr>
            <w:hyperlink w:anchor="page165">
              <w:r>
                <w:rPr>
                  <w:rFonts w:ascii="Arial" w:cs="Arial" w:eastAsia="Arial" w:hAnsi="Arial"/>
                  <w:sz w:val="10"/>
                  <w:szCs w:val="10"/>
                  <w:color w:val="0000EE"/>
                  <w:w w:val="83"/>
                </w:rPr>
                <w:t>162</w:t>
              </w:r>
            </w:hyperlink>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3"/>
        </w:trPr>
        <w:tc>
          <w:tcPr>
            <w:tcW w:w="2680" w:type="dxa"/>
            <w:vAlign w:val="bottom"/>
            <w:tcBorders>
              <w:bottom w:val="single" w:sz="8" w:color="0000EE"/>
            </w:tcBorders>
            <w:gridSpan w:val="10"/>
          </w:tcPr>
          <w:p>
            <w:pPr>
              <w:spacing w:after="0"/>
              <w:rPr>
                <w:rFonts w:ascii="Arial" w:cs="Arial" w:eastAsia="Arial" w:hAnsi="Arial"/>
                <w:sz w:val="15"/>
                <w:szCs w:val="15"/>
                <w:color w:val="0000EE"/>
                <w:w w:val="96"/>
              </w:rPr>
            </w:pPr>
            <w:hyperlink w:anchor="page171">
              <w:r>
                <w:rPr>
                  <w:rFonts w:ascii="Arial" w:cs="Arial" w:eastAsia="Arial" w:hAnsi="Arial"/>
                  <w:sz w:val="15"/>
                  <w:szCs w:val="15"/>
                  <w:color w:val="0000EE"/>
                  <w:w w:val="96"/>
                </w:rPr>
                <w:t>SHARES ELIGIBLE FOR FUTURE SALE</w:t>
              </w:r>
            </w:hyperlink>
          </w:p>
        </w:tc>
        <w:tc>
          <w:tcPr>
            <w:tcW w:w="3840" w:type="dxa"/>
            <w:vAlign w:val="bottom"/>
            <w:gridSpan w:val="7"/>
          </w:tcPr>
          <w:p>
            <w:pPr>
              <w:spacing w:after="0"/>
              <w:rPr>
                <w:sz w:val="16"/>
                <w:szCs w:val="16"/>
                <w:color w:val="auto"/>
              </w:rPr>
            </w:pPr>
          </w:p>
        </w:tc>
        <w:tc>
          <w:tcPr>
            <w:tcW w:w="100" w:type="dxa"/>
            <w:vAlign w:val="bottom"/>
            <w:tcBorders>
              <w:bottom w:val="single" w:sz="8" w:color="0000EE"/>
            </w:tcBorders>
          </w:tcPr>
          <w:p>
            <w:pPr>
              <w:jc w:val="center"/>
              <w:spacing w:after="0"/>
              <w:rPr>
                <w:rFonts w:ascii="Arial" w:cs="Arial" w:eastAsia="Arial" w:hAnsi="Arial"/>
                <w:sz w:val="10"/>
                <w:szCs w:val="10"/>
                <w:color w:val="0000EE"/>
                <w:w w:val="83"/>
              </w:rPr>
            </w:pPr>
            <w:hyperlink w:anchor="page171">
              <w:r>
                <w:rPr>
                  <w:rFonts w:ascii="Arial" w:cs="Arial" w:eastAsia="Arial" w:hAnsi="Arial"/>
                  <w:sz w:val="10"/>
                  <w:szCs w:val="10"/>
                  <w:color w:val="0000EE"/>
                  <w:w w:val="83"/>
                </w:rPr>
                <w:t>168</w:t>
              </w:r>
            </w:hyperlink>
          </w:p>
        </w:tc>
        <w:tc>
          <w:tcPr>
            <w:tcW w:w="60" w:type="dxa"/>
            <w:vAlign w:val="bottom"/>
          </w:tcPr>
          <w:p>
            <w:pPr>
              <w:spacing w:after="0"/>
              <w:rPr>
                <w:sz w:val="16"/>
                <w:szCs w:val="16"/>
                <w:color w:val="auto"/>
              </w:rPr>
            </w:pPr>
          </w:p>
        </w:tc>
      </w:tr>
      <w:tr>
        <w:trPr>
          <w:trHeight w:val="206"/>
        </w:trPr>
        <w:tc>
          <w:tcPr>
            <w:tcW w:w="6520" w:type="dxa"/>
            <w:vAlign w:val="bottom"/>
            <w:tcBorders>
              <w:right w:val="single" w:sz="8" w:color="CCEEFF"/>
            </w:tcBorders>
            <w:gridSpan w:val="17"/>
            <w:shd w:val="clear" w:color="auto" w:fill="CCEEFF"/>
          </w:tcPr>
          <w:p>
            <w:pPr>
              <w:spacing w:after="0"/>
              <w:rPr>
                <w:rFonts w:ascii="Arial" w:cs="Arial" w:eastAsia="Arial" w:hAnsi="Arial"/>
                <w:sz w:val="15"/>
                <w:szCs w:val="15"/>
                <w:color w:val="0000EE"/>
              </w:rPr>
            </w:pPr>
            <w:hyperlink w:anchor="page173">
              <w:r>
                <w:rPr>
                  <w:rFonts w:ascii="Arial" w:cs="Arial" w:eastAsia="Arial" w:hAnsi="Arial"/>
                  <w:sz w:val="15"/>
                  <w:szCs w:val="15"/>
                  <w:color w:val="0000EE"/>
                </w:rPr>
                <w:t>MATERIAL U.S. FEDERAL INCOME TAX CONSEQUENCES TO NON-U.S. HOLDERS</w:t>
              </w:r>
            </w:hyperlink>
          </w:p>
        </w:tc>
        <w:tc>
          <w:tcPr>
            <w:tcW w:w="100" w:type="dxa"/>
            <w:vAlign w:val="bottom"/>
            <w:tcBorders>
              <w:right w:val="single" w:sz="8" w:color="CCEEFF"/>
            </w:tcBorders>
            <w:shd w:val="clear" w:color="auto" w:fill="CCEEFF"/>
          </w:tcPr>
          <w:p>
            <w:pPr>
              <w:jc w:val="center"/>
              <w:spacing w:after="0"/>
              <w:rPr>
                <w:rFonts w:ascii="Arial" w:cs="Arial" w:eastAsia="Arial" w:hAnsi="Arial"/>
                <w:sz w:val="10"/>
                <w:szCs w:val="10"/>
                <w:color w:val="0000EE"/>
                <w:w w:val="83"/>
              </w:rPr>
            </w:pPr>
            <w:hyperlink w:anchor="page173">
              <w:r>
                <w:rPr>
                  <w:rFonts w:ascii="Arial" w:cs="Arial" w:eastAsia="Arial" w:hAnsi="Arial"/>
                  <w:sz w:val="10"/>
                  <w:szCs w:val="10"/>
                  <w:color w:val="0000EE"/>
                  <w:w w:val="83"/>
                </w:rPr>
                <w:t>170</w:t>
              </w:r>
            </w:hyperlink>
          </w:p>
        </w:tc>
        <w:tc>
          <w:tcPr>
            <w:tcW w:w="60" w:type="dxa"/>
            <w:vAlign w:val="bottom"/>
            <w:tcBorders>
              <w:left w:val="single" w:sz="8" w:color="CCEEFF"/>
            </w:tcBorders>
            <w:shd w:val="clear" w:color="auto" w:fill="CCEEFF"/>
          </w:tcPr>
          <w:p>
            <w:pPr>
              <w:spacing w:after="0"/>
              <w:rPr>
                <w:sz w:val="17"/>
                <w:szCs w:val="17"/>
                <w:color w:val="auto"/>
              </w:rPr>
            </w:pPr>
          </w:p>
        </w:tc>
      </w:tr>
      <w:tr>
        <w:trPr>
          <w:trHeight w:val="187"/>
        </w:trPr>
        <w:tc>
          <w:tcPr>
            <w:tcW w:w="5660" w:type="dxa"/>
            <w:vAlign w:val="bottom"/>
            <w:tcBorders>
              <w:top w:val="single" w:sz="8" w:color="0000EE"/>
            </w:tcBorders>
            <w:gridSpan w:val="16"/>
          </w:tcPr>
          <w:p>
            <w:pPr>
              <w:spacing w:after="0"/>
              <w:rPr>
                <w:rFonts w:ascii="Arial" w:cs="Arial" w:eastAsia="Arial" w:hAnsi="Arial"/>
                <w:sz w:val="15"/>
                <w:szCs w:val="15"/>
                <w:color w:val="0000EE"/>
              </w:rPr>
            </w:pPr>
            <w:hyperlink w:anchor="page177">
              <w:r>
                <w:rPr>
                  <w:rFonts w:ascii="Arial" w:cs="Arial" w:eastAsia="Arial" w:hAnsi="Arial"/>
                  <w:sz w:val="15"/>
                  <w:szCs w:val="15"/>
                  <w:color w:val="0000EE"/>
                </w:rPr>
                <w:t>UNDERWRITING</w:t>
              </w:r>
            </w:hyperlink>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0000EE"/>
            </w:tcBorders>
          </w:tcPr>
          <w:p>
            <w:pPr>
              <w:jc w:val="center"/>
              <w:spacing w:after="0"/>
              <w:rPr>
                <w:rFonts w:ascii="Arial" w:cs="Arial" w:eastAsia="Arial" w:hAnsi="Arial"/>
                <w:sz w:val="10"/>
                <w:szCs w:val="10"/>
                <w:color w:val="0000EE"/>
                <w:w w:val="83"/>
              </w:rPr>
            </w:pPr>
            <w:hyperlink w:anchor="page177">
              <w:r>
                <w:rPr>
                  <w:rFonts w:ascii="Arial" w:cs="Arial" w:eastAsia="Arial" w:hAnsi="Arial"/>
                  <w:sz w:val="10"/>
                  <w:szCs w:val="10"/>
                  <w:color w:val="0000EE"/>
                  <w:w w:val="83"/>
                </w:rPr>
                <w:t>174</w:t>
              </w:r>
            </w:hyperlink>
          </w:p>
        </w:tc>
        <w:tc>
          <w:tcPr>
            <w:tcW w:w="60" w:type="dxa"/>
            <w:vAlign w:val="bottom"/>
            <w:tcBorders>
              <w:top w:val="single" w:sz="8" w:color="CCEEFF"/>
            </w:tcBorders>
          </w:tcPr>
          <w:p>
            <w:pPr>
              <w:spacing w:after="0"/>
              <w:rPr>
                <w:sz w:val="16"/>
                <w:szCs w:val="16"/>
                <w:color w:val="auto"/>
              </w:rPr>
            </w:pPr>
          </w:p>
        </w:tc>
      </w:tr>
      <w:tr>
        <w:trPr>
          <w:trHeight w:val="26"/>
        </w:trPr>
        <w:tc>
          <w:tcPr>
            <w:tcW w:w="16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06"/>
        </w:trPr>
        <w:tc>
          <w:tcPr>
            <w:tcW w:w="6520" w:type="dxa"/>
            <w:vAlign w:val="bottom"/>
            <w:tcBorders>
              <w:right w:val="single" w:sz="8" w:color="CCEEFF"/>
            </w:tcBorders>
            <w:gridSpan w:val="17"/>
            <w:shd w:val="clear" w:color="auto" w:fill="CCEEFF"/>
          </w:tcPr>
          <w:p>
            <w:pPr>
              <w:spacing w:after="0"/>
              <w:rPr>
                <w:rFonts w:ascii="Arial" w:cs="Arial" w:eastAsia="Arial" w:hAnsi="Arial"/>
                <w:sz w:val="15"/>
                <w:szCs w:val="15"/>
                <w:color w:val="0000EE"/>
              </w:rPr>
            </w:pPr>
            <w:hyperlink w:anchor="page184">
              <w:r>
                <w:rPr>
                  <w:rFonts w:ascii="Arial" w:cs="Arial" w:eastAsia="Arial" w:hAnsi="Arial"/>
                  <w:sz w:val="15"/>
                  <w:szCs w:val="15"/>
                  <w:color w:val="0000EE"/>
                </w:rPr>
                <w:t>LEGAL MATTERS</w:t>
              </w:r>
            </w:hyperlink>
          </w:p>
        </w:tc>
        <w:tc>
          <w:tcPr>
            <w:tcW w:w="100" w:type="dxa"/>
            <w:vAlign w:val="bottom"/>
            <w:tcBorders>
              <w:right w:val="single" w:sz="8" w:color="CCEEFF"/>
            </w:tcBorders>
            <w:shd w:val="clear" w:color="auto" w:fill="CCEEFF"/>
          </w:tcPr>
          <w:p>
            <w:pPr>
              <w:jc w:val="center"/>
              <w:spacing w:after="0"/>
              <w:rPr>
                <w:rFonts w:ascii="Arial" w:cs="Arial" w:eastAsia="Arial" w:hAnsi="Arial"/>
                <w:sz w:val="10"/>
                <w:szCs w:val="10"/>
                <w:color w:val="0000EE"/>
                <w:w w:val="83"/>
              </w:rPr>
            </w:pPr>
            <w:hyperlink w:anchor="page184">
              <w:r>
                <w:rPr>
                  <w:rFonts w:ascii="Arial" w:cs="Arial" w:eastAsia="Arial" w:hAnsi="Arial"/>
                  <w:sz w:val="10"/>
                  <w:szCs w:val="10"/>
                  <w:color w:val="0000EE"/>
                  <w:w w:val="83"/>
                </w:rPr>
                <w:t>181</w:t>
              </w:r>
            </w:hyperlink>
          </w:p>
        </w:tc>
        <w:tc>
          <w:tcPr>
            <w:tcW w:w="60" w:type="dxa"/>
            <w:vAlign w:val="bottom"/>
            <w:tcBorders>
              <w:left w:val="single" w:sz="8" w:color="CCEEFF"/>
            </w:tcBorders>
            <w:shd w:val="clear" w:color="auto" w:fill="CCEEFF"/>
          </w:tcPr>
          <w:p>
            <w:pPr>
              <w:spacing w:after="0"/>
              <w:rPr>
                <w:sz w:val="17"/>
                <w:szCs w:val="17"/>
                <w:color w:val="auto"/>
              </w:rPr>
            </w:pPr>
          </w:p>
        </w:tc>
      </w:tr>
      <w:tr>
        <w:trPr>
          <w:trHeight w:val="193"/>
        </w:trPr>
        <w:tc>
          <w:tcPr>
            <w:tcW w:w="72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7"/>
              </w:rPr>
            </w:pPr>
            <w:hyperlink w:anchor="page184">
              <w:r>
                <w:rPr>
                  <w:rFonts w:ascii="Arial" w:cs="Arial" w:eastAsia="Arial" w:hAnsi="Arial"/>
                  <w:sz w:val="15"/>
                  <w:szCs w:val="15"/>
                  <w:color w:val="0000EE"/>
                  <w:w w:val="97"/>
                </w:rPr>
                <w:t>EXPERTS</w:t>
              </w:r>
            </w:hyperlink>
          </w:p>
        </w:tc>
        <w:tc>
          <w:tcPr>
            <w:tcW w:w="440" w:type="dxa"/>
            <w:vAlign w:val="bottom"/>
            <w:tcBorders>
              <w:top w:val="single" w:sz="8" w:color="0000EE"/>
            </w:tcBorders>
            <w:gridSpan w:val="2"/>
          </w:tcPr>
          <w:p>
            <w:pPr>
              <w:spacing w:after="0"/>
              <w:rPr>
                <w:sz w:val="16"/>
                <w:szCs w:val="16"/>
                <w:color w:val="auto"/>
              </w:rPr>
            </w:pPr>
          </w:p>
        </w:tc>
        <w:tc>
          <w:tcPr>
            <w:tcW w:w="5360" w:type="dxa"/>
            <w:vAlign w:val="bottom"/>
            <w:tcBorders>
              <w:top w:val="single" w:sz="8" w:color="CCEEFF"/>
            </w:tcBorders>
            <w:gridSpan w:val="13"/>
          </w:tcPr>
          <w:p>
            <w:pPr>
              <w:spacing w:after="0"/>
              <w:rPr>
                <w:sz w:val="16"/>
                <w:szCs w:val="16"/>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0"/>
                <w:szCs w:val="10"/>
                <w:color w:val="0000EE"/>
                <w:w w:val="83"/>
              </w:rPr>
            </w:pPr>
            <w:hyperlink w:anchor="page184">
              <w:r>
                <w:rPr>
                  <w:rFonts w:ascii="Arial" w:cs="Arial" w:eastAsia="Arial" w:hAnsi="Arial"/>
                  <w:sz w:val="10"/>
                  <w:szCs w:val="10"/>
                  <w:color w:val="0000EE"/>
                  <w:w w:val="83"/>
                </w:rPr>
                <w:t>181</w:t>
              </w:r>
            </w:hyperlink>
          </w:p>
        </w:tc>
        <w:tc>
          <w:tcPr>
            <w:tcW w:w="60" w:type="dxa"/>
            <w:vAlign w:val="bottom"/>
            <w:tcBorders>
              <w:top w:val="single" w:sz="8" w:color="CCEEFF"/>
            </w:tcBorders>
          </w:tcPr>
          <w:p>
            <w:pPr>
              <w:spacing w:after="0"/>
              <w:rPr>
                <w:sz w:val="16"/>
                <w:szCs w:val="16"/>
                <w:color w:val="auto"/>
              </w:rPr>
            </w:pPr>
          </w:p>
        </w:tc>
      </w:tr>
      <w:tr>
        <w:trPr>
          <w:trHeight w:val="206"/>
        </w:trPr>
        <w:tc>
          <w:tcPr>
            <w:tcW w:w="3240" w:type="dxa"/>
            <w:vAlign w:val="bottom"/>
            <w:tcBorders>
              <w:bottom w:val="single" w:sz="8" w:color="0000EE"/>
              <w:right w:val="single" w:sz="8" w:color="CCEEFF"/>
            </w:tcBorders>
            <w:gridSpan w:val="11"/>
            <w:shd w:val="clear" w:color="auto" w:fill="CCEEFF"/>
          </w:tcPr>
          <w:p>
            <w:pPr>
              <w:spacing w:after="0"/>
              <w:rPr>
                <w:rFonts w:ascii="Arial" w:cs="Arial" w:eastAsia="Arial" w:hAnsi="Arial"/>
                <w:sz w:val="15"/>
                <w:szCs w:val="15"/>
                <w:color w:val="0000EE"/>
                <w:w w:val="98"/>
              </w:rPr>
            </w:pPr>
            <w:hyperlink w:anchor="page184">
              <w:r>
                <w:rPr>
                  <w:rFonts w:ascii="Arial" w:cs="Arial" w:eastAsia="Arial" w:hAnsi="Arial"/>
                  <w:sz w:val="15"/>
                  <w:szCs w:val="15"/>
                  <w:color w:val="0000EE"/>
                  <w:w w:val="98"/>
                </w:rPr>
                <w:t>WHERE YOU CAN FIND MORE INFORMATION</w:t>
              </w:r>
            </w:hyperlink>
          </w:p>
        </w:tc>
        <w:tc>
          <w:tcPr>
            <w:tcW w:w="328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100" w:type="dxa"/>
            <w:vAlign w:val="bottom"/>
            <w:tcBorders>
              <w:bottom w:val="single" w:sz="8" w:color="0000EE"/>
              <w:right w:val="single" w:sz="8" w:color="CCEEFF"/>
            </w:tcBorders>
            <w:shd w:val="clear" w:color="auto" w:fill="CCEEFF"/>
          </w:tcPr>
          <w:p>
            <w:pPr>
              <w:jc w:val="center"/>
              <w:spacing w:after="0"/>
              <w:rPr>
                <w:rFonts w:ascii="Arial" w:cs="Arial" w:eastAsia="Arial" w:hAnsi="Arial"/>
                <w:sz w:val="10"/>
                <w:szCs w:val="10"/>
                <w:color w:val="0000EE"/>
                <w:w w:val="83"/>
              </w:rPr>
            </w:pPr>
            <w:hyperlink w:anchor="page184">
              <w:r>
                <w:rPr>
                  <w:rFonts w:ascii="Arial" w:cs="Arial" w:eastAsia="Arial" w:hAnsi="Arial"/>
                  <w:sz w:val="10"/>
                  <w:szCs w:val="10"/>
                  <w:color w:val="0000EE"/>
                  <w:w w:val="83"/>
                </w:rPr>
                <w:t>181</w:t>
              </w:r>
            </w:hyperlink>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87"/>
        </w:trPr>
        <w:tc>
          <w:tcPr>
            <w:tcW w:w="6520" w:type="dxa"/>
            <w:vAlign w:val="bottom"/>
            <w:gridSpan w:val="17"/>
          </w:tcPr>
          <w:p>
            <w:pPr>
              <w:spacing w:after="0"/>
              <w:rPr>
                <w:rFonts w:ascii="Arial" w:cs="Arial" w:eastAsia="Arial" w:hAnsi="Arial"/>
                <w:sz w:val="15"/>
                <w:szCs w:val="15"/>
                <w:color w:val="0000EE"/>
              </w:rPr>
            </w:pPr>
            <w:hyperlink w:anchor="page185">
              <w:r>
                <w:rPr>
                  <w:rFonts w:ascii="Arial" w:cs="Arial" w:eastAsia="Arial" w:hAnsi="Arial"/>
                  <w:sz w:val="15"/>
                  <w:szCs w:val="15"/>
                  <w:color w:val="0000EE"/>
                </w:rPr>
                <w:t>INDEX TO CONSOLIDATED FINANCIAL STATEMENTS</w:t>
              </w:r>
            </w:hyperlink>
          </w:p>
        </w:tc>
        <w:tc>
          <w:tcPr>
            <w:tcW w:w="160" w:type="dxa"/>
            <w:vAlign w:val="bottom"/>
            <w:gridSpan w:val="2"/>
          </w:tcPr>
          <w:p>
            <w:pPr>
              <w:spacing w:after="0"/>
              <w:rPr>
                <w:rFonts w:ascii="Arial" w:cs="Arial" w:eastAsia="Arial" w:hAnsi="Arial"/>
                <w:sz w:val="13"/>
                <w:szCs w:val="13"/>
                <w:color w:val="0000EE"/>
                <w:w w:val="71"/>
              </w:rPr>
            </w:pPr>
            <w:hyperlink w:anchor="page185">
              <w:r>
                <w:rPr>
                  <w:rFonts w:ascii="Arial" w:cs="Arial" w:eastAsia="Arial" w:hAnsi="Arial"/>
                  <w:sz w:val="13"/>
                  <w:szCs w:val="13"/>
                  <w:color w:val="0000EE"/>
                  <w:w w:val="71"/>
                </w:rPr>
                <w:t>F-1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-3152775</wp:posOffset>
            </wp:positionV>
            <wp:extent cx="42418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209550</wp:posOffset>
            </wp:positionV>
            <wp:extent cx="8928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Neither we nor the underwriters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 Class A common stock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9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BASIS OF PRESENTATION</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Except where the context otherwise requires or where otherwise indicated, the terms “Immuneering,” “we,” “us,” “our,” “our company,” “Company” and “our business” refer to Immuneering Corporation.</w:t>
      </w:r>
    </w:p>
    <w:p>
      <w:pPr>
        <w:spacing w:after="0" w:line="93"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The consolidated financial statements include the accounts of Immuneering Corporation and its subsidiary. Our financial statements have been prepared in accordance with generally accepted accounting principles in the United States, or GAAP. Our fiscal year ends on December 31 of each year. References to 2020 refer to the year ended December 31, 2020. Our most recent fiscal year ended on December 31, 2020.</w:t>
      </w:r>
    </w:p>
    <w:p>
      <w:pPr>
        <w:spacing w:after="0" w:line="89"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TRADEMARKS AND TRADENAMES</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 xml:space="preserve">Solely for convenience, trademarks, service marks and tradenames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4"/>
          <w:szCs w:val="14"/>
          <w:color w:val="auto"/>
        </w:rPr>
        <w:t>, TM or SM symbols, but such references are not intended to indicate, in any way, that we will not assert, to the fullest extent under applicable law, our rights or the right of the applicable licensor to these trademarks, service marks and tradenames. This prospectus may also contain trademarks, service marks, tradenames and copyrights of other companies, which are the property of their respective owners.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AND OTHER DATA</w:t>
      </w:r>
    </w:p>
    <w:p>
      <w:pPr>
        <w:spacing w:after="0" w:line="128"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This prospectus contains industry, market and competitive position data from our own internal estimates and research as well as industry and general publications and research surveys and studies conducted by independent third parties. Industry publications, studies and surveys generally state that they have been obtained from sources believe to be reliable. Our internal data and estimates are based upon information obtained from trade and business organizations and other contacts in the markets in which we operate and our management’s understanding of industry conditions. We believe our internal company research is reliable and the market definitions are appropriate. The industry in which we operate is subject to a high degree of uncertainty and risk due to a variety of factors, including those described in “Risk Factors”. These and other factors could cause results to differ materially from these expressed in the estimates made by the independent third parties and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SUMMARY</w:t>
      </w:r>
    </w:p>
    <w:p>
      <w:pPr>
        <w:spacing w:after="0" w:line="128" w:lineRule="exact"/>
        <w:rPr>
          <w:sz w:val="20"/>
          <w:szCs w:val="20"/>
          <w:color w:val="auto"/>
        </w:rPr>
      </w:pPr>
    </w:p>
    <w:p>
      <w:pPr>
        <w:jc w:val="both"/>
        <w:ind w:left="1180" w:right="1159"/>
        <w:spacing w:after="0" w:line="247" w:lineRule="auto"/>
        <w:rPr>
          <w:sz w:val="20"/>
          <w:szCs w:val="20"/>
          <w:color w:val="auto"/>
        </w:rPr>
      </w:pPr>
      <w:r>
        <w:rPr>
          <w:rFonts w:ascii="Arial" w:cs="Arial" w:eastAsia="Arial" w:hAnsi="Arial"/>
          <w:sz w:val="15"/>
          <w:szCs w:val="15"/>
          <w:i w:val="1"/>
          <w:iCs w:val="1"/>
          <w:color w:val="auto"/>
        </w:rPr>
        <w:t>This summary highlights selected information contained elsewhere in this prospectus. This summary does not contain all of the information that you should consider before deciding to invest in our Class A common stock. You should read the entire prospectus carefully, including “Risk Factors,”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“Cautionary Note Regarding Forward-Looking Statements.”</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jc w:val="both"/>
        <w:ind w:left="1180" w:right="1159"/>
        <w:spacing w:after="0" w:line="246" w:lineRule="auto"/>
        <w:rPr>
          <w:sz w:val="20"/>
          <w:szCs w:val="20"/>
          <w:color w:val="auto"/>
        </w:rPr>
      </w:pPr>
      <w:r>
        <w:rPr>
          <w:rFonts w:ascii="Arial" w:cs="Arial" w:eastAsia="Arial" w:hAnsi="Arial"/>
          <w:sz w:val="15"/>
          <w:szCs w:val="15"/>
          <w:color w:val="auto"/>
        </w:rPr>
        <w:t>We are a biopharmaceutical company with an emerging pipeline focused on improving patient outcomes across a spectrum of debilitating oncologic and neurologic diseases by applying our deep knowledge of translational bioinformatics to every stage of the drug development process. We have more than a decade of experience in translational bioinformatics and generating insights into drug mechanisms of action and patient treatment responses. Building on this experience, we developed a disease-agnostic platform that enables us to utilize human data, novel biology and chemistry, and translational planning to create and advance our wholly owned pipeline. Our current development programs in oncology are focused on providing treatments for patients with solid tumors caused by mutations of the MAPK pathway and other oncologic signaling pathways. Our lead product candidate, IMM-1-104, is designed to be a highly selective dual-MEK inhibitor that further disrupts KSR for the treatment of advanced solid tumors in patients harboring RAS mutant tumors. We plan to submit an IND for IMM-1-104 to the FDA in the first quarter of 2022. In addition, we anticipate filing at least two additional INDs for our other oncology programs, one in each of 2023 and 2024.</w:t>
      </w:r>
    </w:p>
    <w:p>
      <w:pPr>
        <w:spacing w:after="0" w:line="97" w:lineRule="exact"/>
        <w:rPr>
          <w:sz w:val="20"/>
          <w:szCs w:val="20"/>
          <w:color w:val="auto"/>
        </w:rPr>
      </w:pPr>
    </w:p>
    <w:p>
      <w:pPr>
        <w:jc w:val="both"/>
        <w:ind w:left="1180" w:right="1159"/>
        <w:spacing w:after="0" w:line="268" w:lineRule="auto"/>
        <w:rPr>
          <w:sz w:val="20"/>
          <w:szCs w:val="20"/>
          <w:color w:val="auto"/>
        </w:rPr>
      </w:pPr>
      <w:r>
        <w:rPr>
          <w:rFonts w:ascii="Arial" w:cs="Arial" w:eastAsia="Arial" w:hAnsi="Arial"/>
          <w:sz w:val="14"/>
          <w:szCs w:val="14"/>
          <w:color w:val="auto"/>
        </w:rPr>
        <w:t>Our platform is enabled by our ability to efficiently analyze high-throughput molecular-level biochemical assays, including transcriptomics, genomics and/or proteomics, collectively referred to as Omics data. These different types of biochemical assays each provide us with unique information about the molecular mechanisms of disease biology and drug response. Since our inception, we have partnered with industry-leading pharmaceutical and biotechnology companies to perform a variety of analyses that utilize our expertise in translational bioinformatics. Examples publicly disclosed by our partners include our analyses of ibrutinib, ipilimumab, daratumumab, glatiramer acetate and pridopidine.</w:t>
      </w:r>
    </w:p>
    <w:p>
      <w:pPr>
        <w:spacing w:after="0" w:line="93" w:lineRule="exact"/>
        <w:rPr>
          <w:sz w:val="20"/>
          <w:szCs w:val="20"/>
          <w:color w:val="auto"/>
        </w:rPr>
      </w:pPr>
    </w:p>
    <w:p>
      <w:pPr>
        <w:jc w:val="both"/>
        <w:ind w:left="1180" w:right="1159"/>
        <w:spacing w:after="0" w:line="251" w:lineRule="auto"/>
        <w:rPr>
          <w:sz w:val="20"/>
          <w:szCs w:val="20"/>
          <w:color w:val="auto"/>
        </w:rPr>
      </w:pPr>
      <w:r>
        <w:rPr>
          <w:rFonts w:ascii="Arial" w:cs="Arial" w:eastAsia="Arial" w:hAnsi="Arial"/>
          <w:sz w:val="15"/>
          <w:szCs w:val="15"/>
          <w:color w:val="auto"/>
        </w:rPr>
        <w:t>In early 2018, we began applying our proprietary platform and approach to internally develop our wholly owned pipeline of orally administered small molecule drug programs. Our approach played a critical role in determining the most important characteristics for and creation of IMM-1-104. Specifically, our platform enables us to:</w:t>
      </w:r>
    </w:p>
    <w:p>
      <w:pPr>
        <w:spacing w:after="0" w:line="91" w:lineRule="exact"/>
        <w:rPr>
          <w:sz w:val="20"/>
          <w:szCs w:val="20"/>
          <w:color w:val="auto"/>
        </w:rPr>
      </w:pPr>
    </w:p>
    <w:p>
      <w:pPr>
        <w:ind w:left="1620" w:hanging="148"/>
        <w:spacing w:after="0"/>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leverage insights from human data to identify disease transcriptional profiles we aim to counteract;</w:t>
      </w:r>
    </w:p>
    <w:p>
      <w:pPr>
        <w:spacing w:after="0" w:line="113" w:lineRule="exact"/>
        <w:rPr>
          <w:rFonts w:ascii="Arial" w:cs="Arial" w:eastAsia="Arial" w:hAnsi="Arial"/>
          <w:sz w:val="14"/>
          <w:szCs w:val="14"/>
          <w:color w:val="auto"/>
        </w:rPr>
      </w:pPr>
    </w:p>
    <w:p>
      <w:pPr>
        <w:ind w:left="1620" w:right="1179" w:hanging="148"/>
        <w:spacing w:after="0" w:line="300"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identify novel biology, specifically evaluating new ways to drug an existing target by utilizing our proprietary Disease Cancelling Technology, or DCT, and analyze mechanisms of existing drugs;</w:t>
      </w:r>
    </w:p>
    <w:p>
      <w:pPr>
        <w:spacing w:after="0" w:line="58" w:lineRule="exact"/>
        <w:rPr>
          <w:rFonts w:ascii="Arial" w:cs="Arial" w:eastAsia="Arial" w:hAnsi="Arial"/>
          <w:sz w:val="14"/>
          <w:szCs w:val="14"/>
          <w:color w:val="auto"/>
        </w:rPr>
      </w:pPr>
    </w:p>
    <w:p>
      <w:pPr>
        <w:ind w:left="1620" w:right="1179" w:hanging="148"/>
        <w:spacing w:after="0" w:line="26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generate novel chemistry that overcomes MAPK-feedback loops to achieve optimal signaling dynamics; and</w:t>
      </w:r>
    </w:p>
    <w:p>
      <w:pPr>
        <w:spacing w:after="0" w:line="70" w:lineRule="exact"/>
        <w:rPr>
          <w:rFonts w:ascii="Arial" w:cs="Arial" w:eastAsia="Arial" w:hAnsi="Arial"/>
          <w:sz w:val="15"/>
          <w:szCs w:val="15"/>
          <w:color w:val="auto"/>
        </w:rPr>
      </w:pPr>
    </w:p>
    <w:p>
      <w:pPr>
        <w:ind w:left="1620" w:right="1179" w:hanging="148"/>
        <w:spacing w:after="0" w:line="26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profile IMM-1-104 in a large number of 3D models using our own translational planning to identify the types of cancer most likely to be sensitive to the product candidate.</w:t>
      </w:r>
    </w:p>
    <w:p>
      <w:pPr>
        <w:spacing w:after="0" w:line="93" w:lineRule="exact"/>
        <w:rPr>
          <w:sz w:val="20"/>
          <w:szCs w:val="20"/>
          <w:color w:val="auto"/>
        </w:rPr>
      </w:pPr>
    </w:p>
    <w:p>
      <w:pPr>
        <w:jc w:val="both"/>
        <w:ind w:left="1180" w:right="1159"/>
        <w:spacing w:after="0" w:line="247" w:lineRule="auto"/>
        <w:rPr>
          <w:sz w:val="20"/>
          <w:szCs w:val="20"/>
          <w:color w:val="auto"/>
        </w:rPr>
      </w:pPr>
      <w:r>
        <w:rPr>
          <w:rFonts w:ascii="Arial" w:cs="Arial" w:eastAsia="Arial" w:hAnsi="Arial"/>
          <w:sz w:val="15"/>
          <w:szCs w:val="15"/>
          <w:color w:val="auto"/>
        </w:rPr>
        <w:t>Our current oncology programs target mutations of the RAS/RAF/MEK/ERK, or MAPK, and the PI3K/AKT/mTOR, or mTOR, pathways. The MAPK and mTOR signaling pathways run parallel to each other, and in over half of all cancers, one or both of these pathways are inappropriately activated (as depicted below). Existing drugs targeting these pathways are limited by toxicity, resistance and/or are narrowly focused on subpopulations with specific mutations. The MAPK and mTOR pathways function to drive cell proliferation, differentiation, survival and a variety of other cellular functions that are critical for the formation of tumors.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Fundamental Cancer Signaling Cellular Pathways: MAPK and mTOR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180" w:right="1159"/>
        <w:spacing w:after="0" w:line="249" w:lineRule="auto"/>
        <w:rPr>
          <w:sz w:val="20"/>
          <w:szCs w:val="20"/>
          <w:color w:val="auto"/>
        </w:rPr>
      </w:pPr>
      <w:r>
        <w:rPr>
          <w:rFonts w:ascii="Arial" w:cs="Arial" w:eastAsia="Arial" w:hAnsi="Arial"/>
          <w:sz w:val="14"/>
          <w:szCs w:val="14"/>
          <w:color w:val="auto"/>
        </w:rPr>
        <w:t>Each of the programs in our oncology pipeline are designed to cause cyclical disruption of abnormal activation of the MAPK and mTOR signaling pathways while limiting drug -related toxicity. Traditional drug approaches have been designed to sustain pathway inhibition, which can cause on-target drug-related toxicity and limit clinical durability as a result of drug holidays or treatment discontinuation. Based on insights derived from our translational bioinformatics platform, our differentiated approach is to design drugs with short half-lives that provide enhanced mechanistic control of the target of interest and break tumor addiction, which is the tumor’s ability to indefinitely self-replicate, metastasize and evade the host’s immune system, among others capabilities, through deep cyclic disruption of these pathways (i.e., signaling dynamics). By cyclically disrupting these core oncogenic signaling pathways in cancer cells, we believe we can create novel therapeutics that maximize therapeutic activity in broad patient populations while providing an improved tolerability profile (as depicted below). We believe we are pioneers in this unique approach of leveraging signaling dynamics against tumor addiction.</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Signaling Dynamics: Traditional Sustained Inhibition Versus Our Cyclic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Wholly Owned Pipeline</w:t>
      </w:r>
    </w:p>
    <w:p>
      <w:pPr>
        <w:spacing w:after="0" w:line="124" w:lineRule="exact"/>
        <w:rPr>
          <w:sz w:val="20"/>
          <w:szCs w:val="20"/>
          <w:color w:val="auto"/>
        </w:rPr>
      </w:pPr>
    </w:p>
    <w:p>
      <w:pPr>
        <w:jc w:val="both"/>
        <w:ind w:left="1180" w:right="1159"/>
        <w:spacing w:after="0" w:line="283" w:lineRule="auto"/>
        <w:rPr>
          <w:sz w:val="20"/>
          <w:szCs w:val="20"/>
          <w:color w:val="auto"/>
        </w:rPr>
      </w:pPr>
      <w:r>
        <w:rPr>
          <w:rFonts w:ascii="Arial" w:cs="Arial" w:eastAsia="Arial" w:hAnsi="Arial"/>
          <w:sz w:val="14"/>
          <w:szCs w:val="14"/>
          <w:color w:val="auto"/>
        </w:rPr>
        <w:t>Our oncology programs target clinically validated pathways, but we seek to improve patient outcomes across a wide range of addressable solid tumor types through our differentiated programs. In addition to our</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180" w:right="1159"/>
        <w:spacing w:after="0" w:line="254" w:lineRule="auto"/>
        <w:rPr>
          <w:sz w:val="20"/>
          <w:szCs w:val="20"/>
          <w:color w:val="auto"/>
        </w:rPr>
      </w:pPr>
      <w:r>
        <w:rPr>
          <w:rFonts w:ascii="Arial" w:cs="Arial" w:eastAsia="Arial" w:hAnsi="Arial"/>
          <w:sz w:val="15"/>
          <w:szCs w:val="15"/>
          <w:color w:val="auto"/>
        </w:rPr>
        <w:t>oncology pipeline, we are also leveraging our platform to build a neuroscience pipeline initially focusing on Alzheimer’s disease, or AD. Our current pipeline of product candidates and discovery programs is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Dual-MEK Program</w:t>
      </w:r>
    </w:p>
    <w:p>
      <w:pPr>
        <w:spacing w:after="0" w:line="124" w:lineRule="exact"/>
        <w:rPr>
          <w:sz w:val="20"/>
          <w:szCs w:val="20"/>
          <w:color w:val="auto"/>
        </w:rPr>
      </w:pPr>
    </w:p>
    <w:p>
      <w:pPr>
        <w:jc w:val="both"/>
        <w:ind w:left="1180" w:right="1159"/>
        <w:spacing w:after="0" w:line="265" w:lineRule="auto"/>
        <w:rPr>
          <w:sz w:val="20"/>
          <w:szCs w:val="20"/>
          <w:color w:val="auto"/>
        </w:rPr>
      </w:pPr>
      <w:r>
        <w:rPr>
          <w:rFonts w:ascii="Arial" w:cs="Arial" w:eastAsia="Arial" w:hAnsi="Arial"/>
          <w:sz w:val="14"/>
          <w:szCs w:val="14"/>
          <w:color w:val="auto"/>
        </w:rPr>
        <w:t>Our dual mitogen-activated protein kinase kinase, or MEK, product candidate, IMM-1-104, is designed to be a highly selective inhibitor of mitogen-activated protein kinase kinase kinase, or ERK, activation (i.e., phosphorylation), prevent MAPK pathway reactivation and have a short plasma half-life that reduces sustained pathway inhibition (as depicted below). Unlike MEK inhibitors approved by the U.S. Food and Drug Administration, or the FDA, IMM-1-104 is designed to prevent RAF-mediated activation of MEK by engagement of the RAF activation loop on MEK, such as CRAF-bypass, and further disrupt the kinase suppressor of RAS 1 and 2, or KSR. Additionally, with a short plasma half-life, IMM-1-104 can achieve deep cyclic inhibition of the MAPK pathway. We believe this innovative method of pathway inhibition normalizes cancer cell signaling dynamics and prevents further damage to normal healthy cells. Collectively, we believe these qualities differentiate IMM-1-104 from known MEK inhibitors by potentially enabling IMM-1-104 to avoid drug resistance while improving tolerability.</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Dual-MEK Inhibition Prevents Activation of MEK and Downstream Activation of ERK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91355" cy="64871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180" w:right="1159"/>
        <w:spacing w:after="0" w:line="246" w:lineRule="auto"/>
        <w:rPr>
          <w:sz w:val="20"/>
          <w:szCs w:val="20"/>
          <w:color w:val="auto"/>
        </w:rPr>
      </w:pPr>
      <w:r>
        <w:rPr>
          <w:rFonts w:ascii="Arial" w:cs="Arial" w:eastAsia="Arial" w:hAnsi="Arial"/>
          <w:sz w:val="15"/>
          <w:szCs w:val="15"/>
          <w:color w:val="auto"/>
        </w:rPr>
        <w:t>In preclinical studies, we observed that IMM-1-104 inhibited MEK and ERK across a wide range of human and murine solid tumor models, including those with activating mutations in KRAS, NRAS, HRAS and BRAF. In addition, in head-to-head preclinical studies, we evaluated IMM-1-104 in murine-based KRAS and BRAF mutant solid tumor models representing lung, colon, pancreas and skin cancer, and observed tumor stasis or regression with insignificant lower body weight loss when compared to certain current FDA-approved MEK and BRAF inhibitors. We are also currently evaluating IMM-1-104 in a murine-based NRAS melanoma tumor model. Given the data observed in these preclinical studies, we believe that IMM-1-104 has the potential to deliver clinical benefit as monotherapy and, in the future, may potentially be administered in select drug combinations for patients with RAS and/or RAF mutant solid tumors who currently have limited treatment options.</w:t>
      </w:r>
    </w:p>
    <w:p>
      <w:pPr>
        <w:spacing w:after="0" w:line="100" w:lineRule="exact"/>
        <w:rPr>
          <w:sz w:val="20"/>
          <w:szCs w:val="20"/>
          <w:color w:val="auto"/>
        </w:rPr>
      </w:pPr>
    </w:p>
    <w:p>
      <w:pPr>
        <w:jc w:val="both"/>
        <w:ind w:left="1180" w:right="1159"/>
        <w:spacing w:after="0" w:line="251" w:lineRule="auto"/>
        <w:rPr>
          <w:sz w:val="20"/>
          <w:szCs w:val="20"/>
          <w:color w:val="auto"/>
        </w:rPr>
      </w:pPr>
      <w:r>
        <w:rPr>
          <w:rFonts w:ascii="Arial" w:cs="Arial" w:eastAsia="Arial" w:hAnsi="Arial"/>
          <w:sz w:val="15"/>
          <w:szCs w:val="15"/>
          <w:color w:val="auto"/>
        </w:rPr>
        <w:t>IMM-1-104 is currently undergoing Investigational New Drug, or IND, enabling studies. We plan to submit an IND for IMM-1-104 to the FDA in the first quarter of 2022. We intend to initiate our first-in-human Phase 1 clinical trial of IMM-1-104 in the first half of 2022 for the treatment of advanced solid tumors in patients harboring RAS mutant tumors, if our IND for IMM-1-104 is accepted.</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MEK-Immuno-Oncology and Other Oncology Programs</w:t>
      </w:r>
    </w:p>
    <w:p>
      <w:pPr>
        <w:spacing w:after="0" w:line="124" w:lineRule="exact"/>
        <w:rPr>
          <w:sz w:val="20"/>
          <w:szCs w:val="20"/>
          <w:color w:val="auto"/>
        </w:rPr>
      </w:pPr>
    </w:p>
    <w:p>
      <w:pPr>
        <w:jc w:val="both"/>
        <w:ind w:left="1180" w:right="1159"/>
        <w:spacing w:after="0" w:line="267" w:lineRule="auto"/>
        <w:rPr>
          <w:sz w:val="20"/>
          <w:szCs w:val="20"/>
          <w:color w:val="auto"/>
        </w:rPr>
      </w:pPr>
      <w:r>
        <w:rPr>
          <w:rFonts w:ascii="Arial" w:cs="Arial" w:eastAsia="Arial" w:hAnsi="Arial"/>
          <w:sz w:val="14"/>
          <w:szCs w:val="14"/>
          <w:color w:val="auto"/>
        </w:rPr>
        <w:t>Our MEK-immuno-oncology, or MEK-io, program is focused on developing innovative allosteric MEK inhibitors to be administered in combination with select immune modulators (e.g., checkpoint inhibitors) for the treatment of “cold” solid tumors, which are immunologically inaccessible. Our investigational MEK-io program inhibitors are designed to target MEK in a way that disrupts the MAPK pathway at ERK and to also reduce baseline MEK activation. We are designing these inhibitors with unique pharmacokinetic, or PK, and pharmacodynamic, or PD, profiles that may enhance cycle inhibition time of MEK and ERK to optimize the patient’s immune response and promote maximal antitumor responses when administered in combination with select immune modulators.</w:t>
      </w:r>
    </w:p>
    <w:p>
      <w:pPr>
        <w:spacing w:after="0" w:line="94" w:lineRule="exact"/>
        <w:rPr>
          <w:sz w:val="20"/>
          <w:szCs w:val="20"/>
          <w:color w:val="auto"/>
        </w:rPr>
      </w:pPr>
    </w:p>
    <w:p>
      <w:pPr>
        <w:jc w:val="both"/>
        <w:ind w:left="1180" w:right="1159"/>
        <w:spacing w:after="0" w:line="247" w:lineRule="auto"/>
        <w:rPr>
          <w:sz w:val="20"/>
          <w:szCs w:val="20"/>
          <w:color w:val="auto"/>
        </w:rPr>
      </w:pPr>
      <w:r>
        <w:rPr>
          <w:rFonts w:ascii="Arial" w:cs="Arial" w:eastAsia="Arial" w:hAnsi="Arial"/>
          <w:sz w:val="15"/>
          <w:szCs w:val="15"/>
          <w:color w:val="auto"/>
        </w:rPr>
        <w:t xml:space="preserve">We observed an initial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for our MEK-io program in a widely utilized syngeneic murine model. We evaluated one of our investigational MEK-io program inhibitors monotherapy and in combination with a checkpoint inhibitor as compared to vehicle to observe tumor growth inhibition in tumor-bearing BALB/C mice. Neither treatment alone altered tumor growth as compared to vehicle. However, when we administered our investigational MEK-io program inhibitor in combination with the checkpoint inhibitor, we observed greater than 50% tumor growth inhibition after two weeks of dosing as compared to vehicle treated mice.</w:t>
      </w:r>
    </w:p>
    <w:p>
      <w:pPr>
        <w:spacing w:after="0" w:line="98" w:lineRule="exact"/>
        <w:rPr>
          <w:sz w:val="20"/>
          <w:szCs w:val="20"/>
          <w:color w:val="auto"/>
        </w:rPr>
      </w:pPr>
    </w:p>
    <w:p>
      <w:pPr>
        <w:jc w:val="both"/>
        <w:ind w:left="1180" w:right="1179"/>
        <w:spacing w:after="0" w:line="249" w:lineRule="auto"/>
        <w:rPr>
          <w:sz w:val="20"/>
          <w:szCs w:val="20"/>
          <w:color w:val="auto"/>
        </w:rPr>
      </w:pPr>
      <w:r>
        <w:rPr>
          <w:rFonts w:ascii="Arial" w:cs="Arial" w:eastAsia="Arial" w:hAnsi="Arial"/>
          <w:sz w:val="15"/>
          <w:szCs w:val="15"/>
          <w:color w:val="auto"/>
        </w:rPr>
        <w:t>Our MEK-io program is currently in the lead optimization stage of development and we are screening multiple advanced drug analogues for optimal PK and PD profiles that maximally modulate tumor growth inhibition through cyclic inhibition of MEK and ERK. Top candidates will be further evaluated in vivo for optimal drug-like properties that demonstrate synergistic tumor growth inhibition when combined with select immune modulators in preclinical cold solid tumor models.</w:t>
      </w:r>
    </w:p>
    <w:p>
      <w:pPr>
        <w:spacing w:after="0" w:line="105" w:lineRule="exact"/>
        <w:rPr>
          <w:sz w:val="20"/>
          <w:szCs w:val="20"/>
          <w:color w:val="auto"/>
        </w:rPr>
      </w:pPr>
    </w:p>
    <w:p>
      <w:pPr>
        <w:jc w:val="both"/>
        <w:ind w:left="1180" w:right="1159"/>
        <w:spacing w:after="0" w:line="254" w:lineRule="auto"/>
        <w:rPr>
          <w:sz w:val="20"/>
          <w:szCs w:val="20"/>
          <w:color w:val="auto"/>
        </w:rPr>
      </w:pPr>
      <w:r>
        <w:rPr>
          <w:rFonts w:ascii="Arial" w:cs="Arial" w:eastAsia="Arial" w:hAnsi="Arial"/>
          <w:sz w:val="15"/>
          <w:szCs w:val="15"/>
          <w:color w:val="auto"/>
        </w:rPr>
        <w:t>We are leveraging our platform to continue expanding our oncology pipeline by targeting the MAPK and mTOR pathways in novel ways. We have five additional programs in various stages of drug discovery focused on targeting these pathways through novel pharmacological approaches.</w:t>
      </w:r>
    </w:p>
    <w:p>
      <w:pPr>
        <w:spacing w:after="0" w:line="101" w:lineRule="exact"/>
        <w:rPr>
          <w:sz w:val="20"/>
          <w:szCs w:val="20"/>
          <w:color w:val="auto"/>
        </w:rPr>
      </w:pPr>
    </w:p>
    <w:p>
      <w:pPr>
        <w:jc w:val="both"/>
        <w:ind w:left="1180" w:right="1179"/>
        <w:spacing w:after="0" w:line="264" w:lineRule="auto"/>
        <w:rPr>
          <w:sz w:val="20"/>
          <w:szCs w:val="20"/>
          <w:color w:val="auto"/>
        </w:rPr>
      </w:pPr>
      <w:r>
        <w:rPr>
          <w:rFonts w:ascii="Arial" w:cs="Arial" w:eastAsia="Arial" w:hAnsi="Arial"/>
          <w:sz w:val="15"/>
          <w:szCs w:val="15"/>
          <w:color w:val="auto"/>
        </w:rPr>
        <w:t>In addition to the expected IND filing of IMM-1-104, we anticipate filing at least two additional INDs for our other oncology programs, one in each of 2023 and 2024.</w:t>
      </w:r>
    </w:p>
    <w:p>
      <w:pPr>
        <w:spacing w:after="0" w:line="14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Neuroscience Programs</w:t>
      </w:r>
    </w:p>
    <w:p>
      <w:pPr>
        <w:spacing w:after="0" w:line="113" w:lineRule="exact"/>
        <w:rPr>
          <w:sz w:val="20"/>
          <w:szCs w:val="20"/>
          <w:color w:val="auto"/>
        </w:rPr>
      </w:pPr>
    </w:p>
    <w:p>
      <w:pPr>
        <w:jc w:val="both"/>
        <w:ind w:left="1180" w:right="1159"/>
        <w:spacing w:after="0" w:line="247" w:lineRule="auto"/>
        <w:rPr>
          <w:sz w:val="20"/>
          <w:szCs w:val="20"/>
          <w:color w:val="auto"/>
        </w:rPr>
      </w:pPr>
      <w:r>
        <w:rPr>
          <w:rFonts w:ascii="Arial" w:cs="Arial" w:eastAsia="Arial" w:hAnsi="Arial"/>
          <w:sz w:val="15"/>
          <w:szCs w:val="15"/>
          <w:color w:val="auto"/>
        </w:rPr>
        <w:t>AD is the most common form of dementia and one in three adults over the age of 65 succumb to AD-related dementia or another form of dementia. We believe there are specific subgroups of AD that can be stratified through gene expression and brain pathology. To identify AD subgroups, we have leveraged our platform to employ a patient-centric, data-driven approach. AD is a neurodegenerative disorder of uncertain cause and pathogenesis characterized by memory impairment and further cognitive decline that can ultimately affect the patient’s behavior, speech, visuospatial orientation and motor system. AD is a complex multifactorial disease driven by genetic and environmental causes that affects older adults and is one of the leading sources of</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180" w:right="1159"/>
        <w:spacing w:after="0" w:line="239" w:lineRule="auto"/>
        <w:rPr>
          <w:sz w:val="20"/>
          <w:szCs w:val="20"/>
          <w:color w:val="auto"/>
        </w:rPr>
      </w:pPr>
      <w:r>
        <w:rPr>
          <w:rFonts w:ascii="Arial" w:cs="Arial" w:eastAsia="Arial" w:hAnsi="Arial"/>
          <w:sz w:val="15"/>
          <w:szCs w:val="15"/>
          <w:color w:val="auto"/>
        </w:rPr>
        <w:t>morbidity and mortality in the aging population. The estimated total healthcare costs for the treatment of AD was approximately $305 billion in 2020, with the cost expected to increase to more than $1 trillion by 2050.</w:t>
      </w:r>
    </w:p>
    <w:p>
      <w:pPr>
        <w:spacing w:after="0" w:line="89" w:lineRule="exact"/>
        <w:rPr>
          <w:sz w:val="20"/>
          <w:szCs w:val="20"/>
          <w:color w:val="auto"/>
        </w:rPr>
      </w:pPr>
    </w:p>
    <w:p>
      <w:pPr>
        <w:jc w:val="both"/>
        <w:ind w:left="1180" w:right="1159"/>
        <w:spacing w:after="0" w:line="234" w:lineRule="auto"/>
        <w:rPr>
          <w:sz w:val="20"/>
          <w:szCs w:val="20"/>
          <w:color w:val="auto"/>
        </w:rPr>
      </w:pPr>
      <w:r>
        <w:rPr>
          <w:rFonts w:ascii="Arial" w:cs="Arial" w:eastAsia="Arial" w:hAnsi="Arial"/>
          <w:sz w:val="15"/>
          <w:szCs w:val="15"/>
          <w:color w:val="auto"/>
        </w:rPr>
        <w:t>Our neuroscience programs are in the early stages of drug discovery, and we are evaluating undisclosed targets to pursue a unique approach to treating AD. Our focus is to slow the progression of AD by developing targeted therapies for distinct biological mechanisms that we have identified in specific AD subgroups. Our platform and expertise in neurology and neuroscience have allowed us to determine biological differences in AD patients to help develop novel product candidates that may potentially address the significant unmet needs of this underserved patient population.</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Team</w:t>
      </w:r>
    </w:p>
    <w:p>
      <w:pPr>
        <w:spacing w:after="0" w:line="128" w:lineRule="exact"/>
        <w:rPr>
          <w:sz w:val="20"/>
          <w:szCs w:val="20"/>
          <w:color w:val="auto"/>
        </w:rPr>
      </w:pPr>
    </w:p>
    <w:p>
      <w:pPr>
        <w:jc w:val="both"/>
        <w:ind w:left="1180" w:right="1159"/>
        <w:spacing w:after="0" w:line="250" w:lineRule="auto"/>
        <w:rPr>
          <w:sz w:val="20"/>
          <w:szCs w:val="20"/>
          <w:color w:val="auto"/>
        </w:rPr>
      </w:pPr>
      <w:r>
        <w:rPr>
          <w:rFonts w:ascii="Arial" w:cs="Arial" w:eastAsia="Arial" w:hAnsi="Arial"/>
          <w:sz w:val="14"/>
          <w:szCs w:val="14"/>
          <w:color w:val="auto"/>
        </w:rPr>
        <w:t>We were founded in 2008 by our Chief Executive Officer, Benjamin J. Zeskind, Ph.D., and a member of our board of directors, Robert J. Carpenter, with the goal of leveraging translational bioinformatics to generate insights into the mechanisms that cause certain patients to respond to specific medicines across multiple therapeutic areas. Our multi-disciplinary team brings together experts across translational bioinformatics, preclinical and clinical development in both oncology and neuroscience and includes individuals with extensive experience at some of the leading pharmaceutical companies, including Johnson &amp; Johnson, AstraZeneca and Incyte. We are currently supported by a high-quality group of investors, including entities affiliated with Cormorant Asset Management, Surveyor Capital (a Citadel company), Rock Springs Capital and entities advised or sub-advised by T. Rowe Price Associates, Inc.</w:t>
      </w:r>
    </w:p>
    <w:p>
      <w:pPr>
        <w:spacing w:after="0" w:line="14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History</w:t>
      </w:r>
    </w:p>
    <w:p>
      <w:pPr>
        <w:spacing w:after="0" w:line="128" w:lineRule="exact"/>
        <w:rPr>
          <w:sz w:val="20"/>
          <w:szCs w:val="20"/>
          <w:color w:val="auto"/>
        </w:rPr>
      </w:pPr>
    </w:p>
    <w:p>
      <w:pPr>
        <w:jc w:val="both"/>
        <w:ind w:left="1180" w:right="1159"/>
        <w:spacing w:after="0" w:line="249" w:lineRule="auto"/>
        <w:rPr>
          <w:sz w:val="20"/>
          <w:szCs w:val="20"/>
          <w:color w:val="auto"/>
        </w:rPr>
      </w:pPr>
      <w:r>
        <w:rPr>
          <w:rFonts w:ascii="Arial" w:cs="Arial" w:eastAsia="Arial" w:hAnsi="Arial"/>
          <w:sz w:val="14"/>
          <w:szCs w:val="14"/>
          <w:color w:val="auto"/>
        </w:rPr>
        <w:t>Our company is built on more than a decade of experience in translational bioinformatics. Since our founding in 2008, we have utilized this experience to generate insights into the mechanisms that cause certain patients to respond to specific medicines across therapeutic areas by analyzing Omics data. Our computational biology services business has helped us to better understand how translational bioinformatics can contribute to each stage of drug development, from early drug discovery to clinical development and through commercialization. However, we recognized the limitations of applying translational bioinformatics in isolation to specific stages of the drug development process and realized that bioinformatics could be even more helpful if applied continuously throughout the drug development process. Over time, we have developed a proprietary technology platform to facilitate that process and, in early 2018, we began applying the extensive insights from and capabilities of our platform and approach to create a wholly owned pipeline of drug programs, initially focusing on oncology.</w:t>
      </w:r>
    </w:p>
    <w:p>
      <w:pPr>
        <w:spacing w:after="0" w:line="147"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Strategy</w:t>
      </w:r>
    </w:p>
    <w:p>
      <w:pPr>
        <w:spacing w:after="0" w:line="117" w:lineRule="exact"/>
        <w:rPr>
          <w:sz w:val="20"/>
          <w:szCs w:val="20"/>
          <w:color w:val="auto"/>
        </w:rPr>
      </w:pPr>
    </w:p>
    <w:p>
      <w:pPr>
        <w:jc w:val="both"/>
        <w:ind w:left="1180" w:right="1159"/>
        <w:spacing w:after="0" w:line="253" w:lineRule="auto"/>
        <w:rPr>
          <w:sz w:val="20"/>
          <w:szCs w:val="20"/>
          <w:color w:val="auto"/>
        </w:rPr>
      </w:pPr>
      <w:r>
        <w:rPr>
          <w:rFonts w:ascii="Arial" w:cs="Arial" w:eastAsia="Arial" w:hAnsi="Arial"/>
          <w:sz w:val="14"/>
          <w:szCs w:val="14"/>
          <w:color w:val="auto"/>
        </w:rPr>
        <w:t>Our mission is to develop novel therapies by utilizing our disease-agnostic platform to address areas of high unmet medical need, initially in cancer and neurologic diseases. Our platform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suboptimal treatment options. To achieve our mission, we are executing a near-term strategy with the following key elements:</w:t>
      </w:r>
    </w:p>
    <w:p>
      <w:pPr>
        <w:spacing w:after="0" w:line="54" w:lineRule="exact"/>
        <w:rPr>
          <w:sz w:val="20"/>
          <w:szCs w:val="20"/>
          <w:color w:val="auto"/>
        </w:rPr>
      </w:pPr>
    </w:p>
    <w:p>
      <w:pPr>
        <w:ind w:left="1620" w:hanging="148"/>
        <w:spacing w:after="0"/>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Advance IMM-1-104 into Clinical Development</w:t>
      </w:r>
      <w:r>
        <w:rPr>
          <w:rFonts w:ascii="Arial" w:cs="Arial" w:eastAsia="Arial" w:hAnsi="Arial"/>
          <w:sz w:val="15"/>
          <w:szCs w:val="15"/>
          <w:b w:val="1"/>
          <w:bCs w:val="1"/>
          <w:color w:val="auto"/>
        </w:rPr>
        <w:t>.</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Progress Our Pipeline of Additional MAPK and mTOR Pathway Programs to IND-Enabling Studies</w:t>
      </w:r>
      <w:r>
        <w:rPr>
          <w:rFonts w:ascii="Arial" w:cs="Arial" w:eastAsia="Arial" w:hAnsi="Arial"/>
          <w:sz w:val="13"/>
          <w:szCs w:val="13"/>
          <w:b w:val="1"/>
          <w:bCs w:val="1"/>
          <w:color w:val="auto"/>
        </w:rPr>
        <w:t>.</w:t>
      </w:r>
    </w:p>
    <w:p>
      <w:pPr>
        <w:spacing w:after="0" w:line="118" w:lineRule="exact"/>
        <w:rPr>
          <w:rFonts w:ascii="Arial" w:cs="Arial" w:eastAsia="Arial" w:hAnsi="Arial"/>
          <w:sz w:val="13"/>
          <w:szCs w:val="13"/>
          <w:color w:val="auto"/>
        </w:rPr>
      </w:pPr>
    </w:p>
    <w:p>
      <w:pPr>
        <w:ind w:left="1620" w:hanging="148"/>
        <w:spacing w:after="0"/>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Utilize Our Platform to Advance Our Neuroscience Programs.</w:t>
      </w:r>
    </w:p>
    <w:p>
      <w:pPr>
        <w:spacing w:after="0" w:line="76" w:lineRule="exact"/>
        <w:rPr>
          <w:rFonts w:ascii="Arial" w:cs="Arial" w:eastAsia="Arial" w:hAnsi="Arial"/>
          <w:sz w:val="15"/>
          <w:szCs w:val="15"/>
          <w:color w:val="auto"/>
        </w:rPr>
      </w:pPr>
    </w:p>
    <w:p>
      <w:pPr>
        <w:ind w:left="1620" w:hanging="148"/>
        <w:spacing w:after="0"/>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Continue to Grow and Advance Our Platform</w:t>
      </w:r>
      <w:r>
        <w:rPr>
          <w:rFonts w:ascii="Arial" w:cs="Arial" w:eastAsia="Arial" w:hAnsi="Arial"/>
          <w:sz w:val="15"/>
          <w:szCs w:val="15"/>
          <w:b w:val="1"/>
          <w:bCs w:val="1"/>
          <w:color w:val="auto"/>
        </w:rPr>
        <w: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Risk Factors</w:t>
      </w:r>
    </w:p>
    <w:p>
      <w:pPr>
        <w:spacing w:after="0" w:line="128" w:lineRule="exact"/>
        <w:rPr>
          <w:sz w:val="20"/>
          <w:szCs w:val="20"/>
          <w:color w:val="auto"/>
        </w:rPr>
      </w:pPr>
    </w:p>
    <w:p>
      <w:pPr>
        <w:jc w:val="both"/>
        <w:ind w:left="1180" w:right="1159"/>
        <w:spacing w:after="0" w:line="235" w:lineRule="auto"/>
        <w:rPr>
          <w:sz w:val="20"/>
          <w:szCs w:val="20"/>
          <w:color w:val="auto"/>
        </w:rPr>
      </w:pPr>
      <w:r>
        <w:rPr>
          <w:rFonts w:ascii="Arial" w:cs="Arial" w:eastAsia="Arial" w:hAnsi="Arial"/>
          <w:sz w:val="15"/>
          <w:szCs w:val="15"/>
          <w:color w:val="auto"/>
        </w:rPr>
        <w:t>Investing in our Class A common stock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include the following:</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07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91355" cy="650748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620" w:right="115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 limited operating history, have not completed any clinical trials and have no products approved for commercial sale, which may make it difficult for you to evaluate our current business and predict our future success and viability.</w:t>
      </w:r>
    </w:p>
    <w:p>
      <w:pPr>
        <w:spacing w:after="0" w:line="67" w:lineRule="exact"/>
        <w:rPr>
          <w:rFonts w:ascii="Arial" w:cs="Arial" w:eastAsia="Arial" w:hAnsi="Arial"/>
          <w:sz w:val="15"/>
          <w:szCs w:val="15"/>
          <w:color w:val="auto"/>
        </w:rPr>
      </w:pPr>
    </w:p>
    <w:p>
      <w:pPr>
        <w:ind w:left="1620" w:right="1159" w:hanging="148"/>
        <w:spacing w:after="0" w:line="26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incurred significant net losses for the past several years and we expect to continue to incur significant net losses for the foreseeable future and may never maintain profitability.</w:t>
      </w:r>
    </w:p>
    <w:p>
      <w:pPr>
        <w:spacing w:after="0" w:line="49" w:lineRule="exact"/>
        <w:rPr>
          <w:rFonts w:ascii="Arial" w:cs="Arial" w:eastAsia="Arial" w:hAnsi="Arial"/>
          <w:sz w:val="15"/>
          <w:szCs w:val="15"/>
          <w:color w:val="auto"/>
        </w:rPr>
      </w:pPr>
    </w:p>
    <w:p>
      <w:pPr>
        <w:jc w:val="both"/>
        <w:ind w:left="1620" w:right="1159" w:hanging="148"/>
        <w:spacing w:after="0" w:line="251"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9" w:lineRule="exact"/>
        <w:rPr>
          <w:rFonts w:ascii="Arial" w:cs="Arial" w:eastAsia="Arial" w:hAnsi="Arial"/>
          <w:sz w:val="15"/>
          <w:szCs w:val="15"/>
          <w:color w:val="auto"/>
        </w:rPr>
      </w:pPr>
    </w:p>
    <w:p>
      <w:pPr>
        <w:jc w:val="both"/>
        <w:ind w:left="1620" w:right="1159" w:hanging="148"/>
        <w:spacing w:after="0" w:line="271" w:lineRule="auto"/>
        <w:tabs>
          <w:tab w:leader="none" w:pos="16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57" w:lineRule="exact"/>
        <w:rPr>
          <w:rFonts w:ascii="Arial" w:cs="Arial" w:eastAsia="Arial" w:hAnsi="Arial"/>
          <w:sz w:val="14"/>
          <w:szCs w:val="14"/>
          <w:color w:val="auto"/>
        </w:rPr>
      </w:pPr>
    </w:p>
    <w:p>
      <w:pPr>
        <w:ind w:left="1620" w:right="1179" w:hanging="148"/>
        <w:spacing w:after="0" w:line="26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may encounter substantial delays in completing, or ultimately be unable to complete, the development and commercialization of our product candidates.</w:t>
      </w:r>
    </w:p>
    <w:p>
      <w:pPr>
        <w:spacing w:after="0" w:line="49" w:lineRule="exact"/>
        <w:rPr>
          <w:rFonts w:ascii="Arial" w:cs="Arial" w:eastAsia="Arial" w:hAnsi="Arial"/>
          <w:sz w:val="15"/>
          <w:szCs w:val="15"/>
          <w:color w:val="auto"/>
        </w:rPr>
      </w:pPr>
    </w:p>
    <w:p>
      <w:pPr>
        <w:jc w:val="both"/>
        <w:ind w:left="1620" w:right="117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67" w:lineRule="exact"/>
        <w:rPr>
          <w:rFonts w:ascii="Arial" w:cs="Arial" w:eastAsia="Arial" w:hAnsi="Arial"/>
          <w:sz w:val="15"/>
          <w:szCs w:val="15"/>
          <w:color w:val="auto"/>
        </w:rPr>
      </w:pPr>
    </w:p>
    <w:p>
      <w:pPr>
        <w:jc w:val="both"/>
        <w:ind w:left="1620" w:right="1179" w:hanging="148"/>
        <w:spacing w:after="0" w:line="274" w:lineRule="auto"/>
        <w:tabs>
          <w:tab w:leader="none" w:pos="16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5" w:lineRule="exact"/>
        <w:rPr>
          <w:rFonts w:ascii="Arial" w:cs="Arial" w:eastAsia="Arial" w:hAnsi="Arial"/>
          <w:sz w:val="14"/>
          <w:szCs w:val="14"/>
          <w:color w:val="auto"/>
        </w:rPr>
      </w:pPr>
    </w:p>
    <w:p>
      <w:pPr>
        <w:jc w:val="both"/>
        <w:ind w:left="1620" w:right="1159" w:hanging="148"/>
        <w:spacing w:after="0" w:line="271" w:lineRule="auto"/>
        <w:tabs>
          <w:tab w:leader="none" w:pos="16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57" w:lineRule="exact"/>
        <w:rPr>
          <w:rFonts w:ascii="Arial" w:cs="Arial" w:eastAsia="Arial" w:hAnsi="Arial"/>
          <w:sz w:val="14"/>
          <w:szCs w:val="14"/>
          <w:color w:val="auto"/>
        </w:rPr>
      </w:pPr>
    </w:p>
    <w:p>
      <w:pPr>
        <w:jc w:val="both"/>
        <w:ind w:left="1620" w:right="115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67" w:lineRule="exact"/>
        <w:rPr>
          <w:rFonts w:ascii="Arial" w:cs="Arial" w:eastAsia="Arial" w:hAnsi="Arial"/>
          <w:sz w:val="15"/>
          <w:szCs w:val="15"/>
          <w:color w:val="auto"/>
        </w:rPr>
      </w:pPr>
    </w:p>
    <w:p>
      <w:pPr>
        <w:jc w:val="both"/>
        <w:ind w:left="1620" w:right="115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long-term prospects depend in part upon discovering, developing and commercializing product candidates, which may fail in development or suffer delays that adversely affect their commercial viability.</w:t>
      </w:r>
    </w:p>
    <w:p>
      <w:pPr>
        <w:spacing w:after="0" w:line="67" w:lineRule="exact"/>
        <w:rPr>
          <w:rFonts w:ascii="Arial" w:cs="Arial" w:eastAsia="Arial" w:hAnsi="Arial"/>
          <w:sz w:val="15"/>
          <w:szCs w:val="15"/>
          <w:color w:val="auto"/>
        </w:rPr>
      </w:pPr>
    </w:p>
    <w:p>
      <w:pPr>
        <w:jc w:val="both"/>
        <w:ind w:left="1620" w:right="115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56" w:lineRule="exact"/>
        <w:rPr>
          <w:rFonts w:ascii="Arial" w:cs="Arial" w:eastAsia="Arial" w:hAnsi="Arial"/>
          <w:sz w:val="15"/>
          <w:szCs w:val="15"/>
          <w:color w:val="auto"/>
        </w:rPr>
      </w:pPr>
    </w:p>
    <w:p>
      <w:pPr>
        <w:jc w:val="both"/>
        <w:ind w:left="1620" w:right="117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never commercialized a product candidate before and may lack the necessary expertise, personnel and resources to successfully commercialize any products on our own or together with suitable collaborators.</w:t>
      </w:r>
    </w:p>
    <w:p>
      <w:pPr>
        <w:spacing w:after="0" w:line="67" w:lineRule="exact"/>
        <w:rPr>
          <w:rFonts w:ascii="Arial" w:cs="Arial" w:eastAsia="Arial" w:hAnsi="Arial"/>
          <w:sz w:val="15"/>
          <w:szCs w:val="15"/>
          <w:color w:val="auto"/>
        </w:rPr>
      </w:pPr>
    </w:p>
    <w:p>
      <w:pPr>
        <w:jc w:val="both"/>
        <w:ind w:left="1620" w:right="115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67" w:lineRule="exact"/>
        <w:rPr>
          <w:rFonts w:ascii="Arial" w:cs="Arial" w:eastAsia="Arial" w:hAnsi="Arial"/>
          <w:sz w:val="15"/>
          <w:szCs w:val="15"/>
          <w:color w:val="auto"/>
        </w:rPr>
      </w:pPr>
    </w:p>
    <w:p>
      <w:pPr>
        <w:ind w:left="1620" w:right="1179" w:hanging="148"/>
        <w:spacing w:after="0" w:line="300" w:lineRule="auto"/>
        <w:tabs>
          <w:tab w:leader="none" w:pos="16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COVID-19 pandemic and potential future pandemics could continue to adversely impact our business, including our anticipated clinical trials, supply chain and business development activities.</w:t>
      </w:r>
    </w:p>
    <w:p>
      <w:pPr>
        <w:spacing w:after="0" w:line="36" w:lineRule="exact"/>
        <w:rPr>
          <w:rFonts w:ascii="Arial" w:cs="Arial" w:eastAsia="Arial" w:hAnsi="Arial"/>
          <w:sz w:val="14"/>
          <w:szCs w:val="14"/>
          <w:color w:val="auto"/>
        </w:rPr>
      </w:pPr>
    </w:p>
    <w:p>
      <w:pPr>
        <w:jc w:val="both"/>
        <w:ind w:left="1620" w:right="1159" w:hanging="148"/>
        <w:spacing w:after="0" w:line="274" w:lineRule="auto"/>
        <w:tabs>
          <w:tab w:leader="none" w:pos="16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substantially rely, and expect to continue to rely, on third parties, including independent clinical investigators and contract research organizations, or CROs, to conduct certain aspects of our preclinical studies, and in the future, our clinical trials. If these third parties do not successfully carry out their contractual duties, comply with applicable regulatory requirements or meet expected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159"/>
        <w:spacing w:after="0" w:line="248" w:lineRule="auto"/>
        <w:rPr>
          <w:sz w:val="20"/>
          <w:szCs w:val="20"/>
          <w:color w:val="auto"/>
        </w:rPr>
      </w:pPr>
      <w:r>
        <w:rPr>
          <w:rFonts w:ascii="Arial" w:cs="Arial" w:eastAsia="Arial" w:hAnsi="Arial"/>
          <w:sz w:val="15"/>
          <w:szCs w:val="15"/>
          <w:color w:val="auto"/>
        </w:rPr>
        <w:t>deadlines, we may not be able to obtain regulatory approval for or commercialize our product candidates and our business could be substantially harmed.</w:t>
      </w:r>
    </w:p>
    <w:p>
      <w:pPr>
        <w:spacing w:after="0" w:line="61" w:lineRule="exact"/>
        <w:rPr>
          <w:sz w:val="20"/>
          <w:szCs w:val="20"/>
          <w:color w:val="auto"/>
        </w:rPr>
      </w:pPr>
    </w:p>
    <w:p>
      <w:pPr>
        <w:jc w:val="both"/>
        <w:ind w:left="1620" w:right="1159" w:hanging="148"/>
        <w:spacing w:after="0" w:line="271" w:lineRule="auto"/>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contract with third parties for the manufacture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46" w:lineRule="exact"/>
        <w:rPr>
          <w:rFonts w:ascii="Arial" w:cs="Arial" w:eastAsia="Arial" w:hAnsi="Arial"/>
          <w:sz w:val="14"/>
          <w:szCs w:val="14"/>
          <w:color w:val="auto"/>
        </w:rPr>
      </w:pPr>
    </w:p>
    <w:p>
      <w:pPr>
        <w:jc w:val="both"/>
        <w:ind w:left="1620" w:right="1159" w:hanging="148"/>
        <w:spacing w:after="0" w:line="251"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69" w:lineRule="exact"/>
        <w:rPr>
          <w:rFonts w:ascii="Arial" w:cs="Arial" w:eastAsia="Arial" w:hAnsi="Arial"/>
          <w:sz w:val="15"/>
          <w:szCs w:val="15"/>
          <w:color w:val="auto"/>
        </w:rPr>
      </w:pPr>
    </w:p>
    <w:p>
      <w:pPr>
        <w:jc w:val="both"/>
        <w:ind w:left="1620" w:right="1159" w:hanging="148"/>
        <w:spacing w:after="0" w:line="271" w:lineRule="auto"/>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Corporate Information</w:t>
      </w:r>
    </w:p>
    <w:p>
      <w:pPr>
        <w:spacing w:after="0" w:line="128" w:lineRule="exact"/>
        <w:rPr>
          <w:sz w:val="20"/>
          <w:szCs w:val="20"/>
          <w:color w:val="auto"/>
        </w:rPr>
      </w:pPr>
    </w:p>
    <w:p>
      <w:pPr>
        <w:jc w:val="both"/>
        <w:ind w:left="1180" w:right="1159"/>
        <w:spacing w:after="0" w:line="236" w:lineRule="auto"/>
        <w:rPr>
          <w:sz w:val="20"/>
          <w:szCs w:val="20"/>
          <w:color w:val="auto"/>
        </w:rPr>
      </w:pPr>
      <w:r>
        <w:rPr>
          <w:rFonts w:ascii="Arial" w:cs="Arial" w:eastAsia="Arial" w:hAnsi="Arial"/>
          <w:sz w:val="15"/>
          <w:szCs w:val="15"/>
          <w:color w:val="auto"/>
        </w:rPr>
        <w:t xml:space="preserve">Our corporate headquarters are located at 245 Main Street, Second Floor, Cambridge, Massachusetts 02142. Our telephone number is (617) 500 -8080. Our principal website address is </w:t>
      </w:r>
      <w:r>
        <w:rPr>
          <w:rFonts w:ascii="Arial" w:cs="Arial" w:eastAsia="Arial" w:hAnsi="Arial"/>
          <w:sz w:val="15"/>
          <w:szCs w:val="15"/>
          <w:i w:val="1"/>
          <w:iCs w:val="1"/>
          <w:color w:val="auto"/>
        </w:rPr>
        <w:t>www.immuneering.com</w:t>
      </w:r>
      <w:r>
        <w:rPr>
          <w:rFonts w:ascii="Arial" w:cs="Arial" w:eastAsia="Arial" w:hAnsi="Arial"/>
          <w:sz w:val="15"/>
          <w:szCs w:val="15"/>
          <w:color w:val="auto"/>
        </w:rPr>
        <w:t>. The information on or accessed through our website is not incorporated in this prospectus or the registration statement of which this prospectus forms a part.</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Implications of Being an Emerging Growth Company and a Smaller Reporting Company</w:t>
      </w:r>
    </w:p>
    <w:p>
      <w:pPr>
        <w:spacing w:after="0" w:line="117" w:lineRule="exact"/>
        <w:rPr>
          <w:sz w:val="20"/>
          <w:szCs w:val="20"/>
          <w:color w:val="auto"/>
        </w:rPr>
      </w:pPr>
    </w:p>
    <w:p>
      <w:pPr>
        <w:jc w:val="both"/>
        <w:ind w:left="1180" w:right="1159"/>
        <w:spacing w:after="0" w:line="236"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as amended, or JOBS Act. As an “emerging growth company” we may take advantage of reduced reporting requirements that are otherwise applicable to public companies. These provisions include, but are not limited to:</w:t>
      </w:r>
    </w:p>
    <w:p>
      <w:pPr>
        <w:spacing w:after="0" w:line="69" w:lineRule="exact"/>
        <w:rPr>
          <w:sz w:val="20"/>
          <w:szCs w:val="20"/>
          <w:color w:val="auto"/>
        </w:rPr>
      </w:pPr>
    </w:p>
    <w:p>
      <w:pPr>
        <w:jc w:val="both"/>
        <w:ind w:left="1620" w:right="1159" w:hanging="148"/>
        <w:spacing w:after="0" w:line="25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option to present only two years of audited financial statements and only two years of related “Management’s Discussion and Analysis of Financial Condition and Results of Operations” in this prospectus;</w:t>
      </w:r>
    </w:p>
    <w:p>
      <w:pPr>
        <w:spacing w:after="0" w:line="67" w:lineRule="exact"/>
        <w:rPr>
          <w:rFonts w:ascii="Arial" w:cs="Arial" w:eastAsia="Arial" w:hAnsi="Arial"/>
          <w:sz w:val="15"/>
          <w:szCs w:val="15"/>
          <w:color w:val="auto"/>
        </w:rPr>
      </w:pPr>
    </w:p>
    <w:p>
      <w:pPr>
        <w:ind w:left="1620" w:right="117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 or the Sarbanes-Oxley Act;</w:t>
      </w:r>
    </w:p>
    <w:p>
      <w:pPr>
        <w:spacing w:after="0" w:line="59" w:lineRule="exact"/>
        <w:rPr>
          <w:rFonts w:ascii="Arial" w:cs="Arial" w:eastAsia="Arial" w:hAnsi="Arial"/>
          <w:sz w:val="15"/>
          <w:szCs w:val="15"/>
          <w:color w:val="auto"/>
        </w:rPr>
      </w:pPr>
    </w:p>
    <w:p>
      <w:pPr>
        <w:jc w:val="both"/>
        <w:ind w:left="1620" w:right="1159" w:hanging="148"/>
        <w:spacing w:after="0" w:line="25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not being required to comply with any requirements that may be adopted by the Public Company Accounting Oversight Board regarding the communication of critical audit matters in the auditor’s report on financial statements;</w:t>
      </w:r>
    </w:p>
    <w:p>
      <w:pPr>
        <w:spacing w:after="0" w:line="67" w:lineRule="exact"/>
        <w:rPr>
          <w:rFonts w:ascii="Arial" w:cs="Arial" w:eastAsia="Arial" w:hAnsi="Arial"/>
          <w:sz w:val="15"/>
          <w:szCs w:val="15"/>
          <w:color w:val="auto"/>
        </w:rPr>
      </w:pPr>
    </w:p>
    <w:p>
      <w:pPr>
        <w:ind w:left="1620" w:right="117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59" w:lineRule="exact"/>
        <w:rPr>
          <w:rFonts w:ascii="Arial" w:cs="Arial" w:eastAsia="Arial" w:hAnsi="Arial"/>
          <w:sz w:val="15"/>
          <w:szCs w:val="15"/>
          <w:color w:val="auto"/>
        </w:rPr>
      </w:pPr>
    </w:p>
    <w:p>
      <w:pPr>
        <w:ind w:left="1620" w:right="1159" w:hanging="148"/>
        <w:spacing w:after="0" w:line="300" w:lineRule="auto"/>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vote on executive compensation and stockholder approval of any golden parachute payments not previously approved.</w:t>
      </w:r>
    </w:p>
    <w:p>
      <w:pPr>
        <w:spacing w:after="0" w:line="59" w:lineRule="exact"/>
        <w:rPr>
          <w:sz w:val="20"/>
          <w:szCs w:val="20"/>
          <w:color w:val="auto"/>
        </w:rPr>
      </w:pPr>
    </w:p>
    <w:p>
      <w:pPr>
        <w:jc w:val="both"/>
        <w:ind w:left="1180" w:right="1159"/>
        <w:spacing w:after="0" w:line="232"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any of the following events occur prior to the end of such five-year period, (i) our annual gross revenue exceeds $1.07 billion, (ii) we issue more than $1.0 billion of non-convertible debt in any three-year period, or (iii) we become a “large accelerated filer,” (as defined in Rule 12b-2 under the Securities Exchange Act of 1934, as amended, or the Exchange Act), we will cease to be an emerging growth company prior to the end of such five-year period. We will be deemed to be a “large accelerated filer” at such time that we (a) have an aggregate worldwide market value of common equity securities held by non- 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180" w:right="1159"/>
        <w:spacing w:after="0" w:line="251" w:lineRule="auto"/>
        <w:rPr>
          <w:sz w:val="20"/>
          <w:szCs w:val="20"/>
          <w:color w:val="auto"/>
        </w:rPr>
      </w:pPr>
      <w:r>
        <w:rPr>
          <w:rFonts w:ascii="Arial" w:cs="Arial" w:eastAsia="Arial" w:hAnsi="Arial"/>
          <w:sz w:val="15"/>
          <w:szCs w:val="15"/>
          <w:color w:val="auto"/>
        </w:rPr>
        <w:t>Act.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prospectus and our periodic reports and proxy statements.</w:t>
      </w:r>
    </w:p>
    <w:p>
      <w:pPr>
        <w:spacing w:after="0" w:line="91" w:lineRule="exact"/>
        <w:rPr>
          <w:sz w:val="20"/>
          <w:szCs w:val="20"/>
          <w:color w:val="auto"/>
        </w:rPr>
      </w:pPr>
    </w:p>
    <w:p>
      <w:pPr>
        <w:jc w:val="both"/>
        <w:ind w:left="1180" w:right="1159"/>
        <w:spacing w:after="0" w:line="265" w:lineRule="auto"/>
        <w:rPr>
          <w:sz w:val="20"/>
          <w:szCs w:val="20"/>
          <w:color w:val="auto"/>
        </w:rPr>
      </w:pPr>
      <w:r>
        <w:rPr>
          <w:rFonts w:ascii="Arial" w:cs="Arial" w:eastAsia="Arial" w:hAnsi="Arial"/>
          <w:sz w:val="14"/>
          <w:szCs w:val="14"/>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particular,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99" w:lineRule="exact"/>
        <w:rPr>
          <w:sz w:val="20"/>
          <w:szCs w:val="20"/>
          <w:color w:val="auto"/>
        </w:rPr>
      </w:pPr>
    </w:p>
    <w:p>
      <w:pPr>
        <w:jc w:val="both"/>
        <w:ind w:left="1180" w:right="1159"/>
        <w:spacing w:after="0" w:line="265" w:lineRule="auto"/>
        <w:rPr>
          <w:sz w:val="20"/>
          <w:szCs w:val="20"/>
          <w:color w:val="auto"/>
        </w:rPr>
      </w:pPr>
      <w:r>
        <w:rPr>
          <w:rFonts w:ascii="Arial" w:cs="Arial" w:eastAsia="Arial" w:hAnsi="Arial"/>
          <w:sz w:val="14"/>
          <w:szCs w:val="14"/>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898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91355" cy="689864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Offering</w:t>
      </w:r>
    </w:p>
    <w:p>
      <w:pPr>
        <w:spacing w:after="0" w:line="95" w:lineRule="exact"/>
        <w:rPr>
          <w:sz w:val="20"/>
          <w:szCs w:val="20"/>
          <w:color w:val="auto"/>
        </w:rPr>
      </w:pPr>
    </w:p>
    <w:p>
      <w:pPr>
        <w:jc w:val="right"/>
        <w:ind w:right="1159"/>
        <w:spacing w:after="0"/>
        <w:tabs>
          <w:tab w:leader="none" w:pos="3120" w:val="left"/>
          <w:tab w:leader="none" w:pos="1700" w:val="left"/>
        </w:tabs>
        <w:rPr>
          <w:sz w:val="20"/>
          <w:szCs w:val="20"/>
          <w:color w:val="auto"/>
        </w:rPr>
      </w:pPr>
      <w:r>
        <w:rPr>
          <w:rFonts w:ascii="Arial" w:cs="Arial" w:eastAsia="Arial" w:hAnsi="Arial"/>
          <w:sz w:val="15"/>
          <w:szCs w:val="15"/>
          <w:color w:val="auto"/>
        </w:rPr>
        <w:t>Class A common stock offered by us</w:t>
      </w:r>
      <w:r>
        <w:rPr>
          <w:sz w:val="20"/>
          <w:szCs w:val="20"/>
          <w:color w:val="auto"/>
        </w:rPr>
        <w:tab/>
      </w:r>
      <w:r>
        <w:rPr>
          <w:rFonts w:ascii="Arial" w:cs="Arial" w:eastAsia="Arial" w:hAnsi="Arial"/>
          <w:sz w:val="15"/>
          <w:szCs w:val="15"/>
          <w:color w:val="auto"/>
        </w:rPr>
        <w:t>shares (or</w:t>
      </w:r>
      <w:r>
        <w:rPr>
          <w:sz w:val="20"/>
          <w:szCs w:val="20"/>
          <w:color w:val="auto"/>
        </w:rPr>
        <w:tab/>
      </w:r>
      <w:r>
        <w:rPr>
          <w:rFonts w:ascii="Arial" w:cs="Arial" w:eastAsia="Arial" w:hAnsi="Arial"/>
          <w:sz w:val="15"/>
          <w:szCs w:val="15"/>
          <w:color w:val="auto"/>
        </w:rPr>
        <w:t>shares if the underwriters</w:t>
      </w:r>
    </w:p>
    <w:p>
      <w:pPr>
        <w:spacing w:after="0" w:line="14"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exercise their option to purchase additional shares in full).</w:t>
      </w:r>
    </w:p>
    <w:p>
      <w:pPr>
        <w:sectPr>
          <w:pgSz w:w="11900" w:h="16838" w:orient="portrait"/>
          <w:cols w:equalWidth="0" w:num="1">
            <w:col w:w="9019"/>
          </w:cols>
          <w:pgMar w:left="1440" w:top="134" w:right="1440" w:bottom="1440" w:gutter="0" w:footer="0" w:header="0"/>
        </w:sectPr>
      </w:pPr>
    </w:p>
    <w:p>
      <w:pPr>
        <w:spacing w:after="0" w:line="9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Option to purchase additional shares</w:t>
      </w:r>
    </w:p>
    <w:p>
      <w:pPr>
        <w:spacing w:after="0" w:line="200" w:lineRule="exact"/>
        <w:rPr>
          <w:sz w:val="20"/>
          <w:szCs w:val="20"/>
          <w:color w:val="auto"/>
        </w:rPr>
      </w:pPr>
    </w:p>
    <w:p>
      <w:pPr>
        <w:spacing w:after="0" w:line="243" w:lineRule="exact"/>
        <w:rPr>
          <w:sz w:val="20"/>
          <w:szCs w:val="20"/>
          <w:color w:val="auto"/>
        </w:rPr>
      </w:pPr>
    </w:p>
    <w:p>
      <w:pPr>
        <w:ind w:left="1320" w:hanging="145"/>
        <w:spacing w:after="0" w:line="341" w:lineRule="auto"/>
        <w:rPr>
          <w:sz w:val="20"/>
          <w:szCs w:val="20"/>
          <w:color w:val="auto"/>
        </w:rPr>
      </w:pPr>
      <w:r>
        <w:rPr>
          <w:rFonts w:ascii="Arial" w:cs="Arial" w:eastAsia="Arial" w:hAnsi="Arial"/>
          <w:sz w:val="13"/>
          <w:szCs w:val="13"/>
          <w:color w:val="auto"/>
        </w:rPr>
        <w:t>Class A common stock to be outstanding immediately after this offering</w:t>
      </w:r>
    </w:p>
    <w:p>
      <w:pPr>
        <w:spacing w:after="0" w:line="190" w:lineRule="exact"/>
        <w:rPr>
          <w:sz w:val="20"/>
          <w:szCs w:val="20"/>
          <w:color w:val="auto"/>
        </w:rPr>
      </w:pPr>
    </w:p>
    <w:p>
      <w:pPr>
        <w:ind w:left="1320" w:hanging="145"/>
        <w:spacing w:after="0" w:line="341" w:lineRule="auto"/>
        <w:rPr>
          <w:sz w:val="20"/>
          <w:szCs w:val="20"/>
          <w:color w:val="auto"/>
        </w:rPr>
      </w:pPr>
      <w:r>
        <w:rPr>
          <w:rFonts w:ascii="Arial" w:cs="Arial" w:eastAsia="Arial" w:hAnsi="Arial"/>
          <w:sz w:val="13"/>
          <w:szCs w:val="13"/>
          <w:color w:val="auto"/>
        </w:rPr>
        <w:t>Class B common stock to be outstanding immediately after this offering</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We have granted the underwriters an option for a period of</w:t>
      </w:r>
    </w:p>
    <w:p>
      <w:pPr>
        <w:spacing w:after="0" w:line="25" w:lineRule="exact"/>
        <w:rPr>
          <w:sz w:val="20"/>
          <w:szCs w:val="20"/>
          <w:color w:val="auto"/>
        </w:rPr>
      </w:pPr>
    </w:p>
    <w:p>
      <w:pPr>
        <w:ind w:right="1159"/>
        <w:spacing w:after="0" w:line="249" w:lineRule="auto"/>
        <w:rPr>
          <w:sz w:val="20"/>
          <w:szCs w:val="20"/>
          <w:color w:val="auto"/>
        </w:rPr>
      </w:pPr>
      <w:r>
        <w:rPr>
          <w:rFonts w:ascii="Arial" w:cs="Arial" w:eastAsia="Arial" w:hAnsi="Arial"/>
          <w:sz w:val="15"/>
          <w:szCs w:val="15"/>
          <w:color w:val="auto"/>
        </w:rPr>
        <w:t>30 days to purchase up to additional shares of Class A common stock.</w:t>
      </w:r>
    </w:p>
    <w:p>
      <w:pPr>
        <w:spacing w:after="0" w:line="247" w:lineRule="exact"/>
        <w:rPr>
          <w:sz w:val="20"/>
          <w:szCs w:val="20"/>
          <w:color w:val="auto"/>
        </w:rPr>
      </w:pPr>
    </w:p>
    <w:p>
      <w:pPr>
        <w:ind w:right="1159" w:firstLine="545"/>
        <w:spacing w:after="0" w:line="264" w:lineRule="auto"/>
        <w:rPr>
          <w:sz w:val="20"/>
          <w:szCs w:val="20"/>
          <w:color w:val="auto"/>
        </w:rPr>
      </w:pPr>
      <w:r>
        <w:rPr>
          <w:rFonts w:ascii="Arial" w:cs="Arial" w:eastAsia="Arial" w:hAnsi="Arial"/>
          <w:sz w:val="15"/>
          <w:szCs w:val="15"/>
          <w:color w:val="auto"/>
        </w:rPr>
        <w:t>shares (or shares if the underwriters exercise their option to purchase additional shares in full).</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shares of Class B common stock outstanding.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We estimate that the net proceeds from this offering will be</w:t>
      </w:r>
    </w:p>
    <w:p>
      <w:pPr>
        <w:spacing w:after="0" w:line="25" w:lineRule="exact"/>
        <w:rPr>
          <w:sz w:val="20"/>
          <w:szCs w:val="20"/>
          <w:color w:val="auto"/>
        </w:rPr>
      </w:pPr>
    </w:p>
    <w:p>
      <w:pPr>
        <w:ind w:right="1159"/>
        <w:spacing w:after="0" w:line="244" w:lineRule="auto"/>
        <w:rPr>
          <w:sz w:val="20"/>
          <w:szCs w:val="20"/>
          <w:color w:val="auto"/>
        </w:rPr>
      </w:pPr>
      <w:r>
        <w:rPr>
          <w:rFonts w:ascii="Arial" w:cs="Arial" w:eastAsia="Arial" w:hAnsi="Arial"/>
          <w:sz w:val="15"/>
          <w:szCs w:val="15"/>
          <w:color w:val="auto"/>
        </w:rPr>
        <w:t>approximately $ million (or approximately $ million if the underwriters exercise their option to purchase additional shares in full), based on an assumed initial</w:t>
      </w:r>
    </w:p>
    <w:p>
      <w:pPr>
        <w:spacing w:after="0" w:line="1" w:lineRule="exact"/>
        <w:rPr>
          <w:sz w:val="20"/>
          <w:szCs w:val="20"/>
          <w:color w:val="auto"/>
        </w:rPr>
      </w:pPr>
    </w:p>
    <w:p>
      <w:pPr>
        <w:jc w:val="both"/>
        <w:ind w:right="1159"/>
        <w:spacing w:after="0" w:line="245" w:lineRule="auto"/>
        <w:rPr>
          <w:sz w:val="20"/>
          <w:szCs w:val="20"/>
          <w:color w:val="auto"/>
        </w:rPr>
      </w:pPr>
      <w:r>
        <w:rPr>
          <w:rFonts w:ascii="Arial" w:cs="Arial" w:eastAsia="Arial" w:hAnsi="Arial"/>
          <w:sz w:val="15"/>
          <w:szCs w:val="15"/>
          <w:color w:val="auto"/>
        </w:rPr>
        <w:t>public offering price of $ per share, which is the midpoint of the price range set forth on the cover page of this prospectus, after deducting estimated underwriting discounts and commissions and estimated offering expenses payable by us.</w:t>
      </w:r>
    </w:p>
    <w:p>
      <w:pPr>
        <w:spacing w:after="0" w:line="109" w:lineRule="exact"/>
        <w:rPr>
          <w:sz w:val="20"/>
          <w:szCs w:val="20"/>
          <w:color w:val="auto"/>
        </w:rPr>
      </w:pPr>
    </w:p>
    <w:p>
      <w:pPr>
        <w:jc w:val="both"/>
        <w:ind w:right="1159"/>
        <w:spacing w:after="0" w:line="247" w:lineRule="auto"/>
        <w:rPr>
          <w:sz w:val="20"/>
          <w:szCs w:val="20"/>
          <w:color w:val="auto"/>
        </w:rPr>
      </w:pPr>
      <w:r>
        <w:rPr>
          <w:rFonts w:ascii="Arial" w:cs="Arial" w:eastAsia="Arial" w:hAnsi="Arial"/>
          <w:sz w:val="15"/>
          <w:szCs w:val="15"/>
          <w:color w:val="auto"/>
        </w:rPr>
        <w:t>We anticipate that we will use the net proceeds of this offering to advance the development of IMM-1-104 and advance the preclinical development of our other programs and for working capital and other general corporate purposes. For a more complete description of our intended use of the proceeds from this offering, see “Use of Proceeds.”</w:t>
      </w:r>
    </w:p>
    <w:p>
      <w:pPr>
        <w:spacing w:after="0" w:line="76" w:lineRule="exact"/>
        <w:rPr>
          <w:sz w:val="20"/>
          <w:szCs w:val="20"/>
          <w:color w:val="auto"/>
        </w:rPr>
      </w:pPr>
    </w:p>
    <w:p>
      <w:pPr>
        <w:jc w:val="both"/>
        <w:ind w:right="1159"/>
        <w:spacing w:after="0" w:line="264" w:lineRule="auto"/>
        <w:rPr>
          <w:sz w:val="20"/>
          <w:szCs w:val="20"/>
          <w:color w:val="auto"/>
        </w:rPr>
      </w:pPr>
      <w:r>
        <w:rPr>
          <w:rFonts w:ascii="Arial" w:cs="Arial" w:eastAsia="Arial" w:hAnsi="Arial"/>
          <w:sz w:val="14"/>
          <w:szCs w:val="14"/>
          <w:color w:val="auto"/>
        </w:rPr>
        <w:t>Following the closing of this offering, we will have two classes of common stock, Class A common stock and Class B common stock. Holders of our Class A common stock will be entitled to one vote per share and the Class A common stock will not be convertible into any other class of our capital stock. The Class B common stock will not confer upon their holders any voting rights (except as may be required by law) and each Class B common stock will be convertible at any time following the closing of this offering, at the election of the holder, into one Class A common stock, subject to certain beneficial ownership limitations. The Class B common stock, once converted to Class A common stock, may not be converted back to Class B common stock. See “Description of Capital Stock —Common Stock” for more information on the rights of the holders of our Class A common stock and Class B common stock.</w:t>
      </w:r>
    </w:p>
    <w:p>
      <w:pPr>
        <w:spacing w:after="0" w:line="66" w:lineRule="exact"/>
        <w:rPr>
          <w:sz w:val="20"/>
          <w:szCs w:val="20"/>
          <w:color w:val="auto"/>
        </w:rPr>
      </w:pPr>
    </w:p>
    <w:p>
      <w:pPr>
        <w:sectPr>
          <w:pgSz w:w="11900" w:h="16838" w:orient="portrait"/>
          <w:cols w:equalWidth="0" w:num="2">
            <w:col w:w="3680" w:space="480"/>
            <w:col w:w="485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2700" w:type="dxa"/>
            <w:vAlign w:val="bottom"/>
          </w:tcPr>
          <w:p>
            <w:pPr>
              <w:ind w:left="200"/>
              <w:spacing w:after="0"/>
              <w:rPr>
                <w:sz w:val="20"/>
                <w:szCs w:val="20"/>
                <w:color w:val="auto"/>
              </w:rPr>
            </w:pPr>
            <w:r>
              <w:rPr>
                <w:rFonts w:ascii="Arial" w:cs="Arial" w:eastAsia="Arial" w:hAnsi="Arial"/>
                <w:sz w:val="15"/>
                <w:szCs w:val="15"/>
                <w:color w:val="auto"/>
              </w:rPr>
              <w:t>Risk factors</w:t>
            </w:r>
          </w:p>
        </w:tc>
        <w:tc>
          <w:tcPr>
            <w:tcW w:w="4380" w:type="dxa"/>
            <w:vAlign w:val="bottom"/>
          </w:tcPr>
          <w:p>
            <w:pPr>
              <w:ind w:left="480"/>
              <w:spacing w:after="0"/>
              <w:rPr>
                <w:sz w:val="20"/>
                <w:szCs w:val="20"/>
                <w:color w:val="auto"/>
              </w:rPr>
            </w:pPr>
            <w:r>
              <w:rPr>
                <w:rFonts w:ascii="Arial" w:cs="Arial" w:eastAsia="Arial" w:hAnsi="Arial"/>
                <w:sz w:val="15"/>
                <w:szCs w:val="15"/>
                <w:color w:val="auto"/>
                <w:w w:val="99"/>
              </w:rPr>
              <w:t>You should read the section titled “Risk Factors” beginning</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380" w:type="dxa"/>
            <w:vAlign w:val="bottom"/>
          </w:tcPr>
          <w:p>
            <w:pPr>
              <w:ind w:left="480"/>
              <w:spacing w:after="0"/>
              <w:rPr>
                <w:sz w:val="20"/>
                <w:szCs w:val="20"/>
                <w:color w:val="auto"/>
              </w:rPr>
            </w:pPr>
            <w:r>
              <w:rPr>
                <w:rFonts w:ascii="Arial" w:cs="Arial" w:eastAsia="Arial" w:hAnsi="Arial"/>
                <w:sz w:val="15"/>
                <w:szCs w:val="15"/>
                <w:color w:val="auto"/>
              </w:rPr>
              <w:t>on page 13 and the other information included in this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380" w:type="dxa"/>
            <w:vAlign w:val="bottom"/>
          </w:tcPr>
          <w:p>
            <w:pPr>
              <w:ind w:left="480"/>
              <w:spacing w:after="0"/>
              <w:rPr>
                <w:sz w:val="20"/>
                <w:szCs w:val="20"/>
                <w:color w:val="auto"/>
              </w:rPr>
            </w:pPr>
            <w:r>
              <w:rPr>
                <w:rFonts w:ascii="Arial" w:cs="Arial" w:eastAsia="Arial" w:hAnsi="Arial"/>
                <w:sz w:val="15"/>
                <w:szCs w:val="15"/>
                <w:color w:val="auto"/>
              </w:rPr>
              <w:t>prospectus for a discussion of factors you should consider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380" w:type="dxa"/>
            <w:vAlign w:val="bottom"/>
          </w:tcPr>
          <w:p>
            <w:pPr>
              <w:ind w:left="480"/>
              <w:spacing w:after="0"/>
              <w:rPr>
                <w:sz w:val="20"/>
                <w:szCs w:val="20"/>
                <w:color w:val="auto"/>
              </w:rPr>
            </w:pPr>
            <w:r>
              <w:rPr>
                <w:rFonts w:ascii="Arial" w:cs="Arial" w:eastAsia="Arial" w:hAnsi="Arial"/>
                <w:sz w:val="15"/>
                <w:szCs w:val="15"/>
                <w:color w:val="auto"/>
              </w:rPr>
              <w:t>carefully before deciding to invest in our Class A common</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380" w:type="dxa"/>
            <w:vAlign w:val="bottom"/>
          </w:tcPr>
          <w:p>
            <w:pPr>
              <w:ind w:left="480"/>
              <w:spacing w:after="0"/>
              <w:rPr>
                <w:sz w:val="20"/>
                <w:szCs w:val="20"/>
                <w:color w:val="auto"/>
              </w:rPr>
            </w:pPr>
            <w:r>
              <w:rPr>
                <w:rFonts w:ascii="Arial" w:cs="Arial" w:eastAsia="Arial" w:hAnsi="Arial"/>
                <w:sz w:val="15"/>
                <w:szCs w:val="15"/>
                <w:color w:val="auto"/>
              </w:rPr>
              <w:t>stock.</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700" w:type="dxa"/>
            <w:vAlign w:val="bottom"/>
          </w:tcPr>
          <w:p>
            <w:pPr>
              <w:ind w:left="200"/>
              <w:spacing w:after="0"/>
              <w:rPr>
                <w:sz w:val="20"/>
                <w:szCs w:val="20"/>
                <w:color w:val="auto"/>
              </w:rPr>
            </w:pPr>
            <w:r>
              <w:rPr>
                <w:rFonts w:ascii="Arial" w:cs="Arial" w:eastAsia="Arial" w:hAnsi="Arial"/>
                <w:sz w:val="15"/>
                <w:szCs w:val="15"/>
                <w:color w:val="auto"/>
              </w:rPr>
              <w:t>Dividend policy</w:t>
            </w:r>
          </w:p>
        </w:tc>
        <w:tc>
          <w:tcPr>
            <w:tcW w:w="4380" w:type="dxa"/>
            <w:vAlign w:val="bottom"/>
          </w:tcPr>
          <w:p>
            <w:pPr>
              <w:ind w:left="480"/>
              <w:spacing w:after="0"/>
              <w:rPr>
                <w:sz w:val="20"/>
                <w:szCs w:val="20"/>
                <w:color w:val="auto"/>
              </w:rPr>
            </w:pPr>
            <w:r>
              <w:rPr>
                <w:rFonts w:ascii="Arial" w:cs="Arial" w:eastAsia="Arial" w:hAnsi="Arial"/>
                <w:sz w:val="15"/>
                <w:szCs w:val="15"/>
                <w:color w:val="auto"/>
                <w:w w:val="98"/>
              </w:rPr>
              <w:t>We do not currently pay dividends and we do not anticipate</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380" w:type="dxa"/>
            <w:vAlign w:val="bottom"/>
          </w:tcPr>
          <w:p>
            <w:pPr>
              <w:ind w:left="480"/>
              <w:spacing w:after="0"/>
              <w:rPr>
                <w:sz w:val="20"/>
                <w:szCs w:val="20"/>
                <w:color w:val="auto"/>
              </w:rPr>
            </w:pPr>
            <w:r>
              <w:rPr>
                <w:rFonts w:ascii="Arial" w:cs="Arial" w:eastAsia="Arial" w:hAnsi="Arial"/>
                <w:sz w:val="15"/>
                <w:szCs w:val="15"/>
                <w:color w:val="auto"/>
              </w:rPr>
              <w:t>declaring  or  paying  any  dividends  for  the  foreseeable</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380" w:type="dxa"/>
            <w:vAlign w:val="bottom"/>
          </w:tcPr>
          <w:p>
            <w:pPr>
              <w:ind w:left="480"/>
              <w:spacing w:after="0"/>
              <w:rPr>
                <w:sz w:val="20"/>
                <w:szCs w:val="20"/>
                <w:color w:val="auto"/>
              </w:rPr>
            </w:pPr>
            <w:r>
              <w:rPr>
                <w:rFonts w:ascii="Arial" w:cs="Arial" w:eastAsia="Arial" w:hAnsi="Arial"/>
                <w:sz w:val="15"/>
                <w:szCs w:val="15"/>
                <w:color w:val="auto"/>
              </w:rPr>
              <w:t>future.</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700" w:type="dxa"/>
            <w:vAlign w:val="bottom"/>
          </w:tcPr>
          <w:p>
            <w:pPr>
              <w:ind w:left="200"/>
              <w:spacing w:after="0"/>
              <w:rPr>
                <w:sz w:val="20"/>
                <w:szCs w:val="20"/>
                <w:color w:val="auto"/>
              </w:rPr>
            </w:pPr>
            <w:r>
              <w:rPr>
                <w:rFonts w:ascii="Arial" w:cs="Arial" w:eastAsia="Arial" w:hAnsi="Arial"/>
                <w:sz w:val="15"/>
                <w:szCs w:val="15"/>
                <w:color w:val="auto"/>
              </w:rPr>
              <w:t>Proposed Nasdaq Global Market</w:t>
            </w:r>
          </w:p>
        </w:tc>
        <w:tc>
          <w:tcPr>
            <w:tcW w:w="4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86"/>
        </w:trPr>
        <w:tc>
          <w:tcPr>
            <w:tcW w:w="840" w:type="dxa"/>
            <w:vAlign w:val="bottom"/>
          </w:tcPr>
          <w:p>
            <w:pPr>
              <w:spacing w:after="0"/>
              <w:rPr>
                <w:sz w:val="16"/>
                <w:szCs w:val="16"/>
                <w:color w:val="auto"/>
              </w:rPr>
            </w:pPr>
          </w:p>
        </w:tc>
        <w:tc>
          <w:tcPr>
            <w:tcW w:w="2700" w:type="dxa"/>
            <w:vAlign w:val="bottom"/>
          </w:tcPr>
          <w:p>
            <w:pPr>
              <w:ind w:left="340"/>
              <w:spacing w:after="0"/>
              <w:rPr>
                <w:sz w:val="20"/>
                <w:szCs w:val="20"/>
                <w:color w:val="auto"/>
              </w:rPr>
            </w:pPr>
            <w:r>
              <w:rPr>
                <w:rFonts w:ascii="Arial" w:cs="Arial" w:eastAsia="Arial" w:hAnsi="Arial"/>
                <w:sz w:val="15"/>
                <w:szCs w:val="15"/>
                <w:color w:val="auto"/>
              </w:rPr>
              <w:t>symbol</w:t>
            </w:r>
          </w:p>
        </w:tc>
        <w:tc>
          <w:tcPr>
            <w:tcW w:w="4380" w:type="dxa"/>
            <w:vAlign w:val="bottom"/>
          </w:tcPr>
          <w:p>
            <w:pPr>
              <w:ind w:left="480"/>
              <w:spacing w:after="0"/>
              <w:rPr>
                <w:sz w:val="20"/>
                <w:szCs w:val="20"/>
                <w:color w:val="auto"/>
              </w:rPr>
            </w:pPr>
            <w:r>
              <w:rPr>
                <w:rFonts w:ascii="Arial" w:cs="Arial" w:eastAsia="Arial" w:hAnsi="Arial"/>
                <w:sz w:val="15"/>
                <w:szCs w:val="15"/>
                <w:color w:val="auto"/>
              </w:rPr>
              <w:t>“IMRX.”</w:t>
            </w:r>
          </w:p>
        </w:tc>
        <w:tc>
          <w:tcPr>
            <w:tcW w:w="800" w:type="dxa"/>
            <w:vAlign w:val="bottom"/>
          </w:tcPr>
          <w:p>
            <w:pPr>
              <w:spacing w:after="0"/>
              <w:rPr>
                <w:sz w:val="16"/>
                <w:szCs w:val="16"/>
                <w:color w:val="auto"/>
              </w:rPr>
            </w:pPr>
          </w:p>
        </w:tc>
      </w:tr>
      <w:tr>
        <w:trPr>
          <w:trHeight w:val="248"/>
        </w:trPr>
        <w:tc>
          <w:tcPr>
            <w:tcW w:w="840" w:type="dxa"/>
            <w:vAlign w:val="bottom"/>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438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37"/>
        </w:trPr>
        <w:tc>
          <w:tcPr>
            <w:tcW w:w="8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380" w:type="dxa"/>
            <w:vAlign w:val="bottom"/>
          </w:tcPr>
          <w:p>
            <w:pPr>
              <w:ind w:left="760"/>
              <w:spacing w:after="0"/>
              <w:rPr>
                <w:sz w:val="20"/>
                <w:szCs w:val="20"/>
                <w:color w:val="auto"/>
              </w:rPr>
            </w:pPr>
            <w:r>
              <w:rPr>
                <w:rFonts w:ascii="Arial" w:cs="Arial" w:eastAsia="Arial" w:hAnsi="Arial"/>
                <w:sz w:val="15"/>
                <w:szCs w:val="15"/>
                <w:color w:val="auto"/>
              </w:rPr>
              <w:t>9</w:t>
            </w:r>
          </w:p>
        </w:tc>
        <w:tc>
          <w:tcPr>
            <w:tcW w:w="800" w:type="dxa"/>
            <w:vAlign w:val="bottom"/>
          </w:tcPr>
          <w:p>
            <w:pPr>
              <w:spacing w:after="0"/>
              <w:rPr>
                <w:sz w:val="20"/>
                <w:szCs w:val="20"/>
                <w:color w:val="auto"/>
              </w:rPr>
            </w:pPr>
          </w:p>
        </w:tc>
      </w:tr>
      <w:tr>
        <w:trPr>
          <w:trHeight w:val="332"/>
        </w:trPr>
        <w:tc>
          <w:tcPr>
            <w:tcW w:w="8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3" w:name="page14"/>
    <w:bookmarkEnd w:id="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779"/>
        <w:spacing w:after="0" w:line="290" w:lineRule="auto"/>
        <w:rPr>
          <w:sz w:val="20"/>
          <w:szCs w:val="20"/>
          <w:color w:val="auto"/>
        </w:rPr>
      </w:pPr>
      <w:r>
        <w:rPr>
          <w:rFonts w:ascii="Arial" w:cs="Arial" w:eastAsia="Arial" w:hAnsi="Arial"/>
          <w:sz w:val="13"/>
          <w:szCs w:val="13"/>
          <w:color w:val="auto"/>
        </w:rPr>
        <w:t>The number of shares of Class A common stock to be outstanding after this offering is based on shares of our Class A common stock outstanding as of March 31, 2021, and includes an additional</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shares of our Class A common stock issuable upon the conversion of all outstanding shares of our</w:t>
      </w:r>
    </w:p>
    <w:p>
      <w:pPr>
        <w:spacing w:after="0" w:line="15" w:lineRule="exact"/>
        <w:rPr>
          <w:sz w:val="20"/>
          <w:szCs w:val="20"/>
          <w:color w:val="auto"/>
        </w:rPr>
      </w:pPr>
    </w:p>
    <w:p>
      <w:pPr>
        <w:ind w:left="1180" w:right="1159"/>
        <w:spacing w:after="0" w:line="249" w:lineRule="auto"/>
        <w:rPr>
          <w:sz w:val="20"/>
          <w:szCs w:val="20"/>
          <w:color w:val="auto"/>
        </w:rPr>
      </w:pPr>
      <w:r>
        <w:rPr>
          <w:rFonts w:ascii="Arial" w:cs="Arial" w:eastAsia="Arial" w:hAnsi="Arial"/>
          <w:sz w:val="15"/>
          <w:szCs w:val="15"/>
          <w:color w:val="auto"/>
        </w:rPr>
        <w:t>preferred stock on a one-for-one basis immediately prior to the closing of this offering into shares of Class A common stock, subject to certain beneficial ownership limitations, and excludes:</w:t>
      </w:r>
    </w:p>
    <w:p>
      <w:pPr>
        <w:spacing w:after="0" w:line="71" w:lineRule="exact"/>
        <w:rPr>
          <w:sz w:val="20"/>
          <w:szCs w:val="20"/>
          <w:color w:val="auto"/>
        </w:rPr>
      </w:pPr>
    </w:p>
    <w:p>
      <w:pPr>
        <w:jc w:val="both"/>
        <w:ind w:left="1620" w:right="1159" w:hanging="148"/>
        <w:spacing w:after="0" w:line="270" w:lineRule="auto"/>
        <w:tabs>
          <w:tab w:leader="none" w:pos="2299"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shares of Class A common stock issuable upon exercise of outstanding stock options granted under the Immuneering Corporation Long Term Incentive Plan, or the 2015 Plan, as of</w:t>
      </w:r>
    </w:p>
    <w:p>
      <w:pPr>
        <w:ind w:left="1620"/>
        <w:spacing w:after="0"/>
        <w:tabs>
          <w:tab w:leader="none" w:pos="5620" w:val="left"/>
        </w:tabs>
        <w:rPr>
          <w:sz w:val="20"/>
          <w:szCs w:val="20"/>
          <w:color w:val="auto"/>
        </w:rPr>
      </w:pPr>
      <w:r>
        <w:rPr>
          <w:rFonts w:ascii="Arial" w:cs="Arial" w:eastAsia="Arial" w:hAnsi="Arial"/>
          <w:sz w:val="15"/>
          <w:szCs w:val="15"/>
          <w:color w:val="auto"/>
        </w:rPr>
        <w:t>March 31, 2021, at a weighted average exercise price of $</w:t>
      </w:r>
      <w:r>
        <w:rPr>
          <w:sz w:val="20"/>
          <w:szCs w:val="20"/>
          <w:color w:val="auto"/>
        </w:rPr>
        <w:tab/>
      </w:r>
      <w:r>
        <w:rPr>
          <w:rFonts w:ascii="Arial" w:cs="Arial" w:eastAsia="Arial" w:hAnsi="Arial"/>
          <w:sz w:val="13"/>
          <w:szCs w:val="13"/>
          <w:color w:val="auto"/>
        </w:rPr>
        <w:t>per share;</w:t>
      </w:r>
    </w:p>
    <w:p>
      <w:pPr>
        <w:spacing w:after="0" w:line="80" w:lineRule="exact"/>
        <w:rPr>
          <w:sz w:val="20"/>
          <w:szCs w:val="20"/>
          <w:color w:val="auto"/>
        </w:rPr>
      </w:pPr>
    </w:p>
    <w:p>
      <w:pPr>
        <w:jc w:val="both"/>
        <w:ind w:left="1620" w:right="1179" w:hanging="148"/>
        <w:spacing w:after="0" w:line="254" w:lineRule="auto"/>
        <w:tabs>
          <w:tab w:leader="none" w:pos="2279" w:val="left"/>
        </w:tabs>
        <w:numPr>
          <w:ilvl w:val="0"/>
          <w:numId w:val="9"/>
        </w:numPr>
        <w:rPr>
          <w:rFonts w:ascii="Arial" w:cs="Arial" w:eastAsia="Arial" w:hAnsi="Arial"/>
          <w:sz w:val="15"/>
          <w:szCs w:val="15"/>
          <w:color w:val="auto"/>
        </w:rPr>
      </w:pPr>
      <w:r>
        <w:rPr>
          <w:rFonts w:ascii="Arial" w:cs="Arial" w:eastAsia="Arial" w:hAnsi="Arial"/>
          <w:sz w:val="15"/>
          <w:szCs w:val="15"/>
          <w:color w:val="auto"/>
        </w:rPr>
        <w:t>shares of Class A common stock available for future issuance under the 2015 Plan, as of March 31, 2021, which such shares will cease to be available for issuance at the time our 2021 Plan (as defined below) becomes effective;</w:t>
      </w:r>
    </w:p>
    <w:p>
      <w:pPr>
        <w:spacing w:after="0" w:line="67" w:lineRule="exact"/>
        <w:rPr>
          <w:rFonts w:ascii="Arial" w:cs="Arial" w:eastAsia="Arial" w:hAnsi="Arial"/>
          <w:sz w:val="15"/>
          <w:szCs w:val="15"/>
          <w:color w:val="auto"/>
        </w:rPr>
      </w:pPr>
    </w:p>
    <w:p>
      <w:pPr>
        <w:jc w:val="both"/>
        <w:ind w:left="1620" w:right="1159" w:hanging="148"/>
        <w:spacing w:after="0" w:line="254" w:lineRule="auto"/>
        <w:tabs>
          <w:tab w:leader="none" w:pos="2277" w:val="left"/>
        </w:tabs>
        <w:numPr>
          <w:ilvl w:val="0"/>
          <w:numId w:val="9"/>
        </w:numPr>
        <w:rPr>
          <w:rFonts w:ascii="Arial" w:cs="Arial" w:eastAsia="Arial" w:hAnsi="Arial"/>
          <w:sz w:val="15"/>
          <w:szCs w:val="15"/>
          <w:color w:val="auto"/>
        </w:rPr>
      </w:pPr>
      <w:r>
        <w:rPr>
          <w:rFonts w:ascii="Arial" w:cs="Arial" w:eastAsia="Arial" w:hAnsi="Arial"/>
          <w:sz w:val="15"/>
          <w:szCs w:val="15"/>
          <w:color w:val="auto"/>
        </w:rPr>
        <w:t>shares of our Class A common stock that will become available for future issuance under the 2021 Incentive Award Plan, or the 2021 Plan, which will become effective in connection with the completion of this offering;</w:t>
      </w:r>
    </w:p>
    <w:p>
      <w:pPr>
        <w:spacing w:after="0" w:line="67" w:lineRule="exact"/>
        <w:rPr>
          <w:rFonts w:ascii="Arial" w:cs="Arial" w:eastAsia="Arial" w:hAnsi="Arial"/>
          <w:sz w:val="15"/>
          <w:szCs w:val="15"/>
          <w:color w:val="auto"/>
        </w:rPr>
      </w:pPr>
    </w:p>
    <w:p>
      <w:pPr>
        <w:jc w:val="both"/>
        <w:ind w:left="1620" w:right="1159" w:hanging="148"/>
        <w:spacing w:after="0" w:line="274" w:lineRule="auto"/>
        <w:tabs>
          <w:tab w:leader="none" w:pos="2277" w:val="left"/>
        </w:tabs>
        <w:numPr>
          <w:ilvl w:val="0"/>
          <w:numId w:val="9"/>
        </w:numPr>
        <w:rPr>
          <w:rFonts w:ascii="Arial" w:cs="Arial" w:eastAsia="Arial" w:hAnsi="Arial"/>
          <w:sz w:val="14"/>
          <w:szCs w:val="14"/>
          <w:color w:val="auto"/>
        </w:rPr>
      </w:pPr>
      <w:r>
        <w:rPr>
          <w:rFonts w:ascii="Arial" w:cs="Arial" w:eastAsia="Arial" w:hAnsi="Arial"/>
          <w:sz w:val="14"/>
          <w:szCs w:val="14"/>
          <w:color w:val="auto"/>
        </w:rPr>
        <w:t>shares of Class A common stock that will become available for future issuance under the employee stock purchase plan, or the ESPP, which will become effective in connection with this offering, and shares of our Class A common stock that become available pursuant to provisions in the ESPP that automatically increase the share reserve under the ESPP; and</w:t>
      </w:r>
    </w:p>
    <w:p>
      <w:pPr>
        <w:spacing w:after="0" w:line="55" w:lineRule="exact"/>
        <w:rPr>
          <w:rFonts w:ascii="Arial" w:cs="Arial" w:eastAsia="Arial" w:hAnsi="Arial"/>
          <w:sz w:val="14"/>
          <w:szCs w:val="14"/>
          <w:color w:val="auto"/>
        </w:rPr>
      </w:pPr>
    </w:p>
    <w:p>
      <w:pPr>
        <w:ind w:left="2280" w:hanging="808"/>
        <w:spacing w:after="0"/>
        <w:tabs>
          <w:tab w:leader="none" w:pos="2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shares of our Class A common stock issuable upon the exercise of outstanding warrants as</w:t>
      </w:r>
    </w:p>
    <w:p>
      <w:pPr>
        <w:spacing w:after="0" w:line="37" w:lineRule="exact"/>
        <w:rPr>
          <w:sz w:val="20"/>
          <w:szCs w:val="20"/>
          <w:color w:val="auto"/>
        </w:rPr>
      </w:pPr>
    </w:p>
    <w:p>
      <w:pPr>
        <w:ind w:left="1620"/>
        <w:spacing w:after="0"/>
        <w:tabs>
          <w:tab w:leader="none" w:pos="5740" w:val="left"/>
        </w:tabs>
        <w:rPr>
          <w:sz w:val="20"/>
          <w:szCs w:val="20"/>
          <w:color w:val="auto"/>
        </w:rPr>
      </w:pPr>
      <w:r>
        <w:rPr>
          <w:rFonts w:ascii="Arial" w:cs="Arial" w:eastAsia="Arial" w:hAnsi="Arial"/>
          <w:sz w:val="15"/>
          <w:szCs w:val="15"/>
          <w:color w:val="auto"/>
        </w:rPr>
        <w:t>of March 31, 2021 at a weighted average exercise price of $</w:t>
      </w:r>
      <w:r>
        <w:rPr>
          <w:sz w:val="20"/>
          <w:szCs w:val="20"/>
          <w:color w:val="auto"/>
        </w:rPr>
        <w:tab/>
      </w:r>
      <w:r>
        <w:rPr>
          <w:rFonts w:ascii="Arial" w:cs="Arial" w:eastAsia="Arial" w:hAnsi="Arial"/>
          <w:sz w:val="13"/>
          <w:szCs w:val="13"/>
          <w:color w:val="auto"/>
        </w:rPr>
        <w:t>per share.</w:t>
      </w:r>
    </w:p>
    <w:p>
      <w:pPr>
        <w:spacing w:after="0" w:line="102" w:lineRule="exact"/>
        <w:rPr>
          <w:sz w:val="20"/>
          <w:szCs w:val="20"/>
          <w:color w:val="auto"/>
        </w:rPr>
      </w:pPr>
    </w:p>
    <w:p>
      <w:pPr>
        <w:ind w:left="1180" w:right="1159"/>
        <w:spacing w:after="0" w:line="264" w:lineRule="auto"/>
        <w:rPr>
          <w:sz w:val="20"/>
          <w:szCs w:val="20"/>
          <w:color w:val="auto"/>
        </w:rPr>
      </w:pPr>
      <w:r>
        <w:rPr>
          <w:rFonts w:ascii="Arial" w:cs="Arial" w:eastAsia="Arial" w:hAnsi="Arial"/>
          <w:sz w:val="15"/>
          <w:szCs w:val="15"/>
          <w:color w:val="auto"/>
        </w:rPr>
        <w:t>Unless we indicate otherwise or the context otherwise requires, all information in this prospectus assumes or gives effect to:</w:t>
      </w:r>
    </w:p>
    <w:p>
      <w:pPr>
        <w:spacing w:after="0" w:line="60" w:lineRule="exact"/>
        <w:rPr>
          <w:sz w:val="20"/>
          <w:szCs w:val="20"/>
          <w:color w:val="auto"/>
        </w:rPr>
      </w:pPr>
    </w:p>
    <w:p>
      <w:pPr>
        <w:jc w:val="both"/>
        <w:ind w:left="1620" w:right="1159" w:hanging="148"/>
        <w:spacing w:after="0" w:line="25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and the adoption of our amended and restated bylaws, each of which will occur immediately prior to the closing of this offering;</w:t>
      </w:r>
    </w:p>
    <w:p>
      <w:pPr>
        <w:spacing w:after="0" w:line="67" w:lineRule="exact"/>
        <w:rPr>
          <w:rFonts w:ascii="Arial" w:cs="Arial" w:eastAsia="Arial" w:hAnsi="Arial"/>
          <w:sz w:val="15"/>
          <w:szCs w:val="15"/>
          <w:color w:val="auto"/>
        </w:rPr>
      </w:pPr>
    </w:p>
    <w:p>
      <w:pPr>
        <w:jc w:val="both"/>
        <w:ind w:left="1620" w:right="1159" w:hanging="148"/>
        <w:spacing w:after="0" w:line="25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conversion of all outstanding shares of our Series A convertible preferred stock, or Series A Preferred Stock, and Series B convertible preferred stock, or Series B Preferred Stock, into shares of our Class A common stock immediately prior to the closing of this offering;</w:t>
      </w:r>
    </w:p>
    <w:p>
      <w:pPr>
        <w:spacing w:after="0" w:line="68" w:lineRule="exact"/>
        <w:rPr>
          <w:sz w:val="20"/>
          <w:szCs w:val="20"/>
          <w:color w:val="auto"/>
        </w:rPr>
      </w:pPr>
    </w:p>
    <w:p>
      <w:pPr>
        <w:ind w:left="1480"/>
        <w:spacing w:after="0"/>
        <w:tabs>
          <w:tab w:leader="none" w:pos="2120" w:val="left"/>
          <w:tab w:leader="none" w:pos="2760" w:val="left"/>
          <w:tab w:leader="none" w:pos="5940" w:val="left"/>
        </w:tabs>
        <w:rPr>
          <w:sz w:val="20"/>
          <w:szCs w:val="20"/>
          <w:color w:val="auto"/>
        </w:rPr>
      </w:pPr>
      <w:r>
        <w:rPr>
          <w:rFonts w:ascii="Arial" w:cs="Arial" w:eastAsia="Arial" w:hAnsi="Arial"/>
          <w:sz w:val="15"/>
          <w:szCs w:val="15"/>
          <w:color w:val="auto"/>
        </w:rPr>
        <w:t>•  a</w:t>
      </w:r>
      <w:r>
        <w:rPr>
          <w:sz w:val="20"/>
          <w:szCs w:val="20"/>
          <w:color w:val="auto"/>
        </w:rPr>
        <w:tab/>
      </w:r>
      <w:r>
        <w:rPr>
          <w:rFonts w:ascii="Arial" w:cs="Arial" w:eastAsia="Arial" w:hAnsi="Arial"/>
          <w:sz w:val="15"/>
          <w:szCs w:val="15"/>
          <w:color w:val="auto"/>
        </w:rPr>
        <w:t>for</w:t>
      </w:r>
      <w:r>
        <w:rPr>
          <w:sz w:val="20"/>
          <w:szCs w:val="20"/>
          <w:color w:val="auto"/>
        </w:rPr>
        <w:tab/>
      </w:r>
      <w:r>
        <w:rPr>
          <w:rFonts w:ascii="Arial" w:cs="Arial" w:eastAsia="Arial" w:hAnsi="Arial"/>
          <w:sz w:val="15"/>
          <w:szCs w:val="15"/>
          <w:color w:val="auto"/>
        </w:rPr>
        <w:t>split of our common stock, effected on</w:t>
      </w:r>
      <w:r>
        <w:rPr>
          <w:sz w:val="20"/>
          <w:szCs w:val="20"/>
          <w:color w:val="auto"/>
        </w:rPr>
        <w:tab/>
      </w:r>
      <w:r>
        <w:rPr>
          <w:rFonts w:ascii="Arial" w:cs="Arial" w:eastAsia="Arial" w:hAnsi="Arial"/>
          <w:sz w:val="13"/>
          <w:szCs w:val="13"/>
          <w:color w:val="auto"/>
        </w:rPr>
        <w:t>, 2021;</w:t>
      </w:r>
    </w:p>
    <w:p>
      <w:pPr>
        <w:spacing w:after="0" w:line="91" w:lineRule="exact"/>
        <w:rPr>
          <w:sz w:val="20"/>
          <w:szCs w:val="20"/>
          <w:color w:val="auto"/>
        </w:rPr>
      </w:pPr>
    </w:p>
    <w:p>
      <w:pPr>
        <w:ind w:left="1620" w:right="1179" w:hanging="148"/>
        <w:spacing w:after="0" w:line="264"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exercise of the outstanding stock options, restricted stock units, or RSUs, or warrants described above after March 31, 2021;</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issuances of Class B common stock upon the closing of this offering;</w:t>
      </w:r>
    </w:p>
    <w:p>
      <w:pPr>
        <w:sectPr>
          <w:pgSz w:w="11900" w:h="16838" w:orient="portrait"/>
          <w:cols w:equalWidth="0" w:num="1">
            <w:col w:w="9019"/>
          </w:cols>
          <w:pgMar w:left="1440" w:top="134" w:right="1440" w:bottom="1440" w:gutter="0" w:footer="0" w:header="0"/>
        </w:sectPr>
      </w:pPr>
    </w:p>
    <w:p>
      <w:pPr>
        <w:spacing w:after="0" w:line="91" w:lineRule="exact"/>
        <w:rPr>
          <w:sz w:val="20"/>
          <w:szCs w:val="20"/>
          <w:color w:val="auto"/>
        </w:rPr>
      </w:pPr>
    </w:p>
    <w:p>
      <w:pPr>
        <w:ind w:left="1620" w:hanging="139"/>
        <w:spacing w:after="0" w:line="264" w:lineRule="auto"/>
        <w:tabs>
          <w:tab w:leader="none" w:pos="1600" w:val="left"/>
        </w:tabs>
        <w:rPr>
          <w:sz w:val="20"/>
          <w:szCs w:val="20"/>
          <w:color w:val="auto"/>
        </w:rPr>
      </w:pPr>
      <w:r>
        <w:rPr>
          <w:rFonts w:ascii="Arial" w:cs="Arial" w:eastAsia="Arial" w:hAnsi="Arial"/>
          <w:sz w:val="15"/>
          <w:szCs w:val="15"/>
          <w:color w:val="auto"/>
        </w:rPr>
        <w:t>•</w:t>
        <w:tab/>
        <w:t>no exercise by the underwriters of their option to purchase up to Class A common stock; 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 of</w:t>
      </w:r>
    </w:p>
    <w:p>
      <w:pPr>
        <w:spacing w:after="0" w:line="278" w:lineRule="exact"/>
        <w:rPr>
          <w:sz w:val="20"/>
          <w:szCs w:val="20"/>
          <w:color w:val="auto"/>
        </w:rPr>
      </w:pPr>
    </w:p>
    <w:p>
      <w:pPr>
        <w:sectPr>
          <w:pgSz w:w="11900" w:h="16838" w:orient="portrait"/>
          <w:cols w:equalWidth="0" w:num="2">
            <w:col w:w="5900" w:space="680"/>
            <w:col w:w="2439"/>
          </w:cols>
          <w:pgMar w:left="1440" w:top="134" w:right="1440" w:bottom="1440" w:gutter="0" w:footer="0" w:header="0"/>
          <w:type w:val="continuous"/>
        </w:sectPr>
      </w:pPr>
    </w:p>
    <w:p>
      <w:pPr>
        <w:ind w:left="1480"/>
        <w:spacing w:after="0"/>
        <w:tabs>
          <w:tab w:leader="none" w:pos="4780" w:val="left"/>
        </w:tabs>
        <w:rPr>
          <w:sz w:val="20"/>
          <w:szCs w:val="20"/>
          <w:color w:val="auto"/>
        </w:rPr>
      </w:pPr>
      <w:r>
        <w:rPr>
          <w:rFonts w:ascii="Arial" w:cs="Arial" w:eastAsia="Arial" w:hAnsi="Arial"/>
          <w:sz w:val="15"/>
          <w:szCs w:val="15"/>
          <w:color w:val="auto"/>
        </w:rPr>
        <w:t>•  an assumed initial public offering price of $</w:t>
      </w:r>
      <w:r>
        <w:rPr>
          <w:sz w:val="20"/>
          <w:szCs w:val="20"/>
          <w:color w:val="auto"/>
        </w:rPr>
        <w:tab/>
      </w:r>
      <w:r>
        <w:rPr>
          <w:rFonts w:ascii="Arial" w:cs="Arial" w:eastAsia="Arial" w:hAnsi="Arial"/>
          <w:sz w:val="14"/>
          <w:szCs w:val="14"/>
          <w:color w:val="auto"/>
        </w:rPr>
        <w:t>per share of Class A common stock, which is the</w:t>
      </w:r>
    </w:p>
    <w:p>
      <w:pPr>
        <w:sectPr>
          <w:pgSz w:w="11900" w:h="16838" w:orient="portrait"/>
          <w:cols w:equalWidth="0" w:num="1">
            <w:col w:w="9019"/>
          </w:cols>
          <w:pgMar w:left="1440" w:top="134" w:right="1440" w:bottom="1440" w:gutter="0" w:footer="0" w:header="0"/>
          <w:type w:val="continuous"/>
        </w:sectPr>
      </w:pPr>
    </w:p>
    <w:p>
      <w:pPr>
        <w:spacing w:after="0" w:line="1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midpoint of the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4" w:name="page15"/>
    <w:bookmarkEnd w:id="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CONSOLIDATED FINANCIAL DATA</w:t>
      </w:r>
    </w:p>
    <w:p>
      <w:pPr>
        <w:spacing w:after="0" w:line="128" w:lineRule="exact"/>
        <w:rPr>
          <w:sz w:val="20"/>
          <w:szCs w:val="20"/>
          <w:color w:val="auto"/>
        </w:rPr>
      </w:pPr>
    </w:p>
    <w:p>
      <w:pPr>
        <w:jc w:val="both"/>
        <w:ind w:left="1180" w:right="1159"/>
        <w:spacing w:after="0" w:line="264" w:lineRule="auto"/>
        <w:rPr>
          <w:sz w:val="20"/>
          <w:szCs w:val="20"/>
          <w:color w:val="auto"/>
        </w:rPr>
      </w:pPr>
      <w:r>
        <w:rPr>
          <w:rFonts w:ascii="Arial" w:cs="Arial" w:eastAsia="Arial" w:hAnsi="Arial"/>
          <w:sz w:val="14"/>
          <w:szCs w:val="14"/>
          <w:color w:val="auto"/>
        </w:rPr>
        <w:t>The following tables set forth our summary consolidated financial data for the periods indicated. We have derived the summary consolidated statements of operations data for the three months ended March 31, 2021 and 2020 and the summary consolidated balance sheet data as of March 31, 2021 from our unaudited interim condensed consolidated financial statements included elsewhere in this prospectus. We have derived the consolidated statements of operations data for the years ended December 31, 2020 and 2019, and the consolidated balance sheet data as of December 31, 2020, from our audited consolidated financial statements included elsewhere in this prospectus. We have prepared the unaudited interim condensed consolidated financial statements on a basis substantially consistent with our audited consolidated financial statements as of and for the year ended December 31, 2020, and the unaudited interim condensed consolidated financial statements include all normal recurring adjustments necessary for a fair statement of the financial information set forth in those unaudited interim condensed consolidated financial statements. Our historical results are not necessarily indicative of the results that should be expected for any future period. You should read the following summary consolidated financial data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 Our historical results for any prior period are not necessarily indicative of our future results, and our operating results for the three-month period ended March 31, 2021 are not necessarily indicative of the results that may be expected for the year ending December 31, 2021 or any other interim periods or any future year or period.</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Pr>
          <w:p>
            <w:pPr>
              <w:spacing w:after="0"/>
              <w:rPr>
                <w:sz w:val="12"/>
                <w:szCs w:val="12"/>
                <w:color w:val="auto"/>
              </w:rPr>
            </w:pPr>
          </w:p>
        </w:tc>
        <w:tc>
          <w:tcPr>
            <w:tcW w:w="1780" w:type="dxa"/>
            <w:vAlign w:val="bottom"/>
            <w:gridSpan w:val="6"/>
          </w:tcPr>
          <w:p>
            <w:pPr>
              <w:jc w:val="center"/>
              <w:ind w:right="440"/>
              <w:spacing w:after="0"/>
              <w:rPr>
                <w:sz w:val="20"/>
                <w:szCs w:val="20"/>
                <w:color w:val="auto"/>
              </w:rPr>
            </w:pPr>
            <w:r>
              <w:rPr>
                <w:rFonts w:ascii="Arial" w:cs="Arial" w:eastAsia="Arial" w:hAnsi="Arial"/>
                <w:sz w:val="12"/>
                <w:szCs w:val="12"/>
                <w:b w:val="1"/>
                <w:bCs w:val="1"/>
                <w:color w:val="auto"/>
                <w:w w:val="87"/>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tcPr>
          <w:p>
            <w:pPr>
              <w:jc w:val="right"/>
              <w:ind w:right="700"/>
              <w:spacing w:after="0"/>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13"/>
                <w:szCs w:val="13"/>
                <w:color w:val="auto"/>
              </w:rPr>
            </w:pPr>
          </w:p>
        </w:tc>
        <w:tc>
          <w:tcPr>
            <w:tcW w:w="1780" w:type="dxa"/>
            <w:vAlign w:val="bottom"/>
            <w:gridSpan w:val="6"/>
          </w:tcPr>
          <w:p>
            <w:pPr>
              <w:jc w:val="center"/>
              <w:ind w:right="400"/>
              <w:spacing w:after="0"/>
              <w:rPr>
                <w:sz w:val="20"/>
                <w:szCs w:val="20"/>
                <w:color w:val="auto"/>
              </w:rPr>
            </w:pPr>
            <w:r>
              <w:rPr>
                <w:rFonts w:ascii="Arial" w:cs="Arial" w:eastAsia="Arial" w:hAnsi="Arial"/>
                <w:sz w:val="12"/>
                <w:szCs w:val="12"/>
                <w:b w:val="1"/>
                <w:bCs w:val="1"/>
                <w:color w:val="auto"/>
                <w:w w:val="84"/>
              </w:rPr>
              <w:t>December 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2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6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5"/>
          </w:tcPr>
          <w:p>
            <w:pPr>
              <w:spacing w:after="0" w:line="20" w:lineRule="exact"/>
              <w:rPr>
                <w:sz w:val="1"/>
                <w:szCs w:val="1"/>
                <w:color w:val="auto"/>
              </w:rPr>
            </w:pPr>
          </w:p>
        </w:tc>
        <w:tc>
          <w:tcPr>
            <w:tcW w:w="162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12"/>
          </w:tcPr>
          <w:p>
            <w:pPr>
              <w:ind w:left="360"/>
              <w:spacing w:after="0"/>
              <w:rPr>
                <w:sz w:val="20"/>
                <w:szCs w:val="20"/>
                <w:color w:val="auto"/>
              </w:rPr>
            </w:pPr>
            <w:r>
              <w:rPr>
                <w:rFonts w:ascii="Arial" w:cs="Arial" w:eastAsia="Arial" w:hAnsi="Arial"/>
                <w:sz w:val="12"/>
                <w:szCs w:val="12"/>
                <w:b w:val="1"/>
                <w:bCs w:val="1"/>
                <w:color w:val="auto"/>
              </w:rPr>
              <w:t>(in thousands, except share and per share amounts)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Consolidated Statements of Operations Data:</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left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748</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483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2,311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1,920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409</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1,280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1,223</w:t>
            </w:r>
          </w:p>
        </w:tc>
        <w:tc>
          <w:tcPr>
            <w:tcW w:w="240" w:type="dxa"/>
            <w:vAlign w:val="bottom"/>
            <w:tcBorders>
              <w:left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Gross profit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339</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228</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1,031</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697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left w:val="single" w:sz="8" w:color="CCEEFF"/>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5,391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2,823</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15,004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4,279</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1,184</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2,709</w:t>
            </w:r>
          </w:p>
        </w:tc>
        <w:tc>
          <w:tcPr>
            <w:tcW w:w="240" w:type="dxa"/>
            <w:vAlign w:val="bottom"/>
            <w:tcBorders>
              <w:left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6,575</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3,467</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18,114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6,988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(6,236)</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(3,239)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(17,083)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(6,291)</w:t>
            </w:r>
          </w:p>
        </w:tc>
        <w:tc>
          <w:tcPr>
            <w:tcW w:w="240" w:type="dxa"/>
            <w:vAlign w:val="bottom"/>
            <w:tcBorders>
              <w:left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Other income (expense), net</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 (expense), net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(293)</w:t>
            </w:r>
          </w:p>
        </w:tc>
        <w:tc>
          <w:tcPr>
            <w:tcW w:w="240" w:type="dxa"/>
            <w:vAlign w:val="bottom"/>
            <w:tcBorders>
              <w:left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5"/>
                <w:szCs w:val="15"/>
                <w:color w:val="auto"/>
              </w:rPr>
              <w:t>Loss on conversion of convertible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(1,125)</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loss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(7,709)</w:t>
            </w:r>
          </w:p>
        </w:tc>
        <w:tc>
          <w:tcPr>
            <w:tcW w:w="240" w:type="dxa"/>
            <w:vAlign w:val="bottom"/>
            <w:tcBorders>
              <w:left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Net loss per share attributable to common</w:t>
            </w:r>
          </w:p>
        </w:tc>
        <w:tc>
          <w:tcPr>
            <w:tcW w:w="200" w:type="dxa"/>
            <w:vAlign w:val="bottom"/>
            <w:vMerge w:val="restart"/>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(1.76)</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(0.91)</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(4.82)</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(2.18)</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5"/>
                <w:szCs w:val="15"/>
                <w:color w:val="auto"/>
              </w:rPr>
              <w:t>stockholders, basic and diluted</w:t>
            </w:r>
          </w:p>
        </w:tc>
        <w:tc>
          <w:tcPr>
            <w:tcW w:w="2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w w:val="98"/>
              </w:rPr>
              <w:t>Weighted-average common shares outstanding</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left w:val="single" w:sz="8" w:color="CCEEFF"/>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shd w:val="clear" w:color="auto" w:fill="CCEEFF"/>
          </w:tcPr>
          <w:p>
            <w:pPr>
              <w:ind w:left="140"/>
              <w:spacing w:after="0" w:line="158" w:lineRule="exact"/>
              <w:rPr>
                <w:sz w:val="20"/>
                <w:szCs w:val="20"/>
                <w:color w:val="auto"/>
              </w:rPr>
            </w:pPr>
            <w:r>
              <w:rPr>
                <w:rFonts w:ascii="Arial" w:cs="Arial" w:eastAsia="Arial" w:hAnsi="Arial"/>
                <w:sz w:val="15"/>
                <w:szCs w:val="15"/>
                <w:color w:val="auto"/>
                <w:w w:val="96"/>
              </w:rPr>
              <w:t>used to compute net loss per share, basic and</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left w:val="single" w:sz="8" w:color="CCEEFF"/>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shd w:val="clear" w:color="auto" w:fill="CCEEFF"/>
          </w:tcPr>
          <w:p>
            <w:pPr>
              <w:ind w:left="140"/>
              <w:spacing w:after="0" w:line="227" w:lineRule="exact"/>
              <w:rPr>
                <w:sz w:val="20"/>
                <w:szCs w:val="20"/>
                <w:color w:val="auto"/>
              </w:rPr>
            </w:pPr>
            <w:r>
              <w:rPr>
                <w:rFonts w:ascii="Arial" w:cs="Arial" w:eastAsia="Arial" w:hAnsi="Arial"/>
                <w:sz w:val="15"/>
                <w:szCs w:val="15"/>
                <w:color w:val="auto"/>
              </w:rPr>
              <w:t>diluted</w:t>
            </w:r>
            <w:r>
              <w:rPr>
                <w:rFonts w:ascii="Arial" w:cs="Arial" w:eastAsia="Arial" w:hAnsi="Arial"/>
                <w:sz w:val="21"/>
                <w:szCs w:val="21"/>
                <w:color w:val="auto"/>
                <w:vertAlign w:val="superscript"/>
              </w:rPr>
              <w:t>(1)(2)</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3,535,811</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3,535,811</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3,535,811</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3"/>
              </w:rPr>
              <w:t>3,535,811</w:t>
            </w:r>
          </w:p>
        </w:tc>
        <w:tc>
          <w:tcPr>
            <w:tcW w:w="240" w:type="dxa"/>
            <w:vAlign w:val="bottom"/>
            <w:tcBorders>
              <w:left w:val="single" w:sz="8" w:color="CCEEFF"/>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spacing w:after="0" w:line="140" w:lineRule="exact"/>
              <w:rPr>
                <w:sz w:val="20"/>
                <w:szCs w:val="20"/>
                <w:color w:val="auto"/>
              </w:rPr>
            </w:pPr>
            <w:r>
              <w:rPr>
                <w:rFonts w:ascii="Arial" w:cs="Arial" w:eastAsia="Arial" w:hAnsi="Arial"/>
                <w:sz w:val="15"/>
                <w:szCs w:val="15"/>
                <w:color w:val="auto"/>
              </w:rPr>
              <w:t>Pro Forma net loss per share attributable to</w:t>
            </w: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ind w:left="140"/>
              <w:spacing w:after="0" w:line="227" w:lineRule="exact"/>
              <w:rPr>
                <w:sz w:val="20"/>
                <w:szCs w:val="20"/>
                <w:color w:val="auto"/>
              </w:rPr>
            </w:pPr>
            <w:r>
              <w:rPr>
                <w:rFonts w:ascii="Arial" w:cs="Arial" w:eastAsia="Arial" w:hAnsi="Arial"/>
                <w:sz w:val="15"/>
                <w:szCs w:val="15"/>
                <w:color w:val="auto"/>
              </w:rPr>
              <w:t>common shareholders, basic and diluted</w:t>
            </w:r>
            <w:r>
              <w:rPr>
                <w:rFonts w:ascii="Arial" w:cs="Arial" w:eastAsia="Arial" w:hAnsi="Arial"/>
                <w:sz w:val="21"/>
                <w:szCs w:val="21"/>
                <w:color w:val="auto"/>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(0.65)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w w:val="95"/>
              </w:rPr>
              <w:t>Pro Forma weighted average shares outstanding</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left w:val="single" w:sz="8" w:color="CCEEFF"/>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shd w:val="clear" w:color="auto" w:fill="CCEEFF"/>
          </w:tcPr>
          <w:p>
            <w:pPr>
              <w:ind w:left="140"/>
              <w:spacing w:after="0" w:line="158" w:lineRule="exact"/>
              <w:rPr>
                <w:sz w:val="20"/>
                <w:szCs w:val="20"/>
                <w:color w:val="auto"/>
              </w:rPr>
            </w:pPr>
            <w:r>
              <w:rPr>
                <w:rFonts w:ascii="Arial" w:cs="Arial" w:eastAsia="Arial" w:hAnsi="Arial"/>
                <w:sz w:val="15"/>
                <w:szCs w:val="15"/>
                <w:color w:val="auto"/>
                <w:w w:val="96"/>
              </w:rPr>
              <w:t>used to compute pro forma net loss per share,</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left w:val="single" w:sz="8" w:color="CCEEFF"/>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shd w:val="clear" w:color="auto" w:fill="CCEEFF"/>
          </w:tcPr>
          <w:p>
            <w:pPr>
              <w:ind w:left="140"/>
              <w:spacing w:after="0" w:line="227" w:lineRule="exact"/>
              <w:rPr>
                <w:sz w:val="20"/>
                <w:szCs w:val="20"/>
                <w:color w:val="auto"/>
              </w:rPr>
            </w:pPr>
            <w:r>
              <w:rPr>
                <w:rFonts w:ascii="Arial" w:cs="Arial" w:eastAsia="Arial" w:hAnsi="Arial"/>
                <w:sz w:val="15"/>
                <w:szCs w:val="15"/>
                <w:color w:val="auto"/>
              </w:rPr>
              <w:t>basic and diluted</w:t>
            </w:r>
            <w:r>
              <w:rPr>
                <w:rFonts w:ascii="Arial" w:cs="Arial" w:eastAsia="Arial" w:hAnsi="Arial"/>
                <w:sz w:val="21"/>
                <w:szCs w:val="21"/>
                <w:color w:val="auto"/>
                <w:vertAlign w:val="superscript"/>
              </w:rPr>
              <w:t>(3)</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9,651,036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6,127,858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left w:val="single" w:sz="8" w:color="CCEEFF"/>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480" w:right="1159" w:hanging="301"/>
        <w:spacing w:after="0" w:line="238" w:lineRule="auto"/>
        <w:tabs>
          <w:tab w:leader="none" w:pos="14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See Note 7 to our unaudited interim consolidated financial statements for the three months ended March 31, 2021 and 2020 appearing at the end of this prospectus for further details on the calculation of basic and diluted net loss per share attributable to common stockholders.</w:t>
      </w:r>
    </w:p>
    <w:p>
      <w:pPr>
        <w:spacing w:after="0" w:line="50" w:lineRule="exact"/>
        <w:rPr>
          <w:rFonts w:ascii="Arial" w:cs="Arial" w:eastAsia="Arial" w:hAnsi="Arial"/>
          <w:sz w:val="12"/>
          <w:szCs w:val="12"/>
          <w:color w:val="auto"/>
        </w:rPr>
      </w:pPr>
    </w:p>
    <w:p>
      <w:pPr>
        <w:ind w:left="1480" w:right="1179" w:hanging="301"/>
        <w:spacing w:after="0" w:line="291" w:lineRule="auto"/>
        <w:tabs>
          <w:tab w:leader="none" w:pos="14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See Note 8 to our consolidated financial statements for the years ended December 31, 2020 and 2019 appearing at the end of this prospectus for further details on the calculation of basic and diluted net loss per share attributable to common stockholders.</w:t>
      </w:r>
    </w:p>
    <w:p>
      <w:pPr>
        <w:spacing w:after="0" w:line="11" w:lineRule="exact"/>
        <w:rPr>
          <w:rFonts w:ascii="Arial" w:cs="Arial" w:eastAsia="Arial" w:hAnsi="Arial"/>
          <w:sz w:val="11"/>
          <w:szCs w:val="11"/>
          <w:color w:val="auto"/>
        </w:rPr>
      </w:pPr>
    </w:p>
    <w:p>
      <w:pPr>
        <w:jc w:val="both"/>
        <w:ind w:left="1480" w:right="1159" w:hanging="301"/>
        <w:spacing w:after="0" w:line="260" w:lineRule="auto"/>
        <w:tabs>
          <w:tab w:leader="none" w:pos="14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unaudited pro forma net loss per share for the three months ended March 31, 2021 and for the year ended December 31, 2020 was computed using the weighted-average number of shares of common stock outstanding, including the pro forma effect of the conversion of all outstanding shares of Series A Preferred Stock and Series B Preferred Stock into shares of common stock, as if such conversion had occurred at the beginning of the period, or their issuance dates, if later. The information presented in this table does not give effect to the sale and issuance of our Series B Preferred Stock that occurred in April and May 2021.</w:t>
      </w:r>
    </w:p>
    <w:p>
      <w:pPr>
        <w:spacing w:after="0" w:line="93"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20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As of March 31, 2021</w:t>
            </w:r>
          </w:p>
        </w:tc>
      </w:tr>
      <w:tr>
        <w:trPr>
          <w:trHeight w:val="21"/>
        </w:trPr>
        <w:tc>
          <w:tcPr>
            <w:tcW w:w="4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3"/>
        </w:trPr>
        <w:tc>
          <w:tcPr>
            <w:tcW w:w="4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Pro</w:t>
            </w:r>
          </w:p>
        </w:tc>
        <w:tc>
          <w:tcPr>
            <w:tcW w:w="80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6"/>
              </w:rPr>
              <w:t>Pro Forma As</w:t>
            </w:r>
          </w:p>
        </w:tc>
      </w:tr>
      <w:tr>
        <w:trPr>
          <w:trHeight w:val="198"/>
        </w:trPr>
        <w:tc>
          <w:tcPr>
            <w:tcW w:w="4620" w:type="dxa"/>
            <w:vAlign w:val="bottom"/>
          </w:tcPr>
          <w:p>
            <w:pPr>
              <w:spacing w:after="0"/>
              <w:rPr>
                <w:sz w:val="17"/>
                <w:szCs w:val="17"/>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Actual</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Forma</w:t>
            </w:r>
            <w:r>
              <w:rPr>
                <w:rFonts w:ascii="Arial" w:cs="Arial" w:eastAsia="Arial" w:hAnsi="Arial"/>
                <w:sz w:val="17"/>
                <w:szCs w:val="17"/>
                <w:b w:val="1"/>
                <w:bCs w:val="1"/>
                <w:color w:val="auto"/>
                <w:w w:val="83"/>
                <w:vertAlign w:val="superscript"/>
              </w:rPr>
              <w:t>(1)</w:t>
            </w:r>
          </w:p>
        </w:tc>
        <w:tc>
          <w:tcPr>
            <w:tcW w:w="800" w:type="dxa"/>
            <w:vAlign w:val="bottom"/>
            <w:tcBorders>
              <w:bottom w:val="single" w:sz="8" w:color="auto"/>
            </w:tcBorders>
          </w:tcPr>
          <w:p>
            <w:pPr>
              <w:jc w:val="center"/>
              <w:ind w:left="37"/>
              <w:spacing w:after="0"/>
              <w:rPr>
                <w:sz w:val="20"/>
                <w:szCs w:val="20"/>
                <w:color w:val="auto"/>
              </w:rPr>
            </w:pPr>
            <w:r>
              <w:rPr>
                <w:rFonts w:ascii="Arial" w:cs="Arial" w:eastAsia="Arial" w:hAnsi="Arial"/>
                <w:sz w:val="12"/>
                <w:szCs w:val="12"/>
                <w:b w:val="1"/>
                <w:bCs w:val="1"/>
                <w:color w:val="auto"/>
                <w:w w:val="82"/>
              </w:rPr>
              <w:t>Adjusted</w:t>
            </w:r>
            <w:r>
              <w:rPr>
                <w:rFonts w:ascii="Arial" w:cs="Arial" w:eastAsia="Arial" w:hAnsi="Arial"/>
                <w:sz w:val="17"/>
                <w:szCs w:val="17"/>
                <w:b w:val="1"/>
                <w:bCs w:val="1"/>
                <w:color w:val="auto"/>
                <w:w w:val="82"/>
                <w:vertAlign w:val="superscript"/>
              </w:rPr>
              <w:t>(2)</w:t>
            </w:r>
          </w:p>
        </w:tc>
      </w:tr>
      <w:tr>
        <w:trPr>
          <w:trHeight w:val="157"/>
        </w:trPr>
        <w:tc>
          <w:tcPr>
            <w:tcW w:w="4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gridSpan w:val="2"/>
          </w:tcPr>
          <w:p>
            <w:pPr>
              <w:jc w:val="center"/>
              <w:ind w:right="557"/>
              <w:spacing w:after="0"/>
              <w:rPr>
                <w:sz w:val="20"/>
                <w:szCs w:val="20"/>
                <w:color w:val="auto"/>
              </w:rPr>
            </w:pPr>
            <w:r>
              <w:rPr>
                <w:rFonts w:ascii="Arial" w:cs="Arial" w:eastAsia="Arial" w:hAnsi="Arial"/>
                <w:sz w:val="12"/>
                <w:szCs w:val="12"/>
                <w:b w:val="1"/>
                <w:bCs w:val="1"/>
                <w:color w:val="auto"/>
                <w:w w:val="82"/>
              </w:rPr>
              <w:t>(in thousands)</w:t>
            </w:r>
          </w:p>
        </w:tc>
      </w:tr>
      <w:tr>
        <w:trPr>
          <w:trHeight w:val="21"/>
        </w:trPr>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9"/>
        </w:trPr>
        <w:tc>
          <w:tcPr>
            <w:tcW w:w="462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640" w:type="dxa"/>
            <w:vAlign w:val="bottom"/>
          </w:tcPr>
          <w:p>
            <w:pPr>
              <w:jc w:val="right"/>
              <w:ind w:right="10"/>
              <w:spacing w:after="0"/>
              <w:rPr>
                <w:sz w:val="20"/>
                <w:szCs w:val="20"/>
                <w:color w:val="auto"/>
              </w:rPr>
            </w:pPr>
            <w:r>
              <w:rPr>
                <w:rFonts w:ascii="Arial" w:cs="Arial" w:eastAsia="Arial" w:hAnsi="Arial"/>
                <w:sz w:val="15"/>
                <w:szCs w:val="15"/>
                <w:color w:val="auto"/>
                <w:w w:val="92"/>
              </w:rPr>
              <w:t>$ 30,934</w:t>
            </w:r>
          </w:p>
        </w:tc>
        <w:tc>
          <w:tcPr>
            <w:tcW w:w="620" w:type="dxa"/>
            <w:vAlign w:val="bottom"/>
          </w:tcPr>
          <w:p>
            <w:pPr>
              <w:jc w:val="right"/>
              <w:ind w:right="358"/>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7"/>
              <w:spacing w:after="0"/>
              <w:rPr>
                <w:sz w:val="20"/>
                <w:szCs w:val="20"/>
                <w:color w:val="auto"/>
              </w:rPr>
            </w:pPr>
            <w:r>
              <w:rPr>
                <w:rFonts w:ascii="Arial" w:cs="Arial" w:eastAsia="Arial" w:hAnsi="Arial"/>
                <w:sz w:val="15"/>
                <w:szCs w:val="15"/>
                <w:color w:val="auto"/>
              </w:rPr>
              <w:t>$</w:t>
            </w:r>
          </w:p>
        </w:tc>
      </w:tr>
      <w:tr>
        <w:trPr>
          <w:trHeight w:val="220"/>
        </w:trPr>
        <w:tc>
          <w:tcPr>
            <w:tcW w:w="4620" w:type="dxa"/>
            <w:vAlign w:val="bottom"/>
            <w:shd w:val="clear" w:color="auto" w:fill="CCEEFF"/>
          </w:tcPr>
          <w:p>
            <w:pPr>
              <w:ind w:left="140"/>
              <w:spacing w:after="0" w:line="220" w:lineRule="exact"/>
              <w:rPr>
                <w:sz w:val="20"/>
                <w:szCs w:val="20"/>
                <w:color w:val="auto"/>
              </w:rPr>
            </w:pPr>
            <w:r>
              <w:rPr>
                <w:rFonts w:ascii="Arial" w:cs="Arial" w:eastAsia="Arial" w:hAnsi="Arial"/>
                <w:sz w:val="15"/>
                <w:szCs w:val="15"/>
                <w:color w:val="auto"/>
              </w:rPr>
              <w:t>Working capital</w:t>
            </w:r>
            <w:r>
              <w:rPr>
                <w:rFonts w:ascii="Arial" w:cs="Arial" w:eastAsia="Arial" w:hAnsi="Arial"/>
                <w:sz w:val="21"/>
                <w:szCs w:val="21"/>
                <w:color w:val="auto"/>
                <w:vertAlign w:val="superscript"/>
              </w:rPr>
              <w:t>(3)</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29,425</w:t>
            </w:r>
          </w:p>
        </w:tc>
        <w:tc>
          <w:tcPr>
            <w:tcW w:w="6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9"/>
        </w:trPr>
        <w:tc>
          <w:tcPr>
            <w:tcW w:w="4620" w:type="dxa"/>
            <w:vAlign w:val="bottom"/>
          </w:tcPr>
          <w:p>
            <w:pPr>
              <w:ind w:left="140"/>
              <w:spacing w:after="0"/>
              <w:rPr>
                <w:sz w:val="20"/>
                <w:szCs w:val="20"/>
                <w:color w:val="auto"/>
              </w:rPr>
            </w:pPr>
            <w:r>
              <w:rPr>
                <w:rFonts w:ascii="Arial" w:cs="Arial" w:eastAsia="Arial" w:hAnsi="Arial"/>
                <w:sz w:val="15"/>
                <w:szCs w:val="15"/>
                <w:color w:val="auto"/>
              </w:rPr>
              <w:t>Total assets</w:t>
            </w:r>
          </w:p>
        </w:tc>
        <w:tc>
          <w:tcPr>
            <w:tcW w:w="640" w:type="dxa"/>
            <w:vAlign w:val="bottom"/>
          </w:tcPr>
          <w:p>
            <w:pPr>
              <w:jc w:val="right"/>
              <w:ind w:right="10"/>
              <w:spacing w:after="0"/>
              <w:rPr>
                <w:sz w:val="20"/>
                <w:szCs w:val="20"/>
                <w:color w:val="auto"/>
              </w:rPr>
            </w:pPr>
            <w:r>
              <w:rPr>
                <w:rFonts w:ascii="Arial" w:cs="Arial" w:eastAsia="Arial" w:hAnsi="Arial"/>
                <w:sz w:val="15"/>
                <w:szCs w:val="15"/>
                <w:color w:val="auto"/>
              </w:rPr>
              <w:t>32,857</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4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liabilities</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3,282</w:t>
            </w:r>
          </w:p>
        </w:tc>
        <w:tc>
          <w:tcPr>
            <w:tcW w:w="6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0"/>
        </w:trPr>
        <w:tc>
          <w:tcPr>
            <w:tcW w:w="4620" w:type="dxa"/>
            <w:vAlign w:val="bottom"/>
          </w:tcPr>
          <w:p>
            <w:pPr>
              <w:ind w:left="140"/>
              <w:spacing w:after="0"/>
              <w:rPr>
                <w:sz w:val="20"/>
                <w:szCs w:val="20"/>
                <w:color w:val="auto"/>
              </w:rPr>
            </w:pPr>
            <w:r>
              <w:rPr>
                <w:rFonts w:ascii="Arial" w:cs="Arial" w:eastAsia="Arial" w:hAnsi="Arial"/>
                <w:sz w:val="15"/>
                <w:szCs w:val="15"/>
                <w:color w:val="auto"/>
              </w:rPr>
              <w:t>Convertible preferred stock</w:t>
            </w:r>
          </w:p>
        </w:tc>
        <w:tc>
          <w:tcPr>
            <w:tcW w:w="640" w:type="dxa"/>
            <w:vAlign w:val="bottom"/>
          </w:tcPr>
          <w:p>
            <w:pPr>
              <w:jc w:val="right"/>
              <w:ind w:right="10"/>
              <w:spacing w:after="0"/>
              <w:rPr>
                <w:sz w:val="20"/>
                <w:szCs w:val="20"/>
                <w:color w:val="auto"/>
              </w:rPr>
            </w:pPr>
            <w:r>
              <w:rPr>
                <w:rFonts w:ascii="Arial" w:cs="Arial" w:eastAsia="Arial" w:hAnsi="Arial"/>
                <w:sz w:val="15"/>
                <w:szCs w:val="15"/>
                <w:color w:val="auto"/>
              </w:rPr>
              <w:t>58,104</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4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(31,967)</w:t>
            </w:r>
          </w:p>
        </w:tc>
        <w:tc>
          <w:tcPr>
            <w:tcW w:w="6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0"/>
        </w:trPr>
        <w:tc>
          <w:tcPr>
            <w:tcW w:w="4620" w:type="dxa"/>
            <w:vAlign w:val="bottom"/>
          </w:tcPr>
          <w:p>
            <w:pPr>
              <w:ind w:left="140"/>
              <w:spacing w:after="0"/>
              <w:rPr>
                <w:sz w:val="20"/>
                <w:szCs w:val="20"/>
                <w:color w:val="auto"/>
              </w:rPr>
            </w:pPr>
            <w:r>
              <w:rPr>
                <w:rFonts w:ascii="Arial" w:cs="Arial" w:eastAsia="Arial" w:hAnsi="Arial"/>
                <w:sz w:val="15"/>
                <w:szCs w:val="15"/>
                <w:color w:val="auto"/>
              </w:rPr>
              <w:t>Total stockholders’ equity (deficit)</w:t>
            </w:r>
          </w:p>
        </w:tc>
        <w:tc>
          <w:tcPr>
            <w:tcW w:w="640" w:type="dxa"/>
            <w:vAlign w:val="bottom"/>
          </w:tcPr>
          <w:p>
            <w:pPr>
              <w:jc w:val="right"/>
              <w:spacing w:after="0"/>
              <w:rPr>
                <w:sz w:val="20"/>
                <w:szCs w:val="20"/>
                <w:color w:val="auto"/>
              </w:rPr>
            </w:pPr>
            <w:r>
              <w:rPr>
                <w:rFonts w:ascii="Arial" w:cs="Arial" w:eastAsia="Arial" w:hAnsi="Arial"/>
                <w:sz w:val="15"/>
                <w:szCs w:val="15"/>
                <w:color w:val="auto"/>
              </w:rPr>
              <w:t>(28,529)</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59" w:lineRule="exact"/>
        <w:rPr>
          <w:sz w:val="20"/>
          <w:szCs w:val="20"/>
          <w:color w:val="auto"/>
        </w:rPr>
      </w:pPr>
    </w:p>
    <w:p>
      <w:pPr>
        <w:ind w:left="1480" w:hanging="301"/>
        <w:spacing w:after="0"/>
        <w:tabs>
          <w:tab w:leader="none" w:pos="14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Gives effect to (i) the receipt of approximately $24.8 million in aggregate net proceeds from the issuance and sale of our Series B</w:t>
      </w:r>
    </w:p>
    <w:p>
      <w:pPr>
        <w:spacing w:after="0" w:line="15" w:lineRule="exact"/>
        <w:rPr>
          <w:rFonts w:ascii="Arial" w:cs="Arial" w:eastAsia="Arial" w:hAnsi="Arial"/>
          <w:sz w:val="11"/>
          <w:szCs w:val="11"/>
          <w:color w:val="auto"/>
        </w:rPr>
      </w:pPr>
    </w:p>
    <w:p>
      <w:pPr>
        <w:ind w:left="1480"/>
        <w:spacing w:after="0"/>
        <w:rPr>
          <w:rFonts w:ascii="Arial" w:cs="Arial" w:eastAsia="Arial" w:hAnsi="Arial"/>
          <w:sz w:val="11"/>
          <w:szCs w:val="11"/>
          <w:color w:val="auto"/>
        </w:rPr>
      </w:pPr>
      <w:r>
        <w:rPr>
          <w:rFonts w:ascii="Arial" w:cs="Arial" w:eastAsia="Arial" w:hAnsi="Arial"/>
          <w:sz w:val="11"/>
          <w:szCs w:val="11"/>
          <w:color w:val="auto"/>
        </w:rPr>
        <w:t>Preferred Stock that occurred in April and May 2021, and (ii) the conversion of all of the outstanding shares of our Series A</w:t>
      </w:r>
    </w:p>
    <w:p>
      <w:pPr>
        <w:spacing w:after="0" w:line="137" w:lineRule="exact"/>
        <w:rPr>
          <w:sz w:val="20"/>
          <w:szCs w:val="20"/>
          <w:color w:val="auto"/>
        </w:rPr>
      </w:pPr>
    </w:p>
    <w:p>
      <w:pPr>
        <w:ind w:left="1480" w:right="1179"/>
        <w:spacing w:after="0" w:line="247" w:lineRule="auto"/>
        <w:rPr>
          <w:sz w:val="20"/>
          <w:szCs w:val="20"/>
          <w:color w:val="auto"/>
        </w:rPr>
      </w:pPr>
      <w:r>
        <w:rPr>
          <w:rFonts w:ascii="Arial" w:cs="Arial" w:eastAsia="Arial" w:hAnsi="Arial"/>
          <w:sz w:val="12"/>
          <w:szCs w:val="12"/>
          <w:color w:val="auto"/>
        </w:rPr>
        <w:t>Preferred Stock and Series B Preferred Stock into an aggregate of shares of our Class A common stock (and no shares of Class B common stock) upon the closing of this offering, as if such conversion had occurred on March 31, 2021.</w:t>
      </w:r>
    </w:p>
    <w:p>
      <w:pPr>
        <w:spacing w:after="0" w:line="35" w:lineRule="exact"/>
        <w:rPr>
          <w:sz w:val="20"/>
          <w:szCs w:val="20"/>
          <w:color w:val="auto"/>
        </w:rPr>
      </w:pPr>
    </w:p>
    <w:p>
      <w:pPr>
        <w:jc w:val="both"/>
        <w:ind w:left="1480" w:right="1159" w:hanging="299"/>
        <w:spacing w:after="0" w:line="259" w:lineRule="auto"/>
        <w:tabs>
          <w:tab w:leader="none" w:pos="1460" w:val="left"/>
        </w:tabs>
        <w:rPr>
          <w:sz w:val="20"/>
          <w:szCs w:val="20"/>
          <w:color w:val="auto"/>
        </w:rPr>
      </w:pPr>
      <w:r>
        <w:rPr>
          <w:rFonts w:ascii="Arial" w:cs="Arial" w:eastAsia="Arial" w:hAnsi="Arial"/>
          <w:sz w:val="11"/>
          <w:szCs w:val="11"/>
          <w:color w:val="auto"/>
        </w:rPr>
        <w:t>(2)</w:t>
        <w:tab/>
        <w:t>Gives further effect to the sale of         shares of Class A common stock in this offering at an assumed initial public offering price of $      per share (which is the midpoint of the price range set forth on the cover page of this prospectus), after</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deducting the estimated underwriting fees and commissions and estimated offering expenses payable by us.</w:t>
      </w:r>
    </w:p>
    <w:p>
      <w:pPr>
        <w:spacing w:after="0" w:line="39" w:lineRule="exact"/>
        <w:rPr>
          <w:sz w:val="20"/>
          <w:szCs w:val="20"/>
          <w:color w:val="auto"/>
        </w:rPr>
      </w:pPr>
    </w:p>
    <w:p>
      <w:pPr>
        <w:ind w:left="1480" w:hanging="301"/>
        <w:spacing w:after="0"/>
        <w:tabs>
          <w:tab w:leader="none" w:pos="1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w:t>
      </w:r>
    </w:p>
    <w:p>
      <w:pPr>
        <w:spacing w:after="0" w:line="12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pro forma as adjusted balance sheet data give further effect to our issuance and sale of</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shares of our Class A common stock in this offering at an assumed initial public offering price of</w:t>
      </w:r>
    </w:p>
    <w:p>
      <w:pPr>
        <w:spacing w:after="0" w:line="3" w:lineRule="exact"/>
        <w:rPr>
          <w:sz w:val="20"/>
          <w:szCs w:val="20"/>
          <w:color w:val="auto"/>
        </w:rPr>
      </w:pPr>
    </w:p>
    <w:p>
      <w:pPr>
        <w:jc w:val="both"/>
        <w:ind w:left="1180" w:right="1159" w:hanging="1"/>
        <w:spacing w:after="0" w:line="282" w:lineRule="auto"/>
        <w:tabs>
          <w:tab w:leader="none" w:pos="1713"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 share (which is the midpoint of the price range set forth on the cover page of this prospectus) after deducting estimated underwriting discounts and commissions and estimated offering expenses payable</w:t>
      </w:r>
    </w:p>
    <w:p>
      <w:pPr>
        <w:jc w:val="both"/>
        <w:ind w:left="1180" w:right="1159"/>
        <w:spacing w:after="0" w:line="262" w:lineRule="auto"/>
        <w:rPr>
          <w:sz w:val="20"/>
          <w:szCs w:val="20"/>
          <w:color w:val="auto"/>
        </w:rPr>
      </w:pPr>
      <w:r>
        <w:rPr>
          <w:rFonts w:ascii="Arial" w:cs="Arial" w:eastAsia="Arial" w:hAnsi="Arial"/>
          <w:sz w:val="14"/>
          <w:szCs w:val="14"/>
          <w:color w:val="auto"/>
        </w:rPr>
        <w:t>by us. Each $1.00 increase (decrease) in the assumed initial public offering price of $ per share (which is the midpoint of the price range set forth on the cover page of this prospectus) would increase (decrease) the pro forma as adjusted amount of each of cash and cash equivalents, working capital, total</w:t>
      </w:r>
    </w:p>
    <w:p>
      <w:pPr>
        <w:jc w:val="both"/>
        <w:ind w:left="1180" w:right="1159"/>
        <w:spacing w:after="0" w:line="261" w:lineRule="auto"/>
        <w:rPr>
          <w:sz w:val="20"/>
          <w:szCs w:val="20"/>
          <w:color w:val="auto"/>
        </w:rPr>
      </w:pPr>
      <w:r>
        <w:rPr>
          <w:rFonts w:ascii="Arial" w:cs="Arial" w:eastAsia="Arial" w:hAnsi="Arial"/>
          <w:sz w:val="14"/>
          <w:szCs w:val="14"/>
          <w:color w:val="auto"/>
        </w:rPr>
        <w:t>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(decrease) of 1.0 million shares in the number of shares offered by us, as set forth on the cover page of this prospectus, would increase (decrease) the pro forma as adjusted amount of each of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80" w:right="1159"/>
        <w:spacing w:after="0" w:line="254" w:lineRule="auto"/>
        <w:rPr>
          <w:sz w:val="20"/>
          <w:szCs w:val="20"/>
          <w:color w:val="auto"/>
        </w:rPr>
      </w:pPr>
      <w:r>
        <w:rPr>
          <w:rFonts w:ascii="Arial" w:cs="Arial" w:eastAsia="Arial" w:hAnsi="Arial"/>
          <w:sz w:val="15"/>
          <w:szCs w:val="15"/>
          <w:color w:val="auto"/>
        </w:rPr>
        <w:t>equivalents, working capital, total assets and total stockholders’ equity by $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 FACTORS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i w:val="1"/>
          <w:iCs w:val="1"/>
          <w:color w:val="auto"/>
        </w:rPr>
        <w:t>You should carefully consider the risks and uncertainties described below and the other information in this prospectus, including our consolidated financial statements and related notes appearing elsewhere in this prospectus and in the section titled “Management’s Discussion and Analysis of Financial Condition and Results of Operations,” before deciding whether to invest in our Class A common stock. Our business, financial condition, results of operations or prospects could be materially and adversely affected if any of these risks occurs, and as a result, the market price of our Class A common stock could decline and you could lose all or part of your investment. This prospectus also contains forward -looking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Financial Condition and Capital Requirements</w:t>
      </w:r>
    </w:p>
    <w:p>
      <w:pPr>
        <w:spacing w:after="0" w:line="18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b w:val="1"/>
          <w:bCs w:val="1"/>
          <w:i w:val="1"/>
          <w:iCs w:val="1"/>
          <w:color w:val="auto"/>
        </w:rPr>
        <w:t>We have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8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Pharmaceutical product development is a highly speculative undertaking and involves a substantial degree of risk. We are a biopharmaceutical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of our product candidates, including the anticipated Phase 1 clinical trial of IMM-1-104 for the treatment of advanced solid tumors in patients harboring RAS mutant tumors. We have not yet demonstrated our ability to successfully initiate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9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spacing w:after="0" w:line="160"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We have incurred significant net losses for the past several years and we expect to continue to incur significant net losses for the foreseeable future and may never maintain profitability.</w:t>
      </w:r>
    </w:p>
    <w:p>
      <w:pPr>
        <w:spacing w:after="0" w:line="82"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$17.0 million and $7.7 million for the years ended December 31, 2020 and 2019, respectively, and net loss of approximately $6.2 million for the three months ended March 31, 2021. As of March 31, 2021, we had an accumulated deficit of approximately $32.0 million. Our losses have resulted principally from expenses incurred in research and development of our product candidates, from management and administrative costs and other expenses that we have incurred while building our business infrastructure. Our lead product candidate, IMM-1-104, is undergoing IND-enabling studies and we expect to submit an IND to the FDA in the first quarter of 2022. We intend to initiate a Phase 1 clinical trial of IMM-1-104 in the first half of 2022 for the treatment of advanced solid tumors in patients harboring RAS mutant tumors, if our IND for IMM-1-104 is accepted. Our other product candidates are in earlier stages of drug development. As a result, we expect that it will be several years, if ever, before we have a commercialized product and generate revenue from product</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73"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We expect to continue to incur significant losses for the foreseeable future, and we expect these losses to increase substantially if and as we:</w:t>
      </w:r>
    </w:p>
    <w:p>
      <w:pPr>
        <w:spacing w:after="0" w:line="61" w:lineRule="exact"/>
        <w:rPr>
          <w:sz w:val="20"/>
          <w:szCs w:val="20"/>
          <w:color w:val="auto"/>
        </w:rPr>
      </w:pPr>
    </w:p>
    <w:p>
      <w:pPr>
        <w:jc w:val="both"/>
        <w:ind w:left="1600" w:right="1179" w:hanging="143"/>
        <w:spacing w:after="0" w:line="254" w:lineRule="auto"/>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advance the development of our lead product candidate, IMM-1-04, and our other product candidates through preclinical and clinical development, and, if approved by the FDA or other comparable foreign regulatory authorities, commercialization;</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incur manufacturing costs for our product candidates;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seek regulatory approvals for any of our product candidates that successfully complete clinical trials;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 our research and development activities to identify and develop new product candidates;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hire additional personnel;</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expand our operational, financial and management systems;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invest in measures to protect and expand our intellectual property;</w:t>
      </w:r>
    </w:p>
    <w:p>
      <w:pPr>
        <w:spacing w:after="0" w:line="91"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 a sales, marketing, medical affairs and distribution infrastructure to commercialize any product candidates for which we may obtain marketing approval and intend to commercialize;</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expand our manufacturing and develop our commercialization efforts;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operate as a public company.</w:t>
      </w:r>
    </w:p>
    <w:p>
      <w:pPr>
        <w:spacing w:after="0" w:line="124"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The net losses we incur may fluctuate significantly from quarter to quarter such that a period-to -period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44" w:lineRule="exact"/>
        <w:rPr>
          <w:sz w:val="20"/>
          <w:szCs w:val="20"/>
          <w:color w:val="auto"/>
        </w:rPr>
      </w:pPr>
    </w:p>
    <w:p>
      <w:pPr>
        <w:jc w:val="both"/>
        <w:ind w:left="1160" w:right="1179"/>
        <w:spacing w:after="0" w:line="328" w:lineRule="auto"/>
        <w:rPr>
          <w:sz w:val="20"/>
          <w:szCs w:val="20"/>
          <w:color w:val="auto"/>
        </w:rPr>
      </w:pPr>
      <w:r>
        <w:rPr>
          <w:rFonts w:ascii="Arial" w:cs="Arial" w:eastAsia="Arial" w:hAnsi="Arial"/>
          <w:sz w:val="12"/>
          <w:szCs w:val="12"/>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3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anticipated clinical trials are highly uncertain, we cannot reasonably estimate the actual amounts necessary to successfully complete the development and commercialization of any product candidate we develop. Following this offering, we also expect to incur additional costs associated with operating as a public company. Accordingly, it is likely that we will need to obtain substantial additional funding in order to maintain our continuing operations in the future.</w:t>
      </w:r>
    </w:p>
    <w:p>
      <w:pPr>
        <w:spacing w:after="0" w:line="100"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As of March 31, 2021, we had approximately $30.9 million in cash and cash equivalents. Based on our current business plans, we believe that the net proceeds from this offering, together with our existing cash and cash equivalents, will be sufficient to fund our operating expenses and capital expenditures</w:t>
      </w:r>
    </w:p>
    <w:p>
      <w:pPr>
        <w:spacing w:after="0" w:line="1"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requirements through . Our estimate as to how long we expect the net proceeds from this offering, together with our existing cash and cash equivalents, to be able to continue to fund our operating expenses and capital</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future funding requirements will depend on many factors, including, but not limited to:</w:t>
      </w:r>
    </w:p>
    <w:p>
      <w:pPr>
        <w:spacing w:after="0" w:line="91" w:lineRule="exact"/>
        <w:rPr>
          <w:sz w:val="20"/>
          <w:szCs w:val="20"/>
          <w:color w:val="auto"/>
        </w:rPr>
      </w:pPr>
    </w:p>
    <w:p>
      <w:pPr>
        <w:ind w:left="1600" w:hanging="143"/>
        <w:spacing w:after="0"/>
        <w:tabs>
          <w:tab w:leader="none" w:pos="1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initiation, progress, timeline, cost and results of our clinical trials for our product candidates;</w:t>
      </w:r>
    </w:p>
    <w:p>
      <w:pPr>
        <w:spacing w:after="0" w:line="91"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initiation, progress, timeline, cost and results of additional research and preclinical studies related to pipeline development and other research programs we initiate in the future;</w:t>
      </w:r>
    </w:p>
    <w:p>
      <w:pPr>
        <w:spacing w:after="0" w:line="38"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and timing of manufacturing activities as we advance our product candidates through preclinical and clinical development, and commercialization;</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potential expansion of our current development programs to seek new indications;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continued negative impact of the COVID-19 pandemic or future pandemics on our business;</w:t>
      </w:r>
    </w:p>
    <w:p>
      <w:pPr>
        <w:spacing w:after="0" w:line="80"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outcome, timing and cost of meeting regulatory requirements established by the FDA and other comparable foreign regulatory authorities;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of filing, prosecuting, defending and enforcing patent claims and other intellectual property rights, in-licensed or otherwise;</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payment of licensing fees, potential royalty payments and potential milestone payments;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of general operating expenses;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and timing of completion of commercial-scale manufacturing activities;</w:t>
      </w:r>
    </w:p>
    <w:p>
      <w:pPr>
        <w:spacing w:after="0" w:line="6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of establishing sales, marketing, and distribution capabilities for any product candidates for which we may receive regulatory approval in regions where we choose to commercialize our products on our own; and</w:t>
      </w:r>
    </w:p>
    <w:p>
      <w:pPr>
        <w:spacing w:after="0" w:line="56" w:lineRule="exact"/>
        <w:rPr>
          <w:rFonts w:ascii="Arial" w:cs="Arial" w:eastAsia="Arial" w:hAnsi="Arial"/>
          <w:sz w:val="15"/>
          <w:szCs w:val="15"/>
          <w:color w:val="auto"/>
        </w:rPr>
      </w:pPr>
    </w:p>
    <w:p>
      <w:pPr>
        <w:ind w:left="1600" w:hanging="143"/>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of operating as a public company.</w:t>
      </w:r>
    </w:p>
    <w:p>
      <w:pPr>
        <w:spacing w:after="0" w:line="12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We plan to use the net proceeds from this offering to advance IMM-1 -104 into clinical development, including to fund our anticipated Phase 1 clinical trial of IMM -1-104 for the treatment of advanced solid tumors in patients harboring RAS mutant tumors, and additional clinical trials; advance our other preclinical drug programs and the design and development of new product candidates, in oncology and neuroscience, and to advance these programs into IND-enabling studies that would support an IND filing for one or more product candidates; and for working capital and other general corporate purposes, including the continued advancement of our platform and hiring of additional staff as we expand our operations. Advancing the development of our product candidates will require a significant amount of capital. The net proceeds from this offering and our existing cash and cash equivalents will not be sufficient to fund all of the activities that are necessary to complete the development of our product candidates.</w:t>
      </w:r>
    </w:p>
    <w:p>
      <w:pPr>
        <w:spacing w:after="0" w:line="8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Additionally, the impact of the COVID-19 pandemic on the capital markets may affect the availability, amount and type of financing available to us in the future.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50"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71"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We may seek additional capital through a variety of means, including through public or private equity offering, debt financings or other sources, including up-front payments and milestone payments from strategic</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ability to use our net operating losses and other tax attributes may be limited.</w:t>
      </w:r>
    </w:p>
    <w:p>
      <w:pPr>
        <w:spacing w:after="0" w:line="113"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As of December 31, 2020, we had approximately $ 22.0 million of federal and $ 14.3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other ownership changes. If it is determined that we have in the past experienced other ownership changes, or if we undergo one or more ownership changes as a result of this offering or future transactions in our stock, which may be outside our control, then our ability to utilize NOLs and other pre -change tax attributes could be further limited by Sections 382 and 383 of the Code, and certain of our NOLs and other pre -change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Development, Regulatory Approval and Commercialization</w:t>
      </w:r>
    </w:p>
    <w:p>
      <w:pPr>
        <w:spacing w:after="0" w:line="183"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9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96"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Further, development of our product candidates and/or regulatory approval may be delayed for reasons beyond our control. For example, a U.S. federal government shutdown or budget sequestration, such as ones that occurred during 2013, 2018 and 2019, may result in significant reductions to the FDA’s budget, employees and operations, which may lead to slower response times and longer review periods, potentially affecting our ability to progress development of our product candidates or obtain regulatory approval for our product candidates.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Applications for our product candidates could fail to receive regulatory approval for many reasons, including the following:</w:t>
      </w:r>
    </w:p>
    <w:p>
      <w:pPr>
        <w:spacing w:after="0" w:line="50" w:lineRule="exact"/>
        <w:rPr>
          <w:sz w:val="20"/>
          <w:szCs w:val="20"/>
          <w:color w:val="auto"/>
        </w:rPr>
      </w:pPr>
    </w:p>
    <w:p>
      <w:pPr>
        <w:ind w:left="1600" w:right="1179" w:hanging="143"/>
        <w:spacing w:after="0" w:line="26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FDA or other comparable foreign regulatory authorities may disagree with the design, implementation or results of our clinical trials;</w:t>
      </w:r>
    </w:p>
    <w:p>
      <w:pPr>
        <w:spacing w:after="0" w:line="60"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population studied in the clinical trial may not be sufficiently broad or representative to assure efficacy and safety in the full population for which we seek approval;</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FDA or other comparable foreign regulatory authorities may disagree with our interpretation of data from preclinical studies or clinical trials;</w:t>
      </w:r>
    </w:p>
    <w:p>
      <w:pPr>
        <w:spacing w:after="0" w:line="4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67"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be unable to demonstrate to the FDA or other comparable foreign regulatory authorities that a product candidate’s risk-benefit ratio for its proposed indication is acceptable;</w:t>
      </w:r>
    </w:p>
    <w:p>
      <w:pPr>
        <w:spacing w:after="0" w:line="36" w:lineRule="exact"/>
        <w:rPr>
          <w:rFonts w:ascii="Arial" w:cs="Arial" w:eastAsia="Arial" w:hAnsi="Arial"/>
          <w:sz w:val="14"/>
          <w:szCs w:val="14"/>
          <w:color w:val="auto"/>
        </w:rPr>
      </w:pPr>
    </w:p>
    <w:p>
      <w:pPr>
        <w:jc w:val="both"/>
        <w:ind w:left="1600" w:right="1179" w:hanging="143"/>
        <w:spacing w:after="0" w:line="25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56"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approval policies or regulations of the FDA or other comparable foreign regulatory authorities may significantly change in a manner rendering our clinical data insufficient for approval.</w:t>
      </w:r>
    </w:p>
    <w:p>
      <w:pPr>
        <w:spacing w:after="0" w:line="70"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92"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55"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We may not be able to file INDs or IND amendments or comparable documents in foreign jurisdictions to commence additional clinical trials on the timelines we expect, and even if we are able to, the FDA may not permit us to proceed.</w:t>
      </w:r>
    </w:p>
    <w:p>
      <w:pPr>
        <w:spacing w:after="0" w:line="8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While we plan to submit INDs or comparable documents for our potential product candidates, we may not be able to file such INDs or comparable documents on the timeline we expect. For example, we may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55"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Our company has limited experience in designing clinical trials and may experience delays or unexpected difficulties in obtaining regulatory approval for our current and future product candidates.</w:t>
      </w:r>
    </w:p>
    <w:p>
      <w:pPr>
        <w:spacing w:after="0" w:line="3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We have limited experience in designing clinical trials and may be unable to design and execute a clinical trial to support marketing approval. We cannot be certain that our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52"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We may encounter substantial delays in completing, or ultimately be unable to complete, the development and commercialization of our product candidates.</w:t>
      </w:r>
    </w:p>
    <w:p>
      <w:pPr>
        <w:spacing w:after="0" w:line="9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99"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82"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68" w:lineRule="exact"/>
        <w:rPr>
          <w:sz w:val="20"/>
          <w:szCs w:val="20"/>
          <w:color w:val="auto"/>
        </w:rPr>
      </w:pPr>
    </w:p>
    <w:p>
      <w:pPr>
        <w:ind w:left="1600" w:right="1179" w:hanging="143"/>
        <w:spacing w:after="0" w:line="264" w:lineRule="auto"/>
        <w:tabs>
          <w:tab w:leader="none" w:pos="1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disagreeing as to the design or implementation of our clinical studies;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obtaining regulatory authorizations to commence a trial or reaching a consensus with regulatory authorities on trial design;</w:t>
      </w:r>
    </w:p>
    <w:p>
      <w:pPr>
        <w:spacing w:after="0" w:line="5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failure or delay in reaching an agreement with CROs and clinical trial sites, the terms of which can be subject to extensive negotiation and may vary significantly among different CROs and trial sites;</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obtaining approval from one or more institutional review boards, or IRBs;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IRBs refusing to approve, suspending or terminating the trial at an investigational site, precluding enrollment of additional subjects, or withdrawing their approval of the trial;</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delays in enrollment due to travel or quarantine policies, or other factors related to COVID-19, other pandemics or other events outside our control;</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to clinical trial protocol;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clinical sites deviating from trial protocol or dropping out of a trial;</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manufacturing sufficient quantities of product candidates or obtaining sufficient quantities of combination therapies for use in clinical trials;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subjects failing to enroll or remain in our trial at the rate we expect, or failing to return for post-treatment follow-up;</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subjects choosing an alternative treatment for the indication for which we are developing our product candidates, or participating in competing clinical trials;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lack of adequate funding to continue the clinical trial;</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subjects experiencing severe or unexpected drug-related adverse effects;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occurrence of serious adverse events in trials of the same class of agents conducted by other companies;</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selection of clinical end points that require prolonged periods of clinical observation or analysis of the resulting data;</w:t>
      </w:r>
    </w:p>
    <w:p>
      <w:pPr>
        <w:spacing w:after="0" w:line="59" w:lineRule="exact"/>
        <w:rPr>
          <w:rFonts w:ascii="Arial" w:cs="Arial" w:eastAsia="Arial" w:hAnsi="Arial"/>
          <w:sz w:val="15"/>
          <w:szCs w:val="15"/>
          <w:color w:val="auto"/>
        </w:rPr>
      </w:pPr>
    </w:p>
    <w:p>
      <w:pPr>
        <w:jc w:val="both"/>
        <w:ind w:left="1600" w:right="1179" w:hanging="143"/>
        <w:spacing w:after="0" w:line="249"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changes to our manufacturing process that may be necessary or desired;</w:t>
      </w:r>
    </w:p>
    <w:p>
      <w:pPr>
        <w:spacing w:after="0" w:line="9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third-party contractors not performing data collection or analysis in a timely or accurate manner; or</w:t>
      </w:r>
    </w:p>
    <w:p>
      <w:pPr>
        <w:spacing w:after="0" w:line="91" w:lineRule="exact"/>
        <w:rPr>
          <w:rFonts w:ascii="Arial" w:cs="Arial" w:eastAsia="Arial" w:hAnsi="Arial"/>
          <w:sz w:val="14"/>
          <w:szCs w:val="14"/>
          <w:color w:val="auto"/>
        </w:rPr>
      </w:pPr>
    </w:p>
    <w:p>
      <w:pPr>
        <w:jc w:val="both"/>
        <w:ind w:left="1600" w:right="1179" w:hanging="143"/>
        <w:spacing w:after="0" w:line="251"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02"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For instance, the ongoing COVID-19 pandemic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91"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to comply with these changes. Amendments may require us to resubmit our clinical trial protocols to IRBs for reexamination, which may impact the costs, timing or successful completion of a clinical trial.</w:t>
      </w:r>
    </w:p>
    <w:p>
      <w:pPr>
        <w:spacing w:after="0" w:line="60"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9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Additionally, if the results of our clinical trials are inconclusive or if there are safety concerns or serious adverse events associated with our product candidates, we may:</w:t>
      </w:r>
    </w:p>
    <w:p>
      <w:pPr>
        <w:spacing w:after="0" w:line="61" w:lineRule="exact"/>
        <w:rPr>
          <w:sz w:val="20"/>
          <w:szCs w:val="20"/>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delayed in obtaining marketing approval, if at all;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102"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required to perform additional clinical trials to support approval or be subject to additional post-marketing testing requirements;</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have regulatory authorities withdraw, or suspend, their approval of the drug or impose restrictions on its distribution in the form of a modified REMS;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subject to the addition of labeling statements, such as warnings or contraindications;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sued;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experience damage to our reputation.</w:t>
      </w:r>
    </w:p>
    <w:p>
      <w:pPr>
        <w:spacing w:after="0" w:line="1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05"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94"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80"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able to bring products to market before we do, and the commercial viability of our product candidates could be significantly reduced. Any of these occurrences may harm our business, financial condition and prospects significantly.</w:t>
      </w:r>
    </w:p>
    <w:p>
      <w:pPr>
        <w:spacing w:after="0" w:line="155"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8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pacing w:after="0" w:line="101"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94"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8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54"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00"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From time to time, we may publicly disclose preliminary or top-line data from our preclinical studies and clinical trials, which is based on a preliminary analysis of then-available data, and the results and related</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 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92"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trading price of our Class A common stock.</w:t>
      </w:r>
    </w:p>
    <w:p>
      <w:pPr>
        <w:spacing w:after="0" w:line="102"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51"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88"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92"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03"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91"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 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96"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66" w:lineRule="exact"/>
        <w:rPr>
          <w:sz w:val="20"/>
          <w:szCs w:val="20"/>
          <w:color w:val="auto"/>
        </w:rPr>
      </w:pPr>
    </w:p>
    <w:p>
      <w:pPr>
        <w:ind w:left="1600" w:right="117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be forced to suspend marketing of that product, or be forced to or decide to remove the product form the marketplace;</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regulatory authorities may withdraw or change their approvals of that product in one or more countries;</w:t>
      </w:r>
    </w:p>
    <w:p>
      <w:pPr>
        <w:spacing w:after="0" w:line="60"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the product for patients, or to conduct post-marketing studies;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be required to change the way the product is administered;</w:t>
      </w:r>
    </w:p>
    <w:p>
      <w:pPr>
        <w:spacing w:after="0" w:line="8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could be subject to fines, injunctions, or the imposition of criminal or civil penalties, or to be sued and held liable for harm caused to subjects or patients;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product may become less competitive, and our reputation may suffer.</w:t>
      </w:r>
    </w:p>
    <w:p>
      <w:pPr>
        <w:spacing w:after="0" w:line="124"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55"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60"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89"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55" w:lineRule="exact"/>
        <w:rPr>
          <w:sz w:val="20"/>
          <w:szCs w:val="20"/>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size and nature of the patient population;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severity of the disease under investigation;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availability and efficacy of approved drugs for the disease under investigation;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patient eligibility criteria for the trial in question as defined in the protocol;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perceived risks and benefits of the product candidate under study;</w:t>
      </w:r>
    </w:p>
    <w:p>
      <w:pPr>
        <w:spacing w:after="0" w:line="9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efforts to facilitate timely enrollment in clinical trials;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patient referral practices of physicians;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proximity and availability of clinical trial sites for prospective patients;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continued enrollment of prospective patients by clinical trial sites;</w:t>
      </w:r>
    </w:p>
    <w:p>
      <w:pPr>
        <w:spacing w:after="0" w:line="9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risk that patients enrolled in clinical trials will drop out of the trials before completion or, because they may be late-stage cancer patients, will not survive the full terms of the clinical trials; and</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delays or difficulties in enrollment and completion of studies due to the COVID-19 pandemic or any future pandemic.</w:t>
      </w:r>
    </w:p>
    <w:p>
      <w:pPr>
        <w:spacing w:after="0" w:line="82"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61" w:lineRule="exact"/>
        <w:rPr>
          <w:sz w:val="20"/>
          <w:szCs w:val="20"/>
          <w:color w:val="auto"/>
        </w:rPr>
      </w:pPr>
    </w:p>
    <w:p>
      <w:pPr>
        <w:jc w:val="both"/>
        <w:ind w:left="1160" w:right="1179"/>
        <w:spacing w:after="0" w:line="341" w:lineRule="auto"/>
        <w:rPr>
          <w:sz w:val="20"/>
          <w:szCs w:val="20"/>
          <w:color w:val="auto"/>
        </w:rPr>
      </w:pPr>
      <w:r>
        <w:rPr>
          <w:rFonts w:ascii="Arial" w:cs="Arial" w:eastAsia="Arial" w:hAnsi="Arial"/>
          <w:sz w:val="13"/>
          <w:szCs w:val="13"/>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48"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50" w:lineRule="exact"/>
        <w:rPr>
          <w:sz w:val="20"/>
          <w:szCs w:val="20"/>
          <w:color w:val="auto"/>
        </w:rPr>
      </w:pPr>
    </w:p>
    <w:p>
      <w:pPr>
        <w:ind w:left="1600" w:hanging="143"/>
        <w:spacing w:after="0"/>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efficacy and safety profile as demonstrated in clinical trials compared to alternative treatments;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timing of market introduction of the product candidate as well as competitive products;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clinical indications for which the product candidate is approved;</w:t>
      </w:r>
    </w:p>
    <w:p>
      <w:pPr>
        <w:spacing w:after="0" w:line="9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restrictions on the use of our product candidates, such as boxed warnings or contraindications in labeling, or a REMS, if any, which may not be required of alternative treatments and competitor products;</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potential and perceived advantages of product candidates over alternative treatments;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 of treatment in relation to alternative treatments;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availability of coverage and adequate reimbursement, as well as pricing, by third-party payors, including government authorities;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availability of the approved product candidate for use as a combination therapy;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relative convenience and ease of administration;</w:t>
      </w:r>
    </w:p>
    <w:p>
      <w:pPr>
        <w:spacing w:after="0" w:line="8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effectiveness of sales and marketing efforts;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unfavorable publicity relating to our products or product candidates or similar approved products or product candidates in development by third parties; and</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approval of other new therapies for the same indications.</w:t>
      </w:r>
    </w:p>
    <w:p>
      <w:pPr>
        <w:spacing w:after="0" w:line="124"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5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We may be unable to obtain U.S. or foreign regulatory approvals and, as a result, may be unable to commercialize our product candidates.</w:t>
      </w:r>
    </w:p>
    <w:p>
      <w:pPr>
        <w:spacing w:after="0" w:line="94"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92"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95"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99"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390" w:lineRule="auto"/>
        <w:rPr>
          <w:sz w:val="20"/>
          <w:szCs w:val="20"/>
          <w:color w:val="auto"/>
        </w:rPr>
      </w:pPr>
      <w:r>
        <w:rPr>
          <w:rFonts w:ascii="Arial" w:cs="Arial" w:eastAsia="Arial" w:hAnsi="Arial"/>
          <w:sz w:val="12"/>
          <w:szCs w:val="12"/>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and preclinical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09"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We have not commenced clinical trials for any product candidates developed with our DCT platform. 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not tested any of the product candidates being developed using our DCT platform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9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86"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99"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We may develop our current and future product candidates in combination with other therapies, which exposes us to additional risks.</w:t>
      </w:r>
    </w:p>
    <w:p>
      <w:pPr>
        <w:spacing w:after="0" w:line="82"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94"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97"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8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57" w:lineRule="exact"/>
        <w:rPr>
          <w:sz w:val="20"/>
          <w:szCs w:val="20"/>
          <w:color w:val="auto"/>
        </w:rPr>
      </w:pPr>
    </w:p>
    <w:p>
      <w:pPr>
        <w:jc w:val="both"/>
        <w:ind w:left="1160" w:right="1179"/>
        <w:spacing w:after="0" w:line="322" w:lineRule="auto"/>
        <w:rPr>
          <w:sz w:val="20"/>
          <w:szCs w:val="20"/>
          <w:color w:val="auto"/>
        </w:rPr>
      </w:pPr>
      <w:r>
        <w:rPr>
          <w:rFonts w:ascii="Arial" w:cs="Arial" w:eastAsia="Arial" w:hAnsi="Arial"/>
          <w:sz w:val="12"/>
          <w:szCs w:val="12"/>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5"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90"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56" w:lineRule="exact"/>
        <w:rPr>
          <w:sz w:val="20"/>
          <w:szCs w:val="20"/>
          <w:color w:val="auto"/>
        </w:rPr>
      </w:pPr>
    </w:p>
    <w:p>
      <w:pPr>
        <w:jc w:val="both"/>
        <w:ind w:left="1160" w:right="1179"/>
        <w:spacing w:after="0" w:line="390" w:lineRule="auto"/>
        <w:rPr>
          <w:sz w:val="20"/>
          <w:szCs w:val="20"/>
          <w:color w:val="auto"/>
        </w:rPr>
      </w:pPr>
      <w:r>
        <w:rPr>
          <w:rFonts w:ascii="Arial" w:cs="Arial" w:eastAsia="Arial" w:hAnsi="Arial"/>
          <w:sz w:val="12"/>
          <w:szCs w:val="12"/>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w:t>
      </w:r>
    </w:p>
    <w:p>
      <w:pPr>
        <w:spacing w:after="0" w:line="183" w:lineRule="exact"/>
        <w:rPr>
          <w:sz w:val="20"/>
          <w:szCs w:val="20"/>
          <w:color w:val="auto"/>
        </w:rPr>
      </w:pPr>
    </w:p>
    <w:p>
      <w:pPr>
        <w:jc w:val="both"/>
        <w:ind w:left="1160" w:right="1179"/>
        <w:spacing w:after="0" w:line="297" w:lineRule="auto"/>
        <w:rPr>
          <w:sz w:val="20"/>
          <w:szCs w:val="20"/>
          <w:color w:val="auto"/>
        </w:rPr>
      </w:pPr>
      <w:r>
        <w:rPr>
          <w:rFonts w:ascii="Arial" w:cs="Arial" w:eastAsia="Arial" w:hAnsi="Arial"/>
          <w:sz w:val="13"/>
          <w:szCs w:val="13"/>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75"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We are early in our development efforts and we have not yet completed our IND-enabling studies for our lead product candidate, IMM-1-104. Our other product candidates are in earlier stages of drug development. We have invested substantially all of our efforts and financial resources in the identification of targets and preclinical development of small molecules targeting the MAPK and mTOR pathways in cancer therapy and small molecules targeting central nervous system disorders, including AD.</w:t>
      </w:r>
    </w:p>
    <w:p>
      <w:pPr>
        <w:spacing w:after="0" w:line="80"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The success of our current and future product candidates will depend on several factors, including the following:</w:t>
      </w:r>
    </w:p>
    <w:p>
      <w:pPr>
        <w:spacing w:after="0" w:line="50" w:lineRule="exact"/>
        <w:rPr>
          <w:sz w:val="20"/>
          <w:szCs w:val="20"/>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successful and timely completion of additional preclinical studies;</w:t>
      </w:r>
    </w:p>
    <w:p>
      <w:pPr>
        <w:spacing w:after="0" w:line="91"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successful initiation, patient enrollment and completion of our anticipated clinical trials on a timely basis, including any delays arising out of the COVID-19 pandemic or any future pandemic;</w:t>
      </w:r>
    </w:p>
    <w:p>
      <w:pPr>
        <w:spacing w:after="0" w:line="36"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maintaining and establishing relationships with CROs and clinical sites for clinical development, both in the United States and internationally;</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frequency and severity of adverse events in the clinical trials;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efficacy, safety and tolerability profiles that are satisfactory to the FDA or any comparable foreign regulatory authority for marketing approval;</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timely receipt of marketing approvals from applicable regulatory authorities;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extent of any required post-marketing approval commitments to applicable regulatory authorities;</w:t>
      </w:r>
    </w:p>
    <w:p>
      <w:pPr>
        <w:spacing w:after="0" w:line="102"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maintenance of existing or the establishment of new supply arrangements with third-party drug product suppliers and manufacturers for clinical development;</w:t>
      </w:r>
    </w:p>
    <w:p>
      <w:pPr>
        <w:spacing w:after="0" w:line="60"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obtaining and maintaining patent protection, trade secret protection and regulatory exclusivity, both in the United States and internationally;</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protection of our rights in our intellectual property portfolio;</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successful launch of commercial sales following any marketing approval;</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continued acceptable safety profile following any marketing approval;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commercial acceptance by patients, the medical community and third-party payors;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compete with other therapies.</w:t>
      </w:r>
    </w:p>
    <w:p>
      <w:pPr>
        <w:spacing w:after="0" w:line="124"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146"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89" w:lineRule="exact"/>
        <w:rPr>
          <w:sz w:val="20"/>
          <w:szCs w:val="20"/>
          <w:color w:val="auto"/>
        </w:rPr>
      </w:pPr>
    </w:p>
    <w:p>
      <w:pPr>
        <w:jc w:val="both"/>
        <w:ind w:left="1160" w:right="1179"/>
        <w:spacing w:after="0" w:line="231" w:lineRule="auto"/>
        <w:rPr>
          <w:sz w:val="20"/>
          <w:szCs w:val="20"/>
          <w:color w:val="auto"/>
        </w:rPr>
      </w:pPr>
      <w:r>
        <w:rPr>
          <w:rFonts w:ascii="Arial" w:cs="Arial" w:eastAsia="Arial" w:hAnsi="Arial"/>
          <w:sz w:val="15"/>
          <w:szCs w:val="15"/>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 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55"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37"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9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success of the product candidates we have or may develop will depend on many factors, including the following:</w:t>
      </w:r>
    </w:p>
    <w:p>
      <w:pPr>
        <w:spacing w:after="0" w:line="61" w:lineRule="exact"/>
        <w:rPr>
          <w:sz w:val="20"/>
          <w:szCs w:val="20"/>
          <w:color w:val="auto"/>
        </w:rPr>
      </w:pPr>
    </w:p>
    <w:p>
      <w:pPr>
        <w:ind w:left="1600" w:hanging="143"/>
        <w:spacing w:after="0"/>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success of our research methodology in identifying potential indications or product candidates;</w:t>
      </w:r>
    </w:p>
    <w:p>
      <w:pPr>
        <w:spacing w:after="0" w:line="80" w:lineRule="exact"/>
        <w:rPr>
          <w:rFonts w:ascii="Arial" w:cs="Arial" w:eastAsia="Arial" w:hAnsi="Arial"/>
          <w:sz w:val="14"/>
          <w:szCs w:val="14"/>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generating sufficient data to support the initiation or continuation of clinical trials;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obtaining regulatory permission to initiate clinical trials;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contracting with the necessary parties to conduct clinical trials;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successful enrollment of patients in, and the completion of, clinical trials on a timely basis;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timely manufacture of sufficient quantities of the product candidate for use in clinical trials;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adverse events in the clinical trials; and</w:t>
      </w:r>
    </w:p>
    <w:p>
      <w:pPr>
        <w:spacing w:after="0" w:line="8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potential interruptions or delays resulting from factors related to the COVID-19 pandemic or any future pandemic.</w:t>
      </w:r>
    </w:p>
    <w:p>
      <w:pPr>
        <w:spacing w:after="0" w:line="82"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43" w:lineRule="exact"/>
        <w:rPr>
          <w:sz w:val="20"/>
          <w:szCs w:val="20"/>
          <w:color w:val="auto"/>
        </w:rPr>
      </w:pPr>
    </w:p>
    <w:p>
      <w:pPr>
        <w:jc w:val="both"/>
        <w:ind w:left="1160" w:right="1179"/>
        <w:spacing w:after="0" w:line="370" w:lineRule="auto"/>
        <w:rPr>
          <w:sz w:val="20"/>
          <w:szCs w:val="20"/>
          <w:color w:val="auto"/>
        </w:rPr>
      </w:pPr>
      <w:r>
        <w:rPr>
          <w:rFonts w:ascii="Arial" w:cs="Arial" w:eastAsia="Arial" w:hAnsi="Arial"/>
          <w:sz w:val="12"/>
          <w:szCs w:val="12"/>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5"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77" w:lineRule="exact"/>
        <w:rPr>
          <w:sz w:val="20"/>
          <w:szCs w:val="20"/>
          <w:color w:val="auto"/>
        </w:rPr>
      </w:pPr>
    </w:p>
    <w:p>
      <w:pPr>
        <w:jc w:val="both"/>
        <w:ind w:left="1160" w:right="1179"/>
        <w:spacing w:after="0" w:line="273" w:lineRule="auto"/>
        <w:rPr>
          <w:sz w:val="20"/>
          <w:szCs w:val="20"/>
          <w:color w:val="auto"/>
        </w:rPr>
      </w:pPr>
      <w:r>
        <w:rPr>
          <w:rFonts w:ascii="Arial" w:cs="Arial" w:eastAsia="Arial" w:hAnsi="Arial"/>
          <w:sz w:val="13"/>
          <w:szCs w:val="13"/>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 -consuming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34"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00"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The pharmaceutical and biotechnology industries are characterized by rapidly advancing technologies, intense competition and a strong emphasis on proprietary and novel products and product candidates. Our</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8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and neuroscience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95"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spacing w:after="0" w:line="105"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52"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If the market opportunity for any product candidate that we develop is smaller than we believe, our revenue may be adversely affected and our business may suffer.</w:t>
      </w:r>
    </w:p>
    <w:p>
      <w:pPr>
        <w:spacing w:after="0" w:line="82"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5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We have never obtained marketing approval for a product candidate and we may be unable to obtain, or may be delayed in obtaining, marketing approval for any product candidate.</w:t>
      </w:r>
    </w:p>
    <w:p>
      <w:pPr>
        <w:spacing w:after="0" w:line="83"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We believe our approach of treating conditions or diseases through neuroregeneration is novel and, as a result, the process for, and the outcome of, FDA approval is especially uncertain.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00"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57"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The COVID-19 pandemic and potential future pandemics could continue to adversely impact our business, including our anticipated clinical trials, supply chain and business development activities.</w:t>
      </w:r>
    </w:p>
    <w:p>
      <w:pPr>
        <w:spacing w:after="0" w:line="4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including limiting non -essential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We may experience limitations on employee resources in the future, including because of sickness of employees or their families. The effects of government actions and our own policies and those of third parties to reduce the spread of COVID-19 may negatively impact productivity and slow down or delay our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8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As COVID-19 continues to spread, we may experience ongoing disruptions that could severely impact our business, preclinical studies and clinical trials, including:</w:t>
      </w:r>
    </w:p>
    <w:p>
      <w:pPr>
        <w:spacing w:after="0" w:line="61" w:lineRule="exact"/>
        <w:rPr>
          <w:sz w:val="20"/>
          <w:szCs w:val="20"/>
          <w:color w:val="auto"/>
        </w:rPr>
      </w:pPr>
    </w:p>
    <w:p>
      <w:pPr>
        <w:ind w:left="1600" w:right="1179" w:hanging="143"/>
        <w:spacing w:after="0" w:line="26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interruption or delays in our operations, which may impact our ability to conduct and produce preclinical results required for submission of an IND;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delays in receiving approval from local regulatory authorities to initiate our planned clinical trials;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delays or difficulties in enrolling patients in our clinical trials;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delays or difficulties in clinical site initiation, including difficulties in recruiting clinical site investigators and clinical site staff;</w:t>
      </w:r>
    </w:p>
    <w:p>
      <w:pPr>
        <w:spacing w:after="0" w:line="49"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delays in clinical sites receiving the supplies and materials needed to conduct our clinical trials, including interruption in global shipping that may affect the transport of clinical trial materials;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0" w:right="1179" w:hanging="143"/>
        <w:spacing w:after="0" w:line="25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67"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diversion of healthcare resources away from the conduct of clinical trials, including the diversion of hospitals serving as our clinical trial sites and hospital staff supporting the conduct of our clinical trials;</w:t>
      </w:r>
    </w:p>
    <w:p>
      <w:pPr>
        <w:spacing w:after="0" w:line="56"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interruption or delays in the operations of the FDA or other regulatory authorities, which may impact review and approval timelines;</w:t>
      </w:r>
    </w:p>
    <w:p>
      <w:pPr>
        <w:spacing w:after="0" w:line="5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risk that participants enrolled in our clinical trials will acquire COVID-19 while the clinical trial is ongoing, which could impact the results of the clinical trial, including by increasing the number of observed adverse events; and</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refusal of the FDA to accept data from clinical trials in affected geographies.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These and other disruptions in our operations and the global economy could negatively impact our business, results of operations and financial condition.</w:t>
      </w:r>
    </w:p>
    <w:p>
      <w:pPr>
        <w:spacing w:after="0" w:line="8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Our future clinical trials may be affected by the COVID-19 pandemic or any future pandemic. For example, some clinical trial sites have slowed down or stopped further enrollment of new patients in clinical trials, denied access to site monitors and otherwise curtailed certain operations. Similarly, our ability to recruit and retain principal investigators and site staff who, as healthcare providers, may have heightened exposure to COVID-19, may be adversely impacted. Our planned clinical trials may also be impacted by interruptions or delays in the operations of the FDA and comparable foreign regulatory agencies. We and our CROs will act in accordance with the guidance issued by the FDA in our future clinical trials to ensure the monitoring and safety of patients and minimize risks to trial integrity during the COVID -19 pandemic. This may have unforeseen effects on the enrollment, progress and completion of these trials and the findings. These events could delay our clinical trials, increase the cost of completing our clinical trials and negatively impact the integrity, reliability or robustness of the data from our clinical trials.</w:t>
      </w:r>
    </w:p>
    <w:p>
      <w:pPr>
        <w:spacing w:after="0" w:line="96"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In addition, quarantines, shelter-in -place and similar government orders, or the perception that such orders, shutdowns or other restrictions on the conduct of business operations could occur, related to COVID-19 or other infectious diseases could impact personnel at third-party manufacturing facilities upon which we may rely in the future, or the availability or cost of materials, which could disrupt the supply chain for our product candidates. To the extent our future suppliers and service providers are unable to comply with their obligations under our future agreements with them or they are otherwise unable to deliver or are delayed in delivering goods and services to us due to the COVID-19 pandemic, our future ability to continue meeting clinical supply demand for our product candidates or otherwise advancing development of our product candidates may become impaired.</w:t>
      </w:r>
    </w:p>
    <w:p>
      <w:pPr>
        <w:spacing w:after="0" w:line="103"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COVID-19 pandemic. As a result, we may face difficulties raising capital through sales of our Class A common stock or such sales may be on unfavorable terms.</w:t>
      </w:r>
    </w:p>
    <w:p>
      <w:pPr>
        <w:spacing w:after="0" w:line="80"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COVID-19 and actions taken to reduce its spread continue to rapidly evolve. The extent to which COVID-19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COVID-19 pandemic adversely affects our business and financial results, it may</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also have the effect of heightening many of the other risks described in this “Risk Factors” section, such as those relating to the timing and results of our clinical trials and our financing needs.</w:t>
      </w:r>
    </w:p>
    <w:p>
      <w:pPr>
        <w:spacing w:after="0" w:line="14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We may fail to adequately meet the requirements under our computational biology service contracts to pharmaceutical and biotechnology companies, which may harm our reputation, growth opportunities and prospects, possibly resulting in related losses.</w:t>
      </w:r>
    </w:p>
    <w:p>
      <w:pPr>
        <w:spacing w:after="0" w:line="8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Over a decade ago, we began to offer computational biology services to pharmaceutical and biotechnology companies. We have deprioritized this business and plan to gradually wind down our computational biology services to pharmaceutical and biotechnology companies in the future. However, we are currently servicing several companies and in doing so, we must:</w:t>
      </w:r>
    </w:p>
    <w:p>
      <w:pPr>
        <w:spacing w:after="0" w:line="69" w:lineRule="exact"/>
        <w:rPr>
          <w:sz w:val="20"/>
          <w:szCs w:val="20"/>
          <w:color w:val="auto"/>
        </w:rPr>
      </w:pPr>
    </w:p>
    <w:p>
      <w:pPr>
        <w:ind w:left="1600" w:hanging="143"/>
        <w:spacing w:after="0"/>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accurately assess and meet the customer’s needs;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ensure our computational biology services meet industry standards and practices for performance of similar services;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retain the proper personnel to fulfill these service contracts;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compete effectively with other computational biology service providers performing similar services.</w:t>
      </w:r>
    </w:p>
    <w:p>
      <w:pPr>
        <w:spacing w:after="0" w:line="125"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If we fail to adequately meet the requirements under our computational biology service contracts to our typical high standards, our reputation, growth opportunities and prospects could be adversely affected, possibly resulting in related losses. In addition, as is typical for contracts of this nature, there are inherent legal risks and potential liabilities associated with our work under each of our past, present and future contracts.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Relating to Our Dependence on Third Parties</w:t>
      </w:r>
    </w:p>
    <w:p>
      <w:pPr>
        <w:spacing w:after="0" w:line="183" w:lineRule="exact"/>
        <w:rPr>
          <w:sz w:val="20"/>
          <w:szCs w:val="20"/>
          <w:color w:val="auto"/>
        </w:rPr>
      </w:pPr>
    </w:p>
    <w:p>
      <w:pPr>
        <w:jc w:val="both"/>
        <w:ind w:left="1160" w:right="1179"/>
        <w:spacing w:after="0" w:line="279" w:lineRule="auto"/>
        <w:rPr>
          <w:sz w:val="20"/>
          <w:szCs w:val="20"/>
          <w:color w:val="auto"/>
        </w:rPr>
      </w:pPr>
      <w:r>
        <w:rPr>
          <w:rFonts w:ascii="Arial" w:cs="Arial" w:eastAsia="Arial" w:hAnsi="Arial"/>
          <w:sz w:val="13"/>
          <w:szCs w:val="13"/>
          <w:b w:val="1"/>
          <w:bCs w:val="1"/>
          <w:i w:val="1"/>
          <w:iCs w:val="1"/>
          <w:color w:val="auto"/>
        </w:rPr>
        <w:t>We substantially rely, and expect to continue to rely, on third parties, including independent clinical investigators and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7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9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including quarantines and shelter-in-place orders. These third parties may also have relationships with other commercial entities, including our competitors, for whom they may also be conducting</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84"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8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If any of our relationships with these third- 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50" w:lineRule="exact"/>
        <w:rPr>
          <w:sz w:val="20"/>
          <w:szCs w:val="20"/>
          <w:color w:val="auto"/>
        </w:rPr>
      </w:pPr>
    </w:p>
    <w:p>
      <w:pPr>
        <w:jc w:val="both"/>
        <w:ind w:left="1160" w:right="1179"/>
        <w:spacing w:after="0" w:line="328" w:lineRule="auto"/>
        <w:rPr>
          <w:sz w:val="20"/>
          <w:szCs w:val="20"/>
          <w:color w:val="auto"/>
        </w:rPr>
      </w:pPr>
      <w:r>
        <w:rPr>
          <w:rFonts w:ascii="Arial" w:cs="Arial" w:eastAsia="Arial" w:hAnsi="Arial"/>
          <w:sz w:val="12"/>
          <w:szCs w:val="12"/>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4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84"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47"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48"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3"/>
          <w:szCs w:val="13"/>
          <w:color w:val="auto"/>
        </w:rPr>
        <w:t>We may face significant competition in seeking appropriate collaborators and the related negotiation process is time -consuming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71"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8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50"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00"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w:t>
      </w:r>
    </w:p>
    <w:p>
      <w:pPr>
        <w:spacing w:after="0" w:line="91"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56" w:lineRule="exact"/>
        <w:rPr>
          <w:sz w:val="20"/>
          <w:szCs w:val="20"/>
          <w:color w:val="auto"/>
        </w:rPr>
      </w:pPr>
    </w:p>
    <w:p>
      <w:pPr>
        <w:ind w:left="1600" w:right="1179" w:hanging="143"/>
        <w:spacing w:after="0" w:line="264"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 and may not perform their obligations as expected;</w:t>
      </w:r>
    </w:p>
    <w:p>
      <w:pPr>
        <w:spacing w:after="0" w:line="49" w:lineRule="exact"/>
        <w:rPr>
          <w:rFonts w:ascii="Arial" w:cs="Arial" w:eastAsia="Arial" w:hAnsi="Arial"/>
          <w:sz w:val="15"/>
          <w:szCs w:val="15"/>
          <w:color w:val="auto"/>
        </w:rPr>
      </w:pPr>
    </w:p>
    <w:p>
      <w:pPr>
        <w:jc w:val="both"/>
        <w:ind w:left="1600" w:right="1179" w:hanging="143"/>
        <w:spacing w:after="0" w:line="271"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46" w:lineRule="exact"/>
        <w:rPr>
          <w:rFonts w:ascii="Arial" w:cs="Arial" w:eastAsia="Arial" w:hAnsi="Arial"/>
          <w:sz w:val="14"/>
          <w:szCs w:val="14"/>
          <w:color w:val="auto"/>
        </w:rPr>
      </w:pPr>
    </w:p>
    <w:p>
      <w:pPr>
        <w:jc w:val="both"/>
        <w:ind w:left="1600" w:right="1179" w:hanging="143"/>
        <w:spacing w:after="0" w:line="254"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spacing w:after="0" w:line="248" w:lineRule="auto"/>
        <w:rPr>
          <w:sz w:val="20"/>
          <w:szCs w:val="20"/>
          <w:color w:val="auto"/>
        </w:rPr>
      </w:pPr>
      <w:r>
        <w:rPr>
          <w:rFonts w:ascii="Arial" w:cs="Arial" w:eastAsia="Arial" w:hAnsi="Arial"/>
          <w:sz w:val="15"/>
          <w:szCs w:val="15"/>
          <w:color w:val="auto"/>
        </w:rPr>
        <w:t>are more likely to be successfully developed or can be commercialized under terms that are more economically attractive than ours;</w:t>
      </w:r>
    </w:p>
    <w:p>
      <w:pPr>
        <w:spacing w:after="0" w:line="50" w:lineRule="exact"/>
        <w:rPr>
          <w:sz w:val="20"/>
          <w:szCs w:val="20"/>
          <w:color w:val="auto"/>
        </w:rPr>
      </w:pPr>
    </w:p>
    <w:p>
      <w:pPr>
        <w:ind w:left="1600" w:right="117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multiple products may not commit sufficient resources to the marketing and distribution of our product relative to other products;</w:t>
      </w:r>
    </w:p>
    <w:p>
      <w:pPr>
        <w:spacing w:after="0" w:line="60" w:lineRule="exact"/>
        <w:rPr>
          <w:rFonts w:ascii="Arial" w:cs="Arial" w:eastAsia="Arial" w:hAnsi="Arial"/>
          <w:sz w:val="15"/>
          <w:szCs w:val="15"/>
          <w:color w:val="auto"/>
        </w:rPr>
      </w:pPr>
    </w:p>
    <w:p>
      <w:pPr>
        <w:jc w:val="both"/>
        <w:ind w:left="1600" w:right="1179" w:hanging="143"/>
        <w:spacing w:after="0" w:line="249"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collaborations may be terminated and, if terminated, may result in a need for additional capital to pursue further development or commercialization of the applicable product candidates;</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collaboration agreements may not lead to development or commercialization of product candidates in the most efficient manner or at all; and</w:t>
      </w:r>
    </w:p>
    <w:p>
      <w:pPr>
        <w:spacing w:after="0" w:line="4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a collaborator of ours were to be involved in a business combination, the continued pursuit and emphasis on our drug development or commercialization program could be delayed, diminished or terminated.</w:t>
      </w:r>
    </w:p>
    <w:p>
      <w:pPr>
        <w:spacing w:after="0" w:line="156"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00"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Manufacturing</w:t>
      </w:r>
    </w:p>
    <w:p>
      <w:pPr>
        <w:spacing w:after="0" w:line="183" w:lineRule="exact"/>
        <w:rPr>
          <w:sz w:val="20"/>
          <w:szCs w:val="20"/>
          <w:color w:val="auto"/>
        </w:rPr>
      </w:pPr>
    </w:p>
    <w:p>
      <w:pPr>
        <w:jc w:val="both"/>
        <w:ind w:left="1160" w:right="1179"/>
        <w:spacing w:after="0" w:line="328" w:lineRule="auto"/>
        <w:rPr>
          <w:sz w:val="20"/>
          <w:szCs w:val="20"/>
          <w:color w:val="auto"/>
        </w:rPr>
      </w:pPr>
      <w:r>
        <w:rPr>
          <w:rFonts w:ascii="Arial" w:cs="Arial" w:eastAsia="Arial" w:hAnsi="Arial"/>
          <w:sz w:val="12"/>
          <w:szCs w:val="12"/>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49"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Manufacturing drugs, especially in large quantities, is complex and may require the use of innovative technologies. Each lot of an approved drug product must undergo thorough testing for identity, strength,</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57"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b w:val="1"/>
          <w:bCs w:val="1"/>
          <w:i w:val="1"/>
          <w:iCs w:val="1"/>
          <w:color w:val="auto"/>
        </w:rPr>
        <w:t>We contract with third parties for the manufacture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80"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9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2" w:lineRule="exact"/>
        <w:rPr>
          <w:sz w:val="20"/>
          <w:szCs w:val="20"/>
          <w:color w:val="auto"/>
        </w:rPr>
      </w:pPr>
    </w:p>
    <w:p>
      <w:pPr>
        <w:jc w:val="both"/>
        <w:ind w:left="1600" w:right="1179" w:hanging="143"/>
        <w:spacing w:after="0" w:line="251"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reduction or termination of production or deliveries by suppliers, or the raising of prices or renegotiation of terms;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termination or nonrenewal of arrangements or agreements by our third-party contractors at a time that is costly or inconvenient for us;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breach by the third-party contractors of our agreements with them;</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failure of third-party contractors to comply with applicable regulatory requirements;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failure of the third party to manufacture our product candidates according to our specifications;</w:t>
      </w:r>
    </w:p>
    <w:p>
      <w:pPr>
        <w:spacing w:after="0" w:line="102"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mislabeling of clinical supplies, potentially resulting in the wrong dose amounts being supplied or active drug or placebo not being properly identified;</w:t>
      </w:r>
    </w:p>
    <w:p>
      <w:pPr>
        <w:spacing w:after="0" w:line="5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clinical supplies not being delivered to clinical sites on time, leading to clinical trial interruptions, or of drug supplies not being distributed to commercial vendors in a timely manner, resulting in lost sales; and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  the misappropriation of our proprietary information, including our trade secrets and know-how.</w:t>
      </w:r>
    </w:p>
    <w:p>
      <w:pPr>
        <w:spacing w:after="0" w:line="11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9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COVID-19 pandemic,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95"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68" w:lineRule="exact"/>
        <w:rPr>
          <w:sz w:val="20"/>
          <w:szCs w:val="20"/>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inability to meet our product specifications and quality requirements consistently;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inability to initiate or continue clinical trials of our product candidates under development;</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delays in submitting regulatory applications, or receiving marketing approvals, for our product candidates, if at all;</w:t>
      </w:r>
    </w:p>
    <w:p>
      <w:pPr>
        <w:spacing w:after="0" w:line="70"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inability to commercialize any product candidates that receive marketing approval on a timely basis;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loss of the cooperation of future collaborators;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subjecting third-party manufacturing facilities or our manufacturing facilities to additional inspections by regulatory authorities;</w:t>
      </w:r>
    </w:p>
    <w:p>
      <w:pPr>
        <w:spacing w:after="0" w:line="70"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requirements to cease development or to recall batches of our product candidates;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the event of approval to market and commercialize our product candidates, an inability to meet commercial demands for our product or any other future product candidates; and</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future profit margins.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Changes in methods of product candidate manufacturing or formulation may result in additional costs or delay.</w:t>
      </w:r>
    </w:p>
    <w:p>
      <w:pPr>
        <w:spacing w:after="0" w:line="148"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Legal and Regulatory Compliance Matters</w:t>
      </w:r>
    </w:p>
    <w:p>
      <w:pPr>
        <w:spacing w:after="0" w:line="183"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93"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60" w:lineRule="exact"/>
        <w:rPr>
          <w:sz w:val="20"/>
          <w:szCs w:val="20"/>
          <w:color w:val="auto"/>
        </w:rPr>
      </w:pPr>
    </w:p>
    <w:p>
      <w:pPr>
        <w:jc w:val="both"/>
        <w:ind w:left="1600" w:right="1179" w:hanging="143"/>
        <w:spacing w:after="0" w:line="247" w:lineRule="auto"/>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74" w:lineRule="exact"/>
        <w:rPr>
          <w:rFonts w:ascii="Arial" w:cs="Arial" w:eastAsia="Arial" w:hAnsi="Arial"/>
          <w:sz w:val="15"/>
          <w:szCs w:val="15"/>
          <w:color w:val="auto"/>
        </w:rPr>
      </w:pPr>
    </w:p>
    <w:p>
      <w:pPr>
        <w:jc w:val="both"/>
        <w:ind w:left="1600" w:right="1179" w:hanging="143"/>
        <w:spacing w:after="0" w:line="266"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64" w:lineRule="exact"/>
        <w:rPr>
          <w:rFonts w:ascii="Arial" w:cs="Arial" w:eastAsia="Arial" w:hAnsi="Arial"/>
          <w:sz w:val="14"/>
          <w:szCs w:val="14"/>
          <w:color w:val="auto"/>
        </w:rPr>
      </w:pPr>
    </w:p>
    <w:p>
      <w:pPr>
        <w:jc w:val="both"/>
        <w:ind w:left="1600" w:right="1179" w:hanging="143"/>
        <w:spacing w:after="0" w:line="248" w:lineRule="auto"/>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0" w:right="1179" w:hanging="143"/>
        <w:spacing w:after="0" w:line="268"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59" w:lineRule="exact"/>
        <w:rPr>
          <w:rFonts w:ascii="Arial" w:cs="Arial" w:eastAsia="Arial" w:hAnsi="Arial"/>
          <w:sz w:val="14"/>
          <w:szCs w:val="14"/>
          <w:color w:val="auto"/>
        </w:rPr>
      </w:pPr>
    </w:p>
    <w:p>
      <w:pPr>
        <w:jc w:val="both"/>
        <w:ind w:left="1600" w:right="1179" w:hanging="143"/>
        <w:spacing w:after="0" w:line="249" w:lineRule="auto"/>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their implementing regulations, also imposes obligations, including mandatory contractual terms, with respect to safeguarding the privacy, security and transmission of individually identifiable health information;</w:t>
      </w:r>
    </w:p>
    <w:p>
      <w:pPr>
        <w:spacing w:after="0" w:line="69" w:lineRule="exact"/>
        <w:rPr>
          <w:rFonts w:ascii="Arial" w:cs="Arial" w:eastAsia="Arial" w:hAnsi="Arial"/>
          <w:sz w:val="15"/>
          <w:szCs w:val="15"/>
          <w:color w:val="auto"/>
        </w:rPr>
      </w:pPr>
    </w:p>
    <w:p>
      <w:pPr>
        <w:jc w:val="both"/>
        <w:ind w:left="1600" w:right="1179" w:hanging="143"/>
        <w:spacing w:after="0" w:line="267"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other healthcare providers starting in 2022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61" w:lineRule="exact"/>
        <w:rPr>
          <w:rFonts w:ascii="Arial" w:cs="Arial" w:eastAsia="Arial" w:hAnsi="Arial"/>
          <w:sz w:val="14"/>
          <w:szCs w:val="14"/>
          <w:color w:val="auto"/>
        </w:rPr>
      </w:pPr>
    </w:p>
    <w:p>
      <w:pPr>
        <w:jc w:val="both"/>
        <w:ind w:left="1600" w:right="1179" w:hanging="143"/>
        <w:spacing w:after="0" w:line="268"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59" w:lineRule="exact"/>
        <w:rPr>
          <w:rFonts w:ascii="Arial" w:cs="Arial" w:eastAsia="Arial" w:hAnsi="Arial"/>
          <w:sz w:val="14"/>
          <w:szCs w:val="14"/>
          <w:color w:val="auto"/>
        </w:rPr>
      </w:pPr>
    </w:p>
    <w:p>
      <w:pPr>
        <w:jc w:val="both"/>
        <w:ind w:left="1600" w:right="1179" w:hanging="143"/>
        <w:spacing w:after="0" w:line="248" w:lineRule="auto"/>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0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ensuring compliance with the GDPR. This may be onerous, and if our efforts to comply with GDPR or other applicable European Union laws and regulations are not successful, it could adversely affect our business in the European Union.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has transposed the GDPR into domestic law with the Data Protection Act 2018, which remains in force following the United Kingdom’s departure from the EU. 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w:t>
      </w:r>
    </w:p>
    <w:p>
      <w:pPr>
        <w:spacing w:after="0" w:line="8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51"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4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5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Any product candidates we develop may become subject to unfavorable third-party coverage and reimbursement practices, as well as pricing regulations.</w:t>
      </w:r>
    </w:p>
    <w:p>
      <w:pPr>
        <w:spacing w:after="0" w:line="94"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 -party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7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9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Increasingly, third -party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0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88"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 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i w:val="1"/>
          <w:iCs w:val="1"/>
          <w:color w:val="auto"/>
        </w:rPr>
        <w:t>We face potential liability related to the privacy of health information we obtain from clinical trials sponsored by us.</w:t>
      </w:r>
    </w:p>
    <w:p>
      <w:pPr>
        <w:spacing w:after="0" w:line="148"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Most healthcare providers, including research institutions from which we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8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95"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58"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4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4"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90"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5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The FDA or other comparable foreign regulatory authorities may not accept data from trials conducted in locations outside of their jurisdiction.</w:t>
      </w:r>
    </w:p>
    <w:p>
      <w:pPr>
        <w:spacing w:after="0" w:line="94"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We may choose to conduct international clinical trials in the future. The acceptance of study data by the FDA or other comparable foreign regulatory authority from clinical trials conducted outside of their respective jurisdictions may be subject to certain conditions. In cases where data from foreign clinical trials are intended</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(3) the data may be considered valid without the need for an on-site inspection by the FDA, or if the FDA considers such an inspection to be necessary, the FDA is able to validate the data through an on-site inspection or other appropriate means. In addition, such foreign trials would be subject to the applicable local laws of the foreign jurisdictions where the trials are conducted. There can be no assurance that the FDA or any other comparable foreign regulatory authority will accept data from trials conducted outside of its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52" w:lineRule="exact"/>
        <w:rPr>
          <w:sz w:val="20"/>
          <w:szCs w:val="20"/>
          <w:color w:val="auto"/>
        </w:rPr>
      </w:pPr>
    </w:p>
    <w:p>
      <w:pPr>
        <w:jc w:val="both"/>
        <w:ind w:left="1160" w:right="1179"/>
        <w:spacing w:after="0" w:line="341" w:lineRule="auto"/>
        <w:rPr>
          <w:sz w:val="20"/>
          <w:szCs w:val="20"/>
          <w:color w:val="auto"/>
        </w:rPr>
      </w:pPr>
      <w:r>
        <w:rPr>
          <w:rFonts w:ascii="Arial" w:cs="Arial" w:eastAsia="Arial" w:hAnsi="Arial"/>
          <w:sz w:val="13"/>
          <w:szCs w:val="13"/>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7"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9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6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9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suspension of manufacturing. In addition, failure to comply with FDA and other comparable foreign regulatory authority requirements may subject our company to administrative or judicially imposed sanctions, including:</w:t>
      </w:r>
    </w:p>
    <w:p>
      <w:pPr>
        <w:spacing w:after="0" w:line="68" w:lineRule="exact"/>
        <w:rPr>
          <w:sz w:val="20"/>
          <w:szCs w:val="20"/>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delays in or the rejection of product approvals;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our ability to conduct clinical trials, including full or partial clinical holds on ongoing or planned trials;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the products, manufacturers or manufacturing process;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warning or untitled letters;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civil and criminal penalties;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injunctions;</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suspension or withdrawal of regulatory approvals;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product seizures, detentions or import bans;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voluntary or mandatory product recalls and publicity requirements;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total or partial suspension of production;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imposition of restrictions on operations, including costly new manufacturing requirements.</w:t>
      </w:r>
    </w:p>
    <w:p>
      <w:pPr>
        <w:spacing w:after="0" w:line="124"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90"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05"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65"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The FDA and other regulatory agencies actively enforce the laws and regulations prohibiting the promotion of off-label uses.</w:t>
      </w:r>
    </w:p>
    <w:p>
      <w:pPr>
        <w:spacing w:after="0" w:line="93"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successfully manage the promotion of our product candidates, if approved, we could become subject to significant liability, which would materially adversely affect our business and financial condition.</w:t>
      </w:r>
    </w:p>
    <w:p>
      <w:pPr>
        <w:spacing w:after="0" w:line="149"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02"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95"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On July 10, 2020, the FDA announced its intention to resume certain on-site inspections of domestic manufacturing facilities subject to</w:t>
      </w:r>
    </w:p>
    <w:p>
      <w:pPr>
        <w:jc w:val="both"/>
        <w:ind w:left="1160" w:right="1179" w:firstLine="4"/>
        <w:spacing w:after="0" w:line="247" w:lineRule="auto"/>
        <w:tabs>
          <w:tab w:leader="none" w:pos="1272" w:val="left"/>
        </w:tabs>
        <w:numPr>
          <w:ilvl w:val="0"/>
          <w:numId w:val="39"/>
        </w:numPr>
        <w:rPr>
          <w:rFonts w:ascii="Arial" w:cs="Arial" w:eastAsia="Arial" w:hAnsi="Arial"/>
          <w:sz w:val="14"/>
          <w:szCs w:val="14"/>
          <w:color w:val="auto"/>
        </w:rPr>
      </w:pPr>
      <w:r>
        <w:rPr>
          <w:rFonts w:ascii="Arial" w:cs="Arial" w:eastAsia="Arial" w:hAnsi="Arial"/>
          <w:sz w:val="14"/>
          <w:szCs w:val="14"/>
          <w:color w:val="auto"/>
        </w:rPr>
        <w:t>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face difficulties from changes to current regulations and future legislation.</w:t>
      </w:r>
    </w:p>
    <w:p>
      <w:pPr>
        <w:spacing w:after="0" w:line="113"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02"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required reporting of certain financial arrangements between manufacturers of biologics, physicians and teaching hospitals under the federal Physician Payments Sunshine Act;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83" w:lineRule="exact"/>
        <w:rPr>
          <w:sz w:val="20"/>
          <w:szCs w:val="20"/>
          <w:color w:val="auto"/>
        </w:rPr>
      </w:pPr>
    </w:p>
    <w:p>
      <w:pPr>
        <w:jc w:val="both"/>
        <w:ind w:left="1160" w:right="1179"/>
        <w:spacing w:after="0" w:line="241" w:lineRule="auto"/>
        <w:rPr>
          <w:sz w:val="20"/>
          <w:szCs w:val="20"/>
          <w:color w:val="auto"/>
        </w:rPr>
      </w:pPr>
      <w:r>
        <w:rPr>
          <w:rFonts w:ascii="Arial" w:cs="Arial" w:eastAsia="Arial" w:hAnsi="Arial"/>
          <w:sz w:val="14"/>
          <w:szCs w:val="14"/>
          <w:color w:val="auto"/>
        </w:rPr>
        <w:t>Since its enactment, there have been judicial, executive and Congressional challenges to certain aspects of the ACA. By way of example, the Tax Cuts and Jobs Act, or the Tax Act, was signed into law,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Texas U.S. District Court Judge ruled that the ACA is unconstitutional in its entirety because the “individual mandate” was eliminated by Congress as part of the Tax Act. Additionally, on December 18, 2019, the U.S. Court of Appeals for the 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Circuit affirmed the District Court’s ruling that the individual mandate was unconstitutional and remanded the case back to the District Court to determine whether the mandate could be severed from the ACA (i.e., whether the remaining provisions of the ACA are unconstitutional as well). The U.S. Supreme Court is currently reviewing this case. The case is expected to be decided in 2021, although it is unclear how the Supreme Court will rule. It is also unclear how other efforts, if any, to challenge, repeal or replace the ACA will impact the ACA or our business.</w:t>
      </w:r>
    </w:p>
    <w:p>
      <w:pPr>
        <w:spacing w:after="0" w:line="103"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with the exception of a temporary suspension from May 1, 2020 through December 31, 2021 due to the coronavirus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9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likelihood of success of these and other measures initiated by the former Trump administration is uncertain, particularly in light of the new Biden administration. Since the Presidential inauguration, the Biden administration has taken several recent executive actions that signal changes in policy from the prior administration. For example, on January 20, 2021, the Biden administration directed all federal departments and agencies to consider taking steps to withdraw or delay certain regulations and guidance issued by the Trump administration that had not become effective as of January 20, 2021 to permit the Biden administration to review such actions for questions of fact, law, and policy.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Further, on May 30, 2018, the Trickett Wendler, Frank Mongiello, Jordan McLinn, and Matthew Beilina Right to Try Act of 2017, or the Right to Try Act, was signed into law. The law, among other things, provides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9"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COVID-19 pandemic.</w:t>
      </w:r>
    </w:p>
    <w:p>
      <w:pPr>
        <w:spacing w:after="0" w:line="102"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3"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90"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8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As of March 31, 2021, we owned pending patent applications, in the United States only, related to our platform technologies, as well as pending patent applications related to our product candidates. We currently do not have any issued patents related to our product candidates or platform technologies.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90"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01" w:lineRule="exact"/>
        <w:rPr>
          <w:sz w:val="20"/>
          <w:szCs w:val="20"/>
          <w:color w:val="auto"/>
        </w:rPr>
      </w:pPr>
    </w:p>
    <w:p>
      <w:pPr>
        <w:jc w:val="both"/>
        <w:ind w:left="1160" w:right="1179"/>
        <w:spacing w:after="0" w:line="294" w:lineRule="auto"/>
        <w:rPr>
          <w:sz w:val="20"/>
          <w:szCs w:val="20"/>
          <w:color w:val="auto"/>
        </w:rPr>
      </w:pPr>
      <w:r>
        <w:rPr>
          <w:rFonts w:ascii="Arial" w:cs="Arial" w:eastAsia="Arial" w:hAnsi="Arial"/>
          <w:sz w:val="13"/>
          <w:szCs w:val="13"/>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33" w:lineRule="exact"/>
        <w:rPr>
          <w:sz w:val="20"/>
          <w:szCs w:val="20"/>
          <w:color w:val="auto"/>
        </w:rPr>
      </w:pPr>
    </w:p>
    <w:p>
      <w:pPr>
        <w:jc w:val="both"/>
        <w:ind w:left="1600" w:right="1179" w:hanging="143"/>
        <w:spacing w:after="0" w:line="251" w:lineRule="auto"/>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patent applications may not result in any patents being issued;</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patents may be challenged, invalidated, modified, revoked, circumvented, found to be unenforceable or otherwise may not provide any competitive advantage;</w:t>
      </w:r>
    </w:p>
    <w:p>
      <w:pPr>
        <w:spacing w:after="0" w:line="49"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69" w:lineRule="exact"/>
        <w:rPr>
          <w:rFonts w:ascii="Arial" w:cs="Arial" w:eastAsia="Arial" w:hAnsi="Arial"/>
          <w:sz w:val="15"/>
          <w:szCs w:val="15"/>
          <w:color w:val="auto"/>
        </w:rPr>
      </w:pPr>
    </w:p>
    <w:p>
      <w:pPr>
        <w:jc w:val="both"/>
        <w:ind w:left="1600" w:right="1179" w:hanging="143"/>
        <w:spacing w:after="0" w:line="281" w:lineRule="auto"/>
        <w:tabs>
          <w:tab w:leader="none" w:pos="16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49" w:lineRule="exact"/>
        <w:rPr>
          <w:rFonts w:ascii="Arial" w:cs="Arial" w:eastAsia="Arial" w:hAnsi="Arial"/>
          <w:sz w:val="14"/>
          <w:szCs w:val="14"/>
          <w:color w:val="auto"/>
        </w:rPr>
      </w:pPr>
    </w:p>
    <w:p>
      <w:pPr>
        <w:jc w:val="both"/>
        <w:ind w:left="1600" w:right="1179" w:hanging="143"/>
        <w:spacing w:after="0" w:line="254" w:lineRule="auto"/>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9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95" w:lineRule="exact"/>
        <w:rPr>
          <w:sz w:val="20"/>
          <w:szCs w:val="20"/>
          <w:color w:val="auto"/>
        </w:rPr>
      </w:pPr>
    </w:p>
    <w:p>
      <w:pPr>
        <w:jc w:val="both"/>
        <w:ind w:left="1160" w:right="1179"/>
        <w:spacing w:after="0" w:line="263" w:lineRule="auto"/>
        <w:rPr>
          <w:sz w:val="20"/>
          <w:szCs w:val="20"/>
          <w:color w:val="auto"/>
        </w:rPr>
      </w:pPr>
      <w:r>
        <w:rPr>
          <w:rFonts w:ascii="Arial" w:cs="Arial" w:eastAsia="Arial" w:hAnsi="Arial"/>
          <w:sz w:val="14"/>
          <w:szCs w:val="14"/>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0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or output before a patent application is filed, thereby jeopardizing our ability to seek patent protection or maintain the trade secret status of our technology platforms or research and development output.</w:t>
      </w:r>
    </w:p>
    <w:p>
      <w:pPr>
        <w:spacing w:after="0" w:line="83"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46" w:lineRule="exact"/>
        <w:rPr>
          <w:sz w:val="20"/>
          <w:szCs w:val="20"/>
          <w:color w:val="auto"/>
        </w:rPr>
      </w:pPr>
    </w:p>
    <w:p>
      <w:pPr>
        <w:jc w:val="both"/>
        <w:ind w:left="1160" w:right="1179"/>
        <w:spacing w:after="0" w:line="328" w:lineRule="auto"/>
        <w:rPr>
          <w:sz w:val="20"/>
          <w:szCs w:val="20"/>
          <w:color w:val="auto"/>
        </w:rPr>
      </w:pPr>
      <w:r>
        <w:rPr>
          <w:rFonts w:ascii="Arial" w:cs="Arial" w:eastAsia="Arial" w:hAnsi="Arial"/>
          <w:sz w:val="12"/>
          <w:szCs w:val="12"/>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4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(including as a result of COVID- 19 impacting our operations),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96"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 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 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 -party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9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In addition, disputes may arise between us and any future licensors regarding intellectual property subject to a license agreement, including:</w:t>
      </w:r>
    </w:p>
    <w:p>
      <w:pPr>
        <w:spacing w:after="0" w:line="61" w:lineRule="exact"/>
        <w:rPr>
          <w:sz w:val="20"/>
          <w:szCs w:val="20"/>
          <w:color w:val="auto"/>
        </w:rPr>
      </w:pPr>
    </w:p>
    <w:p>
      <w:pPr>
        <w:ind w:left="1600" w:right="1179" w:hanging="143"/>
        <w:spacing w:after="0" w:line="264" w:lineRule="auto"/>
        <w:tabs>
          <w:tab w:leader="none" w:pos="1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scope of rights granted and obligations imposed under the license agreement and other interpretation-related issues;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whether and the extent to which our technology and processes infringe intellectual property of the licensor that is not subject to the licensing agreement;</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right to sublicense patents and other rights to third parties;</w:t>
      </w:r>
    </w:p>
    <w:p>
      <w:pPr>
        <w:spacing w:after="0" w:line="9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diligence obligations with respect to the use of the licensed technology in relation to our development and commercialization of our product candidates, and what activities satisfy those diligence obligations;</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amounts, if any, we owe to a potential licensor in respect of sublicense fees or income or in respect of backup product;</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right to transfer or assign the license; and</w:t>
      </w:r>
    </w:p>
    <w:p>
      <w:pPr>
        <w:spacing w:after="0" w:line="9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ownership of inventions and know-how resulting from the joint creation or use of intellectual property by our licensors and its affiliates and sublicensees and by us and our partners and sublicensees.</w:t>
      </w:r>
    </w:p>
    <w:p>
      <w:pPr>
        <w:spacing w:after="0" w:line="101" w:lineRule="exact"/>
        <w:rPr>
          <w:sz w:val="20"/>
          <w:szCs w:val="20"/>
          <w:color w:val="auto"/>
        </w:rPr>
      </w:pPr>
    </w:p>
    <w:p>
      <w:pPr>
        <w:jc w:val="both"/>
        <w:ind w:left="1160" w:right="1179"/>
        <w:spacing w:after="0" w:line="311" w:lineRule="auto"/>
        <w:rPr>
          <w:sz w:val="20"/>
          <w:szCs w:val="20"/>
          <w:color w:val="auto"/>
        </w:rPr>
      </w:pPr>
      <w:r>
        <w:rPr>
          <w:rFonts w:ascii="Arial" w:cs="Arial" w:eastAsia="Arial" w:hAnsi="Arial"/>
          <w:sz w:val="13"/>
          <w:szCs w:val="13"/>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67"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4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The patent protection and patent prosecution for some of our product candidates may be dependent on our future licensors and third parties.</w:t>
      </w:r>
    </w:p>
    <w:p>
      <w:pPr>
        <w:spacing w:after="0" w:line="82"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95"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91"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155" w:lineRule="exact"/>
        <w:rPr>
          <w:sz w:val="20"/>
          <w:szCs w:val="20"/>
          <w:color w:val="auto"/>
        </w:rPr>
      </w:pPr>
    </w:p>
    <w:p>
      <w:pPr>
        <w:jc w:val="both"/>
        <w:ind w:left="1160" w:right="1179"/>
        <w:spacing w:after="0" w:line="328" w:lineRule="auto"/>
        <w:rPr>
          <w:sz w:val="20"/>
          <w:szCs w:val="20"/>
          <w:color w:val="auto"/>
        </w:rPr>
      </w:pPr>
      <w:r>
        <w:rPr>
          <w:rFonts w:ascii="Arial" w:cs="Arial" w:eastAsia="Arial" w:hAnsi="Arial"/>
          <w:sz w:val="12"/>
          <w:szCs w:val="12"/>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4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97"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86"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60" w:right="1179"/>
        <w:spacing w:after="0" w:line="229" w:lineRule="auto"/>
        <w:rPr>
          <w:sz w:val="20"/>
          <w:szCs w:val="20"/>
          <w:color w:val="auto"/>
        </w:rPr>
      </w:pPr>
      <w:r>
        <w:rPr>
          <w:rFonts w:ascii="Arial" w:cs="Arial" w:eastAsia="Arial" w:hAnsi="Arial"/>
          <w:sz w:val="15"/>
          <w:szCs w:val="15"/>
          <w:color w:val="auto"/>
        </w:rPr>
        <w:t>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78" w:lineRule="exact"/>
        <w:rPr>
          <w:sz w:val="20"/>
          <w:szCs w:val="20"/>
          <w:color w:val="auto"/>
        </w:rPr>
      </w:pPr>
    </w:p>
    <w:p>
      <w:pPr>
        <w:jc w:val="both"/>
        <w:ind w:left="1160" w:right="1179"/>
        <w:spacing w:after="0" w:line="229" w:lineRule="auto"/>
        <w:rPr>
          <w:sz w:val="20"/>
          <w:szCs w:val="20"/>
          <w:color w:val="auto"/>
        </w:rPr>
      </w:pPr>
      <w:r>
        <w:rPr>
          <w:rFonts w:ascii="Arial" w:cs="Arial" w:eastAsia="Arial" w:hAnsi="Arial"/>
          <w:sz w:val="15"/>
          <w:szCs w:val="15"/>
          <w:color w:val="auto"/>
        </w:rPr>
        <w:t>Further, third parties may obtain patents in the future and claim that use of our technologies infringes upon these patents. Any claims of patent infringement asserted by third parties would be time-consuming and could:</w:t>
      </w:r>
    </w:p>
    <w:p>
      <w:pPr>
        <w:spacing w:after="0" w:line="67" w:lineRule="exact"/>
        <w:rPr>
          <w:sz w:val="20"/>
          <w:szCs w:val="20"/>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result in costly litigation that may cause negative publicity;</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divert the time and attention of our technical personnel and management;</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cause development delays;</w:t>
      </w:r>
    </w:p>
    <w:p>
      <w:pPr>
        <w:spacing w:after="0" w:line="8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prevent us from commercializing any of our product candidates until the asserted patent expires or is held finally invalid or unenforceable or not infringed in a court of law;</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require us to develop non-infringing technology, which may not be possible on a cost-effective basis;</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subject us to significant liability to third parties; or</w:t>
      </w:r>
    </w:p>
    <w:p>
      <w:pPr>
        <w:spacing w:after="0" w:line="91"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7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4"/>
          <w:szCs w:val="14"/>
          <w:color w:val="auto"/>
        </w:rPr>
        <w:t>Although no third party has asserted a claim of patent infringement against us as of the date of this prospectus, others may hold proprietary rights that could prevent our product candidates from being marketed. Any patent- 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94"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4"/>
          <w:szCs w:val="14"/>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89" w:lineRule="exact"/>
        <w:rPr>
          <w:sz w:val="20"/>
          <w:szCs w:val="20"/>
          <w:color w:val="auto"/>
        </w:rPr>
      </w:pPr>
    </w:p>
    <w:p>
      <w:pPr>
        <w:jc w:val="both"/>
        <w:ind w:left="1160" w:right="1179"/>
        <w:spacing w:after="0" w:line="220" w:lineRule="auto"/>
        <w:rPr>
          <w:sz w:val="20"/>
          <w:szCs w:val="20"/>
          <w:color w:val="auto"/>
        </w:rPr>
      </w:pPr>
      <w:r>
        <w:rPr>
          <w:rFonts w:ascii="Arial" w:cs="Arial" w:eastAsia="Arial" w:hAnsi="Arial"/>
          <w:sz w:val="15"/>
          <w:szCs w:val="15"/>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57"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89"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Competitors may infringe or otherwise violate our, or our future licensors’, patents, trademarks or other intellectual property. To prevent infringement or other violations, we and/or our future licensors may be</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 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239"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8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shares to decline.</w:t>
      </w:r>
    </w:p>
    <w:p>
      <w:pPr>
        <w:spacing w:after="0" w:line="72"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1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89"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Derivation or interference proceedings provoked by third parties or brought by us or our future licensors, or declared by the USPTO or similar proceedings in foreign patent offices may be necessary to determine the</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5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Patent reform legislation could increase the uncertainties and costs surrounding the prosecution of our patent applications and the enforcement or defense of our issued patents.</w:t>
      </w:r>
    </w:p>
    <w:p>
      <w:pPr>
        <w:spacing w:after="0" w:line="83"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In 2011, the Leahy -Smith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94"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93"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16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Changes in U.S. patent law, or laws in other countries, could diminish the value of patents in general, thereby impairing our ability to protect our product candidates.</w:t>
      </w:r>
    </w:p>
    <w:p>
      <w:pPr>
        <w:spacing w:after="0" w:line="82"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94"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52"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We or our future licensors may be subject to claims challenging the inventorship or ownership of our or our future in-licensed patents and other intellectual property.</w:t>
      </w:r>
    </w:p>
    <w:p>
      <w:pPr>
        <w:spacing w:after="0" w:line="93"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97"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82"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product candidates for an adequate amount of time.</w:t>
      </w:r>
    </w:p>
    <w:p>
      <w:pPr>
        <w:spacing w:after="0" w:line="9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candidates are commercialized. As a result, our patent portfolio may not provide us with sufficient rights to exclude others from commercializing products similar or identical to ours.</w:t>
      </w:r>
    </w:p>
    <w:p>
      <w:pPr>
        <w:spacing w:after="0" w:line="8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w:t>
      </w:r>
    </w:p>
    <w:p>
      <w:pPr>
        <w:spacing w:after="0" w:line="12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9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84"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328"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3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COVID-19 pandemic on us,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5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9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9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88"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91"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43" w:lineRule="exact"/>
        <w:rPr>
          <w:sz w:val="20"/>
          <w:szCs w:val="20"/>
          <w:color w:val="auto"/>
        </w:rPr>
      </w:pPr>
    </w:p>
    <w:p>
      <w:pPr>
        <w:jc w:val="both"/>
        <w:ind w:left="1160" w:right="1179"/>
        <w:spacing w:after="0" w:line="294" w:lineRule="auto"/>
        <w:rPr>
          <w:sz w:val="20"/>
          <w:szCs w:val="20"/>
          <w:color w:val="auto"/>
        </w:rPr>
      </w:pPr>
      <w:r>
        <w:rPr>
          <w:rFonts w:ascii="Arial" w:cs="Arial" w:eastAsia="Arial" w:hAnsi="Arial"/>
          <w:sz w:val="13"/>
          <w:szCs w:val="13"/>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55"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51"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9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5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We use third-party open source software, which could negatively affect our ability to offer our solutions and subject us to litigation or other actions.</w:t>
      </w:r>
    </w:p>
    <w:p>
      <w:pPr>
        <w:spacing w:after="0" w:line="72"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We use open source software licensed to us by third-party authors under “open source” licenses in our platform and solutions and expect to continue to use such open source software in the future. Use and distribution of</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8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9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Intellectual property rights do not necessarily address all potential threats to our competitive advantage.</w:t>
      </w:r>
    </w:p>
    <w:p>
      <w:pPr>
        <w:spacing w:after="0" w:line="14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1600" w:right="1179" w:hanging="143"/>
        <w:spacing w:after="0" w:line="26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others may be able to develop products that are similar to our product candidates but that are not covered by the claims of the patents that we may own or license;</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or our potential future licensors might not have been the first to make the inventions covered by the issued patents or patent application that we may own or license;</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or our potential future licensors might not have been the first to file patent applications covering certain of our inventions;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it is possible that our or our future licensors’ pending patent applications will not lead to issued patents;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future issued patents that we own or license may be held invalid or unenforceable, as a result of legal challenges by our competitors;</w:t>
      </w:r>
    </w:p>
    <w:p>
      <w:pPr>
        <w:spacing w:after="0" w:line="4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w:t>
      </w:r>
    </w:p>
    <w:p>
      <w:pPr>
        <w:spacing w:after="0" w:line="12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Should any of these events occur, it could significantly harm our business, results of operations and prospects.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Employee Matters and Managing our Growth</w:t>
      </w:r>
    </w:p>
    <w:p>
      <w:pPr>
        <w:spacing w:after="0" w:line="18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89"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0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Establishing an internal sales or marketing team with technical expertise and supporting distribution capabilities to commercialize our product candidates will be expensive and time -consuming,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success is highly dependent on our ability to attract and retain highly skilled executive officers and employees.</w:t>
      </w:r>
    </w:p>
    <w:p>
      <w:pPr>
        <w:spacing w:after="0" w:line="15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85"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to continue to attract and retain high-quality personnel, the rate and success at which we can discover, develop and commercialize our product candidates will be limited and the potential for successfully growing our business will be harmed.</w:t>
      </w:r>
    </w:p>
    <w:p>
      <w:pPr>
        <w:spacing w:after="0" w:line="15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In order to successfully implement our plans and strategies, we will need to grow the size of our organization, and we may experience difficulties in managing this growth.</w:t>
      </w:r>
    </w:p>
    <w:p>
      <w:pPr>
        <w:spacing w:after="0" w:line="83"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As of March 31, 2021, we have 32 full- time employees, including 29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57" w:lineRule="exact"/>
        <w:rPr>
          <w:sz w:val="20"/>
          <w:szCs w:val="20"/>
          <w:color w:val="auto"/>
        </w:rPr>
      </w:pPr>
    </w:p>
    <w:p>
      <w:pPr>
        <w:ind w:left="1600" w:hanging="143"/>
        <w:spacing w:after="0"/>
        <w:tabs>
          <w:tab w:leader="none" w:pos="16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identifying, recruiting, integrating, maintaining and motivating additional employees;</w:t>
      </w:r>
    </w:p>
    <w:p>
      <w:pPr>
        <w:spacing w:after="0" w:line="91"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managing our internal development efforts effectively, including the clinical, FDA and other comparable foreign regulatory agencies’ review process of IMM-1-104 and any other product candidate we develop, while complying with any contractual obligations to contractors and other third parties we may have; and</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improving our operational, financial and management controls, reporting systems and procedures.</w:t>
      </w:r>
    </w:p>
    <w:p>
      <w:pPr>
        <w:spacing w:after="0" w:line="136"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Our future financial performance and our ability to successfully develop and, if approved, commercialize IMM- 1-104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8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99"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If we are not able to effectively expand our organization by hiring new employees and/or engaging additional third party service providers, we may not be able to successfully implement the tasks necessary to further develop and commercialize IMM- 1-104 and any other current or future product candidates and, accordingly, may not achieve our research, development and commercialization goals.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This Offering and Ownership of Our Class A Common Stock</w:t>
      </w:r>
    </w:p>
    <w:p>
      <w:pPr>
        <w:spacing w:after="0" w:line="183" w:lineRule="exact"/>
        <w:rPr>
          <w:sz w:val="20"/>
          <w:szCs w:val="20"/>
          <w:color w:val="auto"/>
        </w:rPr>
      </w:pPr>
    </w:p>
    <w:p>
      <w:pPr>
        <w:jc w:val="both"/>
        <w:ind w:left="1160" w:right="1179"/>
        <w:spacing w:after="0" w:line="328" w:lineRule="auto"/>
        <w:rPr>
          <w:sz w:val="20"/>
          <w:szCs w:val="20"/>
          <w:color w:val="auto"/>
        </w:rPr>
      </w:pPr>
      <w:r>
        <w:rPr>
          <w:rFonts w:ascii="Arial" w:cs="Arial" w:eastAsia="Arial" w:hAnsi="Arial"/>
          <w:sz w:val="12"/>
          <w:szCs w:val="12"/>
          <w:b w:val="1"/>
          <w:bCs w:val="1"/>
          <w:i w:val="1"/>
          <w:iCs w:val="1"/>
          <w:color w:val="auto"/>
        </w:rPr>
        <w:t>There has been no prior public market for our Class A common stock. We do not know whether an active, liquid and orderly trading market will develop for our Class A common stock or what the market price of our Class A common stock will be and as a result it may be difficult for you to sell your shares of our Class A common stock.</w:t>
      </w:r>
    </w:p>
    <w:p>
      <w:pPr>
        <w:spacing w:after="0" w:line="4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Prior to this offering, no public market for shares of our Class A common stock existed and an active trading market for our Class A common stock may never develop or be sustained following this offering. We will determine the initial public offering price for our Class A common stock through negotiations with the underwriters, and the negotiated price may not be indicative of the market price of our Class A common stock after this offering. The market value of our Class A common stock may decrease from the initial public offering price. As a result of these and other factors, you may be unable to resell your shares of our Class A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ability to enter into strategic collaborations or acquire companies, technologies or other assets by using our shares of Class A common stock as consideration.</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price of our stock may be volatile, and you could lose all or part of your investment.</w:t>
      </w:r>
    </w:p>
    <w:p>
      <w:pPr>
        <w:spacing w:after="0" w:line="113"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The trading price of our Class A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Class A common stock of other pharmaceutical and biotechnology companies have also been highly volatile as a result of the COVID-19 pandemic.</w:t>
      </w:r>
    </w:p>
    <w:p>
      <w:pPr>
        <w:spacing w:after="0" w:line="91"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Broad market and industry factors may negatively affect the market price of our Class A common stock, regardless of our actual operating performance. In addition to the factors discussed in this “Risk Factors” section and elsewhere in this prospectus, these factors include:</w:t>
      </w:r>
    </w:p>
    <w:p>
      <w:pPr>
        <w:spacing w:after="0" w:line="67" w:lineRule="exact"/>
        <w:rPr>
          <w:sz w:val="20"/>
          <w:szCs w:val="20"/>
          <w:color w:val="auto"/>
        </w:rPr>
      </w:pPr>
    </w:p>
    <w:p>
      <w:pPr>
        <w:ind w:left="1600" w:right="117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timing and results of preclinical studies and clinical trials of our product candidates or those of our competitors;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success of competitive products or announcements by potential competitors of their product development efforts;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regulatory actions with respect to our products or our competitors’ products;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actual or anticipated changes in our growth rate relative to our competitors;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8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collaborations, joint ventures, collaborations or capital commitments;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actual or anticipated changes in estimates as to financial results, development timelines or recommendations by securities analysts;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fluctuations in the valuation of companies perceived by investors to be comparable to us;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share price and volume fluctuations attributable to inconsistent trading volume levels of our shares;</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announcement or expectation of additional financing efforts;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sales of our Class A common stock by us, our insiders or our other stockholders;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expiration of market stand-off or lock-up agreements;</w:t>
      </w:r>
    </w:p>
    <w:p>
      <w:pPr>
        <w:spacing w:after="0" w:line="8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ongoing and future impact of the COVID-19 pandemic, or any future pandemics, and actions taken to slow their spread; and</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general economic, industry and market conditions.</w:t>
      </w:r>
    </w:p>
    <w:p>
      <w:pPr>
        <w:spacing w:after="0" w:line="124"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55"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b w:val="1"/>
          <w:bCs w:val="1"/>
          <w:i w:val="1"/>
          <w:iCs w:val="1"/>
          <w:color w:val="auto"/>
        </w:rPr>
        <w:t>Our management team has broad discretion to use the net proceeds from this offering and its investment of these proceeds may not yield a favorable return. They may invest the net proceeds from this offering in ways with which investors disagree.</w:t>
      </w:r>
    </w:p>
    <w:p>
      <w:pPr>
        <w:spacing w:after="0" w:line="8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We plan to use the net proceeds from this offering to advance IMM-1 -104 into clinical development, including to fund our anticipated Phase 1 clinical trial of IMM-1-104 for the treatment of advanced solid tumors in</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patients harboring RAS mutant tumors, and additional clinical trials; advance our other preclinical drug programs and the design and development of new product candidates, in oncology and neuroscience, and to advance these programs into IND-enabling studies that would support an IND filing for one or more product candidates; and for working capital and other general corporate purposes, including the continued advancement of our platform and hiring of additional staff as we expand our operations. See “Use of Proceeds.” However, within the scope of our plan, and in light of the various risks to our business, including those discussed in this “Risk Factors” section and elsewhere in this prospectus, 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results of operations, we may fail to achieve expected financial results, which could cause our stock price to decline.</w:t>
      </w:r>
    </w:p>
    <w:p>
      <w:pPr>
        <w:spacing w:after="0" w:line="151" w:lineRule="exact"/>
        <w:rPr>
          <w:sz w:val="20"/>
          <w:szCs w:val="20"/>
          <w:color w:val="auto"/>
        </w:rPr>
      </w:pPr>
    </w:p>
    <w:p>
      <w:pPr>
        <w:jc w:val="both"/>
        <w:ind w:left="1160" w:right="1179"/>
        <w:spacing w:after="0" w:line="370"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4"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The trading market for our Class A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5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Our principal stockholders and management own a significant percentage of our stock and will be able to exert significant control over matters subject to stockholder approval.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Prior to this offering, our executive officers, directors, holders of 5% or more of our capital stock and their</w:t>
      </w:r>
    </w:p>
    <w:p>
      <w:pPr>
        <w:spacing w:after="0" w:line="16" w:lineRule="exact"/>
        <w:rPr>
          <w:sz w:val="20"/>
          <w:szCs w:val="20"/>
          <w:color w:val="auto"/>
        </w:rPr>
      </w:pPr>
    </w:p>
    <w:p>
      <w:pPr>
        <w:jc w:val="both"/>
        <w:ind w:left="1160" w:right="1179"/>
        <w:spacing w:after="0" w:line="229" w:lineRule="auto"/>
        <w:rPr>
          <w:sz w:val="20"/>
          <w:szCs w:val="20"/>
          <w:color w:val="auto"/>
        </w:rPr>
      </w:pPr>
      <w:r>
        <w:rPr>
          <w:rFonts w:ascii="Arial" w:cs="Arial" w:eastAsia="Arial" w:hAnsi="Arial"/>
          <w:sz w:val="15"/>
          <w:szCs w:val="15"/>
          <w:color w:val="auto"/>
        </w:rPr>
        <w:t>respective affiliates beneficially owned approximately % of our voting stock and, upon the closing of this offering, that same group will beneficially own approximately % of our outstanding voting stock (based on the assumed initial public offering price of $ per share, which is the midpoint of the price</w:t>
      </w:r>
    </w:p>
    <w:p>
      <w:pPr>
        <w:spacing w:after="0" w:line="1"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range set forth on the cover page of this prospectus, and assuming no exercise of the underwriters’ option to purchase additional shares) . Therefore, even after this offering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5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If you purchase shares of our Class A common stock in our initial public offering, you will experience substantial and immediate dilution.</w:t>
      </w:r>
    </w:p>
    <w:p>
      <w:pPr>
        <w:spacing w:after="0" w:line="94"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The initial public offering price of $ per share is substantially higher than the net tangible book value per share of our outstanding Class A common stock immediately following the completion of this offering. If you purchase shares of Class A common stock in this offering, you will experience substantial and</w:t>
      </w:r>
    </w:p>
    <w:p>
      <w:pPr>
        <w:spacing w:after="0" w:line="1"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immediate dilution in the pro forma net tangible book value per share of $ per share as of March 31, 2021. That is because the price that you pay will be substantially greater than the pro forma net tangible book value per share of the Class A common stock that you acquire. This dilution is due in large part to the fact that our earlier investors paid substantially less than the initial public offering price when they purchased their shares of our capital stock. You will experience additional dilution when those holding stock options or warrants exercise their right to purchase Class A common stock under our equity incentive plans or when we otherwise issue additional shares of Class A common stock. See “Dilution.”</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b w:val="1"/>
          <w:bCs w:val="1"/>
          <w:i w:val="1"/>
          <w:iCs w:val="1"/>
          <w:color w:val="auto"/>
        </w:rPr>
        <w:t>Sales of a substantial number of shares of our Class A common stock in the public market could cause our stock price to fall.</w:t>
      </w:r>
    </w:p>
    <w:p>
      <w:pPr>
        <w:spacing w:after="0" w:line="82"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Our Class A common stock price could decline as a result of sales of a large number of shares of Class A and/or Class B common stock (collectively, including Class A common stock shares issuable upon conversion of the Class B common stock, the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91" w:lineRule="exact"/>
        <w:rPr>
          <w:sz w:val="20"/>
          <w:szCs w:val="20"/>
          <w:color w:val="auto"/>
        </w:rPr>
      </w:pPr>
    </w:p>
    <w:p>
      <w:pPr>
        <w:ind w:left="1160"/>
        <w:spacing w:after="0"/>
        <w:tabs>
          <w:tab w:leader="none" w:pos="4880" w:val="left"/>
        </w:tabs>
        <w:rPr>
          <w:sz w:val="20"/>
          <w:szCs w:val="20"/>
          <w:color w:val="auto"/>
        </w:rPr>
      </w:pPr>
      <w:r>
        <w:rPr>
          <w:rFonts w:ascii="Arial" w:cs="Arial" w:eastAsia="Arial" w:hAnsi="Arial"/>
          <w:sz w:val="15"/>
          <w:szCs w:val="15"/>
          <w:color w:val="auto"/>
        </w:rPr>
        <w:t>Upon the completion of this offering,</w:t>
      </w:r>
      <w:r>
        <w:rPr>
          <w:sz w:val="20"/>
          <w:szCs w:val="20"/>
          <w:color w:val="auto"/>
        </w:rPr>
        <w:tab/>
      </w:r>
      <w:r>
        <w:rPr>
          <w:rFonts w:ascii="Arial" w:cs="Arial" w:eastAsia="Arial" w:hAnsi="Arial"/>
          <w:sz w:val="15"/>
          <w:szCs w:val="15"/>
          <w:color w:val="auto"/>
        </w:rPr>
        <w:t>shares of common stock will be outstanding</w:t>
      </w:r>
    </w:p>
    <w:p>
      <w:pPr>
        <w:spacing w:after="0" w:line="14" w:lineRule="exact"/>
        <w:rPr>
          <w:sz w:val="20"/>
          <w:szCs w:val="20"/>
          <w:color w:val="auto"/>
        </w:rPr>
      </w:pPr>
    </w:p>
    <w:p>
      <w:pPr>
        <w:ind w:left="1160" w:right="1179" w:firstLine="4"/>
        <w:spacing w:after="0" w:line="249" w:lineRule="auto"/>
        <w:tabs>
          <w:tab w:leader="none" w:pos="2311" w:val="left"/>
        </w:tabs>
        <w:numPr>
          <w:ilvl w:val="0"/>
          <w:numId w:val="48"/>
        </w:numPr>
        <w:rPr>
          <w:rFonts w:ascii="Arial" w:cs="Arial" w:eastAsia="Arial" w:hAnsi="Arial"/>
          <w:sz w:val="15"/>
          <w:szCs w:val="15"/>
          <w:color w:val="auto"/>
        </w:rPr>
      </w:pPr>
      <w:r>
        <w:rPr>
          <w:rFonts w:ascii="Arial" w:cs="Arial" w:eastAsia="Arial" w:hAnsi="Arial"/>
          <w:sz w:val="15"/>
          <w:szCs w:val="15"/>
          <w:color w:val="auto"/>
        </w:rPr>
        <w:t>shares if the underwriters exercise their option to purchase additional shares from us in full), based on the number of shares outstanding as of March 31, 2021.</w:t>
      </w:r>
    </w:p>
    <w:p>
      <w:pPr>
        <w:spacing w:after="0" w:line="10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All shares of Class A common stock expected to be sold in this offering will be freely tradable without restriction or further registration under the Securities Act of 1933, as amended, or the Securities Act, unless held by our “affiliates” as defined in Rule 144 under the Securities Act. The resale of the</w:t>
      </w:r>
    </w:p>
    <w:p>
      <w:pPr>
        <w:spacing w:after="0" w:line="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remaining shares, or % of our outstanding shares of common stock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181 days after the date of this prospectus.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“Shares Eligible for Future Sale.”</w:t>
      </w:r>
    </w:p>
    <w:p>
      <w:pPr>
        <w:spacing w:after="0" w:line="86"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Upon the completion of this offering, the holders of approximately shares, or %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Class A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“Underwriting.”</w:t>
      </w:r>
    </w:p>
    <w:p>
      <w:pPr>
        <w:spacing w:after="0" w:line="94"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57" w:lineRule="exact"/>
        <w:rPr>
          <w:sz w:val="20"/>
          <w:szCs w:val="20"/>
          <w:color w:val="auto"/>
        </w:rPr>
      </w:pPr>
    </w:p>
    <w:p>
      <w:pPr>
        <w:jc w:val="both"/>
        <w:ind w:left="1160" w:right="1179"/>
        <w:spacing w:after="0" w:line="390" w:lineRule="auto"/>
        <w:rPr>
          <w:sz w:val="20"/>
          <w:szCs w:val="20"/>
          <w:color w:val="auto"/>
        </w:rPr>
      </w:pPr>
      <w:r>
        <w:rPr>
          <w:rFonts w:ascii="Arial" w:cs="Arial" w:eastAsia="Arial" w:hAnsi="Arial"/>
          <w:sz w:val="12"/>
          <w:szCs w:val="12"/>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24"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144"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90"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Our certificate of incorporation and bylaws, as we expect they will be in effect upon closing of the offering, will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56" w:lineRule="exact"/>
        <w:rPr>
          <w:sz w:val="20"/>
          <w:szCs w:val="20"/>
          <w:color w:val="auto"/>
        </w:rPr>
      </w:pPr>
    </w:p>
    <w:p>
      <w:pPr>
        <w:ind w:left="4400" w:right="1279" w:hanging="2943"/>
        <w:spacing w:after="0" w:line="753" w:lineRule="auto"/>
        <w:tabs>
          <w:tab w:leader="none" w:pos="1594" w:val="left"/>
        </w:tabs>
        <w:numPr>
          <w:ilvl w:val="0"/>
          <w:numId w:val="49"/>
        </w:numPr>
        <w:rPr>
          <w:rFonts w:ascii="Arial" w:cs="Arial" w:eastAsia="Arial" w:hAnsi="Arial"/>
          <w:sz w:val="15"/>
          <w:szCs w:val="15"/>
          <w:color w:val="auto"/>
        </w:rPr>
      </w:pPr>
      <w:r>
        <w:rPr>
          <w:rFonts w:ascii="Arial" w:cs="Arial" w:eastAsia="Arial" w:hAnsi="Arial"/>
          <w:sz w:val="15"/>
          <w:szCs w:val="15"/>
          <w:color w:val="auto"/>
        </w:rPr>
        <w:t>establish a classified board of directors so that not all members of our board are elected at one time;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-43815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permit only the board of directors to establish the number of directors and fill vacancies on the board;</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provide that directors may only be removed “for cause” and only with the approval of two-thirds of our stockholders;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authorize the issuance of “blank check” preferred stock that our board could use to implement a stockholder rights plan (also known as a “poison pill”);</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eliminate the ability of our stockholders to call special meetings of stockholders;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prohibit stockholder action by written consent, which requires all stockholder actions to be taken at a meeting of our stockholders;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prohibit cumulative voting;</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authorize our board of directors to amend the bylaws;</w:t>
      </w:r>
    </w:p>
    <w:p>
      <w:pPr>
        <w:spacing w:after="0" w:line="91"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our board or for proposing matters that can be acted upon by stockholders at annual stockholder meetings; and</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require a super-majority vote of stockholders to amend some provisions described above.</w:t>
      </w:r>
    </w:p>
    <w:p>
      <w:pPr>
        <w:spacing w:after="0" w:line="113"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0"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57"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02"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Our amended and restated certificate of incorporation and amended and restated bylaws will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or amended and restated bylaws preclude stockholders that assert claims under the Exchange Act from bringing such claims in state or federal court, subject to applicable law.</w:t>
      </w:r>
    </w:p>
    <w:p>
      <w:pPr>
        <w:spacing w:after="0" w:line="85"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 Risks</w:t>
      </w:r>
    </w:p>
    <w:p>
      <w:pPr>
        <w:spacing w:after="0" w:line="183" w:lineRule="exact"/>
        <w:rPr>
          <w:sz w:val="20"/>
          <w:szCs w:val="20"/>
          <w:color w:val="auto"/>
        </w:rPr>
      </w:pPr>
    </w:p>
    <w:p>
      <w:pPr>
        <w:jc w:val="both"/>
        <w:ind w:left="1160" w:right="1179"/>
        <w:spacing w:after="0" w:line="279" w:lineRule="auto"/>
        <w:rPr>
          <w:sz w:val="20"/>
          <w:szCs w:val="20"/>
          <w:color w:val="auto"/>
        </w:rPr>
      </w:pPr>
      <w:r>
        <w:rPr>
          <w:rFonts w:ascii="Arial" w:cs="Arial" w:eastAsia="Arial" w:hAnsi="Arial"/>
          <w:sz w:val="13"/>
          <w:szCs w:val="13"/>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65"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Despite the implementation of security measures, our internal computer systems and those of our current and any future CROs and other contractors, consultants, collaborators and third-party service providers, are vulnerable to damage from computer viruses, cybersecurity threats, unauthorized access, natural disasters, terrorism, war and telecommunication and electrical failure. If such an event were to occur and cause interruptions in our operations or result in the unauthorized acquisition of or access to personally identifiable information or individually identifiable health information (violating certain privacy laws such as HIPAA, HITECH and GDPR), it could result in a material disruption of our drug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01"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55" w:lineRule="exact"/>
        <w:rPr>
          <w:sz w:val="20"/>
          <w:szCs w:val="20"/>
          <w:color w:val="auto"/>
        </w:rPr>
      </w:pPr>
    </w:p>
    <w:p>
      <w:pPr>
        <w:jc w:val="both"/>
        <w:ind w:left="1160" w:right="1179"/>
        <w:spacing w:after="0" w:line="370" w:lineRule="auto"/>
        <w:rPr>
          <w:sz w:val="20"/>
          <w:szCs w:val="20"/>
          <w:color w:val="auto"/>
        </w:rPr>
      </w:pPr>
      <w:r>
        <w:rPr>
          <w:rFonts w:ascii="Arial" w:cs="Arial" w:eastAsia="Arial" w:hAnsi="Arial"/>
          <w:sz w:val="12"/>
          <w:szCs w:val="12"/>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25"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57"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3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51" w:lineRule="exact"/>
        <w:rPr>
          <w:sz w:val="20"/>
          <w:szCs w:val="20"/>
          <w:color w:val="auto"/>
        </w:rPr>
      </w:pPr>
    </w:p>
    <w:p>
      <w:pPr>
        <w:jc w:val="both"/>
        <w:ind w:left="1600" w:right="1179" w:hanging="143"/>
        <w:spacing w:after="0" w:line="281" w:lineRule="auto"/>
        <w:tabs>
          <w:tab w:leader="none" w:pos="1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49"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w:t>
      </w:r>
    </w:p>
    <w:p>
      <w:pPr>
        <w:spacing w:after="0" w:line="5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this prospectus and our periodic reports and proxy statements; and</w:t>
      </w:r>
    </w:p>
    <w:p>
      <w:pPr>
        <w:spacing w:after="0" w:line="60"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exemptions from the requirements of holding nonbinding advisory stockholder votes on executive compensation and stockholder approval of any golden parachute payments not previously approved.</w:t>
      </w:r>
    </w:p>
    <w:p>
      <w:pPr>
        <w:spacing w:after="0" w:line="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84"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 affiliates; (3) the date on which we have issued more than $1.0 billion in non-convertible debt securities during the prior three-year period; and (4) the last day of the fiscal year ending after the fifth anniversary of our initial public offering.</w:t>
      </w:r>
    </w:p>
    <w:p>
      <w:pPr>
        <w:spacing w:after="0" w:line="90"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5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result in more litigation and divert management’s attention.</w:t>
      </w:r>
    </w:p>
    <w:p>
      <w:pPr>
        <w:spacing w:after="0" w:line="83"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As a public company, we will be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business and results of operations. We may also need to hire additional employees or engage outside consultants to comply with these requirements, which will increase our costs and expenses.</w:t>
      </w:r>
    </w:p>
    <w:p>
      <w:pPr>
        <w:spacing w:after="0" w:line="82" w:lineRule="exact"/>
        <w:rPr>
          <w:sz w:val="20"/>
          <w:szCs w:val="20"/>
          <w:color w:val="auto"/>
        </w:rPr>
      </w:pPr>
    </w:p>
    <w:p>
      <w:pPr>
        <w:jc w:val="both"/>
        <w:ind w:left="1160" w:right="1179"/>
        <w:spacing w:after="0" w:line="287" w:lineRule="auto"/>
        <w:rPr>
          <w:sz w:val="20"/>
          <w:szCs w:val="20"/>
          <w:color w:val="auto"/>
        </w:rPr>
      </w:pPr>
      <w:r>
        <w:rPr>
          <w:rFonts w:ascii="Arial" w:cs="Arial" w:eastAsia="Arial" w:hAnsi="Arial"/>
          <w:sz w:val="13"/>
          <w:szCs w:val="13"/>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85"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05" w:lineRule="exact"/>
        <w:rPr>
          <w:sz w:val="20"/>
          <w:szCs w:val="20"/>
          <w:color w:val="auto"/>
        </w:rPr>
      </w:pPr>
    </w:p>
    <w:p>
      <w:pPr>
        <w:jc w:val="both"/>
        <w:ind w:left="1160" w:right="1179"/>
        <w:spacing w:after="0" w:line="297" w:lineRule="auto"/>
        <w:rPr>
          <w:sz w:val="20"/>
          <w:szCs w:val="20"/>
          <w:color w:val="auto"/>
        </w:rPr>
      </w:pPr>
      <w:r>
        <w:rPr>
          <w:rFonts w:ascii="Arial" w:cs="Arial" w:eastAsia="Arial" w:hAnsi="Arial"/>
          <w:sz w:val="13"/>
          <w:szCs w:val="13"/>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30"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91"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11"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will be required to disclose changes made in our internal controls and procedures on a quarterly basis and our management will be required to assess the effectiveness of these controls annually. However, for as long as we are a smaller reporting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We may be subject to securities litigation, which is expensive and could divert management attention.</w:t>
      </w:r>
    </w:p>
    <w:p>
      <w:pPr>
        <w:spacing w:after="0" w:line="14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market price of our Class A common stock may be volatile and, in the past, companies that have experienced volatility in the market price of their stock have been subject to securities class action litigation.</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We may be the target of this type of litigation in the future. Securities litigation against us could result in substantial costs and divert our management’s attention from other business concerns, which could seriously harm our business.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New tax legislation may impact our results of operations and financial condition.</w:t>
      </w:r>
    </w:p>
    <w:p>
      <w:pPr>
        <w:spacing w:after="0" w:line="1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17"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This prospectus contains forward-looking statements that can involve substantial risks and uncertainties. All statements other than statements of historical facts contained in this prospectus, including statements regarding our future results of operations and financial position, business strategy, prospective products, product approvals, research and development costs, future revenue, timing and likelihood of success, plans and objectives of management for future operations, future results of anticipated products and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95"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these words. Forward-looking statements contained in this prospectus include, but are not limited to, statements about:</w:t>
      </w:r>
    </w:p>
    <w:p>
      <w:pPr>
        <w:spacing w:after="0" w:line="67" w:lineRule="exact"/>
        <w:rPr>
          <w:sz w:val="20"/>
          <w:szCs w:val="20"/>
          <w:color w:val="auto"/>
        </w:rPr>
      </w:pPr>
    </w:p>
    <w:p>
      <w:pPr>
        <w:jc w:val="both"/>
        <w:ind w:left="1600" w:right="1179" w:hanging="143"/>
        <w:spacing w:after="0" w:line="251"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timing, progress and results of clinical trials and preclinical studies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58"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expectations regarding the potential clinical efficacy and safety of our programs and product candidates;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timing, scope or likelihood of regulatory submissions, filings and approvals;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ability to discover, develop and advance product candidates into, and successfully complete, clinical trials;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expectations regarding the potential market size and size of the patient populations for our product candidates, if approved for commercial use;</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implementation of our business model and our strategic plans for our business, commercial product, product candidates, platform and technology;</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commercialization, marketing and manufacturing capabilities and strategy;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pricing and reimbursement of our commercial product and product candidates, if approved;</w:t>
      </w:r>
    </w:p>
    <w:p>
      <w:pPr>
        <w:spacing w:after="0" w:line="91"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rate and degree of market acceptance and clinical utility of our commercial product and product candidates;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ability to establish or maintain collaborations or strategic relationships or obtain additional funding;</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competitive position and the competitive position of our programs, product candidates and platform;</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scope of protection we and/or our licensors are able to establish and maintain for intellectual property rights covering our commercial product and product candidates;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developments and projections relating to our competitors and our industry;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expectations related to the use of proceeds from this offering;</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estimates regarding expenses, future revenue, capital requirements and needs for additional financing;</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impact of laws and regulations;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our expectations regarding the time during which we will be an emerging growth company under the JOBS Act;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impact of the COVID-19 pandemic and potential future pandemics.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86"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In addition, statements that “we believe” and similar statements such as “may,” “should,” “expects,” “intends,” “plans,” “anticipates,” “believes,” “estimates,” “predicts,” “potential” and “continue”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7"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This prospectus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7"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5"/>
          <w:szCs w:val="15"/>
          <w:color w:val="auto"/>
        </w:rPr>
        <w:t>We estimate that the net proceeds to us from in this offering will be approximately $ million, assuming an initial public offering price of $ per share, which is the midpoint of the price range set</w:t>
      </w:r>
    </w:p>
    <w:p>
      <w:pPr>
        <w:jc w:val="both"/>
        <w:ind w:left="1160" w:right="1179"/>
        <w:spacing w:after="0" w:line="261" w:lineRule="auto"/>
        <w:rPr>
          <w:sz w:val="20"/>
          <w:szCs w:val="20"/>
          <w:color w:val="auto"/>
        </w:rPr>
      </w:pPr>
      <w:r>
        <w:rPr>
          <w:rFonts w:ascii="Arial" w:cs="Arial" w:eastAsia="Arial" w:hAnsi="Arial"/>
          <w:sz w:val="14"/>
          <w:szCs w:val="14"/>
          <w:color w:val="auto"/>
        </w:rPr>
        <w:t>forth on the cover page of this prospectus, and after deducting underwriting discounts and commissions and estimated offering expenses payable by us. If the underwriters’ option to purchase additional shares from us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60"/>
        <w:spacing w:after="0"/>
        <w:tabs>
          <w:tab w:leader="none" w:pos="6380" w:val="left"/>
        </w:tabs>
        <w:rPr>
          <w:sz w:val="20"/>
          <w:szCs w:val="20"/>
          <w:color w:val="auto"/>
        </w:rPr>
      </w:pPr>
      <w:r>
        <w:rPr>
          <w:rFonts w:ascii="Arial" w:cs="Arial" w:eastAsia="Arial" w:hAnsi="Arial"/>
          <w:sz w:val="15"/>
          <w:szCs w:val="15"/>
          <w:color w:val="auto"/>
        </w:rPr>
        <w:t>is exercised in full, we estimate that our net proceeds will be approximately $</w:t>
      </w:r>
      <w:r>
        <w:rPr>
          <w:sz w:val="20"/>
          <w:szCs w:val="20"/>
          <w:color w:val="auto"/>
        </w:rPr>
        <w:tab/>
      </w:r>
      <w:r>
        <w:rPr>
          <w:rFonts w:ascii="Arial" w:cs="Arial" w:eastAsia="Arial" w:hAnsi="Arial"/>
          <w:sz w:val="15"/>
          <w:szCs w:val="15"/>
          <w:color w:val="auto"/>
        </w:rPr>
        <w:t>million.</w:t>
      </w:r>
    </w:p>
    <w:p>
      <w:pPr>
        <w:spacing w:after="0" w:line="124"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5"/>
          <w:szCs w:val="15"/>
          <w:color w:val="auto"/>
        </w:rPr>
        <w:t>Each $1.00 increase (decrease) in the assumed initial public offering price of $ per share would increase (decrease) the net proceeds to us from this offering by approximately $ million, assuming</w:t>
      </w:r>
    </w:p>
    <w:p>
      <w:pPr>
        <w:jc w:val="both"/>
        <w:ind w:left="1160" w:right="1179"/>
        <w:spacing w:after="0"/>
        <w:rPr>
          <w:sz w:val="20"/>
          <w:szCs w:val="20"/>
          <w:color w:val="auto"/>
        </w:rPr>
      </w:pPr>
      <w:r>
        <w:rPr>
          <w:rFonts w:ascii="Arial" w:cs="Arial" w:eastAsia="Arial" w:hAnsi="Arial"/>
          <w:sz w:val="10"/>
          <w:szCs w:val="10"/>
          <w:color w:val="auto"/>
        </w:rPr>
        <w:t>that the number of shares offered by us, as set forth on the cover page of this prospectus, remains the same and after deducting underwriting discounts and commissions and estimated offering expenses payable by us. Each increase (decrease) of 1.0 million in the number of shares we are offering would increase (decrease) the net proceeds to us from this offering, after deducting underwriting discounts and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estimated offering expenses payable by us, by $ million, assuming the assumed initial public offering price stays the same.</w:t>
      </w:r>
    </w:p>
    <w:p>
      <w:pPr>
        <w:spacing w:after="0" w:line="93"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We intend to use the net proceeds from this offering, together with our existing cash and cash equivalents, as follows:</w:t>
      </w:r>
    </w:p>
    <w:p>
      <w:pPr>
        <w:spacing w:after="0" w:line="60" w:lineRule="exact"/>
        <w:rPr>
          <w:sz w:val="20"/>
          <w:szCs w:val="20"/>
          <w:color w:val="auto"/>
        </w:rPr>
      </w:pPr>
    </w:p>
    <w:p>
      <w:pPr>
        <w:jc w:val="both"/>
        <w:ind w:left="1600" w:right="1179" w:hanging="143"/>
        <w:spacing w:after="0" w:line="254" w:lineRule="auto"/>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approximately $ million to advance IMM-1-104 into clinical development, including to fund our planned Phase 1 clinical trial of IMM-1-104 for the treatment of advanced solid tumors in patients harboring RAS mutant tumors;</w:t>
      </w:r>
    </w:p>
    <w:p>
      <w:pPr>
        <w:spacing w:after="0" w:line="67"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approximately $ million to advance our other preclinical drug programs and the design and development of new product candidates, in oncology and neuroscience, and to advance these programs into IND-enabling studies that would support an IND filing for one or more product candidates; and</w:t>
      </w:r>
    </w:p>
    <w:p>
      <w:pPr>
        <w:spacing w:after="0" w:line="69"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remainder for working capital and other general corporate purposes, including the continued advancement of our platform and hiring of additional staff as we expand our operations.</w:t>
      </w:r>
    </w:p>
    <w:p>
      <w:pPr>
        <w:spacing w:after="0" w:line="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This expected use of the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anticipate that we will need additional funds to complete the development of any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We believe that the net proceeds from this offering, together with our existing cash and cash equivalents,</w:t>
      </w:r>
    </w:p>
    <w:p>
      <w:pPr>
        <w:spacing w:after="0" w:line="25" w:lineRule="exact"/>
        <w:rPr>
          <w:sz w:val="20"/>
          <w:szCs w:val="20"/>
          <w:color w:val="auto"/>
        </w:rPr>
      </w:pPr>
    </w:p>
    <w:p>
      <w:pPr>
        <w:jc w:val="both"/>
        <w:ind w:left="1160" w:right="1179"/>
        <w:spacing w:after="0" w:line="245" w:lineRule="auto"/>
        <w:rPr>
          <w:sz w:val="20"/>
          <w:szCs w:val="20"/>
          <w:color w:val="auto"/>
        </w:rPr>
      </w:pPr>
      <w:r>
        <w:rPr>
          <w:rFonts w:ascii="Arial" w:cs="Arial" w:eastAsia="Arial" w:hAnsi="Arial"/>
          <w:sz w:val="15"/>
          <w:szCs w:val="15"/>
          <w:color w:val="auto"/>
        </w:rPr>
        <w:t>will enable us to fund our operating expenses and capital expenditure requirements through . We have based this estimate on assumptions that may prove to be incorrect, and we could use our available capital resources sooner than we currently expect.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10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DIVIDEND POLICY</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currently intend to retain all available funds and any future earnings to fund the development, commercialization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07"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Accordingly, 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currently intend to pay dividends on our Class A common stock and, consequently, your ability to achieve a return on your investment will depend on appreciation of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CAPITALIZATION</w:t>
      </w:r>
    </w:p>
    <w:p>
      <w:pPr>
        <w:spacing w:after="0" w:line="117"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The following table sets forth our cash and cash equivalents and capitalization as of March 31, 2021, as follows:</w:t>
      </w:r>
    </w:p>
    <w:p>
      <w:pPr>
        <w:spacing w:after="0" w:line="60" w:lineRule="exact"/>
        <w:rPr>
          <w:sz w:val="20"/>
          <w:szCs w:val="20"/>
          <w:color w:val="auto"/>
        </w:rPr>
      </w:pPr>
    </w:p>
    <w:p>
      <w:pPr>
        <w:ind w:left="1600" w:hanging="143"/>
        <w:spacing w:after="0"/>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91" w:lineRule="exact"/>
        <w:rPr>
          <w:rFonts w:ascii="Arial" w:cs="Arial" w:eastAsia="Arial" w:hAnsi="Arial"/>
          <w:sz w:val="15"/>
          <w:szCs w:val="15"/>
          <w:color w:val="auto"/>
        </w:rPr>
      </w:pPr>
    </w:p>
    <w:p>
      <w:pPr>
        <w:jc w:val="both"/>
        <w:ind w:left="1600" w:right="1179" w:hanging="143"/>
        <w:spacing w:after="0" w:line="267" w:lineRule="auto"/>
        <w:tabs>
          <w:tab w:leader="none" w:pos="1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a pro forma basis to give effect to (i) the receipt of approximately $24.8 million in aggregate net proceeds from the issuance and sale of Series B Preferred Stock that occurred in April and May 2021, (ii) the conversion of all outstanding shares of our Series A Preferred Stock and Series B</w:t>
      </w:r>
    </w:p>
    <w:p>
      <w:pPr>
        <w:spacing w:after="0" w:line="1" w:lineRule="exact"/>
        <w:rPr>
          <w:sz w:val="20"/>
          <w:szCs w:val="20"/>
          <w:color w:val="auto"/>
        </w:rPr>
      </w:pPr>
    </w:p>
    <w:p>
      <w:pPr>
        <w:jc w:val="both"/>
        <w:ind w:left="1600" w:right="1179"/>
        <w:spacing w:after="0" w:line="246" w:lineRule="auto"/>
        <w:rPr>
          <w:sz w:val="20"/>
          <w:szCs w:val="20"/>
          <w:color w:val="auto"/>
        </w:rPr>
      </w:pPr>
      <w:r>
        <w:rPr>
          <w:rFonts w:ascii="Arial" w:cs="Arial" w:eastAsia="Arial" w:hAnsi="Arial"/>
          <w:sz w:val="15"/>
          <w:szCs w:val="15"/>
          <w:color w:val="auto"/>
        </w:rPr>
        <w:t>Preferred Stock into an aggregate of shares of our common stock, as if such conversion had occurred on March 31, 2021, and (iii) the filing and effectiveness of our amended and restated certificate of incorporation upon the closing of this offering; and</w:t>
      </w:r>
    </w:p>
    <w:p>
      <w:pPr>
        <w:spacing w:after="0" w:line="74" w:lineRule="exact"/>
        <w:rPr>
          <w:sz w:val="20"/>
          <w:szCs w:val="20"/>
          <w:color w:val="auto"/>
        </w:rPr>
      </w:pPr>
    </w:p>
    <w:p>
      <w:pPr>
        <w:jc w:val="both"/>
        <w:ind w:left="1600" w:right="1179" w:hanging="139"/>
        <w:spacing w:after="0" w:line="252" w:lineRule="auto"/>
        <w:tabs>
          <w:tab w:leader="none" w:pos="1580" w:val="left"/>
        </w:tabs>
        <w:rPr>
          <w:sz w:val="20"/>
          <w:szCs w:val="20"/>
          <w:color w:val="auto"/>
        </w:rPr>
      </w:pPr>
      <w:r>
        <w:rPr>
          <w:rFonts w:ascii="Arial" w:cs="Arial" w:eastAsia="Arial" w:hAnsi="Arial"/>
          <w:sz w:val="15"/>
          <w:szCs w:val="15"/>
          <w:color w:val="auto"/>
        </w:rPr>
        <w:t>•</w:t>
        <w:tab/>
        <w:t>on a pro forma as adjusted basis to give further effect to our issuance and sale of shares of Class A common stock in this offering at an assumed initial public offering price of $ per</w:t>
      </w:r>
    </w:p>
    <w:p>
      <w:pPr>
        <w:jc w:val="both"/>
        <w:ind w:left="1600" w:right="1179"/>
        <w:spacing w:after="0" w:line="246" w:lineRule="auto"/>
        <w:rPr>
          <w:sz w:val="20"/>
          <w:szCs w:val="20"/>
          <w:color w:val="auto"/>
        </w:rPr>
      </w:pPr>
      <w:r>
        <w:rPr>
          <w:rFonts w:ascii="Arial" w:cs="Arial" w:eastAsia="Arial" w:hAnsi="Arial"/>
          <w:sz w:val="15"/>
          <w:szCs w:val="15"/>
          <w:color w:val="auto"/>
        </w:rPr>
        <w:t>share (which is the midpoint of the price range set forth on the cover of this prospectus), after deducting the underwriting discounts and commissions and estimated offering expenses payable by us.</w:t>
      </w:r>
    </w:p>
    <w:p>
      <w:pPr>
        <w:spacing w:after="0" w:line="10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included elsewhere in this prospectus and the “Management’s Discussion and Analysis of Financial Condition and Results of Operations” sections and other financial information contained in this prospectus.</w:t>
      </w:r>
    </w:p>
    <w:p>
      <w:pPr>
        <w:spacing w:after="0" w:line="110"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2"/>
                <w:szCs w:val="12"/>
                <w:b w:val="1"/>
                <w:bCs w:val="1"/>
                <w:color w:val="auto"/>
                <w:w w:val="85"/>
              </w:rPr>
              <w:t>As of March 31, 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Pro</w:t>
            </w:r>
          </w:p>
        </w:tc>
        <w:tc>
          <w:tcPr>
            <w:tcW w:w="800" w:type="dxa"/>
            <w:vAlign w:val="bottom"/>
            <w:gridSpan w:val="3"/>
          </w:tcPr>
          <w:p>
            <w:pPr>
              <w:jc w:val="center"/>
              <w:ind w:left="14"/>
              <w:spacing w:after="0" w:line="126" w:lineRule="exact"/>
              <w:rPr>
                <w:sz w:val="20"/>
                <w:szCs w:val="20"/>
                <w:color w:val="auto"/>
              </w:rPr>
            </w:pPr>
            <w:r>
              <w:rPr>
                <w:rFonts w:ascii="Arial" w:cs="Arial" w:eastAsia="Arial" w:hAnsi="Arial"/>
                <w:sz w:val="12"/>
                <w:szCs w:val="12"/>
                <w:b w:val="1"/>
                <w:bCs w:val="1"/>
                <w:color w:val="auto"/>
                <w:w w:val="86"/>
              </w:rPr>
              <w:t>Pro Forma As</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Actual</w:t>
            </w:r>
          </w:p>
        </w:tc>
        <w:tc>
          <w:tcPr>
            <w:tcW w:w="54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Forma</w:t>
            </w:r>
          </w:p>
        </w:tc>
        <w:tc>
          <w:tcPr>
            <w:tcW w:w="800" w:type="dxa"/>
            <w:vAlign w:val="bottom"/>
            <w:tcBorders>
              <w:bottom w:val="single" w:sz="8" w:color="auto"/>
            </w:tcBorders>
            <w:gridSpan w:val="3"/>
          </w:tcPr>
          <w:p>
            <w:pPr>
              <w:jc w:val="center"/>
              <w:ind w:left="34"/>
              <w:spacing w:after="0" w:line="189" w:lineRule="exact"/>
              <w:rPr>
                <w:sz w:val="20"/>
                <w:szCs w:val="20"/>
                <w:color w:val="auto"/>
              </w:rPr>
            </w:pPr>
            <w:r>
              <w:rPr>
                <w:rFonts w:ascii="Arial" w:cs="Arial" w:eastAsia="Arial" w:hAnsi="Arial"/>
                <w:sz w:val="12"/>
                <w:szCs w:val="12"/>
                <w:b w:val="1"/>
                <w:bCs w:val="1"/>
                <w:color w:val="auto"/>
                <w:w w:val="82"/>
              </w:rPr>
              <w:t>Adjusted</w:t>
            </w:r>
            <w:r>
              <w:rPr>
                <w:rFonts w:ascii="Arial" w:cs="Arial" w:eastAsia="Arial" w:hAnsi="Arial"/>
                <w:sz w:val="17"/>
                <w:szCs w:val="17"/>
                <w:b w:val="1"/>
                <w:bCs w:val="1"/>
                <w:color w:val="auto"/>
                <w:w w:val="82"/>
                <w:vertAlign w:val="superscript"/>
              </w:rPr>
              <w:t>(1)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7"/>
          </w:tcPr>
          <w:p>
            <w:pPr>
              <w:jc w:val="center"/>
              <w:ind w:right="40"/>
              <w:spacing w:after="0"/>
              <w:rPr>
                <w:sz w:val="20"/>
                <w:szCs w:val="20"/>
                <w:color w:val="auto"/>
              </w:rPr>
            </w:pPr>
            <w:r>
              <w:rPr>
                <w:rFonts w:ascii="Arial" w:cs="Arial" w:eastAsia="Arial" w:hAnsi="Arial"/>
                <w:sz w:val="12"/>
                <w:szCs w:val="12"/>
                <w:b w:val="1"/>
                <w:bCs w:val="1"/>
                <w:color w:val="auto"/>
                <w:w w:val="81"/>
              </w:rPr>
              <w:t>(in thousands, except share and per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6"/>
          </w:tcPr>
          <w:p>
            <w:pPr>
              <w:jc w:val="center"/>
              <w:ind w:right="600"/>
              <w:spacing w:after="0"/>
              <w:rPr>
                <w:sz w:val="20"/>
                <w:szCs w:val="20"/>
                <w:color w:val="auto"/>
              </w:rPr>
            </w:pPr>
            <w:r>
              <w:rPr>
                <w:rFonts w:ascii="Arial" w:cs="Arial" w:eastAsia="Arial" w:hAnsi="Arial"/>
                <w:sz w:val="12"/>
                <w:szCs w:val="12"/>
                <w:b w:val="1"/>
                <w:bCs w:val="1"/>
                <w:color w:val="auto"/>
                <w:w w:val="82"/>
              </w:rPr>
              <w:t>share amounts)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420" w:type="dxa"/>
            <w:vAlign w:val="bottom"/>
            <w:shd w:val="clear" w:color="auto" w:fill="CCEEFF"/>
          </w:tcPr>
          <w:p>
            <w:pPr>
              <w:spacing w:after="0"/>
              <w:rPr>
                <w:sz w:val="18"/>
                <w:szCs w:val="18"/>
                <w:color w:val="auto"/>
              </w:rPr>
            </w:pPr>
          </w:p>
        </w:tc>
        <w:tc>
          <w:tcPr>
            <w:tcW w:w="2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$ 30,934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60" w:type="dxa"/>
            <w:vAlign w:val="bottom"/>
            <w:tcBorders>
              <w:top w:val="single" w:sz="8" w:color="CCEEFF"/>
              <w:bottom w:val="single" w:sz="8" w:color="CCEEFF"/>
            </w:tcBorders>
            <w:gridSpan w:val="5"/>
            <w:vMerge w:val="restart"/>
          </w:tcPr>
          <w:p>
            <w:pPr>
              <w:spacing w:after="0" w:line="147" w:lineRule="exact"/>
              <w:rPr>
                <w:sz w:val="20"/>
                <w:szCs w:val="20"/>
                <w:color w:val="auto"/>
              </w:rPr>
            </w:pPr>
            <w:r>
              <w:rPr>
                <w:rFonts w:ascii="Arial" w:cs="Arial" w:eastAsia="Arial" w:hAnsi="Arial"/>
                <w:sz w:val="15"/>
                <w:szCs w:val="15"/>
                <w:color w:val="auto"/>
                <w:w w:val="95"/>
              </w:rPr>
              <w:t>Convertible preferred stock, par value $0.001 per share: 8,528,116 shares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020" w:type="dxa"/>
            <w:vAlign w:val="bottom"/>
          </w:tcPr>
          <w:p>
            <w:pPr>
              <w:spacing w:after="0"/>
              <w:rPr>
                <w:sz w:val="9"/>
                <w:szCs w:val="9"/>
                <w:color w:val="auto"/>
              </w:rPr>
            </w:pPr>
          </w:p>
        </w:tc>
        <w:tc>
          <w:tcPr>
            <w:tcW w:w="4760" w:type="dxa"/>
            <w:vAlign w:val="bottom"/>
            <w:gridSpan w:val="5"/>
            <w:vMerge w:val="continue"/>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340" w:type="dxa"/>
            <w:vAlign w:val="bottom"/>
            <w:gridSpan w:val="6"/>
          </w:tcPr>
          <w:p>
            <w:pPr>
              <w:ind w:left="160"/>
              <w:spacing w:after="0"/>
              <w:rPr>
                <w:sz w:val="20"/>
                <w:szCs w:val="20"/>
                <w:color w:val="auto"/>
              </w:rPr>
            </w:pPr>
            <w:r>
              <w:rPr>
                <w:rFonts w:ascii="Arial" w:cs="Arial" w:eastAsia="Arial" w:hAnsi="Arial"/>
                <w:sz w:val="15"/>
                <w:szCs w:val="15"/>
                <w:color w:val="auto"/>
              </w:rPr>
              <w:t>authorized, 8,081,268 shares issued and outstanding, actual; no shares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340" w:type="dxa"/>
            <w:vAlign w:val="bottom"/>
            <w:gridSpan w:val="6"/>
          </w:tcPr>
          <w:p>
            <w:pPr>
              <w:ind w:left="160"/>
              <w:spacing w:after="0"/>
              <w:rPr>
                <w:sz w:val="20"/>
                <w:szCs w:val="20"/>
                <w:color w:val="auto"/>
              </w:rPr>
            </w:pPr>
            <w:r>
              <w:rPr>
                <w:rFonts w:ascii="Arial" w:cs="Arial" w:eastAsia="Arial" w:hAnsi="Arial"/>
                <w:sz w:val="15"/>
                <w:szCs w:val="15"/>
                <w:color w:val="auto"/>
              </w:rPr>
              <w:t>authorized, issued or outstanding, pro forma and pro forma as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440" w:type="dxa"/>
            <w:vAlign w:val="bottom"/>
          </w:tcPr>
          <w:p>
            <w:pPr>
              <w:ind w:left="160"/>
              <w:spacing w:after="0"/>
              <w:rPr>
                <w:sz w:val="20"/>
                <w:szCs w:val="20"/>
                <w:color w:val="auto"/>
              </w:rPr>
            </w:pPr>
            <w:r>
              <w:rPr>
                <w:rFonts w:ascii="Arial" w:cs="Arial" w:eastAsia="Arial" w:hAnsi="Arial"/>
                <w:sz w:val="15"/>
                <w:szCs w:val="15"/>
                <w:color w:val="auto"/>
              </w:rPr>
              <w:t>adjusted</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Arial" w:cs="Arial" w:eastAsia="Arial" w:hAnsi="Arial"/>
                <w:sz w:val="15"/>
                <w:szCs w:val="15"/>
                <w:color w:val="auto"/>
              </w:rPr>
              <w:t>58,104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Stockholders’ (deficit) equity</w:t>
            </w:r>
          </w:p>
        </w:tc>
        <w:tc>
          <w:tcPr>
            <w:tcW w:w="4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5340" w:type="dxa"/>
            <w:vAlign w:val="bottom"/>
            <w:gridSpan w:val="6"/>
          </w:tcPr>
          <w:p>
            <w:pPr>
              <w:ind w:left="160"/>
              <w:spacing w:after="0" w:line="165" w:lineRule="exact"/>
              <w:rPr>
                <w:sz w:val="20"/>
                <w:szCs w:val="20"/>
                <w:color w:val="auto"/>
              </w:rPr>
            </w:pPr>
            <w:r>
              <w:rPr>
                <w:rFonts w:ascii="Arial" w:cs="Arial" w:eastAsia="Arial" w:hAnsi="Arial"/>
                <w:sz w:val="15"/>
                <w:szCs w:val="15"/>
                <w:color w:val="auto"/>
              </w:rPr>
              <w:t>Class A common stock, $0.001 par value per share: 15,733,000 shares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340" w:type="dxa"/>
            <w:vAlign w:val="bottom"/>
            <w:gridSpan w:val="6"/>
          </w:tcPr>
          <w:p>
            <w:pPr>
              <w:ind w:left="300"/>
              <w:spacing w:after="0"/>
              <w:rPr>
                <w:sz w:val="20"/>
                <w:szCs w:val="20"/>
                <w:color w:val="auto"/>
              </w:rPr>
            </w:pPr>
            <w:r>
              <w:rPr>
                <w:rFonts w:ascii="Arial" w:cs="Arial" w:eastAsia="Arial" w:hAnsi="Arial"/>
                <w:sz w:val="15"/>
                <w:szCs w:val="15"/>
                <w:color w:val="auto"/>
              </w:rPr>
              <w:t>authorized, 3,535,811 shares issued and outstanding, actual;</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1440" w:type="dxa"/>
            <w:vAlign w:val="bottom"/>
          </w:tcPr>
          <w:p>
            <w:pPr>
              <w:ind w:left="300"/>
              <w:spacing w:after="0"/>
              <w:rPr>
                <w:sz w:val="20"/>
                <w:szCs w:val="20"/>
                <w:color w:val="auto"/>
              </w:rPr>
            </w:pPr>
            <w:r>
              <w:rPr>
                <w:rFonts w:ascii="Arial" w:cs="Arial" w:eastAsia="Arial" w:hAnsi="Arial"/>
                <w:sz w:val="15"/>
                <w:szCs w:val="15"/>
                <w:color w:val="auto"/>
                <w:w w:val="90"/>
              </w:rPr>
              <w:t>shares authorized,</w:t>
            </w:r>
          </w:p>
        </w:tc>
        <w:tc>
          <w:tcPr>
            <w:tcW w:w="3900" w:type="dxa"/>
            <w:vAlign w:val="bottom"/>
            <w:gridSpan w:val="5"/>
          </w:tcPr>
          <w:p>
            <w:pPr>
              <w:jc w:val="right"/>
              <w:ind w:right="773"/>
              <w:spacing w:after="0"/>
              <w:rPr>
                <w:sz w:val="20"/>
                <w:szCs w:val="20"/>
                <w:color w:val="auto"/>
              </w:rPr>
            </w:pPr>
            <w:r>
              <w:rPr>
                <w:rFonts w:ascii="Arial" w:cs="Arial" w:eastAsia="Arial" w:hAnsi="Arial"/>
                <w:sz w:val="15"/>
                <w:szCs w:val="15"/>
                <w:color w:val="auto"/>
              </w:rPr>
              <w:t>shares issued and outstanding, pro forma;</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440" w:type="dxa"/>
            <w:vAlign w:val="bottom"/>
            <w:gridSpan w:val="2"/>
          </w:tcPr>
          <w:p>
            <w:pPr>
              <w:ind w:left="800"/>
              <w:spacing w:after="0"/>
              <w:rPr>
                <w:sz w:val="20"/>
                <w:szCs w:val="20"/>
                <w:color w:val="auto"/>
              </w:rPr>
            </w:pPr>
            <w:r>
              <w:rPr>
                <w:rFonts w:ascii="Arial" w:cs="Arial" w:eastAsia="Arial" w:hAnsi="Arial"/>
                <w:sz w:val="15"/>
                <w:szCs w:val="15"/>
                <w:color w:val="auto"/>
              </w:rPr>
              <w:t>shares authorized,</w:t>
            </w:r>
          </w:p>
        </w:tc>
        <w:tc>
          <w:tcPr>
            <w:tcW w:w="2900" w:type="dxa"/>
            <w:vAlign w:val="bottom"/>
            <w:gridSpan w:val="4"/>
          </w:tcPr>
          <w:p>
            <w:pPr>
              <w:jc w:val="right"/>
              <w:ind w:right="973"/>
              <w:spacing w:after="0"/>
              <w:rPr>
                <w:sz w:val="20"/>
                <w:szCs w:val="20"/>
                <w:color w:val="auto"/>
              </w:rPr>
            </w:pPr>
            <w:r>
              <w:rPr>
                <w:rFonts w:ascii="Arial" w:cs="Arial" w:eastAsia="Arial" w:hAnsi="Arial"/>
                <w:sz w:val="15"/>
                <w:szCs w:val="15"/>
                <w:color w:val="auto"/>
                <w:w w:val="88"/>
              </w:rPr>
              <w:t>shares issued and outstanding,</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440" w:type="dxa"/>
            <w:vAlign w:val="bottom"/>
            <w:gridSpan w:val="2"/>
          </w:tcPr>
          <w:p>
            <w:pPr>
              <w:ind w:left="300"/>
              <w:spacing w:after="0"/>
              <w:rPr>
                <w:sz w:val="20"/>
                <w:szCs w:val="20"/>
                <w:color w:val="auto"/>
              </w:rPr>
            </w:pPr>
            <w:r>
              <w:rPr>
                <w:rFonts w:ascii="Arial" w:cs="Arial" w:eastAsia="Arial" w:hAnsi="Arial"/>
                <w:sz w:val="15"/>
                <w:szCs w:val="15"/>
                <w:color w:val="auto"/>
              </w:rPr>
              <w:t>pro forma as adjusted</w:t>
            </w:r>
          </w:p>
        </w:tc>
        <w:tc>
          <w:tcPr>
            <w:tcW w:w="42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5340" w:type="dxa"/>
            <w:vAlign w:val="bottom"/>
            <w:tcBorders>
              <w:right w:val="single" w:sz="8" w:color="CCEEFF"/>
            </w:tcBorders>
            <w:gridSpan w:val="6"/>
            <w:shd w:val="clear" w:color="auto" w:fill="CCEEFF"/>
          </w:tcPr>
          <w:p>
            <w:pPr>
              <w:ind w:left="160"/>
              <w:spacing w:after="0" w:line="165" w:lineRule="exact"/>
              <w:rPr>
                <w:sz w:val="20"/>
                <w:szCs w:val="20"/>
                <w:color w:val="auto"/>
              </w:rPr>
            </w:pPr>
            <w:r>
              <w:rPr>
                <w:rFonts w:ascii="Arial" w:cs="Arial" w:eastAsia="Arial" w:hAnsi="Arial"/>
                <w:sz w:val="15"/>
                <w:szCs w:val="15"/>
                <w:color w:val="auto"/>
              </w:rPr>
              <w:t>Class B common stock, $0.001 par value per share: 6,032,183 shares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authorized,</w:t>
            </w:r>
          </w:p>
        </w:tc>
        <w:tc>
          <w:tcPr>
            <w:tcW w:w="3900" w:type="dxa"/>
            <w:vAlign w:val="bottom"/>
            <w:tcBorders>
              <w:right w:val="single" w:sz="8" w:color="CCEEFF"/>
            </w:tcBorders>
            <w:gridSpan w:val="5"/>
            <w:shd w:val="clear" w:color="auto" w:fill="CCEEFF"/>
          </w:tcPr>
          <w:p>
            <w:pPr>
              <w:jc w:val="right"/>
              <w:ind w:right="1453"/>
              <w:spacing w:after="0"/>
              <w:rPr>
                <w:sz w:val="20"/>
                <w:szCs w:val="20"/>
                <w:color w:val="auto"/>
              </w:rPr>
            </w:pPr>
            <w:r>
              <w:rPr>
                <w:rFonts w:ascii="Arial" w:cs="Arial" w:eastAsia="Arial" w:hAnsi="Arial"/>
                <w:sz w:val="15"/>
                <w:szCs w:val="15"/>
                <w:color w:val="auto"/>
                <w:w w:val="92"/>
              </w:rPr>
              <w:t>shares issued and outstanding, actual;</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44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shares authorized,</w:t>
            </w:r>
          </w:p>
        </w:tc>
        <w:tc>
          <w:tcPr>
            <w:tcW w:w="2900" w:type="dxa"/>
            <w:vAlign w:val="bottom"/>
            <w:tcBorders>
              <w:right w:val="single" w:sz="8" w:color="CCEEFF"/>
            </w:tcBorders>
            <w:gridSpan w:val="4"/>
            <w:shd w:val="clear" w:color="auto" w:fill="CCEEFF"/>
          </w:tcPr>
          <w:p>
            <w:pPr>
              <w:jc w:val="right"/>
              <w:ind w:right="973"/>
              <w:spacing w:after="0"/>
              <w:rPr>
                <w:sz w:val="20"/>
                <w:szCs w:val="20"/>
                <w:color w:val="auto"/>
              </w:rPr>
            </w:pPr>
            <w:r>
              <w:rPr>
                <w:rFonts w:ascii="Arial" w:cs="Arial" w:eastAsia="Arial" w:hAnsi="Arial"/>
                <w:sz w:val="15"/>
                <w:szCs w:val="15"/>
                <w:color w:val="auto"/>
                <w:w w:val="88"/>
              </w:rPr>
              <w:t>shares issued and outstanding,</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 forma;</w:t>
            </w: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shares authorized,</w:t>
            </w:r>
          </w:p>
        </w:tc>
        <w:tc>
          <w:tcPr>
            <w:tcW w:w="2480" w:type="dxa"/>
            <w:vAlign w:val="bottom"/>
            <w:tcBorders>
              <w:right w:val="single" w:sz="8" w:color="CCEEFF"/>
            </w:tcBorders>
            <w:gridSpan w:val="3"/>
            <w:shd w:val="clear" w:color="auto" w:fill="CCEEFF"/>
          </w:tcPr>
          <w:p>
            <w:pPr>
              <w:jc w:val="right"/>
              <w:ind w:right="1073"/>
              <w:spacing w:after="0"/>
              <w:rPr>
                <w:sz w:val="20"/>
                <w:szCs w:val="20"/>
                <w:color w:val="auto"/>
              </w:rPr>
            </w:pPr>
            <w:r>
              <w:rPr>
                <w:rFonts w:ascii="Arial" w:cs="Arial" w:eastAsia="Arial" w:hAnsi="Arial"/>
                <w:sz w:val="15"/>
                <w:szCs w:val="15"/>
                <w:color w:val="auto"/>
              </w:rPr>
              <w:t>shares issued and</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4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1"/>
              </w:rPr>
              <w:t>outstanding, pro forma as adjusted</w:t>
            </w:r>
          </w:p>
        </w:tc>
        <w:tc>
          <w:tcPr>
            <w:tcW w:w="4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5340" w:type="dxa"/>
            <w:vAlign w:val="bottom"/>
            <w:gridSpan w:val="6"/>
          </w:tcPr>
          <w:p>
            <w:pPr>
              <w:ind w:left="160"/>
              <w:spacing w:after="0" w:line="165" w:lineRule="exact"/>
              <w:rPr>
                <w:sz w:val="20"/>
                <w:szCs w:val="20"/>
                <w:color w:val="auto"/>
              </w:rPr>
            </w:pPr>
            <w:r>
              <w:rPr>
                <w:rFonts w:ascii="Arial" w:cs="Arial" w:eastAsia="Arial" w:hAnsi="Arial"/>
                <w:sz w:val="15"/>
                <w:szCs w:val="15"/>
                <w:color w:val="auto"/>
              </w:rPr>
              <w:t>Preferred stock, $0.001 par value per share: shares authorized, issued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340" w:type="dxa"/>
            <w:vAlign w:val="bottom"/>
            <w:gridSpan w:val="6"/>
          </w:tcPr>
          <w:p>
            <w:pPr>
              <w:ind w:left="300"/>
              <w:spacing w:after="0"/>
              <w:rPr>
                <w:sz w:val="20"/>
                <w:szCs w:val="20"/>
                <w:color w:val="auto"/>
              </w:rPr>
            </w:pPr>
            <w:r>
              <w:rPr>
                <w:rFonts w:ascii="Arial" w:cs="Arial" w:eastAsia="Arial" w:hAnsi="Arial"/>
                <w:sz w:val="15"/>
                <w:szCs w:val="15"/>
                <w:color w:val="auto"/>
              </w:rPr>
              <w:t>and outstanding, actual; shares authorized, pro forma and pro forma</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340" w:type="dxa"/>
            <w:vAlign w:val="bottom"/>
            <w:gridSpan w:val="6"/>
          </w:tcPr>
          <w:p>
            <w:pPr>
              <w:ind w:left="300"/>
              <w:spacing w:after="0"/>
              <w:rPr>
                <w:sz w:val="20"/>
                <w:szCs w:val="20"/>
                <w:color w:val="auto"/>
              </w:rPr>
            </w:pPr>
            <w:r>
              <w:rPr>
                <w:rFonts w:ascii="Arial" w:cs="Arial" w:eastAsia="Arial" w:hAnsi="Arial"/>
                <w:sz w:val="15"/>
                <w:szCs w:val="15"/>
                <w:color w:val="auto"/>
              </w:rPr>
              <w:t>as adjusted; no shares issued and outstanding, pro forma and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440" w:type="dxa"/>
            <w:vAlign w:val="bottom"/>
            <w:gridSpan w:val="2"/>
          </w:tcPr>
          <w:p>
            <w:pPr>
              <w:ind w:left="300"/>
              <w:spacing w:after="0"/>
              <w:rPr>
                <w:sz w:val="20"/>
                <w:szCs w:val="20"/>
                <w:color w:val="auto"/>
              </w:rPr>
            </w:pPr>
            <w:r>
              <w:rPr>
                <w:rFonts w:ascii="Arial" w:cs="Arial" w:eastAsia="Arial" w:hAnsi="Arial"/>
                <w:sz w:val="15"/>
                <w:szCs w:val="15"/>
                <w:color w:val="auto"/>
              </w:rPr>
              <w:t>pro forma as adjusted</w:t>
            </w: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420" w:type="dxa"/>
            <w:vAlign w:val="bottom"/>
            <w:shd w:val="clear" w:color="auto" w:fill="CCEEFF"/>
          </w:tcPr>
          <w:p>
            <w:pPr>
              <w:spacing w:after="0"/>
              <w:rPr>
                <w:sz w:val="16"/>
                <w:szCs w:val="16"/>
                <w:color w:val="auto"/>
              </w:rPr>
            </w:pPr>
          </w:p>
        </w:tc>
        <w:tc>
          <w:tcPr>
            <w:tcW w:w="2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3,434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5"/>
                <w:szCs w:val="15"/>
                <w:color w:val="auto"/>
              </w:rPr>
              <w:t>Accumulated deficit</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(31,967)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2"/>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24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5"/>
              </w:rPr>
              <w:t>Total stockholders’ equity (deficit)</w:t>
            </w:r>
          </w:p>
        </w:tc>
        <w:tc>
          <w:tcPr>
            <w:tcW w:w="4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(28,529)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5"/>
                <w:szCs w:val="15"/>
                <w:color w:val="auto"/>
              </w:rPr>
              <w:t>Total capitalization</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Arial" w:cs="Arial" w:eastAsia="Arial" w:hAnsi="Arial"/>
                <w:sz w:val="15"/>
                <w:szCs w:val="15"/>
                <w:color w:val="auto"/>
              </w:rPr>
              <w:t>$ 29,575</w:t>
            </w:r>
          </w:p>
        </w:tc>
        <w:tc>
          <w:tcPr>
            <w:tcW w:w="38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vMerge w:val="restart"/>
          </w:tcPr>
          <w:p>
            <w:pPr>
              <w:jc w:val="right"/>
              <w:ind w:right="1127"/>
              <w:spacing w:after="0"/>
              <w:rPr>
                <w:sz w:val="20"/>
                <w:szCs w:val="20"/>
                <w:color w:val="auto"/>
              </w:rPr>
            </w:pPr>
            <w:r>
              <w:rPr>
                <w:rFonts w:ascii="Arial" w:cs="Arial" w:eastAsia="Arial" w:hAnsi="Arial"/>
                <w:sz w:val="15"/>
                <w:szCs w:val="15"/>
                <w:color w:val="auto"/>
              </w:rPr>
              <w:t>77</w:t>
            </w: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-843280</wp:posOffset>
            </wp:positionV>
            <wp:extent cx="42418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-3564255</wp:posOffset>
            </wp:positionV>
            <wp:extent cx="1117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-3564255</wp:posOffset>
            </wp:positionV>
            <wp:extent cx="1117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425450</wp:posOffset>
            </wp:positionV>
            <wp:extent cx="44640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460" w:right="1179" w:hanging="299"/>
        <w:spacing w:after="0" w:line="259" w:lineRule="auto"/>
        <w:tabs>
          <w:tab w:leader="none" w:pos="1440" w:val="left"/>
        </w:tabs>
        <w:rPr>
          <w:sz w:val="20"/>
          <w:szCs w:val="20"/>
          <w:color w:val="auto"/>
        </w:rPr>
      </w:pPr>
      <w:r>
        <w:rPr>
          <w:rFonts w:ascii="Arial" w:cs="Arial" w:eastAsia="Arial" w:hAnsi="Arial"/>
          <w:sz w:val="11"/>
          <w:szCs w:val="11"/>
          <w:color w:val="auto"/>
        </w:rPr>
        <w:t>(1)</w:t>
        <w:tab/>
        <w:t>Each $1.00 increase (decrease) in the assumed initial public offering price of $      per share, which is the midpoint of the price range set forth on the cover page of this prospectus, would increase (decrease) the pro forma as adjusted amount of each of</w:t>
      </w:r>
    </w:p>
    <w:p>
      <w:pPr>
        <w:spacing w:after="0" w:line="1" w:lineRule="exact"/>
        <w:rPr>
          <w:sz w:val="20"/>
          <w:szCs w:val="20"/>
          <w:color w:val="auto"/>
        </w:rPr>
      </w:pPr>
    </w:p>
    <w:p>
      <w:pPr>
        <w:jc w:val="both"/>
        <w:ind w:left="1460" w:right="1179"/>
        <w:spacing w:after="0" w:line="250" w:lineRule="auto"/>
        <w:rPr>
          <w:sz w:val="20"/>
          <w:szCs w:val="20"/>
          <w:color w:val="auto"/>
        </w:rPr>
      </w:pPr>
      <w:r>
        <w:rPr>
          <w:rFonts w:ascii="Arial" w:cs="Arial" w:eastAsia="Arial" w:hAnsi="Arial"/>
          <w:sz w:val="11"/>
          <w:szCs w:val="11"/>
          <w:color w:val="auto"/>
        </w:rPr>
        <w:t>cash and cash equivalents, total equity and total capitalization by $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per share, which is the midpoint of the price range set forth on the cover page of this prospectus, would increase (decrease) the pro forma as adjusted amount of each of cash and cash</w:t>
      </w:r>
    </w:p>
    <w:p>
      <w:pPr>
        <w:ind w:left="1460"/>
        <w:spacing w:after="0"/>
        <w:tabs>
          <w:tab w:leader="none" w:pos="5120" w:val="left"/>
        </w:tabs>
        <w:rPr>
          <w:sz w:val="20"/>
          <w:szCs w:val="20"/>
          <w:color w:val="auto"/>
        </w:rPr>
      </w:pPr>
      <w:r>
        <w:rPr>
          <w:rFonts w:ascii="Arial" w:cs="Arial" w:eastAsia="Arial" w:hAnsi="Arial"/>
          <w:sz w:val="12"/>
          <w:szCs w:val="12"/>
          <w:color w:val="auto"/>
        </w:rPr>
        <w:t>equivalents, total equity and total capitalization by approximately $</w:t>
      </w:r>
      <w:r>
        <w:rPr>
          <w:sz w:val="20"/>
          <w:szCs w:val="20"/>
          <w:color w:val="auto"/>
        </w:rPr>
        <w:tab/>
      </w:r>
      <w:r>
        <w:rPr>
          <w:rFonts w:ascii="Arial" w:cs="Arial" w:eastAsia="Arial" w:hAnsi="Arial"/>
          <w:sz w:val="12"/>
          <w:szCs w:val="12"/>
          <w:color w:val="auto"/>
        </w:rPr>
        <w:t>million.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number of shares of our Class A common stock on a pro forma and pro forma as adjusted basis set forth</w:t>
      </w:r>
    </w:p>
    <w:p>
      <w:pPr>
        <w:spacing w:after="0" w:line="37" w:lineRule="exact"/>
        <w:rPr>
          <w:sz w:val="20"/>
          <w:szCs w:val="20"/>
          <w:color w:val="auto"/>
        </w:rPr>
      </w:pPr>
    </w:p>
    <w:p>
      <w:pPr>
        <w:ind w:left="1160" w:right="1179"/>
        <w:spacing w:after="0" w:line="249" w:lineRule="auto"/>
        <w:rPr>
          <w:sz w:val="20"/>
          <w:szCs w:val="20"/>
          <w:color w:val="auto"/>
        </w:rPr>
      </w:pPr>
      <w:r>
        <w:rPr>
          <w:rFonts w:ascii="Arial" w:cs="Arial" w:eastAsia="Arial" w:hAnsi="Arial"/>
          <w:sz w:val="15"/>
          <w:szCs w:val="15"/>
          <w:color w:val="auto"/>
        </w:rPr>
        <w:t>in the table above is based on shares of our Class A common stock outstanding as of March 31, 2021, and excludes:</w:t>
      </w:r>
    </w:p>
    <w:p>
      <w:pPr>
        <w:spacing w:after="0" w:line="71" w:lineRule="exact"/>
        <w:rPr>
          <w:sz w:val="20"/>
          <w:szCs w:val="20"/>
          <w:color w:val="auto"/>
        </w:rPr>
      </w:pPr>
    </w:p>
    <w:p>
      <w:pPr>
        <w:jc w:val="both"/>
        <w:ind w:left="1600" w:right="1179" w:hanging="143"/>
        <w:spacing w:after="0" w:line="311" w:lineRule="auto"/>
        <w:tabs>
          <w:tab w:leader="none" w:pos="2057" w:val="left"/>
        </w:tabs>
        <w:numPr>
          <w:ilvl w:val="0"/>
          <w:numId w:val="55"/>
        </w:numPr>
        <w:rPr>
          <w:rFonts w:ascii="Arial" w:cs="Arial" w:eastAsia="Arial" w:hAnsi="Arial"/>
          <w:sz w:val="13"/>
          <w:szCs w:val="13"/>
          <w:color w:val="auto"/>
        </w:rPr>
      </w:pPr>
      <w:r>
        <w:rPr>
          <w:rFonts w:ascii="Arial" w:cs="Arial" w:eastAsia="Arial" w:hAnsi="Arial"/>
          <w:sz w:val="13"/>
          <w:szCs w:val="13"/>
          <w:color w:val="auto"/>
        </w:rPr>
        <w:t>additional shares of Class A common stock reserved for future issuance under the 2021 Plan, which will become effective in connection with this offering, as well as any automatic increases in the number of shares of our Class A common stock reserved for future issuance under the 2021 Plan;</w:t>
      </w:r>
    </w:p>
    <w:p>
      <w:pPr>
        <w:spacing w:after="0" w:line="34" w:lineRule="exact"/>
        <w:rPr>
          <w:rFonts w:ascii="Arial" w:cs="Arial" w:eastAsia="Arial" w:hAnsi="Arial"/>
          <w:sz w:val="13"/>
          <w:szCs w:val="13"/>
          <w:color w:val="auto"/>
        </w:rPr>
      </w:pPr>
    </w:p>
    <w:p>
      <w:pPr>
        <w:jc w:val="both"/>
        <w:ind w:left="1600" w:right="1179" w:hanging="143"/>
        <w:spacing w:after="0" w:line="251" w:lineRule="auto"/>
        <w:tabs>
          <w:tab w:leader="none" w:pos="2057" w:val="left"/>
        </w:tabs>
        <w:numPr>
          <w:ilvl w:val="0"/>
          <w:numId w:val="55"/>
        </w:numPr>
        <w:rPr>
          <w:rFonts w:ascii="Arial" w:cs="Arial" w:eastAsia="Arial" w:hAnsi="Arial"/>
          <w:sz w:val="15"/>
          <w:szCs w:val="15"/>
          <w:color w:val="auto"/>
        </w:rPr>
      </w:pPr>
      <w:r>
        <w:rPr>
          <w:rFonts w:ascii="Arial" w:cs="Arial" w:eastAsia="Arial" w:hAnsi="Arial"/>
          <w:sz w:val="15"/>
          <w:szCs w:val="15"/>
          <w:color w:val="auto"/>
        </w:rPr>
        <w:t>shares of Class A common stock that will become available for future issuance under the ESPP, which will become effective in connection with this offering, and shares of our common stock that become available pursuant to provisions in the ESPP that automatically increase the share reserve under the ESPP;</w:t>
      </w:r>
    </w:p>
    <w:p>
      <w:pPr>
        <w:ind w:left="2060" w:hanging="603"/>
        <w:spacing w:after="0" w:line="186" w:lineRule="auto"/>
        <w:tabs>
          <w:tab w:leader="none" w:pos="20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shares of Class A common stock issuable upon exercise of outstanding stock options granted</w:t>
      </w:r>
    </w:p>
    <w:p>
      <w:pPr>
        <w:spacing w:after="0" w:line="164" w:lineRule="exact"/>
        <w:rPr>
          <w:sz w:val="20"/>
          <w:szCs w:val="20"/>
          <w:color w:val="auto"/>
        </w:rPr>
      </w:pPr>
    </w:p>
    <w:p>
      <w:pPr>
        <w:ind w:left="1600" w:right="1179"/>
        <w:spacing w:after="0" w:line="264" w:lineRule="auto"/>
        <w:rPr>
          <w:sz w:val="20"/>
          <w:szCs w:val="20"/>
          <w:color w:val="auto"/>
        </w:rPr>
      </w:pPr>
      <w:r>
        <w:rPr>
          <w:rFonts w:ascii="Arial" w:cs="Arial" w:eastAsia="Arial" w:hAnsi="Arial"/>
          <w:sz w:val="15"/>
          <w:szCs w:val="15"/>
          <w:color w:val="auto"/>
        </w:rPr>
        <w:t>under the 2015 Plan, as of March 31, 2021, at a weighted average exercise price of $ per share;</w:t>
      </w:r>
    </w:p>
    <w:p>
      <w:pPr>
        <w:spacing w:after="0" w:line="60" w:lineRule="exact"/>
        <w:rPr>
          <w:sz w:val="20"/>
          <w:szCs w:val="20"/>
          <w:color w:val="auto"/>
        </w:rPr>
      </w:pPr>
    </w:p>
    <w:p>
      <w:pPr>
        <w:ind w:left="1600" w:right="1179" w:hanging="143"/>
        <w:spacing w:after="0" w:line="264" w:lineRule="auto"/>
        <w:tabs>
          <w:tab w:leader="none" w:pos="2057" w:val="left"/>
        </w:tabs>
        <w:numPr>
          <w:ilvl w:val="0"/>
          <w:numId w:val="56"/>
        </w:numPr>
        <w:rPr>
          <w:rFonts w:ascii="Arial" w:cs="Arial" w:eastAsia="Arial" w:hAnsi="Arial"/>
          <w:sz w:val="15"/>
          <w:szCs w:val="15"/>
          <w:color w:val="auto"/>
        </w:rPr>
      </w:pPr>
      <w:r>
        <w:rPr>
          <w:rFonts w:ascii="Arial" w:cs="Arial" w:eastAsia="Arial" w:hAnsi="Arial"/>
          <w:sz w:val="15"/>
          <w:szCs w:val="15"/>
          <w:color w:val="auto"/>
        </w:rPr>
        <w:t>shares of Class A common stock available for future issuance under the 2015 Plan as of March 31, 2021; and</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2057" w:val="left"/>
        </w:tabs>
        <w:numPr>
          <w:ilvl w:val="0"/>
          <w:numId w:val="56"/>
        </w:numPr>
        <w:rPr>
          <w:rFonts w:ascii="Arial" w:cs="Arial" w:eastAsia="Arial" w:hAnsi="Arial"/>
          <w:sz w:val="15"/>
          <w:szCs w:val="15"/>
          <w:color w:val="auto"/>
        </w:rPr>
      </w:pPr>
      <w:r>
        <w:rPr>
          <w:rFonts w:ascii="Arial" w:cs="Arial" w:eastAsia="Arial" w:hAnsi="Arial"/>
          <w:sz w:val="15"/>
          <w:szCs w:val="15"/>
          <w:color w:val="auto"/>
        </w:rPr>
        <w:t>shares of Class A common stock that will become available for future issuance under our 2021 Plan, which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DILUTION</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w:t>
      </w:r>
    </w:p>
    <w:p>
      <w:pPr>
        <w:spacing w:after="0" w:line="84"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Our historical net tangible book value (deficit) as of March 31, 2021 was $(29.1) million, or $(8.23) per share of our Class A common stock. Our historical net tangible book value (deficit) is the amount of our total tangible assets less our total liabilities and preferred stock, which is not included within stockholders’ equity (deficit). Historical net tangible book value (deficit) per share represents historical net tangible book value (deficit) divided by the 3,535,811 shares of our Class A common stock outstanding as of March 31, 2021.</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Our pro forma net tangible book value (deficit) as of March 31, 2021 was $ million, or $ per share of our Class A common stock. Pro forma net tangible book value per share is determined by subtracting our total liabilities from the total book value of our tangible assets and dividing the difference by the number of shares of Class A common stock deemed to be outstanding, after giving effect to (i) the receipt of approximately $24.8 million in net proceeds from the issuance and sale of Series B Preferred Stock that occurred in April and May 2021, and (ii) the conversion of all outstanding shares of our preferred</w:t>
      </w:r>
    </w:p>
    <w:p>
      <w:pPr>
        <w:spacing w:after="0" w:line="3"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stock into an aggregate of shares of Class A common stock as if such conversion had occurred on March 31, 2021, subject to certain beneficial ownership limitations.</w:t>
      </w:r>
    </w:p>
    <w:p>
      <w:pPr>
        <w:spacing w:after="0" w:line="88" w:lineRule="exact"/>
        <w:rPr>
          <w:sz w:val="20"/>
          <w:szCs w:val="20"/>
          <w:color w:val="auto"/>
        </w:rPr>
      </w:pPr>
    </w:p>
    <w:p>
      <w:pPr>
        <w:jc w:val="both"/>
        <w:ind w:left="1160" w:right="1179"/>
        <w:spacing w:after="0" w:line="237" w:lineRule="auto"/>
        <w:rPr>
          <w:sz w:val="20"/>
          <w:szCs w:val="20"/>
          <w:color w:val="auto"/>
        </w:rPr>
      </w:pPr>
      <w:r>
        <w:rPr>
          <w:rFonts w:ascii="Arial" w:cs="Arial" w:eastAsia="Arial" w:hAnsi="Arial"/>
          <w:sz w:val="15"/>
          <w:szCs w:val="15"/>
          <w:color w:val="auto"/>
        </w:rPr>
        <w:t>After giving further effect to our issuance and sale of shares of our Class A common stock in this offering at an assumed initial public offering price of $ per share (which is the midpoint of the</w:t>
      </w:r>
    </w:p>
    <w:p>
      <w:pPr>
        <w:spacing w:after="0" w:line="1" w:lineRule="exact"/>
        <w:rPr>
          <w:sz w:val="20"/>
          <w:szCs w:val="20"/>
          <w:color w:val="auto"/>
        </w:rPr>
      </w:pPr>
    </w:p>
    <w:p>
      <w:pPr>
        <w:jc w:val="both"/>
        <w:ind w:left="1160" w:right="1179"/>
        <w:spacing w:after="0" w:line="245" w:lineRule="auto"/>
        <w:rPr>
          <w:sz w:val="20"/>
          <w:szCs w:val="20"/>
          <w:color w:val="auto"/>
        </w:rPr>
      </w:pPr>
      <w:r>
        <w:rPr>
          <w:rFonts w:ascii="Arial" w:cs="Arial" w:eastAsia="Arial" w:hAnsi="Arial"/>
          <w:sz w:val="14"/>
          <w:szCs w:val="14"/>
          <w:color w:val="auto"/>
        </w:rPr>
        <w:t>price range set forth on the cover page of this prospectus) and after deducting estimated underwriting discounts and commissions and estimated offering expenses payable by us, our pro forma as adjusted net</w:t>
      </w:r>
    </w:p>
    <w:p>
      <w:pPr>
        <w:spacing w:after="0" w:line="1" w:lineRule="exact"/>
        <w:rPr>
          <w:sz w:val="20"/>
          <w:szCs w:val="20"/>
          <w:color w:val="auto"/>
        </w:rPr>
      </w:pPr>
    </w:p>
    <w:p>
      <w:pPr>
        <w:jc w:val="both"/>
        <w:ind w:left="1160" w:right="1179"/>
        <w:spacing w:after="0" w:line="229" w:lineRule="auto"/>
        <w:rPr>
          <w:sz w:val="20"/>
          <w:szCs w:val="20"/>
          <w:color w:val="auto"/>
        </w:rPr>
      </w:pPr>
      <w:r>
        <w:rPr>
          <w:rFonts w:ascii="Arial" w:cs="Arial" w:eastAsia="Arial" w:hAnsi="Arial"/>
          <w:sz w:val="15"/>
          <w:szCs w:val="15"/>
          <w:color w:val="auto"/>
        </w:rPr>
        <w:t>tangible book value as of , would have been $ million, or $ per share of Class A common stock. This amount represents an immediate increase in pro forma as adjusted net tangible book</w:t>
      </w:r>
    </w:p>
    <w:p>
      <w:pPr>
        <w:ind w:left="1160"/>
        <w:spacing w:after="0"/>
        <w:tabs>
          <w:tab w:leader="none" w:pos="2240" w:val="left"/>
        </w:tabs>
        <w:rPr>
          <w:sz w:val="20"/>
          <w:szCs w:val="20"/>
          <w:color w:val="auto"/>
        </w:rPr>
      </w:pPr>
      <w:r>
        <w:rPr>
          <w:rFonts w:ascii="Arial" w:cs="Arial" w:eastAsia="Arial" w:hAnsi="Arial"/>
          <w:sz w:val="15"/>
          <w:szCs w:val="15"/>
          <w:color w:val="auto"/>
        </w:rPr>
        <w:t>value of $</w:t>
      </w:r>
      <w:r>
        <w:rPr>
          <w:sz w:val="20"/>
          <w:szCs w:val="20"/>
          <w:color w:val="auto"/>
        </w:rPr>
        <w:tab/>
      </w:r>
      <w:r>
        <w:rPr>
          <w:rFonts w:ascii="Arial" w:cs="Arial" w:eastAsia="Arial" w:hAnsi="Arial"/>
          <w:sz w:val="14"/>
          <w:szCs w:val="14"/>
          <w:color w:val="auto"/>
        </w:rPr>
        <w:t>per share to our existing stockholders and an immediate dilution in pro forma as adjusted</w:t>
      </w:r>
    </w:p>
    <w:p>
      <w:pPr>
        <w:spacing w:after="0" w:line="1"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net tangible book value of $ per share to new investors purchasing shares of Class A common stock in this offering. We determine dilution by subtracting the pro forma as adjusted net tangible book value per share after this offering from the amount of cash that a new investor paid for a share of Class A common stock.</w:t>
      </w:r>
    </w:p>
    <w:p>
      <w:pPr>
        <w:spacing w:after="0" w:line="101"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5200" w:type="dxa"/>
            <w:vAlign w:val="bottom"/>
          </w:tcPr>
          <w:p>
            <w:pPr>
              <w:spacing w:after="0"/>
              <w:rPr>
                <w:sz w:val="20"/>
                <w:szCs w:val="20"/>
                <w:color w:val="auto"/>
              </w:rPr>
            </w:pPr>
            <w:r>
              <w:rPr>
                <w:rFonts w:ascii="Arial" w:cs="Arial" w:eastAsia="Arial" w:hAnsi="Arial"/>
                <w:sz w:val="15"/>
                <w:szCs w:val="15"/>
                <w:color w:val="auto"/>
              </w:rPr>
              <w:t>The following table illustrates this dilution:</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43"/>
        </w:trPr>
        <w:tc>
          <w:tcPr>
            <w:tcW w:w="5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54"/>
        </w:trPr>
        <w:tc>
          <w:tcPr>
            <w:tcW w:w="52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Assumed initial public offering price per share of Class A common stock</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7"/>
              <w:spacing w:after="0" w:line="154" w:lineRule="exact"/>
              <w:rPr>
                <w:sz w:val="20"/>
                <w:szCs w:val="20"/>
                <w:color w:val="auto"/>
              </w:rPr>
            </w:pPr>
            <w:r>
              <w:rPr>
                <w:rFonts w:ascii="Arial" w:cs="Arial" w:eastAsia="Arial" w:hAnsi="Arial"/>
                <w:sz w:val="15"/>
                <w:szCs w:val="15"/>
                <w:color w:val="auto"/>
              </w:rPr>
              <w:t>$</w:t>
            </w:r>
          </w:p>
        </w:tc>
      </w:tr>
      <w:tr>
        <w:trPr>
          <w:trHeight w:val="209"/>
        </w:trPr>
        <w:tc>
          <w:tcPr>
            <w:tcW w:w="5200" w:type="dxa"/>
            <w:vAlign w:val="bottom"/>
          </w:tcPr>
          <w:p>
            <w:pPr>
              <w:ind w:left="160"/>
              <w:spacing w:after="0"/>
              <w:rPr>
                <w:sz w:val="20"/>
                <w:szCs w:val="20"/>
                <w:color w:val="auto"/>
              </w:rPr>
            </w:pPr>
            <w:r>
              <w:rPr>
                <w:rFonts w:ascii="Arial" w:cs="Arial" w:eastAsia="Arial" w:hAnsi="Arial"/>
                <w:sz w:val="15"/>
                <w:szCs w:val="15"/>
                <w:color w:val="auto"/>
              </w:rPr>
              <w:t>Historical net tangible book value (deficit) per share as of March 31, 2021</w:t>
            </w:r>
          </w:p>
        </w:tc>
        <w:tc>
          <w:tcPr>
            <w:tcW w:w="400" w:type="dxa"/>
            <w:vAlign w:val="bottom"/>
          </w:tcPr>
          <w:p>
            <w:pPr>
              <w:spacing w:after="0"/>
              <w:rPr>
                <w:sz w:val="18"/>
                <w:szCs w:val="18"/>
                <w:color w:val="auto"/>
              </w:rPr>
            </w:pPr>
          </w:p>
        </w:tc>
        <w:tc>
          <w:tcPr>
            <w:tcW w:w="72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r>
      <w:tr>
        <w:trPr>
          <w:trHeight w:val="209"/>
        </w:trPr>
        <w:tc>
          <w:tcPr>
            <w:tcW w:w="52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Increase per share attributable to the conversion of outstanding preferred stock</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09"/>
        </w:trPr>
        <w:tc>
          <w:tcPr>
            <w:tcW w:w="5600" w:type="dxa"/>
            <w:vAlign w:val="bottom"/>
            <w:gridSpan w:val="2"/>
          </w:tcPr>
          <w:p>
            <w:pPr>
              <w:ind w:left="160"/>
              <w:spacing w:after="0"/>
              <w:rPr>
                <w:sz w:val="20"/>
                <w:szCs w:val="20"/>
                <w:color w:val="auto"/>
              </w:rPr>
            </w:pPr>
            <w:r>
              <w:rPr>
                <w:rFonts w:ascii="Arial" w:cs="Arial" w:eastAsia="Arial" w:hAnsi="Arial"/>
                <w:sz w:val="15"/>
                <w:szCs w:val="15"/>
                <w:color w:val="auto"/>
                <w:w w:val="95"/>
              </w:rPr>
              <w:t>Pro forma net tangible book value per share as of March 31, 2021 before this offering</w:t>
            </w:r>
          </w:p>
        </w:tc>
        <w:tc>
          <w:tcPr>
            <w:tcW w:w="72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r>
      <w:tr>
        <w:trPr>
          <w:trHeight w:val="187"/>
        </w:trPr>
        <w:tc>
          <w:tcPr>
            <w:tcW w:w="52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Increase in pro forma as adjusted net tangible book value per share attributable to</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97"/>
        </w:trPr>
        <w:tc>
          <w:tcPr>
            <w:tcW w:w="5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investors in this offering</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14"/>
        </w:trPr>
        <w:tc>
          <w:tcPr>
            <w:tcW w:w="52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4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Dilution per share to new Class A common stock investors in this offering</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r>
      <w:tr>
        <w:trPr>
          <w:trHeight w:val="20"/>
        </w:trPr>
        <w:tc>
          <w:tcPr>
            <w:tcW w:w="5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17"/>
        </w:trPr>
        <w:tc>
          <w:tcPr>
            <w:tcW w:w="5200" w:type="dxa"/>
            <w:vAlign w:val="bottom"/>
          </w:tcPr>
          <w:p>
            <w:pPr>
              <w:spacing w:after="0"/>
              <w:rPr>
                <w:sz w:val="20"/>
                <w:szCs w:val="20"/>
                <w:color w:val="auto"/>
              </w:rPr>
            </w:pPr>
            <w:r>
              <w:rPr>
                <w:rFonts w:ascii="Arial" w:cs="Arial" w:eastAsia="Arial" w:hAnsi="Arial"/>
                <w:sz w:val="15"/>
                <w:szCs w:val="15"/>
                <w:color w:val="auto"/>
              </w:rPr>
              <w:t>A $1.00 increase (decrease) in the assumed initial public offering price of $</w:t>
            </w:r>
          </w:p>
        </w:tc>
        <w:tc>
          <w:tcPr>
            <w:tcW w:w="1480" w:type="dxa"/>
            <w:vAlign w:val="bottom"/>
            <w:gridSpan w:val="3"/>
          </w:tcPr>
          <w:p>
            <w:pPr>
              <w:jc w:val="right"/>
              <w:spacing w:after="0"/>
              <w:rPr>
                <w:sz w:val="20"/>
                <w:szCs w:val="20"/>
                <w:color w:val="auto"/>
              </w:rPr>
            </w:pPr>
            <w:r>
              <w:rPr>
                <w:rFonts w:ascii="Arial" w:cs="Arial" w:eastAsia="Arial" w:hAnsi="Arial"/>
                <w:sz w:val="15"/>
                <w:szCs w:val="15"/>
                <w:color w:val="auto"/>
                <w:w w:val="96"/>
              </w:rPr>
              <w:t>per share (which is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-398145</wp:posOffset>
            </wp:positionV>
            <wp:extent cx="400431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04310" cy="69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53"/>
        </w:trPr>
        <w:tc>
          <w:tcPr>
            <w:tcW w:w="5760" w:type="dxa"/>
            <w:vAlign w:val="bottom"/>
          </w:tcPr>
          <w:p>
            <w:pPr>
              <w:spacing w:after="0" w:line="153" w:lineRule="exact"/>
              <w:rPr>
                <w:sz w:val="20"/>
                <w:szCs w:val="20"/>
                <w:color w:val="auto"/>
              </w:rPr>
            </w:pPr>
            <w:r>
              <w:rPr>
                <w:rFonts w:ascii="Arial" w:cs="Arial" w:eastAsia="Arial" w:hAnsi="Arial"/>
                <w:sz w:val="15"/>
                <w:szCs w:val="15"/>
                <w:color w:val="auto"/>
              </w:rPr>
              <w:t>midpoint of the price range listed on the cover page of this prospectus) would increase</w:t>
            </w:r>
          </w:p>
        </w:tc>
        <w:tc>
          <w:tcPr>
            <w:tcW w:w="920" w:type="dxa"/>
            <w:vAlign w:val="bottom"/>
            <w:gridSpan w:val="2"/>
          </w:tcPr>
          <w:p>
            <w:pPr>
              <w:jc w:val="right"/>
              <w:spacing w:after="0" w:line="153" w:lineRule="exact"/>
              <w:rPr>
                <w:sz w:val="20"/>
                <w:szCs w:val="20"/>
                <w:color w:val="auto"/>
              </w:rPr>
            </w:pPr>
            <w:r>
              <w:rPr>
                <w:rFonts w:ascii="Arial" w:cs="Arial" w:eastAsia="Arial" w:hAnsi="Arial"/>
                <w:sz w:val="15"/>
                <w:szCs w:val="15"/>
                <w:color w:val="auto"/>
                <w:w w:val="93"/>
              </w:rPr>
              <w:t>(decrease) the</w:t>
            </w:r>
          </w:p>
        </w:tc>
      </w:tr>
      <w:tr>
        <w:trPr>
          <w:trHeight w:val="165"/>
        </w:trPr>
        <w:tc>
          <w:tcPr>
            <w:tcW w:w="6140" w:type="dxa"/>
            <w:vAlign w:val="bottom"/>
            <w:gridSpan w:val="2"/>
          </w:tcPr>
          <w:p>
            <w:pPr>
              <w:spacing w:after="0" w:line="165" w:lineRule="exact"/>
              <w:rPr>
                <w:sz w:val="20"/>
                <w:szCs w:val="20"/>
                <w:color w:val="auto"/>
              </w:rPr>
            </w:pPr>
            <w:r>
              <w:rPr>
                <w:rFonts w:ascii="Arial" w:cs="Arial" w:eastAsia="Arial" w:hAnsi="Arial"/>
                <w:sz w:val="15"/>
                <w:szCs w:val="15"/>
                <w:color w:val="auto"/>
                <w:w w:val="99"/>
              </w:rPr>
              <w:t>pro forma as adjusted net tangible book value per share after this offering by approximately $</w:t>
            </w:r>
          </w:p>
        </w:tc>
        <w:tc>
          <w:tcPr>
            <w:tcW w:w="540" w:type="dxa"/>
            <w:vAlign w:val="bottom"/>
          </w:tcPr>
          <w:p>
            <w:pPr>
              <w:jc w:val="right"/>
              <w:spacing w:after="0" w:line="165" w:lineRule="exact"/>
              <w:rPr>
                <w:sz w:val="20"/>
                <w:szCs w:val="20"/>
                <w:color w:val="auto"/>
              </w:rPr>
            </w:pPr>
            <w:r>
              <w:rPr>
                <w:rFonts w:ascii="Arial" w:cs="Arial" w:eastAsia="Arial" w:hAnsi="Arial"/>
                <w:sz w:val="15"/>
                <w:szCs w:val="15"/>
                <w:color w:val="auto"/>
              </w:rPr>
              <w:t>, and</w:t>
            </w:r>
          </w:p>
        </w:tc>
      </w:tr>
      <w:tr>
        <w:trPr>
          <w:trHeight w:val="177"/>
        </w:trPr>
        <w:tc>
          <w:tcPr>
            <w:tcW w:w="5760" w:type="dxa"/>
            <w:vAlign w:val="bottom"/>
          </w:tcPr>
          <w:p>
            <w:pPr>
              <w:spacing w:after="0"/>
              <w:rPr>
                <w:sz w:val="20"/>
                <w:szCs w:val="20"/>
                <w:color w:val="auto"/>
              </w:rPr>
            </w:pPr>
            <w:r>
              <w:rPr>
                <w:rFonts w:ascii="Arial" w:cs="Arial" w:eastAsia="Arial" w:hAnsi="Arial"/>
                <w:sz w:val="15"/>
                <w:szCs w:val="15"/>
                <w:color w:val="auto"/>
              </w:rPr>
              <w:t>dilution in pro forma as adjusted net tangible book value per share to new investors by</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w w:val="96"/>
              </w:rPr>
              <w:t>approximately</w:t>
            </w:r>
          </w:p>
        </w:tc>
      </w:tr>
    </w:tbl>
    <w:p>
      <w:pPr>
        <w:jc w:val="both"/>
        <w:ind w:left="1160" w:right="1179" w:firstLine="4"/>
        <w:spacing w:after="0" w:line="233" w:lineRule="auto"/>
        <w:tabs>
          <w:tab w:leader="none" w:pos="1693" w:val="left"/>
        </w:tabs>
        <w:numPr>
          <w:ilvl w:val="0"/>
          <w:numId w:val="57"/>
        </w:numPr>
        <w:rPr>
          <w:rFonts w:ascii="Arial" w:cs="Arial" w:eastAsia="Arial" w:hAnsi="Arial"/>
          <w:sz w:val="15"/>
          <w:szCs w:val="15"/>
          <w:color w:val="auto"/>
        </w:rPr>
      </w:pPr>
      <w:r>
        <w:rPr>
          <w:rFonts w:ascii="Arial" w:cs="Arial" w:eastAsia="Arial" w:hAnsi="Arial"/>
          <w:sz w:val="15"/>
          <w:szCs w:val="15"/>
          <w:color w:val="auto"/>
        </w:rPr>
        <w:t>, assuming that the number of shares offered by us, as set forth on the cover page of this prospectus, remains the same and after deducting estimated underwriting discounts and commissions and estimated offering expenses payable by us.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the underwriters exercise their option to purchase additional shares of our Class A common stock in full,</w:t>
      </w:r>
    </w:p>
    <w:tbl>
      <w:tblPr>
        <w:tblLayout w:type="fixed"/>
        <w:tblInd w:w="1160" w:type="dxa"/>
        <w:tblCellMar>
          <w:top w:w="0" w:type="dxa"/>
          <w:left w:w="0" w:type="dxa"/>
          <w:bottom w:w="0" w:type="dxa"/>
          <w:right w:w="0" w:type="dxa"/>
        </w:tblCellMar>
      </w:tblPr>
      <w:tr>
        <w:trPr>
          <w:trHeight w:val="169"/>
        </w:trPr>
        <w:tc>
          <w:tcPr>
            <w:tcW w:w="5060" w:type="dxa"/>
            <w:vAlign w:val="bottom"/>
            <w:gridSpan w:val="2"/>
          </w:tcPr>
          <w:p>
            <w:pPr>
              <w:spacing w:after="0" w:line="169" w:lineRule="exact"/>
              <w:rPr>
                <w:sz w:val="20"/>
                <w:szCs w:val="20"/>
                <w:color w:val="auto"/>
              </w:rPr>
            </w:pPr>
            <w:r>
              <w:rPr>
                <w:rFonts w:ascii="Arial" w:cs="Arial" w:eastAsia="Arial" w:hAnsi="Arial"/>
                <w:sz w:val="15"/>
                <w:szCs w:val="15"/>
                <w:color w:val="auto"/>
                <w:w w:val="97"/>
              </w:rPr>
              <w:t>the pro forma as adjusted net tangible book value after the offering would be $</w:t>
            </w:r>
          </w:p>
        </w:tc>
        <w:tc>
          <w:tcPr>
            <w:tcW w:w="16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per share, the increase</w:t>
            </w:r>
          </w:p>
        </w:tc>
      </w:tr>
      <w:tr>
        <w:trPr>
          <w:trHeight w:val="165"/>
        </w:trPr>
        <w:tc>
          <w:tcPr>
            <w:tcW w:w="6040" w:type="dxa"/>
            <w:vAlign w:val="bottom"/>
            <w:gridSpan w:val="3"/>
          </w:tcPr>
          <w:p>
            <w:pPr>
              <w:spacing w:after="0" w:line="165" w:lineRule="exact"/>
              <w:rPr>
                <w:sz w:val="20"/>
                <w:szCs w:val="20"/>
                <w:color w:val="auto"/>
              </w:rPr>
            </w:pPr>
            <w:r>
              <w:rPr>
                <w:rFonts w:ascii="Arial" w:cs="Arial" w:eastAsia="Arial" w:hAnsi="Arial"/>
                <w:sz w:val="15"/>
                <w:szCs w:val="15"/>
                <w:color w:val="auto"/>
                <w:w w:val="96"/>
              </w:rPr>
              <w:t>in pro forma as adjusted net tangible book value per share to existing stockholders would be $</w:t>
            </w:r>
          </w:p>
        </w:tc>
        <w:tc>
          <w:tcPr>
            <w:tcW w:w="640" w:type="dxa"/>
            <w:vAlign w:val="bottom"/>
          </w:tcPr>
          <w:p>
            <w:pPr>
              <w:jc w:val="right"/>
              <w:spacing w:after="0" w:line="165" w:lineRule="exact"/>
              <w:rPr>
                <w:sz w:val="20"/>
                <w:szCs w:val="20"/>
                <w:color w:val="auto"/>
              </w:rPr>
            </w:pPr>
            <w:r>
              <w:rPr>
                <w:rFonts w:ascii="Arial" w:cs="Arial" w:eastAsia="Arial" w:hAnsi="Arial"/>
                <w:sz w:val="15"/>
                <w:szCs w:val="15"/>
                <w:color w:val="auto"/>
              </w:rPr>
              <w:t>per</w:t>
            </w:r>
          </w:p>
        </w:tc>
      </w:tr>
      <w:tr>
        <w:trPr>
          <w:trHeight w:val="165"/>
        </w:trPr>
        <w:tc>
          <w:tcPr>
            <w:tcW w:w="360" w:type="dxa"/>
            <w:vAlign w:val="bottom"/>
          </w:tcPr>
          <w:p>
            <w:pPr>
              <w:spacing w:after="0" w:line="165" w:lineRule="exact"/>
              <w:rPr>
                <w:sz w:val="20"/>
                <w:szCs w:val="20"/>
                <w:color w:val="auto"/>
              </w:rPr>
            </w:pPr>
            <w:r>
              <w:rPr>
                <w:rFonts w:ascii="Arial" w:cs="Arial" w:eastAsia="Arial" w:hAnsi="Arial"/>
                <w:sz w:val="15"/>
                <w:szCs w:val="15"/>
                <w:color w:val="auto"/>
                <w:w w:val="90"/>
              </w:rPr>
              <w:t>share</w:t>
            </w:r>
          </w:p>
        </w:tc>
        <w:tc>
          <w:tcPr>
            <w:tcW w:w="4700" w:type="dxa"/>
            <w:vAlign w:val="bottom"/>
          </w:tcPr>
          <w:p>
            <w:pPr>
              <w:ind w:left="40"/>
              <w:spacing w:after="0" w:line="165" w:lineRule="exact"/>
              <w:rPr>
                <w:sz w:val="20"/>
                <w:szCs w:val="20"/>
                <w:color w:val="auto"/>
              </w:rPr>
            </w:pPr>
            <w:r>
              <w:rPr>
                <w:rFonts w:ascii="Arial" w:cs="Arial" w:eastAsia="Arial" w:hAnsi="Arial"/>
                <w:sz w:val="15"/>
                <w:szCs w:val="15"/>
                <w:color w:val="auto"/>
              </w:rPr>
              <w:t>and the dilution in pro forma as adjusted net tangible book value to</w:t>
            </w:r>
          </w:p>
        </w:tc>
        <w:tc>
          <w:tcPr>
            <w:tcW w:w="980" w:type="dxa"/>
            <w:vAlign w:val="bottom"/>
          </w:tcPr>
          <w:p>
            <w:pPr>
              <w:ind w:left="40"/>
              <w:spacing w:after="0" w:line="165" w:lineRule="exact"/>
              <w:rPr>
                <w:sz w:val="20"/>
                <w:szCs w:val="20"/>
                <w:color w:val="auto"/>
              </w:rPr>
            </w:pPr>
            <w:r>
              <w:rPr>
                <w:rFonts w:ascii="Arial" w:cs="Arial" w:eastAsia="Arial" w:hAnsi="Arial"/>
                <w:sz w:val="15"/>
                <w:szCs w:val="15"/>
                <w:color w:val="auto"/>
              </w:rPr>
              <w:t>new investors</w:t>
            </w:r>
          </w:p>
        </w:tc>
        <w:tc>
          <w:tcPr>
            <w:tcW w:w="640" w:type="dxa"/>
            <w:vAlign w:val="bottom"/>
          </w:tcPr>
          <w:p>
            <w:pPr>
              <w:jc w:val="right"/>
              <w:spacing w:after="0" w:line="165" w:lineRule="exact"/>
              <w:rPr>
                <w:sz w:val="20"/>
                <w:szCs w:val="20"/>
                <w:color w:val="auto"/>
              </w:rPr>
            </w:pPr>
            <w:r>
              <w:rPr>
                <w:rFonts w:ascii="Arial" w:cs="Arial" w:eastAsia="Arial" w:hAnsi="Arial"/>
                <w:sz w:val="15"/>
                <w:szCs w:val="15"/>
                <w:color w:val="auto"/>
              </w:rPr>
              <w:t>would be</w:t>
            </w:r>
          </w:p>
        </w:tc>
      </w:tr>
      <w:tr>
        <w:trPr>
          <w:trHeight w:val="177"/>
        </w:trPr>
        <w:tc>
          <w:tcPr>
            <w:tcW w:w="360" w:type="dxa"/>
            <w:vAlign w:val="bottom"/>
          </w:tcPr>
          <w:p>
            <w:pPr>
              <w:spacing w:after="0"/>
              <w:rPr>
                <w:sz w:val="20"/>
                <w:szCs w:val="20"/>
                <w:color w:val="auto"/>
              </w:rPr>
            </w:pPr>
            <w:r>
              <w:rPr>
                <w:rFonts w:ascii="Arial" w:cs="Arial" w:eastAsia="Arial" w:hAnsi="Arial"/>
                <w:sz w:val="15"/>
                <w:szCs w:val="15"/>
                <w:color w:val="auto"/>
              </w:rPr>
              <w:t>$</w:t>
            </w:r>
          </w:p>
        </w:tc>
        <w:tc>
          <w:tcPr>
            <w:tcW w:w="4700" w:type="dxa"/>
            <w:vAlign w:val="bottom"/>
          </w:tcPr>
          <w:p>
            <w:pPr>
              <w:ind w:left="180"/>
              <w:spacing w:after="0"/>
              <w:rPr>
                <w:sz w:val="20"/>
                <w:szCs w:val="20"/>
                <w:color w:val="auto"/>
              </w:rPr>
            </w:pPr>
            <w:r>
              <w:rPr>
                <w:rFonts w:ascii="Arial" w:cs="Arial" w:eastAsia="Arial" w:hAnsi="Arial"/>
                <w:sz w:val="15"/>
                <w:szCs w:val="15"/>
                <w:color w:val="auto"/>
              </w:rPr>
              <w:t>per share, in each case assuming an initial public offering price of $</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per share, which is the</w:t>
            </w:r>
          </w:p>
        </w:tc>
      </w:tr>
    </w:tbl>
    <w:p>
      <w:pPr>
        <w:ind w:left="1160"/>
        <w:spacing w:after="0"/>
        <w:rPr>
          <w:sz w:val="20"/>
          <w:szCs w:val="20"/>
          <w:color w:val="auto"/>
        </w:rPr>
      </w:pPr>
      <w:r>
        <w:rPr>
          <w:rFonts w:ascii="Arial" w:cs="Arial" w:eastAsia="Arial" w:hAnsi="Arial"/>
          <w:sz w:val="15"/>
          <w:szCs w:val="15"/>
          <w:color w:val="auto"/>
        </w:rPr>
        <w:t>midpoint of the price range listed on the cover page of this prospectus.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The following table summarizes, as of , after giving effect to this offering, the number of shares of our Class A common stock purchased from us, the total consideration paid, or to be paid, to us and the average price per share paid, or to be paid, by existing stockholders and by the new investors. The</w:t>
      </w:r>
    </w:p>
    <w:p>
      <w:pPr>
        <w:spacing w:after="0" w:line="1"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calculation below is based on an assumed initial public offering price of $ per share, which is the midpoint of the price range listed on the cover page of this prospectus, before deducting the estimated underwriting discounts and commissions and estimated offering expenses payable by us.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1140" w:type="dxa"/>
            <w:vAlign w:val="bottom"/>
            <w:gridSpan w:val="8"/>
          </w:tcPr>
          <w:p>
            <w:pPr>
              <w:jc w:val="right"/>
              <w:ind w:right="220"/>
              <w:spacing w:after="0"/>
              <w:rPr>
                <w:sz w:val="20"/>
                <w:szCs w:val="20"/>
                <w:color w:val="auto"/>
              </w:rPr>
            </w:pPr>
            <w:r>
              <w:rPr>
                <w:rFonts w:ascii="Arial" w:cs="Arial" w:eastAsia="Arial" w:hAnsi="Arial"/>
                <w:sz w:val="12"/>
                <w:szCs w:val="12"/>
                <w:b w:val="1"/>
                <w:bCs w:val="1"/>
                <w:color w:val="auto"/>
                <w:w w:val="85"/>
              </w:rPr>
              <w:t>Shares Purchased</w:t>
            </w:r>
          </w:p>
        </w:tc>
        <w:tc>
          <w:tcPr>
            <w:tcW w:w="1160" w:type="dxa"/>
            <w:vAlign w:val="bottom"/>
            <w:gridSpan w:val="8"/>
          </w:tcPr>
          <w:p>
            <w:pPr>
              <w:ind w:left="20"/>
              <w:spacing w:after="0"/>
              <w:rPr>
                <w:sz w:val="20"/>
                <w:szCs w:val="20"/>
                <w:color w:val="auto"/>
              </w:rPr>
            </w:pPr>
            <w:r>
              <w:rPr>
                <w:rFonts w:ascii="Arial" w:cs="Arial" w:eastAsia="Arial" w:hAnsi="Arial"/>
                <w:sz w:val="12"/>
                <w:szCs w:val="12"/>
                <w:b w:val="1"/>
                <w:bCs w:val="1"/>
                <w:color w:val="auto"/>
                <w:w w:val="99"/>
              </w:rPr>
              <w:t>Total Consideration</w:t>
            </w:r>
          </w:p>
        </w:tc>
        <w:tc>
          <w:tcPr>
            <w:tcW w:w="680" w:type="dxa"/>
            <w:vAlign w:val="bottom"/>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83"/>
              </w:rPr>
              <w:t>Average price</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Number</w:t>
            </w:r>
          </w:p>
        </w:tc>
        <w:tc>
          <w:tcPr>
            <w:tcW w:w="56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1"/>
              </w:rPr>
              <w:t>Percent</w:t>
            </w: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81"/>
              </w:rPr>
              <w:t>Percent</w:t>
            </w:r>
          </w:p>
        </w:tc>
        <w:tc>
          <w:tcPr>
            <w:tcW w:w="6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1"/>
              </w:rPr>
              <w:t>per share</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New investors</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2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93"/>
              </w:rPr>
              <w:t>100%</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100%</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420" w:type="dxa"/>
            <w:vAlign w:val="bottom"/>
            <w:gridSpan w:val="13"/>
          </w:tcPr>
          <w:p>
            <w:pPr>
              <w:spacing w:after="0"/>
              <w:rPr>
                <w:sz w:val="20"/>
                <w:szCs w:val="20"/>
                <w:color w:val="auto"/>
              </w:rPr>
            </w:pPr>
            <w:r>
              <w:rPr>
                <w:rFonts w:ascii="Arial" w:cs="Arial" w:eastAsia="Arial" w:hAnsi="Arial"/>
                <w:sz w:val="15"/>
                <w:szCs w:val="15"/>
                <w:color w:val="auto"/>
              </w:rPr>
              <w:t>Each $1.00 increase (decrease) in the assumed initial public offering price of $</w:t>
            </w:r>
          </w:p>
        </w:tc>
        <w:tc>
          <w:tcPr>
            <w:tcW w:w="80" w:type="dxa"/>
            <w:vAlign w:val="bottom"/>
          </w:tcPr>
          <w:p>
            <w:pPr>
              <w:spacing w:after="0"/>
              <w:rPr>
                <w:sz w:val="24"/>
                <w:szCs w:val="24"/>
                <w:color w:val="auto"/>
              </w:rPr>
            </w:pPr>
          </w:p>
        </w:tc>
        <w:tc>
          <w:tcPr>
            <w:tcW w:w="1180" w:type="dxa"/>
            <w:vAlign w:val="bottom"/>
            <w:gridSpan w:val="6"/>
          </w:tcPr>
          <w:p>
            <w:pPr>
              <w:ind w:left="140"/>
              <w:spacing w:after="0"/>
              <w:rPr>
                <w:sz w:val="20"/>
                <w:szCs w:val="20"/>
                <w:color w:val="auto"/>
              </w:rPr>
            </w:pPr>
            <w:r>
              <w:rPr>
                <w:rFonts w:ascii="Arial" w:cs="Arial" w:eastAsia="Arial" w:hAnsi="Arial"/>
                <w:sz w:val="15"/>
                <w:szCs w:val="15"/>
                <w:color w:val="auto"/>
                <w:w w:val="95"/>
              </w:rPr>
              <w:t>per share would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4862195</wp:posOffset>
            </wp:positionH>
            <wp:positionV relativeFrom="paragraph">
              <wp:posOffset>-403860</wp:posOffset>
            </wp:positionV>
            <wp:extent cx="11874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-403860</wp:posOffset>
            </wp:positionV>
            <wp:extent cx="391350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1350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-697230</wp:posOffset>
            </wp:positionV>
            <wp:extent cx="1117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-697230</wp:posOffset>
            </wp:positionV>
            <wp:extent cx="380238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02380" cy="69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increase (decrease) the total consideration paid by new investors and the total consideration paid by all</w:t>
      </w:r>
    </w:p>
    <w:p>
      <w:pPr>
        <w:spacing w:after="0" w:line="15" w:lineRule="exact"/>
        <w:rPr>
          <w:sz w:val="20"/>
          <w:szCs w:val="20"/>
          <w:color w:val="auto"/>
        </w:rPr>
      </w:pPr>
    </w:p>
    <w:p>
      <w:pPr>
        <w:jc w:val="both"/>
        <w:ind w:left="1160" w:right="1179"/>
        <w:spacing w:after="0" w:line="284" w:lineRule="auto"/>
        <w:rPr>
          <w:sz w:val="20"/>
          <w:szCs w:val="20"/>
          <w:color w:val="auto"/>
        </w:rPr>
      </w:pPr>
      <w:r>
        <w:rPr>
          <w:rFonts w:ascii="Arial" w:cs="Arial" w:eastAsia="Arial" w:hAnsi="Arial"/>
          <w:sz w:val="14"/>
          <w:szCs w:val="14"/>
          <w:color w:val="auto"/>
        </w:rPr>
        <w:t>stockholders by $ million, assuming the number of shares offered by us remains the same and after deducting estimated underwriting discounts and commissions but before estimated offering expenses.</w:t>
      </w:r>
    </w:p>
    <w:p>
      <w:pPr>
        <w:spacing w:after="0" w:line="8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Except as otherwise indicated, the discussion and the tables above assume no exercise of the underwriters’ option to purchase additional shares of our Class A common stock and excludes:</w:t>
      </w:r>
    </w:p>
    <w:p>
      <w:pPr>
        <w:spacing w:after="0" w:line="60" w:lineRule="exact"/>
        <w:rPr>
          <w:sz w:val="20"/>
          <w:szCs w:val="20"/>
          <w:color w:val="auto"/>
        </w:rPr>
      </w:pPr>
    </w:p>
    <w:p>
      <w:pPr>
        <w:jc w:val="both"/>
        <w:ind w:left="1600" w:right="1179" w:hanging="143"/>
        <w:spacing w:after="0" w:line="251" w:lineRule="auto"/>
        <w:tabs>
          <w:tab w:leader="none" w:pos="2057" w:val="left"/>
        </w:tabs>
        <w:numPr>
          <w:ilvl w:val="0"/>
          <w:numId w:val="58"/>
        </w:numPr>
        <w:rPr>
          <w:rFonts w:ascii="Arial" w:cs="Arial" w:eastAsia="Arial" w:hAnsi="Arial"/>
          <w:sz w:val="15"/>
          <w:szCs w:val="15"/>
          <w:color w:val="auto"/>
        </w:rPr>
      </w:pPr>
      <w:r>
        <w:rPr>
          <w:rFonts w:ascii="Arial" w:cs="Arial" w:eastAsia="Arial" w:hAnsi="Arial"/>
          <w:sz w:val="15"/>
          <w:szCs w:val="15"/>
          <w:color w:val="auto"/>
        </w:rPr>
        <w:t>additional shares of our Class A common stock reserved for future issuance under the 2021 Plan, which will become effective in connection with this offering, as well as any automatic increases in the number of shares of our Class A common stock reserved for future issuance under the 2021 Plan;</w:t>
      </w:r>
    </w:p>
    <w:p>
      <w:pPr>
        <w:spacing w:after="0" w:line="69" w:lineRule="exact"/>
        <w:rPr>
          <w:rFonts w:ascii="Arial" w:cs="Arial" w:eastAsia="Arial" w:hAnsi="Arial"/>
          <w:sz w:val="15"/>
          <w:szCs w:val="15"/>
          <w:color w:val="auto"/>
        </w:rPr>
      </w:pPr>
    </w:p>
    <w:p>
      <w:pPr>
        <w:jc w:val="both"/>
        <w:ind w:left="1600" w:right="1179" w:hanging="143"/>
        <w:spacing w:after="0" w:line="251" w:lineRule="auto"/>
        <w:tabs>
          <w:tab w:leader="none" w:pos="2057" w:val="left"/>
        </w:tabs>
        <w:numPr>
          <w:ilvl w:val="0"/>
          <w:numId w:val="58"/>
        </w:numPr>
        <w:rPr>
          <w:rFonts w:ascii="Arial" w:cs="Arial" w:eastAsia="Arial" w:hAnsi="Arial"/>
          <w:sz w:val="15"/>
          <w:szCs w:val="15"/>
          <w:color w:val="auto"/>
        </w:rPr>
      </w:pPr>
      <w:r>
        <w:rPr>
          <w:rFonts w:ascii="Arial" w:cs="Arial" w:eastAsia="Arial" w:hAnsi="Arial"/>
          <w:sz w:val="15"/>
          <w:szCs w:val="15"/>
          <w:color w:val="auto"/>
        </w:rPr>
        <w:t>shares of Class A common stock that will become available for future issuance under the ESPP, which will become effective in connection with this offering, and shares of our Class A common stock that become available pursuant to provisions in the ESPP that automatically increase the share reserve under the ESPP;</w:t>
      </w:r>
    </w:p>
    <w:p>
      <w:pPr>
        <w:spacing w:after="0" w:line="69" w:lineRule="exact"/>
        <w:rPr>
          <w:rFonts w:ascii="Arial" w:cs="Arial" w:eastAsia="Arial" w:hAnsi="Arial"/>
          <w:sz w:val="15"/>
          <w:szCs w:val="15"/>
          <w:color w:val="auto"/>
        </w:rPr>
      </w:pPr>
    </w:p>
    <w:p>
      <w:pPr>
        <w:ind w:left="2060" w:hanging="603"/>
        <w:spacing w:after="0"/>
        <w:tabs>
          <w:tab w:leader="none" w:pos="20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shares of Class A common stock issuable upon exercise of outstanding stock options granted</w:t>
      </w:r>
    </w:p>
    <w:p>
      <w:pPr>
        <w:spacing w:after="0" w:line="37" w:lineRule="exact"/>
        <w:rPr>
          <w:sz w:val="20"/>
          <w:szCs w:val="20"/>
          <w:color w:val="auto"/>
        </w:rPr>
      </w:pPr>
    </w:p>
    <w:p>
      <w:pPr>
        <w:ind w:left="1600"/>
        <w:spacing w:after="0"/>
        <w:tabs>
          <w:tab w:leader="none" w:pos="7220" w:val="left"/>
        </w:tabs>
        <w:rPr>
          <w:sz w:val="20"/>
          <w:szCs w:val="20"/>
          <w:color w:val="auto"/>
        </w:rPr>
      </w:pPr>
      <w:r>
        <w:rPr>
          <w:rFonts w:ascii="Arial" w:cs="Arial" w:eastAsia="Arial" w:hAnsi="Arial"/>
          <w:sz w:val="15"/>
          <w:szCs w:val="15"/>
          <w:color w:val="auto"/>
        </w:rPr>
        <w:t>under the 2015 Plan as of March 31, 2021, at a weighted average exercise price of $</w:t>
      </w:r>
      <w:r>
        <w:rPr>
          <w:sz w:val="20"/>
          <w:szCs w:val="20"/>
          <w:color w:val="auto"/>
        </w:rPr>
        <w:tab/>
      </w:r>
      <w:r>
        <w:rPr>
          <w:rFonts w:ascii="Arial" w:cs="Arial" w:eastAsia="Arial" w:hAnsi="Arial"/>
          <w:sz w:val="13"/>
          <w:szCs w:val="13"/>
          <w:color w:val="auto"/>
        </w:rPr>
        <w:t>per share;</w:t>
      </w:r>
    </w:p>
    <w:p>
      <w:pPr>
        <w:spacing w:after="0" w:line="80" w:lineRule="exact"/>
        <w:rPr>
          <w:sz w:val="20"/>
          <w:szCs w:val="20"/>
          <w:color w:val="auto"/>
        </w:rPr>
      </w:pPr>
    </w:p>
    <w:p>
      <w:pPr>
        <w:ind w:left="1600" w:right="1179" w:hanging="143"/>
        <w:spacing w:after="0" w:line="264" w:lineRule="auto"/>
        <w:tabs>
          <w:tab w:leader="none" w:pos="2057" w:val="left"/>
        </w:tabs>
        <w:numPr>
          <w:ilvl w:val="0"/>
          <w:numId w:val="59"/>
        </w:numPr>
        <w:rPr>
          <w:rFonts w:ascii="Arial" w:cs="Arial" w:eastAsia="Arial" w:hAnsi="Arial"/>
          <w:sz w:val="15"/>
          <w:szCs w:val="15"/>
          <w:color w:val="auto"/>
        </w:rPr>
      </w:pPr>
      <w:r>
        <w:rPr>
          <w:rFonts w:ascii="Arial" w:cs="Arial" w:eastAsia="Arial" w:hAnsi="Arial"/>
          <w:sz w:val="15"/>
          <w:szCs w:val="15"/>
          <w:color w:val="auto"/>
        </w:rPr>
        <w:t>shares of Class A common stock available for future issuance under the 2015 Plan as of March 31, 2021.</w:t>
      </w:r>
    </w:p>
    <w:p>
      <w:pPr>
        <w:spacing w:after="0" w:line="93"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180" w:type="dxa"/>
            <w:vAlign w:val="bottom"/>
          </w:tcPr>
          <w:p>
            <w:pPr>
              <w:spacing w:after="0"/>
              <w:rPr>
                <w:sz w:val="20"/>
                <w:szCs w:val="20"/>
                <w:color w:val="auto"/>
              </w:rPr>
            </w:pPr>
            <w:r>
              <w:rPr>
                <w:rFonts w:ascii="Arial" w:cs="Arial" w:eastAsia="Arial" w:hAnsi="Arial"/>
                <w:sz w:val="15"/>
                <w:szCs w:val="15"/>
                <w:color w:val="auto"/>
                <w:w w:val="91"/>
              </w:rPr>
              <w:t>To</w:t>
            </w:r>
          </w:p>
        </w:tc>
        <w:tc>
          <w:tcPr>
            <w:tcW w:w="6500" w:type="dxa"/>
            <w:vAlign w:val="bottom"/>
            <w:gridSpan w:val="3"/>
          </w:tcPr>
          <w:p>
            <w:pPr>
              <w:jc w:val="right"/>
              <w:spacing w:after="0"/>
              <w:rPr>
                <w:sz w:val="20"/>
                <w:szCs w:val="20"/>
                <w:color w:val="auto"/>
              </w:rPr>
            </w:pPr>
            <w:r>
              <w:rPr>
                <w:rFonts w:ascii="Arial" w:cs="Arial" w:eastAsia="Arial" w:hAnsi="Arial"/>
                <w:sz w:val="15"/>
                <w:szCs w:val="15"/>
                <w:color w:val="auto"/>
                <w:w w:val="94"/>
              </w:rPr>
              <w:t>the extent any of these outstanding options are exercised, there will be further dilution to new investors.</w:t>
            </w:r>
          </w:p>
        </w:tc>
      </w:tr>
      <w:tr>
        <w:trPr>
          <w:trHeight w:val="176"/>
        </w:trPr>
        <w:tc>
          <w:tcPr>
            <w:tcW w:w="180" w:type="dxa"/>
            <w:vAlign w:val="bottom"/>
          </w:tcPr>
          <w:p>
            <w:pPr>
              <w:spacing w:after="0"/>
              <w:rPr>
                <w:sz w:val="20"/>
                <w:szCs w:val="20"/>
                <w:color w:val="auto"/>
              </w:rPr>
            </w:pPr>
            <w:r>
              <w:rPr>
                <w:rFonts w:ascii="Arial" w:cs="Arial" w:eastAsia="Arial" w:hAnsi="Arial"/>
                <w:sz w:val="15"/>
                <w:szCs w:val="15"/>
                <w:color w:val="auto"/>
                <w:w w:val="91"/>
              </w:rPr>
              <w:t>To</w:t>
            </w:r>
          </w:p>
        </w:tc>
        <w:tc>
          <w:tcPr>
            <w:tcW w:w="4600" w:type="dxa"/>
            <w:vAlign w:val="bottom"/>
            <w:gridSpan w:val="2"/>
          </w:tcPr>
          <w:p>
            <w:pPr>
              <w:jc w:val="right"/>
              <w:ind w:right="67"/>
              <w:spacing w:after="0"/>
              <w:rPr>
                <w:sz w:val="20"/>
                <w:szCs w:val="20"/>
                <w:color w:val="auto"/>
              </w:rPr>
            </w:pPr>
            <w:r>
              <w:rPr>
                <w:rFonts w:ascii="Arial" w:cs="Arial" w:eastAsia="Arial" w:hAnsi="Arial"/>
                <w:sz w:val="15"/>
                <w:szCs w:val="15"/>
                <w:color w:val="auto"/>
              </w:rPr>
              <w:t>the extent all of such outstanding options had been exercised as of</w:t>
            </w:r>
          </w:p>
        </w:tc>
        <w:tc>
          <w:tcPr>
            <w:tcW w:w="1900" w:type="dxa"/>
            <w:vAlign w:val="bottom"/>
          </w:tcPr>
          <w:p>
            <w:pPr>
              <w:jc w:val="right"/>
              <w:spacing w:after="0"/>
              <w:rPr>
                <w:sz w:val="20"/>
                <w:szCs w:val="20"/>
                <w:color w:val="auto"/>
              </w:rPr>
            </w:pPr>
            <w:r>
              <w:rPr>
                <w:rFonts w:ascii="Arial" w:cs="Arial" w:eastAsia="Arial" w:hAnsi="Arial"/>
                <w:sz w:val="15"/>
                <w:szCs w:val="15"/>
                <w:color w:val="auto"/>
              </w:rPr>
              <w:t>, the pro forma as</w:t>
            </w:r>
          </w:p>
        </w:tc>
      </w:tr>
      <w:tr>
        <w:trPr>
          <w:trHeight w:val="176"/>
        </w:trPr>
        <w:tc>
          <w:tcPr>
            <w:tcW w:w="4780" w:type="dxa"/>
            <w:vAlign w:val="bottom"/>
            <w:gridSpan w:val="3"/>
          </w:tcPr>
          <w:p>
            <w:pPr>
              <w:spacing w:after="0"/>
              <w:rPr>
                <w:sz w:val="20"/>
                <w:szCs w:val="20"/>
                <w:color w:val="auto"/>
              </w:rPr>
            </w:pPr>
            <w:r>
              <w:rPr>
                <w:rFonts w:ascii="Arial" w:cs="Arial" w:eastAsia="Arial" w:hAnsi="Arial"/>
                <w:sz w:val="15"/>
                <w:szCs w:val="15"/>
                <w:color w:val="auto"/>
              </w:rPr>
              <w:t>adjusted net tangible book value per share after this offering would be $</w:t>
            </w:r>
          </w:p>
        </w:tc>
        <w:tc>
          <w:tcPr>
            <w:tcW w:w="1900" w:type="dxa"/>
            <w:vAlign w:val="bottom"/>
          </w:tcPr>
          <w:p>
            <w:pPr>
              <w:jc w:val="right"/>
              <w:spacing w:after="0"/>
              <w:rPr>
                <w:sz w:val="20"/>
                <w:szCs w:val="20"/>
                <w:color w:val="auto"/>
              </w:rPr>
            </w:pPr>
            <w:r>
              <w:rPr>
                <w:rFonts w:ascii="Arial" w:cs="Arial" w:eastAsia="Arial" w:hAnsi="Arial"/>
                <w:sz w:val="15"/>
                <w:szCs w:val="15"/>
                <w:color w:val="auto"/>
              </w:rPr>
              <w:t>, and total dilution per share</w:t>
            </w:r>
          </w:p>
        </w:tc>
      </w:tr>
      <w:tr>
        <w:trPr>
          <w:trHeight w:val="186"/>
        </w:trPr>
        <w:tc>
          <w:tcPr>
            <w:tcW w:w="1960" w:type="dxa"/>
            <w:vAlign w:val="bottom"/>
            <w:gridSpan w:val="2"/>
          </w:tcPr>
          <w:p>
            <w:pPr>
              <w:spacing w:after="0"/>
              <w:rPr>
                <w:sz w:val="20"/>
                <w:szCs w:val="20"/>
                <w:color w:val="auto"/>
              </w:rPr>
            </w:pPr>
            <w:r>
              <w:rPr>
                <w:rFonts w:ascii="Arial" w:cs="Arial" w:eastAsia="Arial" w:hAnsi="Arial"/>
                <w:sz w:val="15"/>
                <w:szCs w:val="15"/>
                <w:color w:val="auto"/>
              </w:rPr>
              <w:t>to new investors would be $</w:t>
            </w:r>
          </w:p>
        </w:tc>
        <w:tc>
          <w:tcPr>
            <w:tcW w:w="2820" w:type="dxa"/>
            <w:vAlign w:val="bottom"/>
          </w:tcPr>
          <w:p>
            <w:pPr>
              <w:jc w:val="right"/>
              <w:ind w:right="2487"/>
              <w:spacing w:after="0"/>
              <w:rPr>
                <w:sz w:val="20"/>
                <w:szCs w:val="20"/>
                <w:color w:val="auto"/>
              </w:rPr>
            </w:pPr>
            <w:r>
              <w:rPr>
                <w:rFonts w:ascii="Arial" w:cs="Arial" w:eastAsia="Arial" w:hAnsi="Arial"/>
                <w:sz w:val="15"/>
                <w:szCs w:val="15"/>
                <w:color w:val="auto"/>
              </w:rPr>
              <w:t>.</w:t>
            </w:r>
          </w:p>
        </w:tc>
        <w:tc>
          <w:tcPr>
            <w:tcW w:w="1900" w:type="dxa"/>
            <w:vAlign w:val="bottom"/>
          </w:tcPr>
          <w:p>
            <w:pPr>
              <w:spacing w:after="0"/>
              <w:rPr>
                <w:sz w:val="16"/>
                <w:szCs w:val="16"/>
                <w:color w:val="auto"/>
              </w:rPr>
            </w:pPr>
          </w:p>
        </w:tc>
      </w:tr>
    </w:tbl>
    <w:p>
      <w:pPr>
        <w:spacing w:after="0" w:line="9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the percentage of shares of our Class A common stock held by the existing stockholders will</w:t>
      </w:r>
    </w:p>
    <w:p>
      <w:pPr>
        <w:spacing w:after="0" w:line="14" w:lineRule="exact"/>
        <w:rPr>
          <w:sz w:val="20"/>
          <w:szCs w:val="20"/>
          <w:color w:val="auto"/>
        </w:rPr>
      </w:pPr>
    </w:p>
    <w:p>
      <w:pPr>
        <w:ind w:left="1600" w:right="1179"/>
        <w:spacing w:after="0" w:line="249" w:lineRule="auto"/>
        <w:rPr>
          <w:sz w:val="20"/>
          <w:szCs w:val="20"/>
          <w:color w:val="auto"/>
        </w:rPr>
      </w:pPr>
      <w:r>
        <w:rPr>
          <w:rFonts w:ascii="Arial" w:cs="Arial" w:eastAsia="Arial" w:hAnsi="Arial"/>
          <w:sz w:val="15"/>
          <w:szCs w:val="15"/>
          <w:color w:val="auto"/>
        </w:rPr>
        <w:t>decrease to approximately % of the total number of shares of our Class A common stock outstanding after this offering; and</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the number of shares of our Class A common stock held by new investors will increase to</w:t>
      </w:r>
    </w:p>
    <w:p>
      <w:pPr>
        <w:spacing w:after="0" w:line="14" w:lineRule="exact"/>
        <w:rPr>
          <w:sz w:val="20"/>
          <w:szCs w:val="20"/>
          <w:color w:val="auto"/>
        </w:rPr>
      </w:pPr>
    </w:p>
    <w:p>
      <w:pPr>
        <w:ind w:left="1600" w:right="1179" w:firstLine="152"/>
        <w:spacing w:after="0" w:line="249" w:lineRule="auto"/>
        <w:rPr>
          <w:sz w:val="20"/>
          <w:szCs w:val="20"/>
          <w:color w:val="auto"/>
        </w:rPr>
      </w:pPr>
      <w:r>
        <w:rPr>
          <w:rFonts w:ascii="Arial" w:cs="Arial" w:eastAsia="Arial" w:hAnsi="Arial"/>
          <w:sz w:val="15"/>
          <w:szCs w:val="15"/>
          <w:color w:val="auto"/>
        </w:rPr>
        <w:t>, or approximately % of the total number of shares of our Class A common stock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The following tables set forth our selected financial data for the periods indicated. We have derived the summary consolidated statements of operations data for the three months ended March 31, 2021 and 2020 and the summary consolidated balance sheet data as of March 31, 2021 from our unaudited interim condensed consolidated financial statements included elsewhere in this prospectus. We have derived the consolidated statements of operations data for the years ended December 31, 2020 and 2019, and the consolidated balance sheet data as of December 31, 2020 and 2019, from our audited consolidated financial statements included elsewhere in this prospectus. We have prepared the unaudited interim condensed consolidated financial statements on a basis substantially consistent with our audited consolidated financial statements as of and for the year ended December 31, 2020, and the unaudited interim condensed consolidated financial statements include all normal recurring adjustments necessary for a fair statement of the financial information set forth in those unaudited interim condensed consolidated financial statements. Our historical results are not necessarily indicative of the results that should be expected for any future period. You should read the following selected consolidated financial data together with our consolidated financial statements and the related notes included elsewhere in this prospectus and the “Management’s Discussion and Analysis of Financial Condition and Results of Operations” section of this prospectus. Our historical results for any prior period are not necessarily indicative of our future results, and our operating results for the three-month period ended March 31, 2021 are not necessarily indicative of the results that may be expected for the year ending December 31, 2021 or any other interim periods or any future year or period.</w:t>
      </w:r>
    </w:p>
    <w:p>
      <w:pPr>
        <w:spacing w:after="0" w:line="5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w w:val="86"/>
              </w:rPr>
              <w:t>Three Months</w:t>
            </w:r>
          </w:p>
        </w:tc>
        <w:tc>
          <w:tcPr>
            <w:tcW w:w="80" w:type="dxa"/>
            <w:vAlign w:val="bottom"/>
          </w:tcPr>
          <w:p>
            <w:pPr>
              <w:spacing w:after="0"/>
              <w:rPr>
                <w:sz w:val="12"/>
                <w:szCs w:val="12"/>
                <w:color w:val="auto"/>
              </w:rPr>
            </w:pPr>
          </w:p>
        </w:tc>
        <w:tc>
          <w:tcPr>
            <w:tcW w:w="156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84"/>
              </w:rPr>
              <w:t>Year Ended</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88"/>
              </w:rPr>
              <w:t>Ended March 31,</w:t>
            </w:r>
          </w:p>
        </w:tc>
        <w:tc>
          <w:tcPr>
            <w:tcW w:w="80" w:type="dxa"/>
            <w:vAlign w:val="bottom"/>
          </w:tcPr>
          <w:p>
            <w:pPr>
              <w:spacing w:after="0"/>
              <w:rPr>
                <w:sz w:val="12"/>
                <w:szCs w:val="12"/>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2"/>
                <w:szCs w:val="12"/>
                <w:b w:val="1"/>
                <w:bCs w:val="1"/>
                <w:color w:val="auto"/>
                <w:w w:val="84"/>
              </w:rPr>
              <w:t>December 31,</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70"/>
              <w:spacing w:after="0" w:line="123"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48"/>
              <w:spacing w:after="0" w:line="123"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49"/>
              <w:spacing w:after="0" w:line="123"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48"/>
              <w:spacing w:after="0" w:line="12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80" w:type="dxa"/>
            <w:vAlign w:val="bottom"/>
            <w:gridSpan w:val="13"/>
          </w:tcPr>
          <w:p>
            <w:pPr>
              <w:ind w:left="380"/>
              <w:spacing w:after="0" w:line="123" w:lineRule="exact"/>
              <w:rPr>
                <w:sz w:val="20"/>
                <w:szCs w:val="20"/>
                <w:color w:val="auto"/>
              </w:rPr>
            </w:pPr>
            <w:r>
              <w:rPr>
                <w:rFonts w:ascii="Arial" w:cs="Arial" w:eastAsia="Arial" w:hAnsi="Arial"/>
                <w:sz w:val="12"/>
                <w:szCs w:val="12"/>
                <w:b w:val="1"/>
                <w:bCs w:val="1"/>
                <w:color w:val="auto"/>
                <w:w w:val="96"/>
              </w:rPr>
              <w:t>(in thousands, except share and per share amounts)</w:t>
            </w:r>
          </w:p>
        </w:tc>
        <w:tc>
          <w:tcPr>
            <w:tcW w:w="0" w:type="dxa"/>
            <w:vAlign w:val="bottom"/>
          </w:tcPr>
          <w:p>
            <w:pPr>
              <w:spacing w:after="0"/>
              <w:rPr>
                <w:sz w:val="1"/>
                <w:szCs w:val="1"/>
                <w:color w:val="auto"/>
              </w:rPr>
            </w:pPr>
          </w:p>
        </w:tc>
      </w:tr>
      <w:tr>
        <w:trPr>
          <w:trHeight w:val="165"/>
        </w:trPr>
        <w:tc>
          <w:tcPr>
            <w:tcW w:w="3340" w:type="dxa"/>
            <w:vAlign w:val="bottom"/>
            <w:gridSpan w:val="4"/>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Consolidated Statements of Operations Data:</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40" w:type="dxa"/>
            <w:vAlign w:val="bottom"/>
            <w:gridSpan w:val="4"/>
          </w:tcPr>
          <w:p>
            <w:pPr>
              <w:spacing w:after="0" w:line="165" w:lineRule="exact"/>
              <w:rPr>
                <w:sz w:val="20"/>
                <w:szCs w:val="20"/>
                <w:color w:val="auto"/>
              </w:rPr>
            </w:pPr>
            <w:r>
              <w:rPr>
                <w:rFonts w:ascii="Arial" w:cs="Arial" w:eastAsia="Arial" w:hAnsi="Arial"/>
                <w:sz w:val="15"/>
                <w:szCs w:val="15"/>
                <w:color w:val="auto"/>
              </w:rPr>
              <w:t>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38"/>
              <w:spacing w:after="0" w:line="165" w:lineRule="exact"/>
              <w:rPr>
                <w:sz w:val="20"/>
                <w:szCs w:val="20"/>
                <w:color w:val="auto"/>
              </w:rPr>
            </w:pPr>
            <w:r>
              <w:rPr>
                <w:rFonts w:ascii="Arial" w:cs="Arial" w:eastAsia="Arial" w:hAnsi="Arial"/>
                <w:sz w:val="15"/>
                <w:szCs w:val="15"/>
                <w:color w:val="auto"/>
              </w:rPr>
              <w:t>748</w:t>
            </w:r>
          </w:p>
        </w:tc>
        <w:tc>
          <w:tcPr>
            <w:tcW w:w="80" w:type="dxa"/>
            <w:vAlign w:val="bottom"/>
          </w:tcPr>
          <w:p>
            <w:pPr>
              <w:jc w:val="right"/>
              <w:spacing w:after="0" w:line="165"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38"/>
              <w:spacing w:after="0" w:line="165" w:lineRule="exact"/>
              <w:rPr>
                <w:sz w:val="20"/>
                <w:szCs w:val="20"/>
                <w:color w:val="auto"/>
              </w:rPr>
            </w:pPr>
            <w:r>
              <w:rPr>
                <w:rFonts w:ascii="Arial" w:cs="Arial" w:eastAsia="Arial" w:hAnsi="Arial"/>
                <w:sz w:val="15"/>
                <w:szCs w:val="15"/>
                <w:color w:val="auto"/>
              </w:rPr>
              <w:t>483</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7"/>
              <w:spacing w:after="0" w:line="165" w:lineRule="exact"/>
              <w:rPr>
                <w:sz w:val="20"/>
                <w:szCs w:val="20"/>
                <w:color w:val="auto"/>
              </w:rPr>
            </w:pPr>
            <w:r>
              <w:rPr>
                <w:rFonts w:ascii="Arial" w:cs="Arial" w:eastAsia="Arial" w:hAnsi="Arial"/>
                <w:sz w:val="15"/>
                <w:szCs w:val="15"/>
                <w:color w:val="auto"/>
              </w:rPr>
              <w:t>2,311</w:t>
            </w:r>
          </w:p>
        </w:tc>
        <w:tc>
          <w:tcPr>
            <w:tcW w:w="80" w:type="dxa"/>
            <w:vAlign w:val="bottom"/>
          </w:tcPr>
          <w:p>
            <w:pPr>
              <w:jc w:val="right"/>
              <w:spacing w:after="0" w:line="165"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7"/>
              <w:spacing w:after="0" w:line="165" w:lineRule="exact"/>
              <w:rPr>
                <w:sz w:val="20"/>
                <w:szCs w:val="20"/>
                <w:color w:val="auto"/>
              </w:rPr>
            </w:pPr>
            <w:r>
              <w:rPr>
                <w:rFonts w:ascii="Arial" w:cs="Arial" w:eastAsia="Arial" w:hAnsi="Arial"/>
                <w:sz w:val="15"/>
                <w:szCs w:val="15"/>
                <w:color w:val="auto"/>
              </w:rPr>
              <w:t>1,920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409</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255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color w:val="auto"/>
              </w:rPr>
              <w:t>1,280</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1,223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bottom w:val="single" w:sz="8" w:color="CCEEFF"/>
            </w:tcBorders>
            <w:gridSpan w:val="4"/>
          </w:tcPr>
          <w:p>
            <w:pPr>
              <w:spacing w:after="0" w:line="156" w:lineRule="exact"/>
              <w:rPr>
                <w:sz w:val="20"/>
                <w:szCs w:val="20"/>
                <w:color w:val="auto"/>
              </w:rPr>
            </w:pPr>
            <w:r>
              <w:rPr>
                <w:rFonts w:ascii="Arial" w:cs="Arial" w:eastAsia="Arial" w:hAnsi="Arial"/>
                <w:sz w:val="15"/>
                <w:szCs w:val="15"/>
                <w:color w:val="auto"/>
              </w:rPr>
              <w:t>Gross profit</w:t>
            </w: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339</w:t>
            </w:r>
          </w:p>
        </w:tc>
        <w:tc>
          <w:tcPr>
            <w:tcW w:w="18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228</w:t>
            </w:r>
          </w:p>
        </w:tc>
        <w:tc>
          <w:tcPr>
            <w:tcW w:w="180" w:type="dxa"/>
            <w:vAlign w:val="bottom"/>
            <w:tcBorders>
              <w:top w:val="single" w:sz="8" w:color="CCEEFF"/>
              <w:bottom w:val="single" w:sz="8" w:color="CCEEFF"/>
            </w:tcBorders>
          </w:tcPr>
          <w:p>
            <w:pPr>
              <w:spacing w:after="0"/>
              <w:rPr>
                <w:sz w:val="13"/>
                <w:szCs w:val="13"/>
                <w:color w:val="auto"/>
              </w:rPr>
            </w:pPr>
          </w:p>
        </w:tc>
        <w:tc>
          <w:tcPr>
            <w:tcW w:w="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1,031</w:t>
            </w:r>
          </w:p>
        </w:tc>
        <w:tc>
          <w:tcPr>
            <w:tcW w:w="20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697</w:t>
            </w:r>
          </w:p>
        </w:tc>
        <w:tc>
          <w:tcPr>
            <w:tcW w:w="100" w:type="dxa"/>
            <w:vAlign w:val="bottom"/>
            <w:tcBorders>
              <w:top w:val="single" w:sz="8" w:color="CCEEFF"/>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gridSpan w:val="4"/>
            <w:shd w:val="clear" w:color="auto" w:fill="CCEEFF"/>
          </w:tcPr>
          <w:p>
            <w:pPr>
              <w:spacing w:after="0" w:line="156" w:lineRule="exact"/>
              <w:rPr>
                <w:sz w:val="20"/>
                <w:szCs w:val="20"/>
                <w:color w:val="auto"/>
              </w:rPr>
            </w:pPr>
            <w:r>
              <w:rPr>
                <w:rFonts w:ascii="Arial" w:cs="Arial" w:eastAsia="Arial" w:hAnsi="Arial"/>
                <w:sz w:val="15"/>
                <w:szCs w:val="15"/>
                <w:color w:val="auto"/>
              </w:rPr>
              <w:t>Operating expenses</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40" w:type="dxa"/>
            <w:vAlign w:val="bottom"/>
            <w:gridSpan w:val="4"/>
          </w:tcPr>
          <w:p>
            <w:pPr>
              <w:ind w:left="160"/>
              <w:spacing w:after="0" w:line="165" w:lineRule="exact"/>
              <w:rPr>
                <w:sz w:val="20"/>
                <w:szCs w:val="20"/>
                <w:color w:val="auto"/>
              </w:rPr>
            </w:pPr>
            <w:r>
              <w:rPr>
                <w:rFonts w:ascii="Arial" w:cs="Arial" w:eastAsia="Arial" w:hAnsi="Arial"/>
                <w:sz w:val="15"/>
                <w:szCs w:val="15"/>
                <w:color w:val="auto"/>
              </w:rPr>
              <w:t>Research and development</w:t>
            </w:r>
          </w:p>
        </w:tc>
        <w:tc>
          <w:tcPr>
            <w:tcW w:w="60" w:type="dxa"/>
            <w:vAlign w:val="bottom"/>
          </w:tcPr>
          <w:p>
            <w:pPr>
              <w:spacing w:after="0"/>
              <w:rPr>
                <w:sz w:val="14"/>
                <w:szCs w:val="14"/>
                <w:color w:val="auto"/>
              </w:rPr>
            </w:pPr>
          </w:p>
        </w:tc>
        <w:tc>
          <w:tcPr>
            <w:tcW w:w="780" w:type="dxa"/>
            <w:vAlign w:val="bottom"/>
            <w:gridSpan w:val="2"/>
          </w:tcPr>
          <w:p>
            <w:pPr>
              <w:jc w:val="right"/>
              <w:ind w:right="138"/>
              <w:spacing w:after="0" w:line="165" w:lineRule="exact"/>
              <w:rPr>
                <w:sz w:val="20"/>
                <w:szCs w:val="20"/>
                <w:color w:val="auto"/>
              </w:rPr>
            </w:pPr>
            <w:r>
              <w:rPr>
                <w:rFonts w:ascii="Arial" w:cs="Arial" w:eastAsia="Arial" w:hAnsi="Arial"/>
                <w:sz w:val="15"/>
                <w:szCs w:val="15"/>
                <w:color w:val="auto"/>
              </w:rPr>
              <w:t>5,391</w:t>
            </w:r>
          </w:p>
        </w:tc>
        <w:tc>
          <w:tcPr>
            <w:tcW w:w="80" w:type="dxa"/>
            <w:vAlign w:val="bottom"/>
          </w:tcPr>
          <w:p>
            <w:pPr>
              <w:spacing w:after="0"/>
              <w:rPr>
                <w:sz w:val="14"/>
                <w:szCs w:val="14"/>
                <w:color w:val="auto"/>
              </w:rPr>
            </w:pPr>
          </w:p>
        </w:tc>
        <w:tc>
          <w:tcPr>
            <w:tcW w:w="760" w:type="dxa"/>
            <w:vAlign w:val="bottom"/>
            <w:gridSpan w:val="2"/>
          </w:tcPr>
          <w:p>
            <w:pPr>
              <w:jc w:val="right"/>
              <w:ind w:right="138"/>
              <w:spacing w:after="0" w:line="165" w:lineRule="exact"/>
              <w:rPr>
                <w:sz w:val="20"/>
                <w:szCs w:val="20"/>
                <w:color w:val="auto"/>
              </w:rPr>
            </w:pPr>
            <w:r>
              <w:rPr>
                <w:rFonts w:ascii="Arial" w:cs="Arial" w:eastAsia="Arial" w:hAnsi="Arial"/>
                <w:sz w:val="15"/>
                <w:szCs w:val="15"/>
                <w:color w:val="auto"/>
              </w:rPr>
              <w:t>2,823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7"/>
              <w:spacing w:after="0" w:line="165" w:lineRule="exact"/>
              <w:rPr>
                <w:sz w:val="20"/>
                <w:szCs w:val="20"/>
                <w:color w:val="auto"/>
              </w:rPr>
            </w:pPr>
            <w:r>
              <w:rPr>
                <w:rFonts w:ascii="Arial" w:cs="Arial" w:eastAsia="Arial" w:hAnsi="Arial"/>
                <w:sz w:val="15"/>
                <w:szCs w:val="15"/>
                <w:color w:val="auto"/>
              </w:rPr>
              <w:t>15,004</w:t>
            </w:r>
          </w:p>
        </w:tc>
        <w:tc>
          <w:tcPr>
            <w:tcW w:w="80" w:type="dxa"/>
            <w:vAlign w:val="bottom"/>
          </w:tcPr>
          <w:p>
            <w:pPr>
              <w:spacing w:after="0"/>
              <w:rPr>
                <w:sz w:val="14"/>
                <w:szCs w:val="14"/>
                <w:color w:val="auto"/>
              </w:rPr>
            </w:pPr>
          </w:p>
        </w:tc>
        <w:tc>
          <w:tcPr>
            <w:tcW w:w="680" w:type="dxa"/>
            <w:vAlign w:val="bottom"/>
            <w:gridSpan w:val="2"/>
          </w:tcPr>
          <w:p>
            <w:pPr>
              <w:jc w:val="right"/>
              <w:ind w:right="27"/>
              <w:spacing w:after="0" w:line="165" w:lineRule="exact"/>
              <w:rPr>
                <w:sz w:val="20"/>
                <w:szCs w:val="20"/>
                <w:color w:val="auto"/>
              </w:rPr>
            </w:pPr>
            <w:r>
              <w:rPr>
                <w:rFonts w:ascii="Arial" w:cs="Arial" w:eastAsia="Arial" w:hAnsi="Arial"/>
                <w:sz w:val="15"/>
                <w:szCs w:val="15"/>
                <w:color w:val="auto"/>
              </w:rPr>
              <w:t>4,279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General and administrative</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1,184</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644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color w:val="auto"/>
              </w:rPr>
              <w:t>3,110</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2,709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bottom w:val="single" w:sz="8" w:color="CCEEFF"/>
            </w:tcBorders>
            <w:gridSpan w:val="4"/>
          </w:tcPr>
          <w:p>
            <w:pPr>
              <w:ind w:left="300"/>
              <w:spacing w:after="0" w:line="156" w:lineRule="exact"/>
              <w:rPr>
                <w:sz w:val="20"/>
                <w:szCs w:val="20"/>
                <w:color w:val="auto"/>
              </w:rPr>
            </w:pPr>
            <w:r>
              <w:rPr>
                <w:rFonts w:ascii="Arial" w:cs="Arial" w:eastAsia="Arial" w:hAnsi="Arial"/>
                <w:sz w:val="15"/>
                <w:szCs w:val="15"/>
                <w:color w:val="auto"/>
              </w:rPr>
              <w:t>Total operating expenses</w:t>
            </w: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6,575</w:t>
            </w:r>
          </w:p>
        </w:tc>
        <w:tc>
          <w:tcPr>
            <w:tcW w:w="18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3,467</w:t>
            </w:r>
          </w:p>
        </w:tc>
        <w:tc>
          <w:tcPr>
            <w:tcW w:w="180" w:type="dxa"/>
            <w:vAlign w:val="bottom"/>
            <w:tcBorders>
              <w:top w:val="single" w:sz="8" w:color="CCEEFF"/>
              <w:bottom w:val="single" w:sz="8" w:color="CCEEFF"/>
            </w:tcBorders>
          </w:tcPr>
          <w:p>
            <w:pPr>
              <w:spacing w:after="0"/>
              <w:rPr>
                <w:sz w:val="13"/>
                <w:szCs w:val="13"/>
                <w:color w:val="auto"/>
              </w:rPr>
            </w:pPr>
          </w:p>
        </w:tc>
        <w:tc>
          <w:tcPr>
            <w:tcW w:w="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18,114</w:t>
            </w:r>
          </w:p>
        </w:tc>
        <w:tc>
          <w:tcPr>
            <w:tcW w:w="20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6,988</w:t>
            </w:r>
          </w:p>
        </w:tc>
        <w:tc>
          <w:tcPr>
            <w:tcW w:w="100" w:type="dxa"/>
            <w:vAlign w:val="bottom"/>
            <w:tcBorders>
              <w:top w:val="single" w:sz="8" w:color="CCEEFF"/>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5"/>
                <w:szCs w:val="15"/>
                <w:color w:val="auto"/>
              </w:rPr>
              <w:t>Loss from operations</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(6,236)</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(3,239)</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(17,083)</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(6,291)</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spacing w:after="0" w:line="156" w:lineRule="exact"/>
              <w:rPr>
                <w:sz w:val="20"/>
                <w:szCs w:val="20"/>
                <w:color w:val="auto"/>
              </w:rPr>
            </w:pPr>
            <w:r>
              <w:rPr>
                <w:rFonts w:ascii="Arial" w:cs="Arial" w:eastAsia="Arial" w:hAnsi="Arial"/>
                <w:sz w:val="15"/>
                <w:szCs w:val="15"/>
                <w:color w:val="auto"/>
              </w:rPr>
              <w:t>Other income (expense), net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40" w:type="dxa"/>
            <w:vAlign w:val="bottom"/>
            <w:gridSpan w:val="4"/>
            <w:shd w:val="clear" w:color="auto" w:fill="CCEEFF"/>
          </w:tcPr>
          <w:p>
            <w:pPr>
              <w:ind w:left="160"/>
              <w:spacing w:after="0" w:line="165" w:lineRule="exact"/>
              <w:rPr>
                <w:sz w:val="20"/>
                <w:szCs w:val="20"/>
                <w:color w:val="auto"/>
              </w:rPr>
            </w:pPr>
            <w:r>
              <w:rPr>
                <w:rFonts w:ascii="Arial" w:cs="Arial" w:eastAsia="Arial" w:hAnsi="Arial"/>
                <w:sz w:val="15"/>
                <w:szCs w:val="15"/>
                <w:color w:val="auto"/>
              </w:rPr>
              <w:t>Interest income (expense), net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8"/>
              <w:spacing w:after="0" w:line="165" w:lineRule="exact"/>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38"/>
              <w:spacing w:after="0" w:line="165" w:lineRule="exact"/>
              <w:rPr>
                <w:sz w:val="20"/>
                <w:szCs w:val="20"/>
                <w:color w:val="auto"/>
              </w:rPr>
            </w:pPr>
            <w:r>
              <w:rPr>
                <w:rFonts w:ascii="Arial" w:cs="Arial" w:eastAsia="Arial" w:hAnsi="Arial"/>
                <w:sz w:val="15"/>
                <w:szCs w:val="15"/>
                <w:color w:val="auto"/>
              </w:rPr>
              <w:t>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7"/>
              <w:spacing w:after="0" w:line="165" w:lineRule="exact"/>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5"/>
                <w:szCs w:val="15"/>
                <w:color w:val="auto"/>
              </w:rPr>
              <w:t>(293)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gridSpan w:val="4"/>
          </w:tcPr>
          <w:p>
            <w:pPr>
              <w:ind w:left="160"/>
              <w:spacing w:after="0"/>
              <w:rPr>
                <w:sz w:val="20"/>
                <w:szCs w:val="20"/>
                <w:color w:val="auto"/>
              </w:rPr>
            </w:pPr>
            <w:r>
              <w:rPr>
                <w:rFonts w:ascii="Arial" w:cs="Arial" w:eastAsia="Arial" w:hAnsi="Arial"/>
                <w:sz w:val="15"/>
                <w:szCs w:val="15"/>
                <w:color w:val="auto"/>
              </w:rPr>
              <w:t>Loss on conversion of convertible notes</w:t>
            </w:r>
          </w:p>
        </w:tc>
        <w:tc>
          <w:tcPr>
            <w:tcW w:w="60" w:type="dxa"/>
            <w:vAlign w:val="bottom"/>
          </w:tcPr>
          <w:p>
            <w:pPr>
              <w:spacing w:after="0"/>
              <w:rPr>
                <w:sz w:val="15"/>
                <w:szCs w:val="15"/>
                <w:color w:val="auto"/>
              </w:rPr>
            </w:pPr>
          </w:p>
        </w:tc>
        <w:tc>
          <w:tcPr>
            <w:tcW w:w="780" w:type="dxa"/>
            <w:vAlign w:val="bottom"/>
            <w:gridSpan w:val="2"/>
          </w:tcPr>
          <w:p>
            <w:pPr>
              <w:jc w:val="right"/>
              <w:ind w:right="13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40" w:type="dxa"/>
            <w:vAlign w:val="bottom"/>
            <w:tcBorders>
              <w:top w:val="single" w:sz="8" w:color="CCEEFF"/>
              <w:bottom w:val="single" w:sz="8" w:color="CCEEFF"/>
            </w:tcBorders>
            <w:gridSpan w:val="4"/>
            <w:shd w:val="clear" w:color="auto" w:fill="CCEEFF"/>
          </w:tcPr>
          <w:p>
            <w:pPr>
              <w:ind w:left="300"/>
              <w:spacing w:after="0" w:line="145" w:lineRule="exact"/>
              <w:rPr>
                <w:sz w:val="20"/>
                <w:szCs w:val="20"/>
                <w:color w:val="auto"/>
              </w:rPr>
            </w:pPr>
            <w:r>
              <w:rPr>
                <w:rFonts w:ascii="Arial" w:cs="Arial" w:eastAsia="Arial" w:hAnsi="Arial"/>
                <w:sz w:val="15"/>
                <w:szCs w:val="15"/>
                <w:color w:val="auto"/>
              </w:rPr>
              <w:t>Net loss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(6,230</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(3,201</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(17,040</w:t>
            </w:r>
          </w:p>
        </w:tc>
        <w:tc>
          <w:tcPr>
            <w:tcW w:w="200" w:type="dxa"/>
            <w:vAlign w:val="bottom"/>
            <w:tcBorders>
              <w:top w:val="single" w:sz="8" w:color="CCEEFF"/>
              <w:bottom w:val="single" w:sz="8" w:color="CCEEFF"/>
            </w:tcBorders>
            <w:shd w:val="clear" w:color="auto" w:fill="CCEEFF"/>
          </w:tcPr>
          <w:p>
            <w:pPr>
              <w:jc w:val="right"/>
              <w:ind w:right="67"/>
              <w:spacing w:after="0" w:line="136" w:lineRule="exact"/>
              <w:rPr>
                <w:sz w:val="20"/>
                <w:szCs w:val="20"/>
                <w:color w:val="auto"/>
              </w:rPr>
            </w:pPr>
            <w:r>
              <w:rPr>
                <w:rFonts w:ascii="Arial" w:cs="Arial" w:eastAsia="Arial" w:hAnsi="Arial"/>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(7,709</w:t>
            </w:r>
          </w:p>
        </w:tc>
        <w:tc>
          <w:tcPr>
            <w:tcW w:w="100" w:type="dxa"/>
            <w:vAlign w:val="bottom"/>
            <w:tcBorders>
              <w:top w:val="single" w:sz="8" w:color="CCEEFF"/>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5"/>
                <w:szCs w:val="15"/>
                <w:color w:val="auto"/>
                <w:w w:val="79"/>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4"/>
            <w:vMerge w:val="restart"/>
          </w:tcPr>
          <w:p>
            <w:pPr>
              <w:spacing w:after="0" w:line="147" w:lineRule="exact"/>
              <w:rPr>
                <w:sz w:val="20"/>
                <w:szCs w:val="20"/>
                <w:color w:val="auto"/>
              </w:rPr>
            </w:pPr>
            <w:r>
              <w:rPr>
                <w:rFonts w:ascii="Arial" w:cs="Arial" w:eastAsia="Arial" w:hAnsi="Arial"/>
                <w:sz w:val="15"/>
                <w:szCs w:val="15"/>
                <w:color w:val="auto"/>
              </w:rPr>
              <w:t>Net loss per share attributable to common</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340" w:type="dxa"/>
            <w:vAlign w:val="bottom"/>
            <w:gridSpan w:val="4"/>
            <w:vMerge w:val="continue"/>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tcPr>
          <w:p>
            <w:pPr>
              <w:jc w:val="right"/>
              <w:ind w:right="98"/>
              <w:spacing w:after="0"/>
              <w:rPr>
                <w:sz w:val="20"/>
                <w:szCs w:val="20"/>
                <w:color w:val="auto"/>
              </w:rPr>
            </w:pPr>
            <w:r>
              <w:rPr>
                <w:rFonts w:ascii="Arial" w:cs="Arial" w:eastAsia="Arial" w:hAnsi="Arial"/>
                <w:sz w:val="15"/>
                <w:szCs w:val="15"/>
                <w:color w:val="auto"/>
              </w:rPr>
              <w:t>(1.76)</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tcPr>
          <w:p>
            <w:pPr>
              <w:jc w:val="right"/>
              <w:ind w:right="98"/>
              <w:spacing w:after="0"/>
              <w:rPr>
                <w:sz w:val="20"/>
                <w:szCs w:val="20"/>
                <w:color w:val="auto"/>
              </w:rPr>
            </w:pPr>
            <w:r>
              <w:rPr>
                <w:rFonts w:ascii="Arial" w:cs="Arial" w:eastAsia="Arial" w:hAnsi="Arial"/>
                <w:sz w:val="15"/>
                <w:szCs w:val="15"/>
                <w:color w:val="auto"/>
              </w:rPr>
              <w:t>(0.91)</w:t>
            </w:r>
          </w:p>
        </w:tc>
        <w:tc>
          <w:tcPr>
            <w:tcW w:w="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tcPr>
          <w:p>
            <w:pPr>
              <w:jc w:val="right"/>
              <w:ind w:right="67"/>
              <w:spacing w:after="0"/>
              <w:rPr>
                <w:sz w:val="20"/>
                <w:szCs w:val="20"/>
                <w:color w:val="auto"/>
              </w:rPr>
            </w:pPr>
            <w:r>
              <w:rPr>
                <w:rFonts w:ascii="Arial" w:cs="Arial" w:eastAsia="Arial" w:hAnsi="Arial"/>
                <w:sz w:val="15"/>
                <w:szCs w:val="15"/>
                <w:color w:val="auto"/>
              </w:rPr>
              <w:t>(4.82)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(2.18)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340" w:type="dxa"/>
            <w:vAlign w:val="bottom"/>
            <w:gridSpan w:val="4"/>
          </w:tcPr>
          <w:p>
            <w:pPr>
              <w:ind w:left="160"/>
              <w:spacing w:after="0" w:line="164" w:lineRule="exact"/>
              <w:rPr>
                <w:sz w:val="20"/>
                <w:szCs w:val="20"/>
                <w:color w:val="auto"/>
              </w:rPr>
            </w:pPr>
            <w:r>
              <w:rPr>
                <w:rFonts w:ascii="Arial" w:cs="Arial" w:eastAsia="Arial" w:hAnsi="Arial"/>
                <w:sz w:val="15"/>
                <w:szCs w:val="15"/>
                <w:color w:val="auto"/>
              </w:rPr>
              <w:t>stockholders, basic and diluted</w:t>
            </w:r>
          </w:p>
        </w:tc>
        <w:tc>
          <w:tcPr>
            <w:tcW w:w="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gridSpan w:val="4"/>
            <w:shd w:val="clear" w:color="auto" w:fill="CCEEFF"/>
          </w:tcPr>
          <w:p>
            <w:pPr>
              <w:spacing w:after="0" w:line="127" w:lineRule="exact"/>
              <w:rPr>
                <w:sz w:val="20"/>
                <w:szCs w:val="20"/>
                <w:color w:val="auto"/>
              </w:rPr>
            </w:pPr>
            <w:r>
              <w:rPr>
                <w:rFonts w:ascii="Arial" w:cs="Arial" w:eastAsia="Arial" w:hAnsi="Arial"/>
                <w:sz w:val="14"/>
                <w:szCs w:val="14"/>
                <w:color w:val="auto"/>
              </w:rPr>
              <w:t>Weighted-average common shares outstanding</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340" w:type="dxa"/>
            <w:vAlign w:val="bottom"/>
            <w:gridSpan w:val="4"/>
            <w:shd w:val="clear" w:color="auto" w:fill="CCEEFF"/>
          </w:tcPr>
          <w:p>
            <w:pPr>
              <w:ind w:left="160"/>
              <w:spacing w:after="0" w:line="158" w:lineRule="exact"/>
              <w:rPr>
                <w:sz w:val="20"/>
                <w:szCs w:val="20"/>
                <w:color w:val="auto"/>
              </w:rPr>
            </w:pPr>
            <w:r>
              <w:rPr>
                <w:rFonts w:ascii="Arial" w:cs="Arial" w:eastAsia="Arial" w:hAnsi="Arial"/>
                <w:sz w:val="15"/>
                <w:szCs w:val="15"/>
                <w:color w:val="auto"/>
              </w:rPr>
              <w:t>used to compute net loss per share, basic and</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40" w:type="dxa"/>
            <w:vAlign w:val="bottom"/>
            <w:gridSpan w:val="4"/>
            <w:shd w:val="clear" w:color="auto" w:fill="CCEEFF"/>
          </w:tcPr>
          <w:p>
            <w:pPr>
              <w:ind w:left="160"/>
              <w:spacing w:after="0" w:line="194" w:lineRule="exact"/>
              <w:rPr>
                <w:sz w:val="20"/>
                <w:szCs w:val="20"/>
                <w:color w:val="auto"/>
              </w:rPr>
            </w:pPr>
            <w:r>
              <w:rPr>
                <w:rFonts w:ascii="Arial" w:cs="Arial" w:eastAsia="Arial" w:hAnsi="Arial"/>
                <w:sz w:val="15"/>
                <w:szCs w:val="15"/>
                <w:color w:val="auto"/>
              </w:rPr>
              <w:t>diluted</w:t>
            </w:r>
            <w:r>
              <w:rPr>
                <w:rFonts w:ascii="Arial" w:cs="Arial" w:eastAsia="Arial" w:hAnsi="Arial"/>
                <w:sz w:val="21"/>
                <w:szCs w:val="21"/>
                <w:color w:val="auto"/>
                <w:vertAlign w:val="superscript"/>
              </w:rPr>
              <w:t>(1)(2)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w w:val="86"/>
              </w:rPr>
              <w:t>3,535,811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w w:val="83"/>
              </w:rPr>
              <w:t>3,535,811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color w:val="auto"/>
                <w:w w:val="83"/>
              </w:rPr>
              <w:t>3,535,811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83"/>
              </w:rPr>
              <w:t>3,535,811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4"/>
            <w:vMerge w:val="restart"/>
          </w:tcPr>
          <w:p>
            <w:pPr>
              <w:spacing w:after="0" w:line="129" w:lineRule="exact"/>
              <w:rPr>
                <w:sz w:val="20"/>
                <w:szCs w:val="20"/>
                <w:color w:val="auto"/>
              </w:rPr>
            </w:pPr>
            <w:r>
              <w:rPr>
                <w:rFonts w:ascii="Arial" w:cs="Arial" w:eastAsia="Arial" w:hAnsi="Arial"/>
                <w:sz w:val="14"/>
                <w:szCs w:val="14"/>
                <w:color w:val="auto"/>
              </w:rPr>
              <w:t>Pro Forma net loss per share attributable to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34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340" w:type="dxa"/>
            <w:vAlign w:val="bottom"/>
            <w:gridSpan w:val="4"/>
          </w:tcPr>
          <w:p>
            <w:pPr>
              <w:ind w:left="160"/>
              <w:spacing w:after="0" w:line="205" w:lineRule="exact"/>
              <w:rPr>
                <w:sz w:val="20"/>
                <w:szCs w:val="20"/>
                <w:color w:val="auto"/>
              </w:rPr>
            </w:pPr>
            <w:r>
              <w:rPr>
                <w:rFonts w:ascii="Arial" w:cs="Arial" w:eastAsia="Arial" w:hAnsi="Arial"/>
                <w:sz w:val="15"/>
                <w:szCs w:val="15"/>
                <w:color w:val="auto"/>
              </w:rPr>
              <w:t>common shareholders, basic and diluted</w:t>
            </w:r>
            <w:r>
              <w:rPr>
                <w:rFonts w:ascii="Arial" w:cs="Arial" w:eastAsia="Arial" w:hAnsi="Arial"/>
                <w:sz w:val="21"/>
                <w:szCs w:val="21"/>
                <w:color w:val="auto"/>
                <w:vertAlign w:val="superscript"/>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98"/>
              <w:spacing w:after="0"/>
              <w:rPr>
                <w:sz w:val="20"/>
                <w:szCs w:val="20"/>
                <w:color w:val="auto"/>
              </w:rPr>
            </w:pPr>
            <w:r>
              <w:rPr>
                <w:rFonts w:ascii="Arial" w:cs="Arial" w:eastAsia="Arial" w:hAnsi="Arial"/>
                <w:sz w:val="15"/>
                <w:szCs w:val="15"/>
                <w:color w:val="auto"/>
              </w:rPr>
              <w:t>(0.65)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7"/>
              <w:spacing w:after="0"/>
              <w:rPr>
                <w:sz w:val="20"/>
                <w:szCs w:val="20"/>
                <w:color w:val="auto"/>
              </w:rPr>
            </w:pPr>
            <w:r>
              <w:rPr>
                <w:rFonts w:ascii="Arial" w:cs="Arial" w:eastAsia="Arial" w:hAnsi="Arial"/>
                <w:sz w:val="15"/>
                <w:szCs w:val="15"/>
                <w:color w:val="auto"/>
              </w:rPr>
              <w:t>(2.78)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gridSpan w:val="4"/>
            <w:shd w:val="clear" w:color="auto" w:fill="CCEEFF"/>
          </w:tcPr>
          <w:p>
            <w:pPr>
              <w:spacing w:after="0" w:line="127" w:lineRule="exact"/>
              <w:rPr>
                <w:sz w:val="20"/>
                <w:szCs w:val="20"/>
                <w:color w:val="auto"/>
              </w:rPr>
            </w:pPr>
            <w:r>
              <w:rPr>
                <w:rFonts w:ascii="Arial" w:cs="Arial" w:eastAsia="Arial" w:hAnsi="Arial"/>
                <w:sz w:val="14"/>
                <w:szCs w:val="14"/>
                <w:color w:val="auto"/>
              </w:rPr>
              <w:t>Pro Forma weighted average shares outstanding</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340" w:type="dxa"/>
            <w:vAlign w:val="bottom"/>
            <w:gridSpan w:val="4"/>
            <w:shd w:val="clear" w:color="auto" w:fill="CCEEFF"/>
          </w:tcPr>
          <w:p>
            <w:pPr>
              <w:ind w:left="160"/>
              <w:spacing w:after="0" w:line="158" w:lineRule="exact"/>
              <w:rPr>
                <w:sz w:val="20"/>
                <w:szCs w:val="20"/>
                <w:color w:val="auto"/>
              </w:rPr>
            </w:pPr>
            <w:r>
              <w:rPr>
                <w:rFonts w:ascii="Arial" w:cs="Arial" w:eastAsia="Arial" w:hAnsi="Arial"/>
                <w:sz w:val="15"/>
                <w:szCs w:val="15"/>
                <w:color w:val="auto"/>
              </w:rPr>
              <w:t>used to compute pro forma net loss per share,</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340" w:type="dxa"/>
            <w:vAlign w:val="bottom"/>
            <w:gridSpan w:val="4"/>
            <w:shd w:val="clear" w:color="auto" w:fill="CCEEFF"/>
          </w:tcPr>
          <w:p>
            <w:pPr>
              <w:ind w:left="160"/>
              <w:spacing w:after="0" w:line="205" w:lineRule="exact"/>
              <w:rPr>
                <w:sz w:val="20"/>
                <w:szCs w:val="20"/>
                <w:color w:val="auto"/>
              </w:rPr>
            </w:pPr>
            <w:r>
              <w:rPr>
                <w:rFonts w:ascii="Arial" w:cs="Arial" w:eastAsia="Arial" w:hAnsi="Arial"/>
                <w:sz w:val="15"/>
                <w:szCs w:val="15"/>
                <w:color w:val="auto"/>
              </w:rPr>
              <w:t>basic and diluted</w:t>
            </w:r>
            <w:r>
              <w:rPr>
                <w:rFonts w:ascii="Arial" w:cs="Arial" w:eastAsia="Arial" w:hAnsi="Arial"/>
                <w:sz w:val="21"/>
                <w:szCs w:val="21"/>
                <w:color w:val="auto"/>
                <w:vertAlign w:val="superscript"/>
              </w:rPr>
              <w:t>(3)</w:t>
            </w: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w w:val="86"/>
              </w:rPr>
              <w:t>9,651,036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color w:val="auto"/>
                <w:w w:val="83"/>
              </w:rPr>
              <w:t>6,127,858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700" w:type="dxa"/>
            <w:vAlign w:val="bottom"/>
            <w:tcBorders>
              <w:bottom w:val="single" w:sz="8" w:color="auto"/>
            </w:tcBorders>
          </w:tcPr>
          <w:p>
            <w:pPr>
              <w:spacing w:after="0"/>
              <w:rPr>
                <w:sz w:val="5"/>
                <w:szCs w:val="5"/>
                <w:color w:val="auto"/>
              </w:rPr>
            </w:pPr>
          </w:p>
        </w:tc>
        <w:tc>
          <w:tcPr>
            <w:tcW w:w="2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-1359535</wp:posOffset>
            </wp:positionV>
            <wp:extent cx="5588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-1359535</wp:posOffset>
            </wp:positionV>
            <wp:extent cx="11874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-1359535</wp:posOffset>
            </wp:positionV>
            <wp:extent cx="11874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-1359535</wp:posOffset>
            </wp:positionV>
            <wp:extent cx="26511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112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-1799590</wp:posOffset>
            </wp:positionV>
            <wp:extent cx="5588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-1799590</wp:posOffset>
            </wp:positionV>
            <wp:extent cx="11874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-1799590</wp:posOffset>
            </wp:positionV>
            <wp:extent cx="11874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-1799590</wp:posOffset>
            </wp:positionV>
            <wp:extent cx="26511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11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-2239010</wp:posOffset>
            </wp:positionV>
            <wp:extent cx="422084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2084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-2762250</wp:posOffset>
            </wp:positionV>
            <wp:extent cx="5588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-2762250</wp:posOffset>
            </wp:positionV>
            <wp:extent cx="11176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-2762250</wp:posOffset>
            </wp:positionV>
            <wp:extent cx="11176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-2762250</wp:posOffset>
            </wp:positionV>
            <wp:extent cx="1117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4" w:lineRule="exact"/>
        <w:rPr>
          <w:sz w:val="20"/>
          <w:szCs w:val="20"/>
          <w:color w:val="auto"/>
        </w:rPr>
      </w:pPr>
    </w:p>
    <w:p>
      <w:pPr>
        <w:jc w:val="both"/>
        <w:ind w:left="1460" w:right="1179" w:hanging="296"/>
        <w:spacing w:after="0" w:line="238" w:lineRule="auto"/>
        <w:tabs>
          <w:tab w:leader="none" w:pos="1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See Note 7 to our unaudited interim consolidated financial statements for the three months ended March 31, 2021 and 2020 appearing at the end of this prospectus for further details on the calculation of basic and diluted net loss per share attributable to common stockholders.</w:t>
      </w:r>
    </w:p>
    <w:p>
      <w:pPr>
        <w:spacing w:after="0" w:line="39" w:lineRule="exact"/>
        <w:rPr>
          <w:rFonts w:ascii="Arial" w:cs="Arial" w:eastAsia="Arial" w:hAnsi="Arial"/>
          <w:sz w:val="12"/>
          <w:szCs w:val="12"/>
          <w:color w:val="auto"/>
        </w:rPr>
      </w:pPr>
    </w:p>
    <w:p>
      <w:pPr>
        <w:ind w:left="1460" w:right="1179" w:hanging="296"/>
        <w:spacing w:after="0" w:line="291" w:lineRule="auto"/>
        <w:tabs>
          <w:tab w:leader="none" w:pos="14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See Note 8 to our consolidated financial statements for the years ended December 31, 2020 and 2019 appearing at the end of this prospectus for further details on the calculation of basic and diluted net loss per share attributable to common stockholders.</w:t>
      </w:r>
    </w:p>
    <w:p>
      <w:pPr>
        <w:spacing w:after="0" w:line="11" w:lineRule="exact"/>
        <w:rPr>
          <w:rFonts w:ascii="Arial" w:cs="Arial" w:eastAsia="Arial" w:hAnsi="Arial"/>
          <w:sz w:val="11"/>
          <w:szCs w:val="11"/>
          <w:color w:val="auto"/>
        </w:rPr>
      </w:pPr>
    </w:p>
    <w:p>
      <w:pPr>
        <w:jc w:val="both"/>
        <w:ind w:left="1460" w:right="1179" w:hanging="296"/>
        <w:spacing w:after="0" w:line="260" w:lineRule="auto"/>
        <w:tabs>
          <w:tab w:leader="none" w:pos="14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unaudited pro forma net loss per share for the three months ended March 31, 2021 and for the year ended December 31, 2020 was computed using the weighted-average number of shares of common stock outstanding, including the pro forma effect of the conversion of all outstanding shares of Series A Preferred Stock and Series B Preferred Stock into shares of common stock, as if such conversion had occurred at the beginning of the period, or their issuance dates, if later. The information presented in this table does not give effect to the sale and issuance of our Series B Preferred Stock that occurred in April and May 2021.</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tbl>
      <w:tblPr>
        <w:tblLayout w:type="fixed"/>
        <w:tblInd w:w="140" w:type="dxa"/>
        <w:tblCellMar>
          <w:top w:w="0" w:type="dxa"/>
          <w:left w:w="0" w:type="dxa"/>
          <w:bottom w:w="0" w:type="dxa"/>
          <w:right w:w="0" w:type="dxa"/>
        </w:tblCellMar>
      </w:tblPr>
      <w:tr>
        <w:trPr>
          <w:trHeight w:val="139"/>
        </w:trPr>
        <w:tc>
          <w:tcPr>
            <w:tcW w:w="5480" w:type="dxa"/>
            <w:vAlign w:val="bottom"/>
            <w:gridSpan w:val="2"/>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790"/>
        </w:trPr>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As of March 31,</w:t>
            </w:r>
          </w:p>
        </w:tc>
        <w:tc>
          <w:tcPr>
            <w:tcW w:w="128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95"/>
              </w:rPr>
              <w:t>As of December 31,</w:t>
            </w:r>
          </w:p>
        </w:tc>
      </w:tr>
      <w:tr>
        <w:trPr>
          <w:trHeight w:val="134"/>
        </w:trPr>
        <w:tc>
          <w:tcPr>
            <w:tcW w:w="10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211"/>
              <w:spacing w:after="0" w:line="134"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0"/>
              <w:spacing w:after="0" w:line="134"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9"/>
              <w:spacing w:after="0" w:line="134"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1"/>
                <w:szCs w:val="11"/>
                <w:color w:val="auto"/>
              </w:rPr>
            </w:pPr>
          </w:p>
        </w:tc>
      </w:tr>
      <w:tr>
        <w:trPr>
          <w:trHeight w:val="134"/>
        </w:trPr>
        <w:tc>
          <w:tcPr>
            <w:tcW w:w="10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560" w:type="dxa"/>
            <w:vAlign w:val="bottom"/>
            <w:gridSpan w:val="3"/>
          </w:tcPr>
          <w:p>
            <w:pPr>
              <w:jc w:val="right"/>
              <w:ind w:right="370"/>
              <w:spacing w:after="0" w:line="134" w:lineRule="exact"/>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5"/>
        </w:trPr>
        <w:tc>
          <w:tcPr>
            <w:tcW w:w="1020" w:type="dxa"/>
            <w:vAlign w:val="bottom"/>
          </w:tcPr>
          <w:p>
            <w:pPr>
              <w:spacing w:after="0"/>
              <w:rPr>
                <w:sz w:val="14"/>
                <w:szCs w:val="14"/>
                <w:color w:val="auto"/>
              </w:rPr>
            </w:pPr>
          </w:p>
        </w:tc>
        <w:tc>
          <w:tcPr>
            <w:tcW w:w="446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Consolidated Balance Sheet Data:</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820" w:type="dxa"/>
            <w:vAlign w:val="bottom"/>
          </w:tcPr>
          <w:p>
            <w:pPr>
              <w:jc w:val="right"/>
              <w:ind w:right="71"/>
              <w:spacing w:after="0"/>
              <w:rPr>
                <w:sz w:val="20"/>
                <w:szCs w:val="20"/>
                <w:color w:val="auto"/>
              </w:rPr>
            </w:pPr>
            <w:r>
              <w:rPr>
                <w:rFonts w:ascii="Arial" w:cs="Arial" w:eastAsia="Arial" w:hAnsi="Arial"/>
                <w:sz w:val="15"/>
                <w:szCs w:val="15"/>
                <w:color w:val="auto"/>
              </w:rPr>
              <w:t>$ 30,934</w:t>
            </w:r>
          </w:p>
        </w:tc>
        <w:tc>
          <w:tcPr>
            <w:tcW w:w="1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$ 37,090</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$13,782</w:t>
            </w:r>
          </w:p>
        </w:tc>
      </w:tr>
      <w:tr>
        <w:trPr>
          <w:trHeight w:val="187"/>
        </w:trPr>
        <w:tc>
          <w:tcPr>
            <w:tcW w:w="1020" w:type="dxa"/>
            <w:vAlign w:val="bottom"/>
          </w:tcPr>
          <w:p>
            <w:pPr>
              <w:spacing w:after="0"/>
              <w:rPr>
                <w:sz w:val="16"/>
                <w:szCs w:val="16"/>
                <w:color w:val="auto"/>
              </w:rPr>
            </w:pPr>
          </w:p>
        </w:tc>
        <w:tc>
          <w:tcPr>
            <w:tcW w:w="4460" w:type="dxa"/>
            <w:vAlign w:val="bottom"/>
            <w:shd w:val="clear" w:color="auto" w:fill="CCEEFF"/>
          </w:tcPr>
          <w:p>
            <w:pPr>
              <w:spacing w:after="0" w:line="187" w:lineRule="exact"/>
              <w:rPr>
                <w:sz w:val="20"/>
                <w:szCs w:val="20"/>
                <w:color w:val="auto"/>
              </w:rPr>
            </w:pPr>
            <w:r>
              <w:rPr>
                <w:rFonts w:ascii="Arial" w:cs="Arial" w:eastAsia="Arial" w:hAnsi="Arial"/>
                <w:sz w:val="15"/>
                <w:szCs w:val="15"/>
                <w:color w:val="auto"/>
              </w:rPr>
              <w:t>Working capital</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29,425</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35,475</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13,558</w:t>
            </w:r>
          </w:p>
        </w:tc>
        <w:tc>
          <w:tcPr>
            <w:tcW w:w="60" w:type="dxa"/>
            <w:vAlign w:val="bottom"/>
          </w:tcPr>
          <w:p>
            <w:pPr>
              <w:spacing w:after="0"/>
              <w:rPr>
                <w:sz w:val="16"/>
                <w:szCs w:val="16"/>
                <w:color w:val="auto"/>
              </w:rPr>
            </w:pPr>
          </w:p>
        </w:tc>
      </w:tr>
      <w:tr>
        <w:trPr>
          <w:trHeight w:val="176"/>
        </w:trPr>
        <w:tc>
          <w:tcPr>
            <w:tcW w:w="102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Total assets</w:t>
            </w:r>
          </w:p>
        </w:tc>
        <w:tc>
          <w:tcPr>
            <w:tcW w:w="820" w:type="dxa"/>
            <w:vAlign w:val="bottom"/>
          </w:tcPr>
          <w:p>
            <w:pPr>
              <w:jc w:val="right"/>
              <w:ind w:right="71"/>
              <w:spacing w:after="0"/>
              <w:rPr>
                <w:sz w:val="20"/>
                <w:szCs w:val="20"/>
                <w:color w:val="auto"/>
              </w:rPr>
            </w:pPr>
            <w:r>
              <w:rPr>
                <w:rFonts w:ascii="Arial" w:cs="Arial" w:eastAsia="Arial" w:hAnsi="Arial"/>
                <w:sz w:val="15"/>
                <w:szCs w:val="15"/>
                <w:color w:val="auto"/>
              </w:rPr>
              <w:t>32,857</w:t>
            </w:r>
          </w:p>
        </w:tc>
        <w:tc>
          <w:tcPr>
            <w:tcW w:w="1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38,423</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14,099</w:t>
            </w:r>
          </w:p>
        </w:tc>
      </w:tr>
      <w:tr>
        <w:trPr>
          <w:trHeight w:val="176"/>
        </w:trPr>
        <w:tc>
          <w:tcPr>
            <w:tcW w:w="1020" w:type="dxa"/>
            <w:vAlign w:val="bottom"/>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3,282</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2,801</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w:t>
            </w:r>
          </w:p>
        </w:tc>
        <w:tc>
          <w:tcPr>
            <w:tcW w:w="6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Convertible preferred stock</w:t>
            </w:r>
          </w:p>
        </w:tc>
        <w:tc>
          <w:tcPr>
            <w:tcW w:w="820" w:type="dxa"/>
            <w:vAlign w:val="bottom"/>
          </w:tcPr>
          <w:p>
            <w:pPr>
              <w:jc w:val="right"/>
              <w:ind w:right="71"/>
              <w:spacing w:after="0"/>
              <w:rPr>
                <w:sz w:val="20"/>
                <w:szCs w:val="20"/>
                <w:color w:val="auto"/>
              </w:rPr>
            </w:pPr>
            <w:r>
              <w:rPr>
                <w:rFonts w:ascii="Arial" w:cs="Arial" w:eastAsia="Arial" w:hAnsi="Arial"/>
                <w:sz w:val="15"/>
                <w:szCs w:val="15"/>
                <w:color w:val="auto"/>
              </w:rPr>
              <w:t>58,104</w:t>
            </w:r>
          </w:p>
        </w:tc>
        <w:tc>
          <w:tcPr>
            <w:tcW w:w="1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58,104</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16,612</w:t>
            </w:r>
          </w:p>
        </w:tc>
      </w:tr>
      <w:tr>
        <w:trPr>
          <w:trHeight w:val="176"/>
        </w:trPr>
        <w:tc>
          <w:tcPr>
            <w:tcW w:w="1020" w:type="dxa"/>
            <w:vAlign w:val="bottom"/>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(31,967)</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(25,738)</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(8,698)</w:t>
            </w:r>
          </w:p>
        </w:tc>
        <w:tc>
          <w:tcPr>
            <w:tcW w:w="60" w:type="dxa"/>
            <w:vAlign w:val="bottom"/>
          </w:tcPr>
          <w:p>
            <w:pPr>
              <w:spacing w:after="0"/>
              <w:rPr>
                <w:sz w:val="15"/>
                <w:szCs w:val="15"/>
                <w:color w:val="auto"/>
              </w:rPr>
            </w:pPr>
          </w:p>
        </w:tc>
      </w:tr>
      <w:tr>
        <w:trPr>
          <w:trHeight w:val="198"/>
        </w:trPr>
        <w:tc>
          <w:tcPr>
            <w:tcW w:w="10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Total stockholders’ equity (deficit)</w:t>
            </w:r>
          </w:p>
        </w:tc>
        <w:tc>
          <w:tcPr>
            <w:tcW w:w="820" w:type="dxa"/>
            <w:vAlign w:val="bottom"/>
          </w:tcPr>
          <w:p>
            <w:pPr>
              <w:jc w:val="right"/>
              <w:ind w:right="11"/>
              <w:spacing w:after="0"/>
              <w:rPr>
                <w:sz w:val="20"/>
                <w:szCs w:val="20"/>
                <w:color w:val="auto"/>
              </w:rPr>
            </w:pPr>
            <w:r>
              <w:rPr>
                <w:rFonts w:ascii="Arial" w:cs="Arial" w:eastAsia="Arial" w:hAnsi="Arial"/>
                <w:sz w:val="15"/>
                <w:szCs w:val="15"/>
                <w:color w:val="auto"/>
              </w:rPr>
              <w:t>(28,529)</w:t>
            </w:r>
          </w:p>
        </w:tc>
        <w:tc>
          <w:tcPr>
            <w:tcW w:w="1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(22,481)</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(6,528)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-1003935</wp:posOffset>
            </wp:positionV>
            <wp:extent cx="1117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83820</wp:posOffset>
            </wp:positionV>
            <wp:extent cx="44640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6" w:lineRule="exact"/>
        <w:rPr>
          <w:sz w:val="20"/>
          <w:szCs w:val="20"/>
          <w:color w:val="auto"/>
        </w:rPr>
      </w:pPr>
    </w:p>
    <w:p>
      <w:pPr>
        <w:ind w:left="1460" w:hanging="296"/>
        <w:spacing w:after="0"/>
        <w:tabs>
          <w:tab w:leader="none" w:pos="1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OPERATIONS</w:t>
      </w:r>
    </w:p>
    <w:p>
      <w:pPr>
        <w:spacing w:after="0" w:line="156" w:lineRule="exact"/>
        <w:rPr>
          <w:sz w:val="20"/>
          <w:szCs w:val="20"/>
          <w:color w:val="auto"/>
        </w:rPr>
      </w:pPr>
    </w:p>
    <w:p>
      <w:pPr>
        <w:ind w:left="1160" w:right="1239"/>
        <w:spacing w:after="0" w:line="249"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the section entitled “Selected Consolidated Financial Data” and our consolidated financial statements and the related notes appearing at the end of this prospectus. Some of the information contained in this discussion and analysis or set forth at the end of this prospectus, including information with respect to our plans and strategy for our business and related financing, includes forward- looking statements that involve risks and uncertainties. As a result of many factors, including those factors set forth in the section entitled “Risk Factors,” our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our forward- looking statements. Please also see the section entitled “Cautionary Note Regarding Forward-Looking Statements.”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We are a biopharmaceutical company with an emerging pipeline focused on improving patient outcomes across a spectrum of debilitating oncologic and neurologic diseases by applying our deep knowledge of translational bioinformatics to every stage of the drug development process. We have more than a decade of experience in translational bioinformatics and generating insights into drug mechanisms of action and patient treatment responses. Building on this experience, we developed a disease-agnostic platform that enables us to utilize human data, novel biology and chemistry, and translational planning to create and advance our wholly owned pipeline. Our current development programs in oncology are focused on providing treatments for patients with solid tumors caused by mutations of the RAS/RAF/MEK/ERK pathway and other oncologic signaling pathways. Our lead product candidate, IMM -1- 104, is designed to be a highly selective dual-MEK inhibitor that further disrupts the kinase suppressor of RAS 1 and 2 for the treatment of advanced solid tumors in patients harboring RAS mutant tumors. We plan to submit an Investigational New Drug, or IND, for IMM-1-104 to the U.S. Food and Drug Administration, or the FDA, in the first quarter of 2022. In addition, we anticipate filing at least two additional INDs for our other oncology programs, one in each of 2023 and 2024.</w:t>
      </w:r>
    </w:p>
    <w:p>
      <w:pPr>
        <w:spacing w:after="0" w:line="99"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90"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and the exercise of stock options. Since inception, we have had significant annual operating losses. Our net loss was approximately $6.2 million, $3.2 million, $17.0 million and $7.7 million for the three months ended March 31, 2021 and 2020 and the years ended December 31, 2020 and 2019, respectively. As of March 31, 2021, we had an accumulated deficit of approximately $32.0 million and approximately $30.9 million in cash and cash equivalents.</w:t>
      </w:r>
    </w:p>
    <w:p>
      <w:pPr>
        <w:spacing w:after="0" w:line="81"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hire additional personnel, pay fees to outside consultants, lawyers and accountants, and incur other increased costs associated with being a public company.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3"/>
          <w:szCs w:val="13"/>
          <w:color w:val="auto"/>
        </w:rPr>
        <w:t>Based upon our current business plans, we believe that the net proceeds from this offering, together with our existing cash and cash equivalents will be sufficient to fund our development activities and other operations</w:t>
      </w:r>
    </w:p>
    <w:p>
      <w:pPr>
        <w:jc w:val="both"/>
        <w:ind w:left="1160" w:right="1179"/>
        <w:spacing w:after="0" w:line="233" w:lineRule="auto"/>
        <w:rPr>
          <w:sz w:val="20"/>
          <w:szCs w:val="20"/>
          <w:color w:val="auto"/>
        </w:rPr>
      </w:pPr>
      <w:r>
        <w:rPr>
          <w:rFonts w:ascii="Arial" w:cs="Arial" w:eastAsia="Arial" w:hAnsi="Arial"/>
          <w:sz w:val="15"/>
          <w:szCs w:val="15"/>
          <w:color w:val="auto"/>
        </w:rPr>
        <w:t>through .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90"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service revenue,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9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In March 2020, the World Health Organization declared the COVID -19 outbreak a pandemic. In particular, the ongoing COVID-19 pandemic has resulted in federal, state and local governments and private entities mandating various restrictions, including travel restrictions, access restrictions, restrictions on public gatherings, and stay at home orders. The effect of these orders, government imposed quarantines and measures we have taken, such as implementing work-at-home policies, may negatively impact productivity, disrupt our business and/or could adversely affect our development plans and results. We cannot presently predict the scope and severity of any potential business shutdowns or disruptions, but if we or any of the third parties with whom we engage, including personnel at third -party manufacturing facilities and other third parties with whom we conduct business, were to experience shutdowns or other business disruptions, our ability to conduct our business in the manner and on the timeline presently planned could be materially and adversely impacted. It is unknown how long these conditions will last and what the complete effect will be on us. While to date we have been able to continue to execute our overall business plan, some of our business activities have been slowed and taken longer to complete, particularly with respect to our process for recruiting new employees, and we continue to adjust to the challenges of operating in a largely remote setting with our employees. Overall, we recognize the challenges the pandemic may pose to our business, will continue to closely monitor events as they develop and plan for alternative and mitigating measures that we can implement if needed.</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Components of Our Results of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Revenue</w:t>
      </w:r>
    </w:p>
    <w:p>
      <w:pPr>
        <w:spacing w:after="0" w:line="106"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Our revenue is generated by providing computational biology professional services to pharmaceutical and biotechnology companies. We charge an agreed upon rate per hour based on the aggregate level of personnel assigned to work on the project or a fixed fee for a defined scope of work. Our contracts specify the period of time over which these professional services will be provided. We recognize revenue over time by measuring the progress toward complete satisfaction of the performance obligation using a single method of measuring progress, which depicts the performance in transferring control of the associated services to the customer. We use input methods to measure the progress toward the complete satisfaction of performance obligations and evaluate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9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We expect revenue to remain similar to prior years in the near-term as we continue to provide services to our existing customers and these revenues could decrease as we have deprioritized new services work in order to focus on developing our wholly owned pipeline.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Cost of Revenue</w:t>
      </w:r>
    </w:p>
    <w:p>
      <w:pPr>
        <w:spacing w:after="0" w:line="106"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Our cost of revenue expenses consists primarily of costs related to providing professional services to our customers. These costs include salaries, bonuses, benefits, and equity-based compensation expense, depreciation, facilities, and other outside services.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Operating Expenses</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Our operating expenses consist of (i) research and development expenses and (ii) general and administrative expenses.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Research and Development</w:t>
      </w:r>
    </w:p>
    <w:p>
      <w:pPr>
        <w:spacing w:after="0" w:line="128"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Research and development expenses account for a significant portion of our operating expenses. Our research and development expenses consist primarily of direct and indirect costs incurred in connection with the development of our research platform, product candidates, discovery efforts and preclinical studies related to our program pipeline.</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direct costs include:</w:t>
      </w:r>
    </w:p>
    <w:p>
      <w:pPr>
        <w:spacing w:after="0" w:line="80" w:lineRule="exact"/>
        <w:rPr>
          <w:sz w:val="20"/>
          <w:szCs w:val="20"/>
          <w:color w:val="auto"/>
        </w:rPr>
      </w:pPr>
    </w:p>
    <w:p>
      <w:pPr>
        <w:jc w:val="both"/>
        <w:ind w:left="1600" w:right="1179" w:hanging="143"/>
        <w:spacing w:after="0" w:line="25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expenses incurred under agreements with CROs and other vendors that conduct our preclinical activities on our behalf; including laboratory expenses related to the execution of preclinical studies that conduct research and development activities on our behalf;</w:t>
      </w:r>
    </w:p>
    <w:p>
      <w:pPr>
        <w:spacing w:after="0" w:line="56"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expenses associated with the manufacturing of our product candidates and preclinical material, including fees paid to contract manufacturers; and</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consulting fees and expenses related to preparation of initiation of clinical trials</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indirect costs include:</w:t>
      </w:r>
    </w:p>
    <w:p>
      <w:pPr>
        <w:spacing w:after="0" w:line="91" w:lineRule="exact"/>
        <w:rPr>
          <w:sz w:val="20"/>
          <w:szCs w:val="20"/>
          <w:color w:val="auto"/>
        </w:rPr>
      </w:pPr>
    </w:p>
    <w:p>
      <w:pPr>
        <w:jc w:val="both"/>
        <w:ind w:left="1600" w:right="1179" w:hanging="143"/>
        <w:spacing w:after="0" w:line="25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personnel-related expenses, consisting of employee salaries, bonuses, benefits and equity-based compensation expense and recruiting costs for personnel engaged in research and development activities; and</w:t>
      </w:r>
    </w:p>
    <w:p>
      <w:pPr>
        <w:spacing w:after="0" w:line="56"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facility and equipment related expenses, consisting of indirect and allocated expenses for rent, depreciation, maintenance of facilities, insurance, and other supplies.</w:t>
      </w:r>
    </w:p>
    <w:p>
      <w:pPr>
        <w:spacing w:after="0" w:line="82"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We expense research and development costs as incurred. Our direct research and development expenses are not currently tracked on a program-by -program basis, but we anticipate tracking costs on a program-by-program basis at the time IMM-1-104 enters clinical trials, which we expect to occur in the first half of 2022. We use our personnel and infrastructure resources across multiple research and development programs directed toward identifying and developing product candidates. Substantially all our research and development costs in the three months ended March 31, 2021 and 2020 and the years ended December 31, 2020 and 2019 was incurred on the development of IMM-1-104 and our other preclinical pipeline candidates. In the three months ended March 31, 2021 and 2020 and the years ended December 31, 2020 and 2019, we advanced several programs from discovery into preclinical development.</w:t>
      </w:r>
    </w:p>
    <w:p>
      <w:pPr>
        <w:spacing w:after="0" w:line="95"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9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duration, costs and timing of preclinical studies and clinical trials and development of our product candidates will depend on a variety of factors, such as:</w:t>
      </w:r>
    </w:p>
    <w:p>
      <w:pPr>
        <w:spacing w:after="0" w:line="61" w:lineRule="exact"/>
        <w:rPr>
          <w:sz w:val="20"/>
          <w:szCs w:val="20"/>
          <w:color w:val="auto"/>
        </w:rPr>
      </w:pPr>
    </w:p>
    <w:p>
      <w:pPr>
        <w:ind w:left="1600" w:right="117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successful completion of preclinical studies and initiation of clinical trials for future product candidates;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successful enrollment and completion of clinical trials for our current product candidates;</w:t>
      </w:r>
    </w:p>
    <w:p>
      <w:pPr>
        <w:spacing w:after="0" w:line="8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data from our clinical programs that support an acceptable risk-benefit profile of our product candidates in the intended patient populations;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acceptance by the FDA or other applicable regulatory agencies of IND applications, clinical trial applications and/or other regulatory filings for our product candidates;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expansion and maintenance of a workforce of experienced scientists and others to continue to develop our product candidates;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successful application for and receipt of marketing approvals from applicable regulatory authorities;</w:t>
      </w:r>
    </w:p>
    <w:p>
      <w:pPr>
        <w:spacing w:after="0" w:line="91"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obtainment and maintenance of intellectual property protection and regulatory exclusivity for our product candidates;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making of arrangements with contract manufacturing organizations for, or establishment of, commercial manufacturing capabilities;</w:t>
      </w:r>
    </w:p>
    <w:p>
      <w:pPr>
        <w:spacing w:after="0" w:line="60" w:lineRule="exact"/>
        <w:rPr>
          <w:rFonts w:ascii="Arial" w:cs="Arial" w:eastAsia="Arial" w:hAnsi="Arial"/>
          <w:sz w:val="15"/>
          <w:szCs w:val="15"/>
          <w:color w:val="auto"/>
        </w:rPr>
      </w:pPr>
    </w:p>
    <w:p>
      <w:pPr>
        <w:jc w:val="both"/>
        <w:ind w:left="1600" w:right="1179" w:hanging="143"/>
        <w:spacing w:after="0" w:line="300" w:lineRule="auto"/>
        <w:tabs>
          <w:tab w:leader="none" w:pos="1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establishment of sales, marketing and distribution capabilities and successful launch of commercial sales of our product candidates, if and when approved, whether alone or in collaboration with others;</w:t>
      </w:r>
    </w:p>
    <w:p>
      <w:pPr>
        <w:spacing w:after="0" w:line="36"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acceptance of our product candidates, if and when approved, by patients, the medical community and third-party payors;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effective competition with other therapies;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obtainment and maintenance of coverage, adequate pricing and adequate reimbursement from third-party payors, including government payors;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maintenance, enforcement, defense and protection of our rights in our intellectual property portfolio;</w:t>
      </w:r>
    </w:p>
    <w:p>
      <w:pPr>
        <w:spacing w:after="0" w:line="91"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avoidance of infringement, misappropriation or other violations with respect to others’ intellectual property or proprietary rights; and</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maintenance of a continued acceptable safety profile of our products following receipt of any marketing approvals.</w:t>
      </w:r>
    </w:p>
    <w:p>
      <w:pPr>
        <w:spacing w:after="0" w:line="9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8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The process of conducting the necessary preclinical and clinical research to obtain regulatory approval is costly and time-consuming. The actual probability of success for our product candidates may be affected by a variety of factors. 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9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prospectus,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 and Administrative</w:t>
      </w:r>
    </w:p>
    <w:p>
      <w:pPr>
        <w:spacing w:after="0" w:line="128"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Our general and administrative expenses consist primarily of personnel-related expenses, including employee salaries, bonuses, benefits, equity-based compensation, and recruiting costs for personnel in executive, finance,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91"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 Sarbanes-Oxley Act, director and officer insurance costs, and investor and public relations costs.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Income (Expense), Net</w:t>
      </w:r>
    </w:p>
    <w:p>
      <w:pPr>
        <w:spacing w:after="0" w:line="12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Other income (expense), net consists primarily of interest income earned on our cash and cash equivalents carried at fair value, and interest expense related to the conversion of notes payable and a loss on the extinguishment of the convertible note.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Results of Operations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Comparison of the Three Months Ended March 31, 2021 and 2020</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our results of operations for the periods indicated:</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ind w:left="20"/>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0"/>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5"/>
          </w:tcPr>
          <w:p>
            <w:pPr>
              <w:ind w:left="220"/>
              <w:spacing w:after="0"/>
              <w:rPr>
                <w:sz w:val="20"/>
                <w:szCs w:val="20"/>
                <w:color w:val="auto"/>
              </w:rPr>
            </w:pPr>
            <w:r>
              <w:rPr>
                <w:rFonts w:ascii="Arial" w:cs="Arial" w:eastAsia="Arial" w:hAnsi="Arial"/>
                <w:sz w:val="12"/>
                <w:szCs w:val="12"/>
                <w:b w:val="1"/>
                <w:bCs w:val="1"/>
                <w:color w:val="auto"/>
              </w:rPr>
              <w:t>March 31,</w:t>
            </w:r>
          </w:p>
        </w:tc>
        <w:tc>
          <w:tcPr>
            <w:tcW w:w="114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Change</w:t>
            </w:r>
          </w:p>
        </w:tc>
      </w:tr>
      <w:tr>
        <w:trPr>
          <w:trHeight w:val="21"/>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ind w:right="50"/>
              <w:spacing w:after="0"/>
              <w:rPr>
                <w:sz w:val="20"/>
                <w:szCs w:val="20"/>
                <w:color w:val="auto"/>
              </w:rPr>
            </w:pPr>
            <w:r>
              <w:rPr>
                <w:rFonts w:ascii="Arial" w:cs="Arial" w:eastAsia="Arial" w:hAnsi="Arial"/>
                <w:sz w:val="12"/>
                <w:szCs w:val="12"/>
                <w:b w:val="1"/>
                <w:bCs w:val="1"/>
                <w:color w:val="auto"/>
                <w:w w:val="89"/>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ind w:right="48"/>
              <w:spacing w:after="0"/>
              <w:rPr>
                <w:sz w:val="20"/>
                <w:szCs w:val="20"/>
                <w:color w:val="auto"/>
              </w:rPr>
            </w:pPr>
            <w:r>
              <w:rPr>
                <w:rFonts w:ascii="Arial" w:cs="Arial" w:eastAsia="Arial" w:hAnsi="Arial"/>
                <w:sz w:val="12"/>
                <w:szCs w:val="12"/>
                <w:b w:val="1"/>
                <w:bCs w:val="1"/>
                <w:color w:val="auto"/>
                <w:w w:val="89"/>
              </w:rPr>
              <w:t>2020</w:t>
            </w:r>
          </w:p>
        </w:tc>
        <w:tc>
          <w:tcPr>
            <w:tcW w:w="180" w:type="dxa"/>
            <w:vAlign w:val="bottom"/>
          </w:tcPr>
          <w:p>
            <w:pPr>
              <w:spacing w:after="0"/>
              <w:rPr>
                <w:sz w:val="13"/>
                <w:szCs w:val="13"/>
                <w:color w:val="auto"/>
              </w:rPr>
            </w:pPr>
          </w:p>
        </w:tc>
        <w:tc>
          <w:tcPr>
            <w:tcW w:w="460" w:type="dxa"/>
            <w:vAlign w:val="bottom"/>
          </w:tcPr>
          <w:p>
            <w:pPr>
              <w:jc w:val="right"/>
              <w:ind w:right="12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300" w:type="dxa"/>
            <w:vAlign w:val="bottom"/>
          </w:tcPr>
          <w:p>
            <w:pPr>
              <w:jc w:val="right"/>
              <w:ind w:right="2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7"/>
          </w:tcPr>
          <w:p>
            <w:pPr>
              <w:ind w:left="220"/>
              <w:spacing w:after="0"/>
              <w:rPr>
                <w:sz w:val="20"/>
                <w:szCs w:val="20"/>
                <w:color w:val="auto"/>
              </w:rPr>
            </w:pPr>
            <w:r>
              <w:rPr>
                <w:rFonts w:ascii="Arial" w:cs="Arial" w:eastAsia="Arial" w:hAnsi="Arial"/>
                <w:sz w:val="12"/>
                <w:szCs w:val="12"/>
                <w:b w:val="1"/>
                <w:bCs w:val="1"/>
                <w:color w:val="auto"/>
                <w:w w:val="80"/>
              </w:rPr>
              <w:t>(in thousands, except percentages)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5"/>
                <w:szCs w:val="15"/>
                <w:color w:val="auto"/>
              </w:rPr>
              <w:t>Revenue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748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483</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  265</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54.9%</w:t>
            </w:r>
          </w:p>
        </w:tc>
      </w:tr>
      <w:tr>
        <w:trPr>
          <w:trHeight w:val="214"/>
        </w:trPr>
        <w:tc>
          <w:tcPr>
            <w:tcW w:w="4440" w:type="dxa"/>
            <w:vAlign w:val="bottom"/>
            <w:gridSpan w:val="2"/>
          </w:tcPr>
          <w:p>
            <w:pPr>
              <w:spacing w:after="0"/>
              <w:rPr>
                <w:sz w:val="20"/>
                <w:szCs w:val="20"/>
                <w:color w:val="auto"/>
              </w:rPr>
            </w:pPr>
            <w:r>
              <w:rPr>
                <w:rFonts w:ascii="Arial" w:cs="Arial" w:eastAsia="Arial" w:hAnsi="Arial"/>
                <w:sz w:val="15"/>
                <w:szCs w:val="15"/>
                <w:color w:val="auto"/>
              </w:rPr>
              <w:t>Cost of revenue</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255</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154</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60.4%</w:t>
            </w:r>
          </w:p>
        </w:tc>
      </w:tr>
      <w:tr>
        <w:trPr>
          <w:trHeight w:val="20"/>
        </w:trPr>
        <w:tc>
          <w:tcPr>
            <w:tcW w:w="44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440" w:type="dxa"/>
            <w:vAlign w:val="bottom"/>
            <w:gridSpan w:val="2"/>
          </w:tcPr>
          <w:p>
            <w:pPr>
              <w:ind w:left="300"/>
              <w:spacing w:after="0"/>
              <w:rPr>
                <w:sz w:val="20"/>
                <w:szCs w:val="20"/>
                <w:color w:val="auto"/>
              </w:rPr>
            </w:pPr>
            <w:r>
              <w:rPr>
                <w:rFonts w:ascii="Arial" w:cs="Arial" w:eastAsia="Arial" w:hAnsi="Arial"/>
                <w:sz w:val="15"/>
                <w:szCs w:val="15"/>
                <w:color w:val="auto"/>
              </w:rPr>
              <w:t>Gross profit</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339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228</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111</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48.7%</w:t>
            </w:r>
          </w:p>
        </w:tc>
      </w:tr>
      <w:tr>
        <w:trPr>
          <w:trHeight w:val="209"/>
        </w:trPr>
        <w:tc>
          <w:tcPr>
            <w:tcW w:w="444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5,391</w:t>
            </w: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2,823</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2,568</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91.0%</w:t>
            </w:r>
          </w:p>
        </w:tc>
      </w:tr>
      <w:tr>
        <w:trPr>
          <w:trHeight w:val="214"/>
        </w:trPr>
        <w:tc>
          <w:tcPr>
            <w:tcW w:w="424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1,184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644</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540</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83.9%</w:t>
            </w:r>
          </w:p>
        </w:tc>
      </w:tr>
      <w:tr>
        <w:trPr>
          <w:trHeight w:val="20"/>
        </w:trPr>
        <w:tc>
          <w:tcPr>
            <w:tcW w:w="42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6,575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3,467</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3,108</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89.6%</w:t>
            </w:r>
          </w:p>
        </w:tc>
      </w:tr>
      <w:tr>
        <w:trPr>
          <w:trHeight w:val="20"/>
        </w:trPr>
        <w:tc>
          <w:tcPr>
            <w:tcW w:w="42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44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w w:val="84"/>
              </w:rPr>
              <w:t>(6,236)</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(3,239)</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(2,997)</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87"/>
              </w:rPr>
              <w:t>(92.5)%</w:t>
            </w:r>
          </w:p>
        </w:tc>
      </w:tr>
      <w:tr>
        <w:trPr>
          <w:trHeight w:val="209"/>
        </w:trPr>
        <w:tc>
          <w:tcPr>
            <w:tcW w:w="4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income: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38</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(32)</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87"/>
              </w:rPr>
              <w:t>(84.2)%</w:t>
            </w:r>
          </w:p>
        </w:tc>
      </w:tr>
      <w:tr>
        <w:trPr>
          <w:trHeight w:val="20"/>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w w:val="84"/>
              </w:rPr>
              <w:t>(6,230)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(3,201)</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$(3,029)</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94.6%</w:t>
            </w:r>
          </w:p>
        </w:tc>
      </w:tr>
      <w:tr>
        <w:trPr>
          <w:trHeight w:val="44"/>
        </w:trPr>
        <w:tc>
          <w:tcPr>
            <w:tcW w:w="4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-1548130</wp:posOffset>
            </wp:positionV>
            <wp:extent cx="4241800" cy="132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-1003935</wp:posOffset>
            </wp:positionV>
            <wp:extent cx="4241800" cy="132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160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41800" cy="1606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-732155</wp:posOffset>
            </wp:positionV>
            <wp:extent cx="4241800" cy="146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-1276350</wp:posOffset>
            </wp:positionV>
            <wp:extent cx="4241800" cy="139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-1673860</wp:posOffset>
            </wp:positionV>
            <wp:extent cx="11176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-1673860</wp:posOffset>
            </wp:positionV>
            <wp:extent cx="11176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-1673860</wp:posOffset>
            </wp:positionV>
            <wp:extent cx="11176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Revenue</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the revenue recognized for the periods indicated:</w:t>
      </w:r>
    </w:p>
    <w:p>
      <w:pPr>
        <w:spacing w:after="0" w:line="14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3020" w:type="dxa"/>
            <w:vAlign w:val="bottom"/>
            <w:gridSpan w:val="8"/>
          </w:tcPr>
          <w:p>
            <w:pPr>
              <w:jc w:val="center"/>
              <w:ind w:left="1501"/>
              <w:spacing w:after="0"/>
              <w:rPr>
                <w:sz w:val="20"/>
                <w:szCs w:val="20"/>
                <w:color w:val="auto"/>
              </w:rPr>
            </w:pPr>
            <w:r>
              <w:rPr>
                <w:rFonts w:ascii="Arial" w:cs="Arial" w:eastAsia="Arial" w:hAnsi="Arial"/>
                <w:sz w:val="12"/>
                <w:szCs w:val="12"/>
                <w:b w:val="1"/>
                <w:bCs w:val="1"/>
                <w:color w:val="auto"/>
                <w:w w:val="85"/>
              </w:rPr>
              <w:t>Three Months Ended</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0"/>
        </w:trPr>
        <w:tc>
          <w:tcPr>
            <w:tcW w:w="2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90"/>
              </w:rPr>
              <w:t>March 31,</w:t>
            </w:r>
          </w:p>
        </w:tc>
        <w:tc>
          <w:tcPr>
            <w:tcW w:w="8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Change</w:t>
            </w:r>
          </w:p>
        </w:tc>
      </w:tr>
      <w:tr>
        <w:trPr>
          <w:trHeight w:val="21"/>
        </w:trPr>
        <w:tc>
          <w:tcPr>
            <w:tcW w:w="2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2320" w:type="dxa"/>
            <w:vAlign w:val="bottom"/>
          </w:tcPr>
          <w:p>
            <w:pPr>
              <w:spacing w:after="0"/>
              <w:rPr>
                <w:sz w:val="13"/>
                <w:szCs w:val="13"/>
                <w:color w:val="auto"/>
              </w:rPr>
            </w:pPr>
          </w:p>
        </w:tc>
        <w:tc>
          <w:tcPr>
            <w:tcW w:w="21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77"/>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1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2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2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9"/>
          </w:tcPr>
          <w:p>
            <w:pPr>
              <w:jc w:val="right"/>
              <w:ind w:right="300"/>
              <w:spacing w:after="0"/>
              <w:rPr>
                <w:sz w:val="20"/>
                <w:szCs w:val="20"/>
                <w:color w:val="auto"/>
              </w:rPr>
            </w:pPr>
            <w:r>
              <w:rPr>
                <w:rFonts w:ascii="Arial" w:cs="Arial" w:eastAsia="Arial" w:hAnsi="Arial"/>
                <w:sz w:val="12"/>
                <w:szCs w:val="12"/>
                <w:b w:val="1"/>
                <w:bCs w:val="1"/>
                <w:color w:val="auto"/>
                <w:w w:val="85"/>
              </w:rPr>
              <w:t>(in thousands, except percentages)</w:t>
            </w:r>
          </w:p>
        </w:tc>
      </w:tr>
      <w:tr>
        <w:trPr>
          <w:trHeight w:val="265"/>
        </w:trPr>
        <w:tc>
          <w:tcPr>
            <w:tcW w:w="2320" w:type="dxa"/>
            <w:vAlign w:val="bottom"/>
          </w:tcPr>
          <w:p>
            <w:pPr>
              <w:spacing w:after="0"/>
              <w:rPr>
                <w:sz w:val="20"/>
                <w:szCs w:val="20"/>
                <w:color w:val="auto"/>
              </w:rPr>
            </w:pPr>
            <w:r>
              <w:rPr>
                <w:rFonts w:ascii="Arial" w:cs="Arial" w:eastAsia="Arial" w:hAnsi="Arial"/>
                <w:sz w:val="15"/>
                <w:szCs w:val="15"/>
                <w:color w:val="auto"/>
              </w:rPr>
              <w:t>Revenue</w:t>
            </w:r>
          </w:p>
        </w:tc>
        <w:tc>
          <w:tcPr>
            <w:tcW w:w="1840" w:type="dxa"/>
            <w:vAlign w:val="bottom"/>
            <w:gridSpan w:val="2"/>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3"/>
              </w:rPr>
              <w:t>$748</w:t>
            </w:r>
          </w:p>
        </w:tc>
        <w:tc>
          <w:tcPr>
            <w:tcW w:w="300" w:type="dxa"/>
            <w:vAlign w:val="bottom"/>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$483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3"/>
              </w:rPr>
              <w:t>$265</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1536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65245" cy="15367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-292100</wp:posOffset>
            </wp:positionV>
            <wp:extent cx="11176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-292100</wp:posOffset>
            </wp:positionV>
            <wp:extent cx="11176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-292100</wp:posOffset>
            </wp:positionV>
            <wp:extent cx="11176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Revenue increased by approximately $0.3 million, or 54.9%, to approximately $0.7 million for the three months ended March 31, 2021 compared to approximately $0.5 million for the three months ended March 31, 2020.</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increase in revenue was due to an increase by approximately $0.4 million from new customers in 2021, partially offset by approximately $0.1 million decrease due to customer agreements that were completed in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Cost of Revenue</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the components of cost of revenue expenses for the periods indicated:</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1260" w:type="dxa"/>
            <w:vAlign w:val="bottom"/>
            <w:gridSpan w:val="7"/>
          </w:tcPr>
          <w:p>
            <w:pPr>
              <w:jc w:val="center"/>
              <w:ind w:right="200"/>
              <w:spacing w:after="0"/>
              <w:rPr>
                <w:sz w:val="20"/>
                <w:szCs w:val="20"/>
                <w:color w:val="auto"/>
              </w:rPr>
            </w:pPr>
            <w:r>
              <w:rPr>
                <w:rFonts w:ascii="Arial" w:cs="Arial" w:eastAsia="Arial" w:hAnsi="Arial"/>
                <w:sz w:val="12"/>
                <w:szCs w:val="12"/>
                <w:b w:val="1"/>
                <w:bCs w:val="1"/>
                <w:color w:val="auto"/>
                <w:w w:val="85"/>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0"/>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w w:val="86"/>
              </w:rPr>
              <w:t>March 31,</w:t>
            </w:r>
          </w:p>
        </w:tc>
        <w:tc>
          <w:tcPr>
            <w:tcW w:w="98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Change</w:t>
            </w:r>
          </w:p>
        </w:tc>
      </w:tr>
      <w:tr>
        <w:trPr>
          <w:trHeight w:val="21"/>
        </w:trPr>
        <w:tc>
          <w:tcPr>
            <w:tcW w:w="46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6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jc w:val="right"/>
              <w:ind w:right="51"/>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400" w:type="dxa"/>
            <w:vAlign w:val="bottom"/>
          </w:tcPr>
          <w:p>
            <w:pPr>
              <w:jc w:val="right"/>
              <w:ind w:right="2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10"/>
          </w:tcPr>
          <w:p>
            <w:pPr>
              <w:jc w:val="right"/>
              <w:ind w:right="380"/>
              <w:spacing w:after="0"/>
              <w:rPr>
                <w:sz w:val="20"/>
                <w:szCs w:val="20"/>
                <w:color w:val="auto"/>
              </w:rPr>
            </w:pPr>
            <w:r>
              <w:rPr>
                <w:rFonts w:ascii="Arial" w:cs="Arial" w:eastAsia="Arial" w:hAnsi="Arial"/>
                <w:sz w:val="12"/>
                <w:szCs w:val="12"/>
                <w:b w:val="1"/>
                <w:bCs w:val="1"/>
                <w:color w:val="auto"/>
                <w:w w:val="87"/>
              </w:rPr>
              <w:t>(in thousands, except percentages)</w:t>
            </w:r>
          </w:p>
        </w:tc>
      </w:tr>
      <w:tr>
        <w:trPr>
          <w:trHeight w:val="230"/>
        </w:trPr>
        <w:tc>
          <w:tcPr>
            <w:tcW w:w="4620" w:type="dxa"/>
            <w:vAlign w:val="bottom"/>
          </w:tcPr>
          <w:p>
            <w:pPr>
              <w:spacing w:after="0"/>
              <w:rPr>
                <w:sz w:val="20"/>
                <w:szCs w:val="20"/>
                <w:color w:val="auto"/>
              </w:rPr>
            </w:pPr>
            <w:r>
              <w:rPr>
                <w:rFonts w:ascii="Arial" w:cs="Arial" w:eastAsia="Arial" w:hAnsi="Arial"/>
                <w:sz w:val="15"/>
                <w:szCs w:val="15"/>
                <w:color w:val="auto"/>
              </w:rPr>
              <w:t>Employee related costs</w:t>
            </w: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$370</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w w:val="74"/>
              </w:rPr>
              <w:t>$ 211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w w:val="77"/>
              </w:rPr>
              <w:t>$159</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75.4%</w:t>
            </w:r>
          </w:p>
        </w:tc>
      </w:tr>
      <w:tr>
        <w:trPr>
          <w:trHeight w:val="209"/>
        </w:trPr>
        <w:tc>
          <w:tcPr>
            <w:tcW w:w="4620" w:type="dxa"/>
            <w:vAlign w:val="bottom"/>
          </w:tcPr>
          <w:p>
            <w:pPr>
              <w:spacing w:after="0"/>
              <w:rPr>
                <w:sz w:val="20"/>
                <w:szCs w:val="20"/>
                <w:color w:val="auto"/>
              </w:rPr>
            </w:pPr>
            <w:r>
              <w:rPr>
                <w:rFonts w:ascii="Arial" w:cs="Arial" w:eastAsia="Arial" w:hAnsi="Arial"/>
                <w:sz w:val="15"/>
                <w:szCs w:val="15"/>
                <w:color w:val="auto"/>
              </w:rPr>
              <w:t>Equity-based compensation expense</w:t>
            </w: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23</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(8.0)%</w:t>
            </w:r>
          </w:p>
        </w:tc>
      </w:tr>
      <w:tr>
        <w:trPr>
          <w:trHeight w:val="209"/>
        </w:trPr>
        <w:tc>
          <w:tcPr>
            <w:tcW w:w="4620" w:type="dxa"/>
            <w:vAlign w:val="bottom"/>
          </w:tcPr>
          <w:p>
            <w:pPr>
              <w:spacing w:after="0"/>
              <w:rPr>
                <w:sz w:val="20"/>
                <w:szCs w:val="20"/>
                <w:color w:val="auto"/>
              </w:rPr>
            </w:pPr>
            <w:r>
              <w:rPr>
                <w:rFonts w:ascii="Arial" w:cs="Arial" w:eastAsia="Arial" w:hAnsi="Arial"/>
                <w:sz w:val="15"/>
                <w:szCs w:val="15"/>
                <w:color w:val="auto"/>
              </w:rPr>
              <w:t>Facilities and other allocated expenses</w:t>
            </w: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14</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(4)</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(22.2)%</w:t>
            </w:r>
          </w:p>
        </w:tc>
      </w:tr>
      <w:tr>
        <w:trPr>
          <w:trHeight w:val="214"/>
        </w:trPr>
        <w:tc>
          <w:tcPr>
            <w:tcW w:w="4620" w:type="dxa"/>
            <w:vAlign w:val="bottom"/>
          </w:tcPr>
          <w:p>
            <w:pPr>
              <w:spacing w:after="0"/>
              <w:rPr>
                <w:sz w:val="20"/>
                <w:szCs w:val="20"/>
                <w:color w:val="auto"/>
              </w:rPr>
            </w:pPr>
            <w:r>
              <w:rPr>
                <w:rFonts w:ascii="Arial" w:cs="Arial" w:eastAsia="Arial" w:hAnsi="Arial"/>
                <w:sz w:val="15"/>
                <w:szCs w:val="15"/>
                <w:color w:val="auto"/>
              </w:rPr>
              <w:t>Depreciation</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3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1</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100.0%</w:t>
            </w: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5"/>
                <w:szCs w:val="15"/>
                <w:color w:val="auto"/>
              </w:rPr>
              <w:t>Total cost of revenue</w:t>
            </w:r>
          </w:p>
        </w:tc>
        <w:tc>
          <w:tcPr>
            <w:tcW w:w="680" w:type="dxa"/>
            <w:vAlign w:val="bottom"/>
            <w:gridSpan w:val="3"/>
          </w:tcPr>
          <w:p>
            <w:pPr>
              <w:jc w:val="right"/>
              <w:ind w:right="300"/>
              <w:spacing w:after="0"/>
              <w:rPr>
                <w:sz w:val="20"/>
                <w:szCs w:val="20"/>
                <w:color w:val="auto"/>
              </w:rPr>
            </w:pPr>
            <w:r>
              <w:rPr>
                <w:rFonts w:ascii="Arial" w:cs="Arial" w:eastAsia="Arial" w:hAnsi="Arial"/>
                <w:sz w:val="15"/>
                <w:szCs w:val="15"/>
                <w:color w:val="auto"/>
              </w:rPr>
              <w:t>$409</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w w:val="83"/>
              </w:rPr>
              <w:t>$255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w w:val="77"/>
              </w:rPr>
              <w:t>$154</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60.4%</w:t>
            </w:r>
          </w:p>
        </w:tc>
      </w:tr>
      <w:tr>
        <w:trPr>
          <w:trHeight w:val="44"/>
        </w:trPr>
        <w:tc>
          <w:tcPr>
            <w:tcW w:w="4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-711200</wp:posOffset>
            </wp:positionV>
            <wp:extent cx="4241800" cy="132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-445770</wp:posOffset>
            </wp:positionV>
            <wp:extent cx="4241800" cy="132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160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41800" cy="1606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-836295</wp:posOffset>
            </wp:positionV>
            <wp:extent cx="1117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-836295</wp:posOffset>
            </wp:positionV>
            <wp:extent cx="11176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-836295</wp:posOffset>
            </wp:positionV>
            <wp:extent cx="11176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8"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Cost of revenue increased by approximately $0.1 million, or 60.4%, to approximately $0.4 million for the three months ended March 31, 2021 compared to approximately $0.3 million for the three months March 31, 2020. The increase was primarily due to increased employee related costs of approximately $0.2 million, partially offset by a decrease in equity-based compensation and facilities.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Research and Development</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following table summarizes the components of our research and development expenses for the periods indicated:</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4"/>
              </w:rPr>
              <w:t>Three Months 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0"/>
        </w:trPr>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0"/>
              </w:rPr>
              <w:t>March 31,</w:t>
            </w:r>
          </w:p>
        </w:tc>
        <w:tc>
          <w:tcPr>
            <w:tcW w:w="110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Change</w:t>
            </w:r>
          </w:p>
        </w:tc>
      </w:tr>
      <w:tr>
        <w:trPr>
          <w:trHeight w:val="21"/>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340" w:type="dxa"/>
            <w:vAlign w:val="bottom"/>
          </w:tcPr>
          <w:p>
            <w:pPr>
              <w:spacing w:after="0"/>
              <w:rPr>
                <w:sz w:val="13"/>
                <w:szCs w:val="13"/>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440" w:type="dxa"/>
            <w:vAlign w:val="bottom"/>
          </w:tcPr>
          <w:p>
            <w:pPr>
              <w:jc w:val="right"/>
              <w:ind w:right="4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400" w:type="dxa"/>
            <w:vAlign w:val="bottom"/>
          </w:tcPr>
          <w:p>
            <w:pPr>
              <w:jc w:val="right"/>
              <w:ind w:right="11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400" w:type="dxa"/>
            <w:vAlign w:val="bottom"/>
          </w:tcPr>
          <w:p>
            <w:pPr>
              <w:jc w:val="right"/>
              <w:ind w:right="2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8"/>
          </w:tcPr>
          <w:p>
            <w:pPr>
              <w:jc w:val="right"/>
              <w:ind w:right="440"/>
              <w:spacing w:after="0"/>
              <w:rPr>
                <w:sz w:val="20"/>
                <w:szCs w:val="20"/>
                <w:color w:val="auto"/>
              </w:rPr>
            </w:pPr>
            <w:r>
              <w:rPr>
                <w:rFonts w:ascii="Arial" w:cs="Arial" w:eastAsia="Arial" w:hAnsi="Arial"/>
                <w:sz w:val="12"/>
                <w:szCs w:val="12"/>
                <w:b w:val="1"/>
                <w:bCs w:val="1"/>
                <w:color w:val="auto"/>
                <w:w w:val="92"/>
              </w:rPr>
              <w:t>(in thousands, except percentages)</w:t>
            </w:r>
          </w:p>
        </w:tc>
      </w:tr>
      <w:tr>
        <w:trPr>
          <w:trHeight w:val="230"/>
        </w:trPr>
        <w:tc>
          <w:tcPr>
            <w:tcW w:w="4340" w:type="dxa"/>
            <w:vAlign w:val="bottom"/>
          </w:tcPr>
          <w:p>
            <w:pPr>
              <w:spacing w:after="0"/>
              <w:rPr>
                <w:sz w:val="20"/>
                <w:szCs w:val="20"/>
                <w:color w:val="auto"/>
              </w:rPr>
            </w:pPr>
            <w:r>
              <w:rPr>
                <w:rFonts w:ascii="Arial" w:cs="Arial" w:eastAsia="Arial" w:hAnsi="Arial"/>
                <w:sz w:val="15"/>
                <w:szCs w:val="15"/>
                <w:color w:val="auto"/>
              </w:rPr>
              <w:t>Employee related costs</w:t>
            </w:r>
          </w:p>
        </w:tc>
        <w:tc>
          <w:tcPr>
            <w:tcW w:w="800" w:type="dxa"/>
            <w:vAlign w:val="bottom"/>
            <w:gridSpan w:val="3"/>
          </w:tcPr>
          <w:p>
            <w:pPr>
              <w:jc w:val="right"/>
              <w:ind w:right="200"/>
              <w:spacing w:after="0"/>
              <w:rPr>
                <w:sz w:val="20"/>
                <w:szCs w:val="20"/>
                <w:color w:val="auto"/>
              </w:rPr>
            </w:pPr>
            <w:r>
              <w:rPr>
                <w:rFonts w:ascii="Arial" w:cs="Arial" w:eastAsia="Arial" w:hAnsi="Arial"/>
                <w:sz w:val="15"/>
                <w:szCs w:val="15"/>
                <w:color w:val="auto"/>
              </w:rPr>
              <w:t>$1,759</w:t>
            </w:r>
          </w:p>
        </w:tc>
        <w:tc>
          <w:tcPr>
            <w:tcW w:w="440" w:type="dxa"/>
            <w:vAlign w:val="bottom"/>
          </w:tcPr>
          <w:p>
            <w:pPr>
              <w:jc w:val="right"/>
              <w:spacing w:after="0"/>
              <w:rPr>
                <w:sz w:val="20"/>
                <w:szCs w:val="20"/>
                <w:color w:val="auto"/>
              </w:rPr>
            </w:pPr>
            <w:r>
              <w:rPr>
                <w:rFonts w:ascii="Arial" w:cs="Arial" w:eastAsia="Arial" w:hAnsi="Arial"/>
                <w:sz w:val="15"/>
                <w:szCs w:val="15"/>
                <w:color w:val="auto"/>
                <w:w w:val="87"/>
              </w:rPr>
              <w:t>$1,090</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1"/>
              </w:rPr>
              <w:t>$  669</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61.4%</w:t>
            </w:r>
          </w:p>
        </w:tc>
      </w:tr>
      <w:tr>
        <w:trPr>
          <w:trHeight w:val="209"/>
        </w:trPr>
        <w:tc>
          <w:tcPr>
            <w:tcW w:w="4340" w:type="dxa"/>
            <w:vAlign w:val="bottom"/>
          </w:tcPr>
          <w:p>
            <w:pPr>
              <w:spacing w:after="0"/>
              <w:rPr>
                <w:sz w:val="20"/>
                <w:szCs w:val="20"/>
                <w:color w:val="auto"/>
              </w:rPr>
            </w:pPr>
            <w:r>
              <w:rPr>
                <w:rFonts w:ascii="Arial" w:cs="Arial" w:eastAsia="Arial" w:hAnsi="Arial"/>
                <w:sz w:val="15"/>
                <w:szCs w:val="15"/>
                <w:color w:val="auto"/>
              </w:rPr>
              <w:t>Equity-based compensation expense</w:t>
            </w:r>
          </w:p>
        </w:tc>
        <w:tc>
          <w:tcPr>
            <w:tcW w:w="800" w:type="dxa"/>
            <w:vAlign w:val="bottom"/>
            <w:gridSpan w:val="3"/>
          </w:tcPr>
          <w:p>
            <w:pPr>
              <w:jc w:val="right"/>
              <w:ind w:right="200"/>
              <w:spacing w:after="0"/>
              <w:rPr>
                <w:sz w:val="20"/>
                <w:szCs w:val="20"/>
                <w:color w:val="auto"/>
              </w:rPr>
            </w:pPr>
            <w:r>
              <w:rPr>
                <w:rFonts w:ascii="Arial" w:cs="Arial" w:eastAsia="Arial" w:hAnsi="Arial"/>
                <w:sz w:val="15"/>
                <w:szCs w:val="15"/>
                <w:color w:val="auto"/>
              </w:rPr>
              <w:t>106</w:t>
            </w:r>
          </w:p>
        </w:tc>
        <w:tc>
          <w:tcPr>
            <w:tcW w:w="440" w:type="dxa"/>
            <w:vAlign w:val="bottom"/>
          </w:tcPr>
          <w:p>
            <w:pPr>
              <w:jc w:val="right"/>
              <w:spacing w:after="0"/>
              <w:rPr>
                <w:sz w:val="20"/>
                <w:szCs w:val="20"/>
                <w:color w:val="auto"/>
              </w:rPr>
            </w:pPr>
            <w:r>
              <w:rPr>
                <w:rFonts w:ascii="Arial" w:cs="Arial" w:eastAsia="Arial" w:hAnsi="Arial"/>
                <w:sz w:val="15"/>
                <w:szCs w:val="15"/>
                <w:color w:val="auto"/>
              </w:rPr>
              <w:t>116</w:t>
            </w:r>
          </w:p>
        </w:tc>
        <w:tc>
          <w:tcPr>
            <w:tcW w:w="1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(10)</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(8.6)%</w:t>
            </w:r>
          </w:p>
        </w:tc>
      </w:tr>
      <w:tr>
        <w:trPr>
          <w:trHeight w:val="209"/>
        </w:trPr>
        <w:tc>
          <w:tcPr>
            <w:tcW w:w="4340" w:type="dxa"/>
            <w:vAlign w:val="bottom"/>
          </w:tcPr>
          <w:p>
            <w:pPr>
              <w:spacing w:after="0"/>
              <w:rPr>
                <w:sz w:val="20"/>
                <w:szCs w:val="20"/>
                <w:color w:val="auto"/>
              </w:rPr>
            </w:pPr>
            <w:r>
              <w:rPr>
                <w:rFonts w:ascii="Arial" w:cs="Arial" w:eastAsia="Arial" w:hAnsi="Arial"/>
                <w:sz w:val="15"/>
                <w:szCs w:val="15"/>
                <w:color w:val="auto"/>
              </w:rPr>
              <w:t>Outside contract research services</w:t>
            </w:r>
          </w:p>
        </w:tc>
        <w:tc>
          <w:tcPr>
            <w:tcW w:w="800" w:type="dxa"/>
            <w:vAlign w:val="bottom"/>
            <w:gridSpan w:val="3"/>
          </w:tcPr>
          <w:p>
            <w:pPr>
              <w:jc w:val="right"/>
              <w:ind w:right="200"/>
              <w:spacing w:after="0"/>
              <w:rPr>
                <w:sz w:val="20"/>
                <w:szCs w:val="20"/>
                <w:color w:val="auto"/>
              </w:rPr>
            </w:pPr>
            <w:r>
              <w:rPr>
                <w:rFonts w:ascii="Arial" w:cs="Arial" w:eastAsia="Arial" w:hAnsi="Arial"/>
                <w:sz w:val="15"/>
                <w:szCs w:val="15"/>
                <w:color w:val="auto"/>
              </w:rPr>
              <w:t>3,414</w:t>
            </w:r>
          </w:p>
        </w:tc>
        <w:tc>
          <w:tcPr>
            <w:tcW w:w="440" w:type="dxa"/>
            <w:vAlign w:val="bottom"/>
          </w:tcPr>
          <w:p>
            <w:pPr>
              <w:jc w:val="right"/>
              <w:spacing w:after="0"/>
              <w:rPr>
                <w:sz w:val="20"/>
                <w:szCs w:val="20"/>
                <w:color w:val="auto"/>
              </w:rPr>
            </w:pPr>
            <w:r>
              <w:rPr>
                <w:rFonts w:ascii="Arial" w:cs="Arial" w:eastAsia="Arial" w:hAnsi="Arial"/>
                <w:sz w:val="15"/>
                <w:szCs w:val="15"/>
                <w:color w:val="auto"/>
              </w:rPr>
              <w:t>1,529</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1,885</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123.3%</w:t>
            </w:r>
          </w:p>
        </w:tc>
      </w:tr>
      <w:tr>
        <w:trPr>
          <w:trHeight w:val="209"/>
        </w:trPr>
        <w:tc>
          <w:tcPr>
            <w:tcW w:w="4340" w:type="dxa"/>
            <w:vAlign w:val="bottom"/>
          </w:tcPr>
          <w:p>
            <w:pPr>
              <w:spacing w:after="0"/>
              <w:rPr>
                <w:sz w:val="20"/>
                <w:szCs w:val="20"/>
                <w:color w:val="auto"/>
              </w:rPr>
            </w:pPr>
            <w:r>
              <w:rPr>
                <w:rFonts w:ascii="Arial" w:cs="Arial" w:eastAsia="Arial" w:hAnsi="Arial"/>
                <w:sz w:val="15"/>
                <w:szCs w:val="15"/>
                <w:color w:val="auto"/>
              </w:rPr>
              <w:t>Facilities and other allocated expenses</w:t>
            </w:r>
          </w:p>
        </w:tc>
        <w:tc>
          <w:tcPr>
            <w:tcW w:w="800" w:type="dxa"/>
            <w:vAlign w:val="bottom"/>
            <w:gridSpan w:val="3"/>
          </w:tcPr>
          <w:p>
            <w:pPr>
              <w:jc w:val="right"/>
              <w:ind w:right="200"/>
              <w:spacing w:after="0"/>
              <w:rPr>
                <w:sz w:val="20"/>
                <w:szCs w:val="20"/>
                <w:color w:val="auto"/>
              </w:rPr>
            </w:pPr>
            <w:r>
              <w:rPr>
                <w:rFonts w:ascii="Arial" w:cs="Arial" w:eastAsia="Arial" w:hAnsi="Arial"/>
                <w:sz w:val="15"/>
                <w:szCs w:val="15"/>
                <w:color w:val="auto"/>
              </w:rPr>
              <w:t>105</w:t>
            </w:r>
          </w:p>
        </w:tc>
        <w:tc>
          <w:tcPr>
            <w:tcW w:w="440" w:type="dxa"/>
            <w:vAlign w:val="bottom"/>
          </w:tcPr>
          <w:p>
            <w:pPr>
              <w:jc w:val="right"/>
              <w:spacing w:after="0"/>
              <w:rPr>
                <w:sz w:val="20"/>
                <w:szCs w:val="20"/>
                <w:color w:val="auto"/>
              </w:rPr>
            </w:pPr>
            <w:r>
              <w:rPr>
                <w:rFonts w:ascii="Arial" w:cs="Arial" w:eastAsia="Arial" w:hAnsi="Arial"/>
                <w:sz w:val="15"/>
                <w:szCs w:val="15"/>
                <w:color w:val="auto"/>
              </w:rPr>
              <w:t>84</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25.0%</w:t>
            </w:r>
          </w:p>
        </w:tc>
      </w:tr>
      <w:tr>
        <w:trPr>
          <w:trHeight w:val="214"/>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75.0%</w:t>
            </w:r>
          </w:p>
        </w:tc>
      </w:tr>
      <w:tr>
        <w:trPr>
          <w:trHeight w:val="20"/>
        </w:trPr>
        <w:tc>
          <w:tcPr>
            <w:tcW w:w="4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5"/>
                <w:szCs w:val="15"/>
                <w:color w:val="auto"/>
              </w:rPr>
              <w:t>Total research and development</w:t>
            </w:r>
          </w:p>
        </w:tc>
        <w:tc>
          <w:tcPr>
            <w:tcW w:w="800" w:type="dxa"/>
            <w:vAlign w:val="bottom"/>
            <w:gridSpan w:val="3"/>
          </w:tcPr>
          <w:p>
            <w:pPr>
              <w:jc w:val="right"/>
              <w:ind w:right="200"/>
              <w:spacing w:after="0"/>
              <w:rPr>
                <w:sz w:val="20"/>
                <w:szCs w:val="20"/>
                <w:color w:val="auto"/>
              </w:rPr>
            </w:pPr>
            <w:r>
              <w:rPr>
                <w:rFonts w:ascii="Arial" w:cs="Arial" w:eastAsia="Arial" w:hAnsi="Arial"/>
                <w:sz w:val="15"/>
                <w:szCs w:val="15"/>
                <w:color w:val="auto"/>
              </w:rPr>
              <w:t>$5,391</w:t>
            </w:r>
          </w:p>
        </w:tc>
        <w:tc>
          <w:tcPr>
            <w:tcW w:w="440" w:type="dxa"/>
            <w:vAlign w:val="bottom"/>
          </w:tcPr>
          <w:p>
            <w:pPr>
              <w:jc w:val="right"/>
              <w:spacing w:after="0"/>
              <w:rPr>
                <w:sz w:val="20"/>
                <w:szCs w:val="20"/>
                <w:color w:val="auto"/>
              </w:rPr>
            </w:pPr>
            <w:r>
              <w:rPr>
                <w:rFonts w:ascii="Arial" w:cs="Arial" w:eastAsia="Arial" w:hAnsi="Arial"/>
                <w:sz w:val="15"/>
                <w:szCs w:val="15"/>
                <w:color w:val="auto"/>
                <w:w w:val="87"/>
              </w:rPr>
              <w:t>$2,823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$2,568</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91.0%</w:t>
            </w: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-843280</wp:posOffset>
            </wp:positionV>
            <wp:extent cx="4241800" cy="132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-578485</wp:posOffset>
            </wp:positionV>
            <wp:extent cx="4241800" cy="132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-969010</wp:posOffset>
            </wp:positionV>
            <wp:extent cx="11176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-969010</wp:posOffset>
            </wp:positionV>
            <wp:extent cx="11176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-969010</wp:posOffset>
            </wp:positionV>
            <wp:extent cx="11176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Research and development expenses increased by approximately $2.6 million, or 91.0%, to approximately $5.4 million for the three months ended March 31, 2021 as compared to approximately $2.8 million for the three months ended March 31, 2020. The increase of approximately $2.6 million was primarily due to approximately $1.9 million of outside contract research services for our preclinical candidates due to an increased number of discovery programs and increased spending on later stage preclinical efforts. The increase also includes approximately $0.7 million of additional employee related costs, primarily due to an increase in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 and Administrative</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following table summarizes the components of our general and administrative expenses for the periods indicated:</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2"/>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0"/>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w w:val="86"/>
              </w:rPr>
              <w:t>March 31,</w:t>
            </w:r>
          </w:p>
        </w:tc>
        <w:tc>
          <w:tcPr>
            <w:tcW w:w="98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Change</w:t>
            </w:r>
          </w:p>
        </w:tc>
      </w:tr>
      <w:tr>
        <w:trPr>
          <w:trHeight w:val="21"/>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11"/>
              <w:spacing w:after="0"/>
              <w:rPr>
                <w:sz w:val="20"/>
                <w:szCs w:val="20"/>
                <w:color w:val="auto"/>
              </w:rPr>
            </w:pPr>
            <w:r>
              <w:rPr>
                <w:rFonts w:ascii="Arial" w:cs="Arial" w:eastAsia="Arial" w:hAnsi="Arial"/>
                <w:sz w:val="12"/>
                <w:szCs w:val="12"/>
                <w:b w:val="1"/>
                <w:bCs w:val="1"/>
                <w:color w:val="auto"/>
                <w:w w:val="82"/>
              </w:rPr>
              <w:t>2021</w:t>
            </w:r>
          </w:p>
        </w:tc>
        <w:tc>
          <w:tcPr>
            <w:tcW w:w="260" w:type="dxa"/>
            <w:vAlign w:val="bottom"/>
          </w:tcPr>
          <w:p>
            <w:pPr>
              <w:spacing w:after="0"/>
              <w:rPr>
                <w:sz w:val="13"/>
                <w:szCs w:val="13"/>
                <w:color w:val="auto"/>
              </w:rPr>
            </w:pPr>
          </w:p>
        </w:tc>
        <w:tc>
          <w:tcPr>
            <w:tcW w:w="340" w:type="dxa"/>
            <w:vAlign w:val="bottom"/>
          </w:tcPr>
          <w:p>
            <w:pPr>
              <w:jc w:val="right"/>
              <w:ind w:right="8"/>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3"/>
                <w:szCs w:val="13"/>
                <w:color w:val="auto"/>
              </w:rPr>
            </w:pPr>
          </w:p>
        </w:tc>
        <w:tc>
          <w:tcPr>
            <w:tcW w:w="280" w:type="dxa"/>
            <w:vAlign w:val="bottom"/>
          </w:tcPr>
          <w:p>
            <w:pPr>
              <w:jc w:val="right"/>
              <w:ind w:right="5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400" w:type="dxa"/>
            <w:vAlign w:val="bottom"/>
          </w:tcPr>
          <w:p>
            <w:pPr>
              <w:jc w:val="right"/>
              <w:ind w:right="2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8"/>
          </w:tcPr>
          <w:p>
            <w:pPr>
              <w:jc w:val="right"/>
              <w:ind w:right="380"/>
              <w:spacing w:after="0"/>
              <w:rPr>
                <w:sz w:val="20"/>
                <w:szCs w:val="20"/>
                <w:color w:val="auto"/>
              </w:rPr>
            </w:pPr>
            <w:r>
              <w:rPr>
                <w:rFonts w:ascii="Arial" w:cs="Arial" w:eastAsia="Arial" w:hAnsi="Arial"/>
                <w:sz w:val="12"/>
                <w:szCs w:val="12"/>
                <w:b w:val="1"/>
                <w:bCs w:val="1"/>
                <w:color w:val="auto"/>
                <w:w w:val="84"/>
              </w:rPr>
              <w:t>(in thousands, except percentages)</w:t>
            </w:r>
          </w:p>
        </w:tc>
      </w:tr>
      <w:tr>
        <w:trPr>
          <w:trHeight w:val="230"/>
        </w:trPr>
        <w:tc>
          <w:tcPr>
            <w:tcW w:w="4460" w:type="dxa"/>
            <w:vAlign w:val="bottom"/>
          </w:tcPr>
          <w:p>
            <w:pPr>
              <w:spacing w:after="0"/>
              <w:rPr>
                <w:sz w:val="20"/>
                <w:szCs w:val="20"/>
                <w:color w:val="auto"/>
              </w:rPr>
            </w:pPr>
            <w:r>
              <w:rPr>
                <w:rFonts w:ascii="Arial" w:cs="Arial" w:eastAsia="Arial" w:hAnsi="Arial"/>
                <w:sz w:val="15"/>
                <w:szCs w:val="15"/>
                <w:color w:val="auto"/>
              </w:rPr>
              <w:t>Employee related costs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569</w:t>
            </w:r>
          </w:p>
        </w:tc>
        <w:tc>
          <w:tcPr>
            <w:tcW w:w="340" w:type="dxa"/>
            <w:vAlign w:val="bottom"/>
          </w:tcPr>
          <w:p>
            <w:pPr>
              <w:jc w:val="right"/>
              <w:spacing w:after="0"/>
              <w:rPr>
                <w:sz w:val="20"/>
                <w:szCs w:val="20"/>
                <w:color w:val="auto"/>
              </w:rPr>
            </w:pPr>
            <w:r>
              <w:rPr>
                <w:rFonts w:ascii="Arial" w:cs="Arial" w:eastAsia="Arial" w:hAnsi="Arial"/>
                <w:sz w:val="15"/>
                <w:szCs w:val="15"/>
                <w:color w:val="auto"/>
                <w:w w:val="83"/>
              </w:rPr>
              <w:t>$273</w:t>
            </w: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77"/>
              </w:rPr>
              <w:t>$296</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108.4%</w:t>
            </w:r>
          </w:p>
        </w:tc>
      </w:tr>
      <w:tr>
        <w:trPr>
          <w:trHeight w:val="209"/>
        </w:trPr>
        <w:tc>
          <w:tcPr>
            <w:tcW w:w="4460" w:type="dxa"/>
            <w:vAlign w:val="bottom"/>
          </w:tcPr>
          <w:p>
            <w:pPr>
              <w:spacing w:after="0"/>
              <w:rPr>
                <w:sz w:val="20"/>
                <w:szCs w:val="20"/>
                <w:color w:val="auto"/>
              </w:rPr>
            </w:pPr>
            <w:r>
              <w:rPr>
                <w:rFonts w:ascii="Arial" w:cs="Arial" w:eastAsia="Arial" w:hAnsi="Arial"/>
                <w:sz w:val="15"/>
                <w:szCs w:val="15"/>
                <w:color w:val="auto"/>
              </w:rPr>
              <w:t>Equity-based compensation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54</w:t>
            </w:r>
          </w:p>
        </w:tc>
        <w:tc>
          <w:tcPr>
            <w:tcW w:w="340" w:type="dxa"/>
            <w:vAlign w:val="bottom"/>
          </w:tcPr>
          <w:p>
            <w:pPr>
              <w:jc w:val="right"/>
              <w:spacing w:after="0"/>
              <w:rPr>
                <w:sz w:val="20"/>
                <w:szCs w:val="20"/>
                <w:color w:val="auto"/>
              </w:rPr>
            </w:pPr>
            <w:r>
              <w:rPr>
                <w:rFonts w:ascii="Arial" w:cs="Arial" w:eastAsia="Arial" w:hAnsi="Arial"/>
                <w:sz w:val="15"/>
                <w:szCs w:val="15"/>
                <w:color w:val="auto"/>
              </w:rPr>
              <w:t>131</w:t>
            </w:r>
          </w:p>
        </w:tc>
        <w:tc>
          <w:tcPr>
            <w:tcW w:w="2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(77)</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(58.8)%</w:t>
            </w:r>
          </w:p>
        </w:tc>
      </w:tr>
      <w:tr>
        <w:trPr>
          <w:trHeight w:val="209"/>
        </w:trPr>
        <w:tc>
          <w:tcPr>
            <w:tcW w:w="4460" w:type="dxa"/>
            <w:vAlign w:val="bottom"/>
          </w:tcPr>
          <w:p>
            <w:pPr>
              <w:spacing w:after="0"/>
              <w:rPr>
                <w:sz w:val="20"/>
                <w:szCs w:val="20"/>
                <w:color w:val="auto"/>
              </w:rPr>
            </w:pPr>
            <w:r>
              <w:rPr>
                <w:rFonts w:ascii="Arial" w:cs="Arial" w:eastAsia="Arial" w:hAnsi="Arial"/>
                <w:sz w:val="15"/>
                <w:szCs w:val="15"/>
                <w:color w:val="auto"/>
              </w:rPr>
              <w:t>Professional fees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442</w:t>
            </w:r>
          </w:p>
        </w:tc>
        <w:tc>
          <w:tcPr>
            <w:tcW w:w="340" w:type="dxa"/>
            <w:vAlign w:val="bottom"/>
          </w:tcPr>
          <w:p>
            <w:pPr>
              <w:jc w:val="right"/>
              <w:spacing w:after="0"/>
              <w:rPr>
                <w:sz w:val="20"/>
                <w:szCs w:val="20"/>
                <w:color w:val="auto"/>
              </w:rPr>
            </w:pPr>
            <w:r>
              <w:rPr>
                <w:rFonts w:ascii="Arial" w:cs="Arial" w:eastAsia="Arial" w:hAnsi="Arial"/>
                <w:sz w:val="15"/>
                <w:szCs w:val="15"/>
                <w:color w:val="auto"/>
              </w:rPr>
              <w:t>158</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284</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179.7%</w:t>
            </w:r>
          </w:p>
        </w:tc>
      </w:tr>
      <w:tr>
        <w:trPr>
          <w:trHeight w:val="209"/>
        </w:trPr>
        <w:tc>
          <w:tcPr>
            <w:tcW w:w="4460" w:type="dxa"/>
            <w:vAlign w:val="bottom"/>
          </w:tcPr>
          <w:p>
            <w:pPr>
              <w:spacing w:after="0"/>
              <w:rPr>
                <w:sz w:val="20"/>
                <w:szCs w:val="20"/>
                <w:color w:val="auto"/>
              </w:rPr>
            </w:pPr>
            <w:r>
              <w:rPr>
                <w:rFonts w:ascii="Arial" w:cs="Arial" w:eastAsia="Arial" w:hAnsi="Arial"/>
                <w:sz w:val="15"/>
                <w:szCs w:val="15"/>
                <w:color w:val="auto"/>
              </w:rPr>
              <w:t>Public relations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98</w:t>
            </w:r>
          </w:p>
        </w:tc>
        <w:tc>
          <w:tcPr>
            <w:tcW w:w="340" w:type="dxa"/>
            <w:vAlign w:val="bottom"/>
          </w:tcPr>
          <w:p>
            <w:pPr>
              <w:jc w:val="right"/>
              <w:spacing w:after="0"/>
              <w:rPr>
                <w:sz w:val="20"/>
                <w:szCs w:val="20"/>
                <w:color w:val="auto"/>
              </w:rPr>
            </w:pPr>
            <w:r>
              <w:rPr>
                <w:rFonts w:ascii="Arial" w:cs="Arial" w:eastAsia="Arial" w:hAnsi="Arial"/>
                <w:sz w:val="15"/>
                <w:szCs w:val="15"/>
                <w:color w:val="auto"/>
              </w:rPr>
              <w:t>64</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53.1%</w:t>
            </w:r>
          </w:p>
        </w:tc>
      </w:tr>
      <w:tr>
        <w:trPr>
          <w:trHeight w:val="209"/>
        </w:trPr>
        <w:tc>
          <w:tcPr>
            <w:tcW w:w="4460" w:type="dxa"/>
            <w:vAlign w:val="bottom"/>
          </w:tcPr>
          <w:p>
            <w:pPr>
              <w:spacing w:after="0"/>
              <w:rPr>
                <w:sz w:val="20"/>
                <w:szCs w:val="20"/>
                <w:color w:val="auto"/>
              </w:rPr>
            </w:pPr>
            <w:r>
              <w:rPr>
                <w:rFonts w:ascii="Arial" w:cs="Arial" w:eastAsia="Arial" w:hAnsi="Arial"/>
                <w:sz w:val="15"/>
                <w:szCs w:val="15"/>
                <w:color w:val="auto"/>
              </w:rPr>
              <w:t>Outside consultants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3</w:t>
            </w:r>
          </w:p>
        </w:tc>
        <w:tc>
          <w:tcPr>
            <w:tcW w:w="340" w:type="dxa"/>
            <w:vAlign w:val="bottom"/>
          </w:tcPr>
          <w:p>
            <w:pPr>
              <w:jc w:val="right"/>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(25.0)%</w:t>
            </w:r>
          </w:p>
        </w:tc>
      </w:tr>
      <w:tr>
        <w:trPr>
          <w:trHeight w:val="209"/>
        </w:trPr>
        <w:tc>
          <w:tcPr>
            <w:tcW w:w="4460" w:type="dxa"/>
            <w:vAlign w:val="bottom"/>
          </w:tcPr>
          <w:p>
            <w:pPr>
              <w:spacing w:after="0"/>
              <w:rPr>
                <w:sz w:val="20"/>
                <w:szCs w:val="20"/>
                <w:color w:val="auto"/>
              </w:rPr>
            </w:pPr>
            <w:r>
              <w:rPr>
                <w:rFonts w:ascii="Arial" w:cs="Arial" w:eastAsia="Arial" w:hAnsi="Arial"/>
                <w:sz w:val="15"/>
                <w:szCs w:val="15"/>
                <w:color w:val="auto"/>
              </w:rPr>
              <w:t>Facilities and other allocated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9</w:t>
            </w:r>
          </w:p>
        </w:tc>
        <w:tc>
          <w:tcPr>
            <w:tcW w:w="340" w:type="dxa"/>
            <w:vAlign w:val="bottom"/>
          </w:tcPr>
          <w:p>
            <w:pPr>
              <w:jc w:val="right"/>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(10.0)%</w:t>
            </w:r>
          </w:p>
        </w:tc>
      </w:tr>
      <w:tr>
        <w:trPr>
          <w:trHeight w:val="214"/>
        </w:trPr>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9</w:t>
            </w:r>
          </w:p>
        </w:tc>
        <w:tc>
          <w:tcPr>
            <w:tcW w:w="340" w:type="dxa"/>
            <w:vAlign w:val="bottom"/>
          </w:tcPr>
          <w:p>
            <w:pPr>
              <w:jc w:val="right"/>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125.0%</w:t>
            </w:r>
          </w:p>
        </w:tc>
      </w:tr>
      <w:tr>
        <w:trPr>
          <w:trHeight w:val="20"/>
        </w:trPr>
        <w:tc>
          <w:tcPr>
            <w:tcW w:w="4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5"/>
                <w:szCs w:val="15"/>
                <w:color w:val="auto"/>
              </w:rPr>
              <w:t>Total general and administrative</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w w:val="79"/>
              </w:rPr>
              <w:t>1,184</w:t>
            </w:r>
          </w:p>
        </w:tc>
        <w:tc>
          <w:tcPr>
            <w:tcW w:w="340" w:type="dxa"/>
            <w:vAlign w:val="bottom"/>
          </w:tcPr>
          <w:p>
            <w:pPr>
              <w:jc w:val="right"/>
              <w:spacing w:after="0"/>
              <w:rPr>
                <w:sz w:val="20"/>
                <w:szCs w:val="20"/>
                <w:color w:val="auto"/>
              </w:rPr>
            </w:pPr>
            <w:r>
              <w:rPr>
                <w:rFonts w:ascii="Arial" w:cs="Arial" w:eastAsia="Arial" w:hAnsi="Arial"/>
                <w:sz w:val="15"/>
                <w:szCs w:val="15"/>
                <w:color w:val="auto"/>
                <w:w w:val="83"/>
              </w:rPr>
              <w:t>$644</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77"/>
              </w:rPr>
              <w:t>$540</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83.9%</w:t>
            </w:r>
          </w:p>
        </w:tc>
      </w:tr>
      <w:tr>
        <w:trPr>
          <w:trHeight w:val="20"/>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-1108710</wp:posOffset>
            </wp:positionV>
            <wp:extent cx="4241800" cy="132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-843280</wp:posOffset>
            </wp:positionV>
            <wp:extent cx="4241800" cy="132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-578485</wp:posOffset>
            </wp:positionV>
            <wp:extent cx="4241800" cy="132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-1234440</wp:posOffset>
            </wp:positionV>
            <wp:extent cx="11176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-1234440</wp:posOffset>
            </wp:positionV>
            <wp:extent cx="11176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-1234440</wp:posOffset>
            </wp:positionV>
            <wp:extent cx="11176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8"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General and administrative expenses increased by approximately $0.5 million, or 83.9%, to approximately $1.2 million for the three months ended March 31, 2021 compared to approximately $0.6 million for the three months ended March 31, 2020. The increase of approximately $0.5 million was primarily due to increased employee related costs of approximately $0.3 million, increased professional fees incurred for accounting, auditing, legal, and tax services of approximately $0.3 million, partially offset by a decrease of approximately $0.1 million for equity-based compensation expense due to a grant that was fully vested in 2020.</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Income, Net</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Other income decreased by approximately $32,000, or 84.2% due to a decrease in interest rates earned from our cash and cash equivalents balances due to changes in interest rates.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Comparison of the Years Ended December 31, 2020 and 2019</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our results of operations for the periods indicated:</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5"/>
          </w:tcPr>
          <w:p>
            <w:pPr>
              <w:spacing w:after="0"/>
              <w:rPr>
                <w:sz w:val="20"/>
                <w:szCs w:val="20"/>
                <w:color w:val="auto"/>
              </w:rPr>
            </w:pPr>
            <w:r>
              <w:rPr>
                <w:rFonts w:ascii="Arial" w:cs="Arial" w:eastAsia="Arial" w:hAnsi="Arial"/>
                <w:sz w:val="12"/>
                <w:szCs w:val="12"/>
                <w:b w:val="1"/>
                <w:bCs w:val="1"/>
                <w:color w:val="auto"/>
                <w:w w:val="97"/>
              </w:rPr>
              <w:t>Year Ended December 31,</w:t>
            </w:r>
          </w:p>
        </w:tc>
        <w:tc>
          <w:tcPr>
            <w:tcW w:w="80" w:type="dxa"/>
            <w:vAlign w:val="bottom"/>
          </w:tcPr>
          <w:p>
            <w:pPr>
              <w:spacing w:after="0"/>
              <w:rPr>
                <w:sz w:val="13"/>
                <w:szCs w:val="13"/>
                <w:color w:val="auto"/>
              </w:rPr>
            </w:pPr>
          </w:p>
        </w:tc>
        <w:tc>
          <w:tcPr>
            <w:tcW w:w="2040" w:type="dxa"/>
            <w:vAlign w:val="bottom"/>
            <w:gridSpan w:val="4"/>
          </w:tcPr>
          <w:p>
            <w:pPr>
              <w:jc w:val="right"/>
              <w:ind w:right="138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69"/>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7"/>
          </w:tcPr>
          <w:p>
            <w:pPr>
              <w:jc w:val="right"/>
              <w:ind w:right="60"/>
              <w:spacing w:after="0"/>
              <w:rPr>
                <w:sz w:val="20"/>
                <w:szCs w:val="20"/>
                <w:color w:val="auto"/>
              </w:rPr>
            </w:pPr>
            <w:r>
              <w:rPr>
                <w:rFonts w:ascii="Arial" w:cs="Arial" w:eastAsia="Arial" w:hAnsi="Arial"/>
                <w:sz w:val="12"/>
                <w:szCs w:val="12"/>
                <w:b w:val="1"/>
                <w:bCs w:val="1"/>
                <w:color w:val="auto"/>
                <w:w w:val="98"/>
              </w:rPr>
              <w:t>(in thousands, except percentages)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Revenue</w:t>
            </w:r>
          </w:p>
        </w:tc>
        <w:tc>
          <w:tcPr>
            <w:tcW w:w="1300" w:type="dxa"/>
            <w:vAlign w:val="bottom"/>
            <w:gridSpan w:val="3"/>
          </w:tcPr>
          <w:p>
            <w:pPr>
              <w:ind w:left="12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2,311</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$ 1,920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391</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Cost of revenue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1,280</w:t>
            </w:r>
          </w:p>
        </w:tc>
        <w:tc>
          <w:tcPr>
            <w:tcW w:w="460" w:type="dxa"/>
            <w:vAlign w:val="bottom"/>
          </w:tcPr>
          <w:p>
            <w:pPr>
              <w:jc w:val="right"/>
              <w:spacing w:after="0"/>
              <w:rPr>
                <w:sz w:val="20"/>
                <w:szCs w:val="20"/>
                <w:color w:val="auto"/>
              </w:rPr>
            </w:pPr>
            <w:r>
              <w:rPr>
                <w:rFonts w:ascii="Arial" w:cs="Arial" w:eastAsia="Arial" w:hAnsi="Arial"/>
                <w:sz w:val="15"/>
                <w:szCs w:val="15"/>
                <w:color w:val="auto"/>
              </w:rPr>
              <w:t>1,223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57</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2900" w:type="dxa"/>
            <w:vAlign w:val="bottom"/>
          </w:tcPr>
          <w:p>
            <w:pPr>
              <w:ind w:left="300"/>
              <w:spacing w:after="0"/>
              <w:rPr>
                <w:sz w:val="20"/>
                <w:szCs w:val="20"/>
                <w:color w:val="auto"/>
              </w:rPr>
            </w:pPr>
            <w:r>
              <w:rPr>
                <w:rFonts w:ascii="Arial" w:cs="Arial" w:eastAsia="Arial" w:hAnsi="Arial"/>
                <w:sz w:val="15"/>
                <w:szCs w:val="15"/>
                <w:color w:val="auto"/>
              </w:rPr>
              <w:t>Gross profit</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1,031</w:t>
            </w:r>
          </w:p>
        </w:tc>
        <w:tc>
          <w:tcPr>
            <w:tcW w:w="460" w:type="dxa"/>
            <w:vAlign w:val="bottom"/>
          </w:tcPr>
          <w:p>
            <w:pPr>
              <w:jc w:val="right"/>
              <w:spacing w:after="0"/>
              <w:rPr>
                <w:sz w:val="20"/>
                <w:szCs w:val="20"/>
                <w:color w:val="auto"/>
              </w:rPr>
            </w:pPr>
            <w:r>
              <w:rPr>
                <w:rFonts w:ascii="Arial" w:cs="Arial" w:eastAsia="Arial" w:hAnsi="Arial"/>
                <w:sz w:val="15"/>
                <w:szCs w:val="15"/>
                <w:color w:val="auto"/>
              </w:rPr>
              <w:t>697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334</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47.9%</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Operating expenses: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00" w:type="dxa"/>
            <w:vAlign w:val="bottom"/>
          </w:tcPr>
          <w:p>
            <w:pPr>
              <w:ind w:left="160"/>
              <w:spacing w:after="0"/>
              <w:rPr>
                <w:sz w:val="20"/>
                <w:szCs w:val="20"/>
                <w:color w:val="auto"/>
              </w:rPr>
            </w:pPr>
            <w:r>
              <w:rPr>
                <w:rFonts w:ascii="Arial" w:cs="Arial" w:eastAsia="Arial" w:hAnsi="Arial"/>
                <w:sz w:val="15"/>
                <w:szCs w:val="15"/>
                <w:color w:val="auto"/>
              </w:rPr>
              <w:t>Research and development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15,004</w:t>
            </w:r>
          </w:p>
        </w:tc>
        <w:tc>
          <w:tcPr>
            <w:tcW w:w="460" w:type="dxa"/>
            <w:vAlign w:val="bottom"/>
          </w:tcPr>
          <w:p>
            <w:pPr>
              <w:jc w:val="right"/>
              <w:spacing w:after="0"/>
              <w:rPr>
                <w:sz w:val="20"/>
                <w:szCs w:val="20"/>
                <w:color w:val="auto"/>
              </w:rPr>
            </w:pPr>
            <w:r>
              <w:rPr>
                <w:rFonts w:ascii="Arial" w:cs="Arial" w:eastAsia="Arial" w:hAnsi="Arial"/>
                <w:sz w:val="15"/>
                <w:szCs w:val="15"/>
                <w:color w:val="auto"/>
              </w:rPr>
              <w:t>4,279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10,725</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250.6%</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3,110</w:t>
            </w:r>
          </w:p>
        </w:tc>
        <w:tc>
          <w:tcPr>
            <w:tcW w:w="460" w:type="dxa"/>
            <w:vAlign w:val="bottom"/>
          </w:tcPr>
          <w:p>
            <w:pPr>
              <w:jc w:val="right"/>
              <w:spacing w:after="0"/>
              <w:rPr>
                <w:sz w:val="20"/>
                <w:szCs w:val="20"/>
                <w:color w:val="auto"/>
              </w:rPr>
            </w:pPr>
            <w:r>
              <w:rPr>
                <w:rFonts w:ascii="Arial" w:cs="Arial" w:eastAsia="Arial" w:hAnsi="Arial"/>
                <w:sz w:val="15"/>
                <w:szCs w:val="15"/>
                <w:color w:val="auto"/>
              </w:rPr>
              <w:t>2,709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401</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29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0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18,114</w:t>
            </w:r>
          </w:p>
        </w:tc>
        <w:tc>
          <w:tcPr>
            <w:tcW w:w="460" w:type="dxa"/>
            <w:vAlign w:val="bottom"/>
          </w:tcPr>
          <w:p>
            <w:pPr>
              <w:jc w:val="right"/>
              <w:spacing w:after="0"/>
              <w:rPr>
                <w:sz w:val="20"/>
                <w:szCs w:val="20"/>
                <w:color w:val="auto"/>
              </w:rPr>
            </w:pPr>
            <w:r>
              <w:rPr>
                <w:rFonts w:ascii="Arial" w:cs="Arial" w:eastAsia="Arial" w:hAnsi="Arial"/>
                <w:sz w:val="15"/>
                <w:szCs w:val="15"/>
                <w:color w:val="auto"/>
              </w:rPr>
              <w:t>6,988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11,126</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159.2%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Loss from operations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w w:val="89"/>
              </w:rPr>
              <w:t>(17,083)</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(6,291)</w:t>
            </w:r>
          </w:p>
        </w:tc>
        <w:tc>
          <w:tcPr>
            <w:tcW w:w="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w w:val="89"/>
              </w:rPr>
              <w:t>(10,792)</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171.5%</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00" w:type="dxa"/>
            <w:vAlign w:val="bottom"/>
          </w:tcPr>
          <w:p>
            <w:pPr>
              <w:ind w:left="160"/>
              <w:spacing w:after="0"/>
              <w:rPr>
                <w:sz w:val="20"/>
                <w:szCs w:val="20"/>
                <w:color w:val="auto"/>
              </w:rPr>
            </w:pPr>
            <w:r>
              <w:rPr>
                <w:rFonts w:ascii="Arial" w:cs="Arial" w:eastAsia="Arial" w:hAnsi="Arial"/>
                <w:sz w:val="15"/>
                <w:szCs w:val="15"/>
                <w:color w:val="auto"/>
              </w:rPr>
              <w:t>Interest income (expense), net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43</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336</w:t>
            </w:r>
          </w:p>
        </w:tc>
        <w:tc>
          <w:tcPr>
            <w:tcW w:w="1440" w:type="dxa"/>
            <w:vAlign w:val="bottom"/>
            <w:gridSpan w:val="2"/>
          </w:tcPr>
          <w:p>
            <w:pPr>
              <w:jc w:val="right"/>
              <w:ind w:right="840"/>
              <w:spacing w:after="0"/>
              <w:rPr>
                <w:sz w:val="20"/>
                <w:szCs w:val="20"/>
                <w:color w:val="auto"/>
              </w:rPr>
            </w:pPr>
            <w:r>
              <w:rPr>
                <w:rFonts w:ascii="Arial" w:cs="Arial" w:eastAsia="Arial" w:hAnsi="Arial"/>
                <w:sz w:val="15"/>
                <w:szCs w:val="15"/>
                <w:color w:val="auto"/>
                <w:w w:val="95"/>
              </w:rPr>
              <w:t>(114.7)%</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Loss on conversion of convertible note</w:t>
            </w:r>
          </w:p>
        </w:tc>
        <w:tc>
          <w:tcPr>
            <w:tcW w:w="10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(1,125)</w:t>
            </w: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1,125</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Net loss</w:t>
            </w:r>
          </w:p>
        </w:tc>
        <w:tc>
          <w:tcPr>
            <w:tcW w:w="1220" w:type="dxa"/>
            <w:vAlign w:val="bottom"/>
            <w:gridSpan w:val="2"/>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w w:val="89"/>
              </w:rPr>
              <w:t>(17,040)</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w w:val="89"/>
              </w:rPr>
              <w:t>$(7,709)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(9,331)</w:t>
            </w:r>
          </w:p>
        </w:tc>
        <w:tc>
          <w:tcPr>
            <w:tcW w:w="1440" w:type="dxa"/>
            <w:vAlign w:val="bottom"/>
            <w:gridSpan w:val="2"/>
          </w:tcPr>
          <w:p>
            <w:pPr>
              <w:jc w:val="right"/>
              <w:ind w:right="900"/>
              <w:spacing w:after="0"/>
              <w:rPr>
                <w:sz w:val="20"/>
                <w:szCs w:val="20"/>
                <w:color w:val="auto"/>
              </w:rPr>
            </w:pPr>
            <w:r>
              <w:rPr>
                <w:rFonts w:ascii="Arial" w:cs="Arial" w:eastAsia="Arial" w:hAnsi="Arial"/>
                <w:sz w:val="15"/>
                <w:szCs w:val="15"/>
                <w:color w:val="auto"/>
              </w:rPr>
              <w:t>121.0%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20" w:type="dxa"/>
            <w:vAlign w:val="bottom"/>
            <w:vMerge w:val="restart"/>
          </w:tcPr>
          <w:p>
            <w:pPr>
              <w:jc w:val="right"/>
              <w:ind w:right="447"/>
              <w:spacing w:after="0"/>
              <w:rPr>
                <w:sz w:val="20"/>
                <w:szCs w:val="20"/>
                <w:color w:val="auto"/>
              </w:rPr>
            </w:pPr>
            <w:r>
              <w:rPr>
                <w:rFonts w:ascii="Arial" w:cs="Arial" w:eastAsia="Arial" w:hAnsi="Arial"/>
                <w:sz w:val="15"/>
                <w:szCs w:val="15"/>
                <w:color w:val="auto"/>
              </w:rPr>
              <w:t>89</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-2218055</wp:posOffset>
            </wp:positionV>
            <wp:extent cx="4241800" cy="1257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-1687830</wp:posOffset>
            </wp:positionV>
            <wp:extent cx="4241800" cy="1257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-878205</wp:posOffset>
            </wp:positionV>
            <wp:extent cx="4241800" cy="146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-1415415</wp:posOffset>
            </wp:positionV>
            <wp:extent cx="4241800" cy="1536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-1945640</wp:posOffset>
            </wp:positionV>
            <wp:extent cx="4241800" cy="132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-2350135</wp:posOffset>
            </wp:positionV>
            <wp:extent cx="11176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-2350135</wp:posOffset>
            </wp:positionV>
            <wp:extent cx="11176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-2350135</wp:posOffset>
            </wp:positionV>
            <wp:extent cx="11176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Revenue</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the revenue recognized for the periods indicated:</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860" w:type="dxa"/>
            <w:vAlign w:val="bottom"/>
          </w:tcPr>
          <w:p>
            <w:pPr>
              <w:spacing w:after="0"/>
              <w:rPr>
                <w:sz w:val="13"/>
                <w:szCs w:val="13"/>
                <w:color w:val="auto"/>
              </w:rPr>
            </w:pPr>
          </w:p>
        </w:tc>
        <w:tc>
          <w:tcPr>
            <w:tcW w:w="1480" w:type="dxa"/>
            <w:vAlign w:val="bottom"/>
            <w:gridSpan w:val="7"/>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86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Change</w:t>
            </w:r>
          </w:p>
        </w:tc>
      </w:tr>
      <w:tr>
        <w:trPr>
          <w:trHeight w:val="21"/>
        </w:trPr>
        <w:tc>
          <w:tcPr>
            <w:tcW w:w="38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860" w:type="dxa"/>
            <w:vAlign w:val="bottom"/>
          </w:tcPr>
          <w:p>
            <w:pPr>
              <w:spacing w:after="0"/>
              <w:rPr>
                <w:sz w:val="13"/>
                <w:szCs w:val="13"/>
                <w:color w:val="auto"/>
              </w:rPr>
            </w:pPr>
          </w:p>
        </w:tc>
        <w:tc>
          <w:tcPr>
            <w:tcW w:w="480" w:type="dxa"/>
            <w:vAlign w:val="bottom"/>
            <w:gridSpan w:val="2"/>
          </w:tcPr>
          <w:p>
            <w:pPr>
              <w:jc w:val="right"/>
              <w:ind w:right="41"/>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3"/>
                <w:szCs w:val="13"/>
                <w:color w:val="auto"/>
              </w:rPr>
            </w:pPr>
          </w:p>
        </w:tc>
        <w:tc>
          <w:tcPr>
            <w:tcW w:w="400" w:type="dxa"/>
            <w:vAlign w:val="bottom"/>
          </w:tcPr>
          <w:p>
            <w:pPr>
              <w:jc w:val="right"/>
              <w:ind w:right="3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77"/>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280" w:type="dxa"/>
            <w:vAlign w:val="bottom"/>
          </w:tcPr>
          <w:p>
            <w:pPr>
              <w:jc w:val="right"/>
              <w:ind w:right="1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8"/>
          </w:tcPr>
          <w:p>
            <w:pPr>
              <w:ind w:left="220"/>
              <w:spacing w:after="0"/>
              <w:rPr>
                <w:sz w:val="20"/>
                <w:szCs w:val="20"/>
                <w:color w:val="auto"/>
              </w:rPr>
            </w:pPr>
            <w:r>
              <w:rPr>
                <w:rFonts w:ascii="Arial" w:cs="Arial" w:eastAsia="Arial" w:hAnsi="Arial"/>
                <w:sz w:val="12"/>
                <w:szCs w:val="12"/>
                <w:b w:val="1"/>
                <w:bCs w:val="1"/>
                <w:color w:val="auto"/>
                <w:w w:val="80"/>
              </w:rPr>
              <w:t>(in thousands, except percentages)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41"/>
        </w:trPr>
        <w:tc>
          <w:tcPr>
            <w:tcW w:w="3860" w:type="dxa"/>
            <w:vAlign w:val="bottom"/>
          </w:tcPr>
          <w:p>
            <w:pPr>
              <w:spacing w:after="0"/>
              <w:rPr>
                <w:sz w:val="20"/>
                <w:szCs w:val="20"/>
                <w:color w:val="auto"/>
              </w:rPr>
            </w:pPr>
            <w:r>
              <w:rPr>
                <w:rFonts w:ascii="Arial" w:cs="Arial" w:eastAsia="Arial" w:hAnsi="Arial"/>
                <w:sz w:val="15"/>
                <w:szCs w:val="15"/>
                <w:color w:val="auto"/>
              </w:rPr>
              <w:t>Revenue</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$2,311</w:t>
            </w: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$1,920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83"/>
              </w:rPr>
              <w:t>$391</w:t>
            </w:r>
          </w:p>
        </w:tc>
        <w:tc>
          <w:tcPr>
            <w:tcW w:w="1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89"/>
              </w:rPr>
              <w:t>20.4%</w:t>
            </w:r>
          </w:p>
        </w:tc>
      </w:tr>
      <w:tr>
        <w:trPr>
          <w:trHeight w:val="44"/>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1536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65245" cy="15367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-292100</wp:posOffset>
            </wp:positionV>
            <wp:extent cx="11176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-292100</wp:posOffset>
            </wp:positionV>
            <wp:extent cx="11176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-292100</wp:posOffset>
            </wp:positionV>
            <wp:extent cx="11176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Revenue increased by approximately $0.4 million, or 20.4%, to approximately $2.3 million for the year ended December 31, 2020 compared to approximately $1.9 million for the year ended December 31, 2019. The increase in revenue was due to an increase by approximately $0.1 million, or 7%, growth from existing customers, approximately $1.2 million from new customers during 2020 partially offset by approximately $1.0 million decrease due to customer agreements that were completed in 2019.</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Costs of Revenue</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the components of cost of revenue expenses for the periods indicated:</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7"/>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96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Change</w:t>
            </w:r>
          </w:p>
        </w:tc>
      </w:tr>
      <w:tr>
        <w:trPr>
          <w:trHeight w:val="21"/>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40" w:type="dxa"/>
            <w:vAlign w:val="bottom"/>
          </w:tcPr>
          <w:p>
            <w:pPr>
              <w:spacing w:after="0"/>
              <w:rPr>
                <w:sz w:val="13"/>
                <w:szCs w:val="13"/>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2"/>
                <w:szCs w:val="12"/>
                <w:b w:val="1"/>
                <w:bCs w:val="1"/>
                <w:color w:val="auto"/>
              </w:rPr>
              <w:t>2020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9"/>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89"/>
              </w:rPr>
              <w:t>$</w:t>
            </w:r>
          </w:p>
        </w:tc>
        <w:tc>
          <w:tcPr>
            <w:tcW w:w="200" w:type="dxa"/>
            <w:vAlign w:val="bottom"/>
          </w:tcPr>
          <w:p>
            <w:pPr>
              <w:spacing w:after="0"/>
              <w:rPr>
                <w:sz w:val="13"/>
                <w:szCs w:val="13"/>
                <w:color w:val="auto"/>
              </w:rPr>
            </w:pPr>
          </w:p>
        </w:tc>
        <w:tc>
          <w:tcPr>
            <w:tcW w:w="300" w:type="dxa"/>
            <w:vAlign w:val="bottom"/>
          </w:tcPr>
          <w:p>
            <w:pPr>
              <w:jc w:val="right"/>
              <w:ind w:right="2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w w:val="92"/>
              </w:rPr>
              <w:t>(in thousands, except percentages)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5"/>
                <w:szCs w:val="15"/>
                <w:color w:val="auto"/>
              </w:rPr>
              <w:t>Employee related costs</w:t>
            </w:r>
          </w:p>
        </w:tc>
        <w:tc>
          <w:tcPr>
            <w:tcW w:w="980" w:type="dxa"/>
            <w:vAlign w:val="bottom"/>
            <w:gridSpan w:val="4"/>
          </w:tcPr>
          <w:p>
            <w:pPr>
              <w:jc w:val="right"/>
              <w:ind w:right="320"/>
              <w:spacing w:after="0"/>
              <w:rPr>
                <w:sz w:val="20"/>
                <w:szCs w:val="20"/>
                <w:color w:val="auto"/>
              </w:rPr>
            </w:pPr>
            <w:r>
              <w:rPr>
                <w:rFonts w:ascii="Arial" w:cs="Arial" w:eastAsia="Arial" w:hAnsi="Arial"/>
                <w:sz w:val="15"/>
                <w:szCs w:val="15"/>
                <w:color w:val="auto"/>
              </w:rPr>
              <w:t>$1,087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906</w:t>
            </w:r>
          </w:p>
        </w:tc>
        <w:tc>
          <w:tcPr>
            <w:tcW w:w="20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5"/>
                <w:szCs w:val="15"/>
                <w:color w:val="auto"/>
                <w:w w:val="83"/>
              </w:rPr>
              <w:t>$181</w:t>
            </w:r>
          </w:p>
        </w:tc>
        <w:tc>
          <w:tcPr>
            <w:tcW w:w="2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20.0%</w:t>
            </w:r>
          </w:p>
        </w:tc>
      </w:tr>
      <w:tr>
        <w:trPr>
          <w:trHeight w:val="209"/>
        </w:trPr>
        <w:tc>
          <w:tcPr>
            <w:tcW w:w="4240" w:type="dxa"/>
            <w:vAlign w:val="bottom"/>
          </w:tcPr>
          <w:p>
            <w:pPr>
              <w:spacing w:after="0"/>
              <w:rPr>
                <w:sz w:val="20"/>
                <w:szCs w:val="20"/>
                <w:color w:val="auto"/>
              </w:rPr>
            </w:pPr>
            <w:r>
              <w:rPr>
                <w:rFonts w:ascii="Arial" w:cs="Arial" w:eastAsia="Arial" w:hAnsi="Arial"/>
                <w:sz w:val="15"/>
                <w:szCs w:val="15"/>
                <w:color w:val="auto"/>
              </w:rPr>
              <w:t>Equity-based compensation expense</w:t>
            </w:r>
          </w:p>
        </w:tc>
        <w:tc>
          <w:tcPr>
            <w:tcW w:w="980" w:type="dxa"/>
            <w:vAlign w:val="bottom"/>
            <w:gridSpan w:val="4"/>
          </w:tcPr>
          <w:p>
            <w:pPr>
              <w:jc w:val="right"/>
              <w:ind w:right="320"/>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167</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(59)</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87"/>
              </w:rPr>
              <w:t>(35.3)%</w:t>
            </w:r>
          </w:p>
        </w:tc>
      </w:tr>
      <w:tr>
        <w:trPr>
          <w:trHeight w:val="209"/>
        </w:trPr>
        <w:tc>
          <w:tcPr>
            <w:tcW w:w="4240" w:type="dxa"/>
            <w:vAlign w:val="bottom"/>
          </w:tcPr>
          <w:p>
            <w:pPr>
              <w:spacing w:after="0"/>
              <w:rPr>
                <w:sz w:val="20"/>
                <w:szCs w:val="20"/>
                <w:color w:val="auto"/>
              </w:rPr>
            </w:pPr>
            <w:r>
              <w:rPr>
                <w:rFonts w:ascii="Arial" w:cs="Arial" w:eastAsia="Arial" w:hAnsi="Arial"/>
                <w:sz w:val="15"/>
                <w:szCs w:val="15"/>
                <w:color w:val="auto"/>
              </w:rPr>
              <w:t>Outside contract research services</w:t>
            </w:r>
          </w:p>
        </w:tc>
        <w:tc>
          <w:tcPr>
            <w:tcW w:w="980" w:type="dxa"/>
            <w:vAlign w:val="bottom"/>
            <w:gridSpan w:val="4"/>
          </w:tcPr>
          <w:p>
            <w:pPr>
              <w:jc w:val="right"/>
              <w:ind w:right="320"/>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(14)</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87"/>
              </w:rPr>
              <w:t>(70.0)%</w:t>
            </w:r>
          </w:p>
        </w:tc>
      </w:tr>
      <w:tr>
        <w:trPr>
          <w:trHeight w:val="209"/>
        </w:trPr>
        <w:tc>
          <w:tcPr>
            <w:tcW w:w="4240" w:type="dxa"/>
            <w:vAlign w:val="bottom"/>
          </w:tcPr>
          <w:p>
            <w:pPr>
              <w:spacing w:after="0"/>
              <w:rPr>
                <w:sz w:val="20"/>
                <w:szCs w:val="20"/>
                <w:color w:val="auto"/>
              </w:rPr>
            </w:pPr>
            <w:r>
              <w:rPr>
                <w:rFonts w:ascii="Arial" w:cs="Arial" w:eastAsia="Arial" w:hAnsi="Arial"/>
                <w:sz w:val="15"/>
                <w:szCs w:val="15"/>
                <w:color w:val="auto"/>
              </w:rPr>
              <w:t>Facilities and other allocated expenses</w:t>
            </w:r>
          </w:p>
        </w:tc>
        <w:tc>
          <w:tcPr>
            <w:tcW w:w="980" w:type="dxa"/>
            <w:vAlign w:val="bottom"/>
            <w:gridSpan w:val="4"/>
          </w:tcPr>
          <w:p>
            <w:pPr>
              <w:jc w:val="right"/>
              <w:ind w:right="320"/>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124</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(50)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87"/>
              </w:rPr>
              <w:t>(40.3)%</w:t>
            </w: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24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(1)</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87"/>
              </w:rPr>
              <w:t>(16.7)%</w:t>
            </w:r>
          </w:p>
        </w:tc>
      </w:tr>
      <w:tr>
        <w:trPr>
          <w:trHeight w:val="20"/>
        </w:trPr>
        <w:tc>
          <w:tcPr>
            <w:tcW w:w="4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5"/>
                <w:szCs w:val="15"/>
                <w:color w:val="auto"/>
              </w:rPr>
              <w:t>Total cost of revenue</w:t>
            </w:r>
          </w:p>
        </w:tc>
        <w:tc>
          <w:tcPr>
            <w:tcW w:w="24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$1,280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1,223</w:t>
            </w:r>
          </w:p>
        </w:tc>
        <w:tc>
          <w:tcPr>
            <w:tcW w:w="2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$ 57</w:t>
            </w:r>
          </w:p>
        </w:tc>
        <w:tc>
          <w:tcPr>
            <w:tcW w:w="2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4.7%</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-843280</wp:posOffset>
            </wp:positionV>
            <wp:extent cx="4241800" cy="132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-578485</wp:posOffset>
            </wp:positionV>
            <wp:extent cx="4241800" cy="132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-969010</wp:posOffset>
            </wp:positionV>
            <wp:extent cx="11176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-969010</wp:posOffset>
            </wp:positionV>
            <wp:extent cx="11176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-969010</wp:posOffset>
            </wp:positionV>
            <wp:extent cx="11176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Cost of revenue increased by approximately $0.1 million, or 4.7%, to approximately $1.3 million for the year ended December 31, 2020 compared to approximately $1.2 million for the year ended December 31, 2019. The increase was primarily due to increased employee related costs of approximately $0.2 million, offset by decreases in equity-based compensation, facilities, depreciation, and outside contract research services.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Research and Development</w:t>
      </w:r>
    </w:p>
    <w:p>
      <w:pPr>
        <w:spacing w:after="0" w:line="12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following table summarizes the components of research and development expenses for the periods indicated:</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5"/>
          </w:tcPr>
          <w:p>
            <w:pPr>
              <w:spacing w:after="0"/>
              <w:rPr>
                <w:sz w:val="20"/>
                <w:szCs w:val="20"/>
                <w:color w:val="auto"/>
              </w:rPr>
            </w:pPr>
            <w:r>
              <w:rPr>
                <w:rFonts w:ascii="Arial" w:cs="Arial" w:eastAsia="Arial" w:hAnsi="Arial"/>
                <w:sz w:val="12"/>
                <w:szCs w:val="12"/>
                <w:b w:val="1"/>
                <w:bCs w:val="1"/>
                <w:color w:val="auto"/>
                <w:w w:val="94"/>
              </w:rPr>
              <w:t>Year Ended December 31,</w:t>
            </w:r>
          </w:p>
        </w:tc>
        <w:tc>
          <w:tcPr>
            <w:tcW w:w="112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Change</w:t>
            </w:r>
          </w:p>
        </w:tc>
      </w:tr>
      <w:tr>
        <w:trPr>
          <w:trHeight w:val="21"/>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7"/>
              </w:rPr>
              <w:t>2020</w:t>
            </w:r>
          </w:p>
        </w:tc>
        <w:tc>
          <w:tcPr>
            <w:tcW w:w="280" w:type="dxa"/>
            <w:vAlign w:val="bottom"/>
          </w:tcPr>
          <w:p>
            <w:pPr>
              <w:spacing w:after="0"/>
              <w:rPr>
                <w:sz w:val="13"/>
                <w:szCs w:val="13"/>
                <w:color w:val="auto"/>
              </w:rPr>
            </w:pPr>
          </w:p>
        </w:tc>
        <w:tc>
          <w:tcPr>
            <w:tcW w:w="460" w:type="dxa"/>
            <w:vAlign w:val="bottom"/>
          </w:tcPr>
          <w:p>
            <w:pPr>
              <w:jc w:val="right"/>
              <w:ind w:right="69"/>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480" w:type="dxa"/>
            <w:vAlign w:val="bottom"/>
          </w:tcPr>
          <w:p>
            <w:pPr>
              <w:jc w:val="right"/>
              <w:ind w:right="13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380" w:type="dxa"/>
            <w:vAlign w:val="bottom"/>
          </w:tcPr>
          <w:p>
            <w:pPr>
              <w:jc w:val="right"/>
              <w:ind w:right="29"/>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21"/>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ind w:left="300"/>
              <w:spacing w:after="0"/>
              <w:rPr>
                <w:sz w:val="20"/>
                <w:szCs w:val="20"/>
                <w:color w:val="auto"/>
              </w:rPr>
            </w:pPr>
            <w:r>
              <w:rPr>
                <w:rFonts w:ascii="Arial" w:cs="Arial" w:eastAsia="Arial" w:hAnsi="Arial"/>
                <w:sz w:val="12"/>
                <w:szCs w:val="12"/>
                <w:b w:val="1"/>
                <w:bCs w:val="1"/>
                <w:color w:val="auto"/>
                <w:w w:val="81"/>
              </w:rPr>
              <w:t>(in thousands, except percentages)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5"/>
                <w:szCs w:val="15"/>
                <w:color w:val="auto"/>
              </w:rPr>
              <w:t>Employee related costs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5,505</w:t>
            </w:r>
          </w:p>
        </w:tc>
        <w:tc>
          <w:tcPr>
            <w:tcW w:w="460" w:type="dxa"/>
            <w:vAlign w:val="bottom"/>
          </w:tcPr>
          <w:p>
            <w:pPr>
              <w:jc w:val="right"/>
              <w:spacing w:after="0"/>
              <w:rPr>
                <w:sz w:val="20"/>
                <w:szCs w:val="20"/>
                <w:color w:val="auto"/>
              </w:rPr>
            </w:pPr>
            <w:r>
              <w:rPr>
                <w:rFonts w:ascii="Arial" w:cs="Arial" w:eastAsia="Arial" w:hAnsi="Arial"/>
                <w:sz w:val="15"/>
                <w:szCs w:val="15"/>
                <w:color w:val="auto"/>
                <w:w w:val="82"/>
              </w:rPr>
              <w:t>$1,801</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1"/>
              </w:rPr>
              <w:t>$ 3,704</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4"/>
              </w:rPr>
              <w:t>205.7%</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Equity-based compensation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503</w:t>
            </w:r>
          </w:p>
        </w:tc>
        <w:tc>
          <w:tcPr>
            <w:tcW w:w="460" w:type="dxa"/>
            <w:vAlign w:val="bottom"/>
          </w:tcPr>
          <w:p>
            <w:pPr>
              <w:jc w:val="right"/>
              <w:spacing w:after="0"/>
              <w:rPr>
                <w:sz w:val="20"/>
                <w:szCs w:val="20"/>
                <w:color w:val="auto"/>
              </w:rPr>
            </w:pPr>
            <w:r>
              <w:rPr>
                <w:rFonts w:ascii="Arial" w:cs="Arial" w:eastAsia="Arial" w:hAnsi="Arial"/>
                <w:sz w:val="15"/>
                <w:szCs w:val="15"/>
                <w:color w:val="auto"/>
              </w:rPr>
              <w:t>306</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197</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64.4%</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Outside contract research services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8,646</w:t>
            </w:r>
          </w:p>
        </w:tc>
        <w:tc>
          <w:tcPr>
            <w:tcW w:w="460" w:type="dxa"/>
            <w:vAlign w:val="bottom"/>
          </w:tcPr>
          <w:p>
            <w:pPr>
              <w:jc w:val="right"/>
              <w:spacing w:after="0"/>
              <w:rPr>
                <w:sz w:val="20"/>
                <w:szCs w:val="20"/>
                <w:color w:val="auto"/>
              </w:rPr>
            </w:pPr>
            <w:r>
              <w:rPr>
                <w:rFonts w:ascii="Arial" w:cs="Arial" w:eastAsia="Arial" w:hAnsi="Arial"/>
                <w:sz w:val="15"/>
                <w:szCs w:val="15"/>
                <w:color w:val="auto"/>
              </w:rPr>
              <w:t>1,938</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6,708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4"/>
              </w:rPr>
              <w:t>346.1%</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Facilities and other allocated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330</w:t>
            </w:r>
          </w:p>
        </w:tc>
        <w:tc>
          <w:tcPr>
            <w:tcW w:w="460" w:type="dxa"/>
            <w:vAlign w:val="bottom"/>
          </w:tcPr>
          <w:p>
            <w:pPr>
              <w:jc w:val="right"/>
              <w:spacing w:after="0"/>
              <w:rPr>
                <w:sz w:val="20"/>
                <w:szCs w:val="20"/>
                <w:color w:val="auto"/>
              </w:rPr>
            </w:pPr>
            <w:r>
              <w:rPr>
                <w:rFonts w:ascii="Arial" w:cs="Arial" w:eastAsia="Arial" w:hAnsi="Arial"/>
                <w:sz w:val="15"/>
                <w:szCs w:val="15"/>
                <w:color w:val="auto"/>
              </w:rPr>
              <w:t>222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48.6%</w:t>
            </w:r>
          </w:p>
        </w:tc>
      </w:tr>
      <w:tr>
        <w:trPr>
          <w:trHeight w:val="214"/>
        </w:trPr>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66.7%</w:t>
            </w:r>
          </w:p>
        </w:tc>
      </w:tr>
      <w:tr>
        <w:trPr>
          <w:trHeight w:val="20"/>
        </w:trPr>
        <w:tc>
          <w:tcPr>
            <w:tcW w:w="40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5"/>
                <w:szCs w:val="15"/>
                <w:color w:val="auto"/>
              </w:rPr>
              <w:t>Total research and development</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15,004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2"/>
              </w:rPr>
              <w:t>$4,279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$10,725</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4"/>
              </w:rPr>
              <w:t>250.6%</w:t>
            </w: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-843280</wp:posOffset>
            </wp:positionV>
            <wp:extent cx="4241800" cy="132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-578485</wp:posOffset>
            </wp:positionV>
            <wp:extent cx="4241800" cy="132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-969010</wp:posOffset>
            </wp:positionV>
            <wp:extent cx="11176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-969010</wp:posOffset>
            </wp:positionV>
            <wp:extent cx="11176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-969010</wp:posOffset>
            </wp:positionV>
            <wp:extent cx="11176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Research and development expenses increased by approximately $10.7 million, or 250.6%, to approximately $15.0 million for the year ended December 31, 2020 as compared to approximately $4.3 million for the year ended December 31, 2019. The increase of approximately $10.7 million was primarily due to approximately $6.7 million of outside contract research services for our preclinical candidates due to an increased number of</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discovery programs and increased spending on later stage preclinical efforts. The increase also includes approximately $3.7 million of additional employee related costs, primarily due to higher headcount and increased equity-based compensation of approximately $0.2 million.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 and Administrative</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following table summarizes the components of general and administrative expenses for the periods indicated:</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6"/>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1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Change</w:t>
            </w:r>
          </w:p>
        </w:tc>
      </w:tr>
      <w:tr>
        <w:trPr>
          <w:trHeight w:val="21"/>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040" w:type="dxa"/>
            <w:vAlign w:val="bottom"/>
          </w:tcPr>
          <w:p>
            <w:pPr>
              <w:spacing w:after="0"/>
              <w:rPr>
                <w:sz w:val="13"/>
                <w:szCs w:val="13"/>
                <w:color w:val="auto"/>
              </w:rPr>
            </w:pPr>
          </w:p>
        </w:tc>
        <w:tc>
          <w:tcPr>
            <w:tcW w:w="660" w:type="dxa"/>
            <w:vAlign w:val="bottom"/>
            <w:gridSpan w:val="3"/>
          </w:tcPr>
          <w:p>
            <w:pPr>
              <w:jc w:val="right"/>
              <w:ind w:right="12"/>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3"/>
                <w:szCs w:val="13"/>
                <w:color w:val="auto"/>
              </w:rPr>
            </w:pPr>
          </w:p>
        </w:tc>
        <w:tc>
          <w:tcPr>
            <w:tcW w:w="400" w:type="dxa"/>
            <w:vAlign w:val="bottom"/>
          </w:tcPr>
          <w:p>
            <w:pPr>
              <w:jc w:val="right"/>
              <w:ind w:right="8"/>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ind w:right="9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500" w:type="dxa"/>
            <w:vAlign w:val="bottom"/>
          </w:tcPr>
          <w:p>
            <w:pPr>
              <w:jc w:val="right"/>
              <w:ind w:right="8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9"/>
          </w:tcPr>
          <w:p>
            <w:pPr>
              <w:jc w:val="right"/>
              <w:ind w:right="580"/>
              <w:spacing w:after="0"/>
              <w:rPr>
                <w:sz w:val="20"/>
                <w:szCs w:val="20"/>
                <w:color w:val="auto"/>
              </w:rPr>
            </w:pPr>
            <w:r>
              <w:rPr>
                <w:rFonts w:ascii="Arial" w:cs="Arial" w:eastAsia="Arial" w:hAnsi="Arial"/>
                <w:sz w:val="12"/>
                <w:szCs w:val="12"/>
                <w:b w:val="1"/>
                <w:bCs w:val="1"/>
                <w:color w:val="auto"/>
                <w:w w:val="97"/>
              </w:rPr>
              <w:t>(in thousands, except percentages)</w:t>
            </w:r>
          </w:p>
        </w:tc>
      </w:tr>
      <w:tr>
        <w:trPr>
          <w:trHeight w:val="230"/>
        </w:trPr>
        <w:tc>
          <w:tcPr>
            <w:tcW w:w="4040" w:type="dxa"/>
            <w:vAlign w:val="bottom"/>
          </w:tcPr>
          <w:p>
            <w:pPr>
              <w:spacing w:after="0"/>
              <w:rPr>
                <w:sz w:val="20"/>
                <w:szCs w:val="20"/>
                <w:color w:val="auto"/>
              </w:rPr>
            </w:pPr>
            <w:r>
              <w:rPr>
                <w:rFonts w:ascii="Arial" w:cs="Arial" w:eastAsia="Arial" w:hAnsi="Arial"/>
                <w:sz w:val="15"/>
                <w:szCs w:val="15"/>
                <w:color w:val="auto"/>
              </w:rPr>
              <w:t>Employee related costs</w:t>
            </w:r>
          </w:p>
        </w:tc>
        <w:tc>
          <w:tcPr>
            <w:tcW w:w="1000" w:type="dxa"/>
            <w:vAlign w:val="bottom"/>
            <w:gridSpan w:val="4"/>
          </w:tcPr>
          <w:p>
            <w:pPr>
              <w:jc w:val="right"/>
              <w:ind w:right="340"/>
              <w:spacing w:after="0"/>
              <w:rPr>
                <w:sz w:val="20"/>
                <w:szCs w:val="20"/>
                <w:color w:val="auto"/>
              </w:rPr>
            </w:pPr>
            <w:r>
              <w:rPr>
                <w:rFonts w:ascii="Arial" w:cs="Arial" w:eastAsia="Arial" w:hAnsi="Arial"/>
                <w:sz w:val="15"/>
                <w:szCs w:val="15"/>
                <w:color w:val="auto"/>
              </w:rPr>
              <w:t>$1,426</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$1,102</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$ 324</w:t>
            </w: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29.4%</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Equity-based compensation expense</w:t>
            </w:r>
          </w:p>
        </w:tc>
        <w:tc>
          <w:tcPr>
            <w:tcW w:w="1000" w:type="dxa"/>
            <w:vAlign w:val="bottom"/>
            <w:gridSpan w:val="4"/>
          </w:tcPr>
          <w:p>
            <w:pPr>
              <w:jc w:val="right"/>
              <w:ind w:right="340"/>
              <w:spacing w:after="0"/>
              <w:rPr>
                <w:sz w:val="20"/>
                <w:szCs w:val="20"/>
                <w:color w:val="auto"/>
              </w:rPr>
            </w:pPr>
            <w:r>
              <w:rPr>
                <w:rFonts w:ascii="Arial" w:cs="Arial" w:eastAsia="Arial" w:hAnsi="Arial"/>
                <w:sz w:val="15"/>
                <w:szCs w:val="15"/>
                <w:color w:val="auto"/>
              </w:rPr>
              <w:t>476</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863</w:t>
            </w: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(387)</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(44.8)%</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Professional fees</w:t>
            </w:r>
          </w:p>
        </w:tc>
        <w:tc>
          <w:tcPr>
            <w:tcW w:w="1000" w:type="dxa"/>
            <w:vAlign w:val="bottom"/>
            <w:gridSpan w:val="4"/>
          </w:tcPr>
          <w:p>
            <w:pPr>
              <w:jc w:val="right"/>
              <w:ind w:right="340"/>
              <w:spacing w:after="0"/>
              <w:rPr>
                <w:sz w:val="20"/>
                <w:szCs w:val="20"/>
                <w:color w:val="auto"/>
              </w:rPr>
            </w:pPr>
            <w:r>
              <w:rPr>
                <w:rFonts w:ascii="Arial" w:cs="Arial" w:eastAsia="Arial" w:hAnsi="Arial"/>
                <w:sz w:val="15"/>
                <w:szCs w:val="15"/>
                <w:color w:val="auto"/>
              </w:rPr>
              <w:t>836</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470</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366</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77.9%</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Public relations</w:t>
            </w:r>
          </w:p>
        </w:tc>
        <w:tc>
          <w:tcPr>
            <w:tcW w:w="1000" w:type="dxa"/>
            <w:vAlign w:val="bottom"/>
            <w:gridSpan w:val="4"/>
          </w:tcPr>
          <w:p>
            <w:pPr>
              <w:jc w:val="right"/>
              <w:ind w:right="340"/>
              <w:spacing w:after="0"/>
              <w:rPr>
                <w:sz w:val="20"/>
                <w:szCs w:val="20"/>
                <w:color w:val="auto"/>
              </w:rPr>
            </w:pPr>
            <w:r>
              <w:rPr>
                <w:rFonts w:ascii="Arial" w:cs="Arial" w:eastAsia="Arial" w:hAnsi="Arial"/>
                <w:sz w:val="15"/>
                <w:szCs w:val="15"/>
                <w:color w:val="auto"/>
              </w:rPr>
              <w:t>289</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19</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270</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w w:val="94"/>
              </w:rPr>
              <w:t>1,421.1%</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Outside consultants</w:t>
            </w:r>
          </w:p>
        </w:tc>
        <w:tc>
          <w:tcPr>
            <w:tcW w:w="1000" w:type="dxa"/>
            <w:vAlign w:val="bottom"/>
            <w:gridSpan w:val="4"/>
          </w:tcPr>
          <w:p>
            <w:pPr>
              <w:jc w:val="right"/>
              <w:ind w:right="340"/>
              <w:spacing w:after="0"/>
              <w:rPr>
                <w:sz w:val="20"/>
                <w:szCs w:val="20"/>
                <w:color w:val="auto"/>
              </w:rPr>
            </w:pPr>
            <w:r>
              <w:rPr>
                <w:rFonts w:ascii="Arial" w:cs="Arial" w:eastAsia="Arial" w:hAnsi="Arial"/>
                <w:sz w:val="15"/>
                <w:szCs w:val="15"/>
                <w:color w:val="auto"/>
              </w:rPr>
              <w:t>18</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201</w:t>
            </w: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(183)</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(91.0)%</w:t>
            </w:r>
          </w:p>
        </w:tc>
      </w:tr>
      <w:tr>
        <w:trPr>
          <w:trHeight w:val="209"/>
        </w:trPr>
        <w:tc>
          <w:tcPr>
            <w:tcW w:w="4040" w:type="dxa"/>
            <w:vAlign w:val="bottom"/>
          </w:tcPr>
          <w:p>
            <w:pPr>
              <w:spacing w:after="0"/>
              <w:rPr>
                <w:sz w:val="20"/>
                <w:szCs w:val="20"/>
                <w:color w:val="auto"/>
              </w:rPr>
            </w:pPr>
            <w:r>
              <w:rPr>
                <w:rFonts w:ascii="Arial" w:cs="Arial" w:eastAsia="Arial" w:hAnsi="Arial"/>
                <w:sz w:val="15"/>
                <w:szCs w:val="15"/>
                <w:color w:val="auto"/>
              </w:rPr>
              <w:t>Facilities and other allocated expenses</w:t>
            </w:r>
          </w:p>
        </w:tc>
        <w:tc>
          <w:tcPr>
            <w:tcW w:w="1000" w:type="dxa"/>
            <w:vAlign w:val="bottom"/>
            <w:gridSpan w:val="4"/>
          </w:tcPr>
          <w:p>
            <w:pPr>
              <w:jc w:val="right"/>
              <w:ind w:right="340"/>
              <w:spacing w:after="0"/>
              <w:rPr>
                <w:sz w:val="20"/>
                <w:szCs w:val="20"/>
                <w:color w:val="auto"/>
              </w:rPr>
            </w:pPr>
            <w:r>
              <w:rPr>
                <w:rFonts w:ascii="Arial" w:cs="Arial" w:eastAsia="Arial" w:hAnsi="Arial"/>
                <w:sz w:val="15"/>
                <w:szCs w:val="15"/>
                <w:color w:val="auto"/>
              </w:rPr>
              <w:t>38</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34</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11.8%</w:t>
            </w:r>
          </w:p>
        </w:tc>
      </w:tr>
      <w:tr>
        <w:trPr>
          <w:trHeight w:val="214"/>
        </w:trPr>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60" w:type="dxa"/>
            <w:vAlign w:val="bottom"/>
            <w:gridSpan w:val="2"/>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5"/>
                <w:szCs w:val="15"/>
                <w:color w:val="auto"/>
              </w:rPr>
              <w:t>27</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20</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35.0%</w:t>
            </w: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5"/>
                <w:szCs w:val="15"/>
                <w:color w:val="auto"/>
              </w:rPr>
              <w:t>Total general and administrative</w:t>
            </w:r>
          </w:p>
        </w:tc>
        <w:tc>
          <w:tcPr>
            <w:tcW w:w="260" w:type="dxa"/>
            <w:vAlign w:val="bottom"/>
            <w:gridSpan w:val="2"/>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5"/>
                <w:szCs w:val="15"/>
                <w:color w:val="auto"/>
                <w:w w:val="82"/>
              </w:rPr>
              <w:t>$3,110</w:t>
            </w: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$2,709</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$ 401</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14.8%</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-1108710</wp:posOffset>
            </wp:positionV>
            <wp:extent cx="4241800" cy="132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-843280</wp:posOffset>
            </wp:positionV>
            <wp:extent cx="4241800" cy="132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-578485</wp:posOffset>
            </wp:positionV>
            <wp:extent cx="4241800" cy="132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-1234440</wp:posOffset>
            </wp:positionV>
            <wp:extent cx="11176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-1234440</wp:posOffset>
            </wp:positionV>
            <wp:extent cx="11176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-1234440</wp:posOffset>
            </wp:positionV>
            <wp:extent cx="11176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5"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General and administrative expenses increased by approximately $0.4 million, or 14.8%, to approximately $3.1 million for the year ended December 31, 2020 compared to approximately $2.7 million for the year ended December 31, 2019. The increase of approximately $0.4 million was primarily due to increased employee related costs of approximately $0.3 million, increased professional fees incurred for accounting, auditing, legal, and tax services of approximately $0.4 million, increased public relation costs of approximately $0.3 million, partially offset by a decrease of approximately $0.4 million for equity-based compensation expense due to the fair value of warrants issued to several advisors in 2019 and a decrease of approximately $0.2 million for outside consultants.</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Income (Expense)</w:t>
      </w:r>
      <w:r>
        <w:rPr>
          <w:rFonts w:ascii="Arial" w:cs="Arial" w:eastAsia="Arial" w:hAnsi="Arial"/>
          <w:sz w:val="15"/>
          <w:szCs w:val="15"/>
          <w:color w:val="auto"/>
        </w:rPr>
        <w:t>,</w:t>
      </w:r>
      <w:r>
        <w:rPr>
          <w:rFonts w:ascii="Arial" w:cs="Arial" w:eastAsia="Arial" w:hAnsi="Arial"/>
          <w:sz w:val="15"/>
          <w:szCs w:val="15"/>
          <w:b w:val="1"/>
          <w:bCs w:val="1"/>
          <w:color w:val="auto"/>
        </w:rPr>
        <w:t xml:space="preserve"> Net</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the components of other income (expense) for the periods indicated:</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7"/>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10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Change</w:t>
            </w:r>
          </w:p>
        </w:tc>
      </w:tr>
      <w:tr>
        <w:trPr>
          <w:trHeight w:val="21"/>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2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ind w:right="50"/>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ind w:right="11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360" w:type="dxa"/>
            <w:vAlign w:val="bottom"/>
          </w:tcPr>
          <w:p>
            <w:pPr>
              <w:jc w:val="right"/>
              <w:ind w:right="3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0"/>
              </w:rPr>
              <w:t>(in thousands, except percentages)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5"/>
                <w:szCs w:val="15"/>
                <w:color w:val="auto"/>
              </w:rPr>
              <w:t>Interest income</w:t>
            </w:r>
          </w:p>
        </w:tc>
        <w:tc>
          <w:tcPr>
            <w:tcW w:w="540" w:type="dxa"/>
            <w:vAlign w:val="bottom"/>
            <w:gridSpan w:val="3"/>
          </w:tcPr>
          <w:p>
            <w:pPr>
              <w:jc w:val="right"/>
              <w:spacing w:after="0"/>
              <w:rPr>
                <w:sz w:val="20"/>
                <w:szCs w:val="20"/>
                <w:color w:val="auto"/>
              </w:rPr>
            </w:pPr>
            <w:r>
              <w:rPr>
                <w:rFonts w:ascii="Arial" w:cs="Arial" w:eastAsia="Arial" w:hAnsi="Arial"/>
                <w:sz w:val="15"/>
                <w:szCs w:val="15"/>
                <w:color w:val="auto"/>
              </w:rPr>
              <w:t>$43</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  (15)</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8"/>
              </w:rPr>
              <w:t>(25.9)%</w:t>
            </w:r>
          </w:p>
        </w:tc>
      </w:tr>
      <w:tr>
        <w:trPr>
          <w:trHeight w:val="209"/>
        </w:trPr>
        <w:tc>
          <w:tcPr>
            <w:tcW w:w="4120" w:type="dxa"/>
            <w:vAlign w:val="bottom"/>
          </w:tcPr>
          <w:p>
            <w:pPr>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(351)</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351</w:t>
            </w: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100.0%</w:t>
            </w:r>
          </w:p>
        </w:tc>
      </w:tr>
      <w:tr>
        <w:trPr>
          <w:trHeight w:val="214"/>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Loss on conversion of convertible notes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(1,125)</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1,125</w:t>
            </w: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100.0%</w:t>
            </w:r>
          </w:p>
        </w:tc>
      </w:tr>
      <w:tr>
        <w:trPr>
          <w:trHeight w:val="20"/>
        </w:trPr>
        <w:tc>
          <w:tcPr>
            <w:tcW w:w="4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280" w:type="dxa"/>
            <w:vAlign w:val="bottom"/>
            <w:gridSpan w:val="2"/>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79"/>
              </w:rPr>
              <w:t>$43</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(4,418)</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$1,461</w:t>
            </w: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103.0%</w:t>
            </w: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-578485</wp:posOffset>
            </wp:positionV>
            <wp:extent cx="4241800" cy="132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-704215</wp:posOffset>
            </wp:positionV>
            <wp:extent cx="11176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-704215</wp:posOffset>
            </wp:positionV>
            <wp:extent cx="11176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-704215</wp:posOffset>
            </wp:positionV>
            <wp:extent cx="11176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Other income (expense) increased by approximately $1.5 million, or 103.0%, with other income of approximately $43,000 for the year ended December 31, 2020 compared to other expense of approximately $1.4 million for the year ended December 31, 2019. The increase was primarily due to approximately $1.1 million loss on the conversion of convertible notes and approximately $0.4 million non-cash interest expense related to the convertible notes in 2019, partially offset by a decrease in interest income earned from our cash equivalents balances.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and Capital Resources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Sources of Liquidity</w:t>
      </w:r>
    </w:p>
    <w:p>
      <w:pPr>
        <w:spacing w:after="0" w:line="128"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Since our inception, we have financed our operations through service revenues, the issuance of convertible notes payable, convertible preferred stock, common stock, and the exercise of stock options. As of March 31,</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2021, we had an accumulated deficit of approximately $32.0 million and approximately $30.9 million in cash and cash equivalents.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82"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We expect to incur substantial expenditures in the foreseeable future for the development of our product candidates and will require additional financing to continue this development. The consolidated financial statements appearing elsewhere in this prospectus have been prepared on a basis that assumes that we will continue as a going concern, which contemplates the realization of assets and satisfaction of liabilities in the normal course of business.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Cash Flows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our sources and uses of cash for the periods indicated:</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600" w:type="dxa"/>
            <w:vAlign w:val="bottom"/>
          </w:tcPr>
          <w:p>
            <w:pPr>
              <w:spacing w:after="0"/>
              <w:rPr>
                <w:sz w:val="13"/>
                <w:szCs w:val="13"/>
                <w:color w:val="auto"/>
              </w:rPr>
            </w:pPr>
          </w:p>
        </w:tc>
        <w:tc>
          <w:tcPr>
            <w:tcW w:w="1780" w:type="dxa"/>
            <w:vAlign w:val="bottom"/>
            <w:gridSpan w:val="6"/>
          </w:tcPr>
          <w:p>
            <w:pPr>
              <w:ind w:left="20"/>
              <w:spacing w:after="0"/>
              <w:rPr>
                <w:sz w:val="20"/>
                <w:szCs w:val="20"/>
                <w:color w:val="auto"/>
              </w:rPr>
            </w:pPr>
            <w:r>
              <w:rPr>
                <w:rFonts w:ascii="Arial" w:cs="Arial" w:eastAsia="Arial" w:hAnsi="Arial"/>
                <w:sz w:val="12"/>
                <w:szCs w:val="12"/>
                <w:b w:val="1"/>
                <w:bCs w:val="1"/>
                <w:color w:val="auto"/>
                <w:w w:val="96"/>
              </w:rPr>
              <w:t>Three Months Ended March 31,</w:t>
            </w:r>
          </w:p>
        </w:tc>
        <w:tc>
          <w:tcPr>
            <w:tcW w:w="13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81"/>
              </w:rPr>
              <w:t>Years Ended December 31,</w:t>
            </w:r>
          </w:p>
        </w:tc>
      </w:tr>
      <w:tr>
        <w:trPr>
          <w:trHeight w:val="21"/>
        </w:trPr>
        <w:tc>
          <w:tcPr>
            <w:tcW w:w="36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7"/>
        </w:trPr>
        <w:tc>
          <w:tcPr>
            <w:tcW w:w="3600" w:type="dxa"/>
            <w:vAlign w:val="bottom"/>
          </w:tcPr>
          <w:p>
            <w:pPr>
              <w:spacing w:after="0"/>
              <w:rPr>
                <w:sz w:val="13"/>
                <w:szCs w:val="13"/>
                <w:color w:val="auto"/>
              </w:rPr>
            </w:pPr>
          </w:p>
        </w:tc>
        <w:tc>
          <w:tcPr>
            <w:tcW w:w="58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3"/>
                <w:szCs w:val="13"/>
                <w:color w:val="auto"/>
              </w:rPr>
            </w:pPr>
          </w:p>
        </w:tc>
        <w:tc>
          <w:tcPr>
            <w:tcW w:w="460" w:type="dxa"/>
            <w:vAlign w:val="bottom"/>
          </w:tcPr>
          <w:p>
            <w:pPr>
              <w:jc w:val="right"/>
              <w:ind w:right="52"/>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72"/>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3"/>
                <w:szCs w:val="13"/>
                <w:color w:val="auto"/>
              </w:rPr>
            </w:pPr>
          </w:p>
        </w:tc>
        <w:tc>
          <w:tcPr>
            <w:tcW w:w="52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3"/>
                <w:szCs w:val="13"/>
                <w:color w:val="auto"/>
              </w:rPr>
            </w:pPr>
          </w:p>
        </w:tc>
      </w:tr>
      <w:tr>
        <w:trPr>
          <w:trHeight w:val="21"/>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7"/>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(in thousands)</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provided by:</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600" w:type="dxa"/>
            <w:vAlign w:val="bottom"/>
          </w:tcPr>
          <w:p>
            <w:pPr>
              <w:ind w:left="160"/>
              <w:spacing w:after="0"/>
              <w:rPr>
                <w:sz w:val="20"/>
                <w:szCs w:val="20"/>
                <w:color w:val="auto"/>
              </w:rPr>
            </w:pPr>
            <w:r>
              <w:rPr>
                <w:rFonts w:ascii="Arial" w:cs="Arial" w:eastAsia="Arial" w:hAnsi="Arial"/>
                <w:sz w:val="15"/>
                <w:szCs w:val="15"/>
                <w:color w:val="auto"/>
              </w:rPr>
              <w:t>Operating activities</w:t>
            </w:r>
          </w:p>
        </w:tc>
        <w:tc>
          <w:tcPr>
            <w:tcW w:w="1000" w:type="dxa"/>
            <w:vAlign w:val="bottom"/>
            <w:gridSpan w:val="3"/>
          </w:tcPr>
          <w:p>
            <w:pPr>
              <w:jc w:val="right"/>
              <w:ind w:right="380"/>
              <w:spacing w:after="0"/>
              <w:rPr>
                <w:sz w:val="20"/>
                <w:szCs w:val="20"/>
                <w:color w:val="auto"/>
              </w:rPr>
            </w:pPr>
            <w:r>
              <w:rPr>
                <w:rFonts w:ascii="Arial" w:cs="Arial" w:eastAsia="Arial" w:hAnsi="Arial"/>
                <w:sz w:val="15"/>
                <w:szCs w:val="15"/>
                <w:color w:val="auto"/>
              </w:rPr>
              <w:t>$(6,140)</w:t>
            </w: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w w:val="85"/>
              </w:rPr>
              <w:t>$(2,314)</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$(14,621)</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86"/>
              </w:rPr>
              <w:t>$ (4,442)</w:t>
            </w:r>
          </w:p>
        </w:tc>
      </w:tr>
      <w:tr>
        <w:trPr>
          <w:trHeight w:val="209"/>
        </w:trPr>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Investing activities</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(16)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8"/>
                <w:szCs w:val="18"/>
                <w:color w:val="auto"/>
              </w:rPr>
            </w:pPr>
          </w:p>
        </w:tc>
      </w:tr>
      <w:tr>
        <w:trPr>
          <w:trHeight w:val="214"/>
        </w:trPr>
        <w:tc>
          <w:tcPr>
            <w:tcW w:w="3600" w:type="dxa"/>
            <w:vAlign w:val="bottom"/>
          </w:tcPr>
          <w:p>
            <w:pPr>
              <w:ind w:left="160"/>
              <w:spacing w:after="0"/>
              <w:rPr>
                <w:sz w:val="20"/>
                <w:szCs w:val="20"/>
                <w:color w:val="auto"/>
              </w:rPr>
            </w:pPr>
            <w:r>
              <w:rPr>
                <w:rFonts w:ascii="Arial" w:cs="Arial" w:eastAsia="Arial" w:hAnsi="Arial"/>
                <w:sz w:val="15"/>
                <w:szCs w:val="15"/>
                <w:color w:val="auto"/>
              </w:rPr>
              <w:t>Financing activities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37,982</w:t>
            </w:r>
          </w:p>
        </w:tc>
        <w:tc>
          <w:tcPr>
            <w:tcW w:w="520" w:type="dxa"/>
            <w:vAlign w:val="bottom"/>
          </w:tcPr>
          <w:p>
            <w:pPr>
              <w:jc w:val="right"/>
              <w:spacing w:after="0"/>
              <w:rPr>
                <w:sz w:val="20"/>
                <w:szCs w:val="20"/>
                <w:color w:val="auto"/>
              </w:rPr>
            </w:pPr>
            <w:r>
              <w:rPr>
                <w:rFonts w:ascii="Arial" w:cs="Arial" w:eastAsia="Arial" w:hAnsi="Arial"/>
                <w:sz w:val="15"/>
                <w:szCs w:val="15"/>
                <w:color w:val="auto"/>
              </w:rPr>
              <w:t>17,171</w:t>
            </w:r>
          </w:p>
        </w:tc>
        <w:tc>
          <w:tcPr>
            <w:tcW w:w="20" w:type="dxa"/>
            <w:vAlign w:val="bottom"/>
          </w:tcPr>
          <w:p>
            <w:pPr>
              <w:spacing w:after="0"/>
              <w:rPr>
                <w:sz w:val="18"/>
                <w:szCs w:val="18"/>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Net decrease in cash and cash equivalents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85"/>
              </w:rPr>
              <w:t>$(6,156)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5"/>
              </w:rPr>
              <w:t>$(1,320)</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8"/>
              </w:rPr>
              <w:t>$ 23,308</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$12,708</w:t>
            </w:r>
          </w:p>
        </w:tc>
        <w:tc>
          <w:tcPr>
            <w:tcW w:w="20" w:type="dxa"/>
            <w:vAlign w:val="bottom"/>
          </w:tcPr>
          <w:p>
            <w:pPr>
              <w:spacing w:after="0"/>
              <w:rPr>
                <w:sz w:val="20"/>
                <w:szCs w:val="20"/>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-173990</wp:posOffset>
            </wp:positionV>
            <wp:extent cx="2095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-173990</wp:posOffset>
            </wp:positionV>
            <wp:extent cx="15367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1820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18205"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-836295</wp:posOffset>
            </wp:positionV>
            <wp:extent cx="11176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-836295</wp:posOffset>
            </wp:positionV>
            <wp:extent cx="11176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-836295</wp:posOffset>
            </wp:positionV>
            <wp:extent cx="11176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28"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During the three months ended March 31, 2021, operating activities used approximately $6.1 million of cash, primarily resulting from our net loss of approximately $6.2 million and cash used by changes in our operating assets and liabilities of approximately $0.1 million, partially offset by equity-based compensation expense of approximately $0.2 million.</w:t>
      </w:r>
    </w:p>
    <w:p>
      <w:pPr>
        <w:spacing w:after="0" w:line="91"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During the three months ended March 31, 2020, operating activities used approximately $2.3 million of cash, primarily resulting from our net loss of approximately $3.2 million, partially offset by equity-based compensation expense of approximately $0.3 million and cash provided by changes in our operating assets and liabilities of approximately $0.6 million.</w:t>
      </w:r>
    </w:p>
    <w:p>
      <w:pPr>
        <w:spacing w:after="0" w:line="102"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During the year ended December 31, 2020, operating activities used approximately $14.6 million of cash, primarily resulting from our net loss of approximately $17.0 million, partially offset by equity-based compensation expense of approximately $1.1 million and cash provided by changes in our operating assets and liabilities of approximately $1.3 million.</w:t>
      </w:r>
    </w:p>
    <w:p>
      <w:pPr>
        <w:spacing w:after="0" w:line="102"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During the year ended December 31, 2019, operating activities used approximately $4.4 million of cash, primarily resulting from our net loss of approximately $7.7 million, partially offset by equity-based compensation expense of approximately $0.6 million, non-cash warrant expense of approximately $0.7 million, non-cash interest expense on the convertible notes payable of approximately $0.4 million, and loss of approximately $1.1 million on the conversion of convertible notes payable and cash provided by changes in our operating assets and liabilities of approximately $0.4 million.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11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During the three months ended March 31, 2021 and 2020, and the years ended December 31, 2020 and 2019, investing activities used approximately $16,000, $4,000, $53,000 and $21,000, respectively, for the purchase of property and equipment.</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During the three months ended March 31, 2021, there was no net cash provided by financing activities.</w:t>
      </w:r>
    </w:p>
    <w:p>
      <w:pPr>
        <w:spacing w:after="0" w:line="136"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During the three months ended March 31, 2020, net cash provided by financing activities was approximately $1.0 million, consisting primarily of proceeds received from the issuance of Series A preferred stock, net of issuance costs.</w:t>
      </w:r>
    </w:p>
    <w:p>
      <w:pPr>
        <w:spacing w:after="0" w:line="101"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During the year ended December 31, 2020, net cash provided by financing activities was approximately $38.0 million, consisting primarily of approximately $37.0 million in net proceeds received from the issuance of Series B preferred stock and approximately $1.0 million in net proceeds from the issuance of Series A preferred stock.</w:t>
      </w:r>
    </w:p>
    <w:p>
      <w:pPr>
        <w:spacing w:after="0" w:line="91"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During the year ended December 31, 2019, net cash provided by financing activities was approximately $17.2 million, consisting primarily of approximately $13.4 million in net proceeds received from the issuance of Series A preferred stock and approximately $3.8 million in proceeds, net of debt issuance costs, received from the issuance of convertible notes payable.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Future Funding Requirements</w:t>
      </w:r>
    </w:p>
    <w:p>
      <w:pPr>
        <w:spacing w:after="0" w:line="128"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Any product candidates we may develop may never achieve commercialization, and we anticipate that we will continue to incur losses for the foreseeable future. Based on our current operating plan,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service revenue, equity offerings, debt financings or other capital sources, including potential collaborations, licenses and other similar arrangements. Our primary uses of capital are, and we expect will continue to be, costs related to clinical research, manufacturing and development services; compensation and related expenses; costs relating to our headquarters and other offices and or laboratories; license payments or milestone obligations that may arise; laboratory expenses and costs for related supplies; manufacturing costs; legal and other regulatory expenses and general overhead costs.</w:t>
      </w:r>
    </w:p>
    <w:p>
      <w:pPr>
        <w:spacing w:after="0" w:line="99" w:lineRule="exact"/>
        <w:rPr>
          <w:sz w:val="20"/>
          <w:szCs w:val="20"/>
          <w:color w:val="auto"/>
        </w:rPr>
      </w:pPr>
    </w:p>
    <w:p>
      <w:pPr>
        <w:jc w:val="both"/>
        <w:ind w:left="1160" w:right="1179"/>
        <w:spacing w:after="0" w:line="287" w:lineRule="auto"/>
        <w:rPr>
          <w:sz w:val="20"/>
          <w:szCs w:val="20"/>
          <w:color w:val="auto"/>
        </w:rPr>
      </w:pPr>
      <w:r>
        <w:rPr>
          <w:rFonts w:ascii="Arial" w:cs="Arial" w:eastAsia="Arial" w:hAnsi="Arial"/>
          <w:sz w:val="13"/>
          <w:szCs w:val="13"/>
          <w:color w:val="auto"/>
        </w:rPr>
        <w:t>Based upon our current operating plan, we believe that the net proceeds from this offering, together with our existing cash and cash equivalents of approximately $30.9 million as of March 31, 2021 and approximately $24.8 million from the sale and issuance of shares in the second tranche of our Series B Preferred Stock in</w:t>
      </w:r>
    </w:p>
    <w:p>
      <w:pPr>
        <w:spacing w:after="0" w:line="2" w:lineRule="exact"/>
        <w:rPr>
          <w:sz w:val="20"/>
          <w:szCs w:val="20"/>
          <w:color w:val="auto"/>
        </w:rPr>
      </w:pPr>
    </w:p>
    <w:p>
      <w:pPr>
        <w:jc w:val="both"/>
        <w:ind w:left="1160" w:right="1179"/>
        <w:spacing w:after="0" w:line="263" w:lineRule="auto"/>
        <w:rPr>
          <w:sz w:val="20"/>
          <w:szCs w:val="20"/>
          <w:color w:val="auto"/>
        </w:rPr>
      </w:pPr>
      <w:r>
        <w:rPr>
          <w:rFonts w:ascii="Arial" w:cs="Arial" w:eastAsia="Arial" w:hAnsi="Arial"/>
          <w:sz w:val="14"/>
          <w:szCs w:val="14"/>
          <w:color w:val="auto"/>
        </w:rPr>
        <w:t>April and May 2021 will be sufficient to continue funding our development activities through . To finance our operations beyond that point, we will need to raise additional capital, which cannot be assured.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stockholders, including investors in this offering,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88"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9" w:lineRule="exact"/>
        <w:rPr>
          <w:sz w:val="20"/>
          <w:szCs w:val="20"/>
          <w:color w:val="auto"/>
        </w:rPr>
      </w:pPr>
    </w:p>
    <w:p>
      <w:pPr>
        <w:ind w:left="4400" w:right="2979" w:hanging="2943"/>
        <w:spacing w:after="0" w:line="753" w:lineRule="auto"/>
        <w:tabs>
          <w:tab w:leader="none" w:pos="1594"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impacts of the COVID-19 pandemic and potential future pandemics;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-43815</wp:posOffset>
            </wp:positionV>
            <wp:extent cx="556450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costs and results of our potential future clinical trials for our other product candidates;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scope, progress, results and costs of discovery research, preclinical development, laboratory testing and clinical trials for our other product candidates;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91"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ability to enter into contract manufacturing arrangements for supply of active pharmaceutical ingredient, or API, and manufacture of our product candidates and the terms of such arrangements;</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payment or receipt of milestones and receipt of other collaboration-based revenues, if any;</w:t>
      </w:r>
    </w:p>
    <w:p>
      <w:pPr>
        <w:spacing w:after="0" w:line="102" w:lineRule="exact"/>
        <w:rPr>
          <w:rFonts w:ascii="Arial" w:cs="Arial" w:eastAsia="Arial" w:hAnsi="Arial"/>
          <w:sz w:val="14"/>
          <w:szCs w:val="14"/>
          <w:color w:val="auto"/>
        </w:rPr>
      </w:pPr>
    </w:p>
    <w:p>
      <w:pPr>
        <w:jc w:val="both"/>
        <w:ind w:left="1600" w:right="1179" w:hanging="143"/>
        <w:spacing w:after="0" w:line="25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costs and timing of any future commercialization activities, including product manufacturing, sales, marketing and distribution, for any of our product candidates for which we may receive marketing approval;</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amount and timing of revenue, if any, received from commercial sales of our product candidates for which we receive marketing approval;</w:t>
      </w:r>
    </w:p>
    <w:p>
      <w:pPr>
        <w:spacing w:after="0" w:line="60"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and proprietary rights and defending any intellectual property related claims;</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product candidates, technologies or data referencing rights;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our ability to establish and maintain strategic collaborations, licensing or other arrangements and the financial terms of such arrangements;</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our ability to access the private and public capital markets or to obtain financing at commercially reasonable rate;</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ability to receive additional non-dilutive funding, including grants from organizations and foundations;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costs of operating as a public company.</w:t>
      </w:r>
    </w:p>
    <w:p>
      <w:pPr>
        <w:spacing w:after="0" w:line="124"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enter into contracts in the normal course of business with third-party service providers for clinical trials, preclinical research studies and testing, manufacturing, leases and other services and products for operating purposes. We have not included our payment obligations under these contracts in the table as these contracts generally provide for termination upon notice, and therefore, we believe that our non-cancelable obligations under these agreements are not material and we cannot reasonably estimate the timing of if and when they will occur. As of March 31, 2021, we had commitments of approximately $0.7 million under our leases due within approximately 60 months.</w:t>
      </w:r>
    </w:p>
    <w:p>
      <w:pPr>
        <w:spacing w:after="0" w:line="10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We may also enter into additional research, manufacturing, supplier, lease and other agreements in the future, which may require up-front payments and even long-term commitments of cash.</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Critical Accounting Policies and Use of Significant Judgments and Estimates</w:t>
      </w:r>
    </w:p>
    <w:p>
      <w:pPr>
        <w:spacing w:after="0" w:line="12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condensed consolidated financial statements, which have been prepared in accordance with U.S. generally accepted accounting principles, or GAAP. The preparation of these condensed consolidated financial statements requires us to make estimates and assumptions that affect the reported amounts of assets and liabilities and the disclosure of contingent assets and liabilities at the date of the condensed consolidated</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Research and Development Costs</w:t>
      </w:r>
    </w:p>
    <w:p>
      <w:pPr>
        <w:spacing w:after="0" w:line="113"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We will incur substantial expenses associated with manufacturing and clinical trials. Accounting for clinical trials relating to activities performed by contract research organizations, or CROs, and other external vendors requires management to exercise significant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CROs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Because payments of research and development activities do not always line up with the provision of such services, the balance sheet may reflect either an accrued or prepaid position. In estimating the duration of a clinical study, we evaluate the start-up, treatment and wrap up periods, compensation arrangements and services rendered attributable to each clinical trial and fluctuations are regularly tested against payment plans and trial completion assumptions.</w:t>
      </w:r>
    </w:p>
    <w:p>
      <w:pPr>
        <w:spacing w:after="0" w:line="9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06"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Our expenses related to clinical trials will be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will accrue expenses related to clinical trials based on contracted amounts applied to the level of patient enrollment and activity. If timelines or contracts are modified based upon changes in the clinical trial protocol or scope of work to be performed, we will modify our estimates of accrued expenses accordingly on a prospective basis.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113"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Prior to this offering, we issued equity-based compensation awards through the granting of options, which generally vest over four years. We account for equity-based compensation in accordance with Accounting Standards Codification, or ASC, 718, Compensation — Stock Compensation, or ASC 718. In accordance with ASC 718, compensation cost is measured at estimated fair value at grant date and is included as compensation expense over the vesting period during which service is provided in exchange for the award.</w:t>
      </w:r>
    </w:p>
    <w:p>
      <w:pPr>
        <w:spacing w:after="0" w:line="91"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We use the Black-Scholes option pricing model, or Black-Scholes, to determine fair value of our options. Black-Scholes includes various assumptions, including the fair value of common shares, expected life of incentive shares, the expected volatility and the expected risk-free interest rate. These assumptions reflect our best estimates, but they involve inherent uncertainties based on market conditions generally outside our control. As a result, if other assumptions had been used, equity-based compensation cost could have been materially impacted. Furthermore, if we use different assumptions for future grants, equity-based compensation cost could be materially impacted in future periods.</w:t>
      </w:r>
    </w:p>
    <w:p>
      <w:pPr>
        <w:spacing w:after="0" w:line="93" w:lineRule="exact"/>
        <w:rPr>
          <w:sz w:val="20"/>
          <w:szCs w:val="20"/>
          <w:color w:val="auto"/>
        </w:rPr>
      </w:pPr>
    </w:p>
    <w:p>
      <w:pPr>
        <w:jc w:val="both"/>
        <w:ind w:left="1160" w:right="1179"/>
        <w:spacing w:after="0" w:line="341" w:lineRule="auto"/>
        <w:rPr>
          <w:sz w:val="20"/>
          <w:szCs w:val="20"/>
          <w:color w:val="auto"/>
        </w:rPr>
      </w:pPr>
      <w:r>
        <w:rPr>
          <w:rFonts w:ascii="Arial" w:cs="Arial" w:eastAsia="Arial" w:hAnsi="Arial"/>
          <w:sz w:val="13"/>
          <w:szCs w:val="13"/>
          <w:color w:val="auto"/>
        </w:rPr>
        <w:t>We granted stock options to purchase 159,910 shares of common stock during the three months ended March 31, 2021. The fair value of our awards in the three months ended March 31, 2021 has been estimated</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using Black Scholes based on the following assumptions: term of 5.83 to 10 years; volatility of 69.0% to 81.0%; risk-free rate of 1.11% to 1.71%; and no expectation of dividends.</w:t>
      </w:r>
    </w:p>
    <w:p>
      <w:pPr>
        <w:spacing w:after="0" w:line="82"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granted stock options to purchase 204,100 shares of common stock during the three months ended March 31, 2020. The fair value of our awards in the three months ended March 31, 2020 has been estimated using Black Scholes based on the following assumptions: term of 6.01 years; volatility of 67.3%; risk-free rate of 1.21%; and no expectation of dividends.</w:t>
      </w:r>
    </w:p>
    <w:p>
      <w:pPr>
        <w:spacing w:after="0" w:line="102"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granted stock options to purchase 245,122 shares of common stock during the year ended December 31, 2020. The fair value of our awards in the year ended December 31, 2020 has been estimated using Black Scholes based on the following assumptions: term of 5.92 to 10 years; volatility of 67.3% to 80.85%; risk-free rate of 0.36% to 1.45%; and no expectation of dividends.</w:t>
      </w:r>
    </w:p>
    <w:p>
      <w:pPr>
        <w:spacing w:after="0" w:line="102"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granted stock options to purchase 714,496 shares of common stock in the year ended December 31, 2019. The fair value of our awards in the year ended December 31, 2019 has been estimated using Black Scholes based on the following assumptions: term of 6.08 years; volatility of 66.99% to 70.44%; risk-free rate of 1.77% to 2.20%; and no expectation of dividends.</w:t>
      </w:r>
    </w:p>
    <w:p>
      <w:pPr>
        <w:spacing w:after="0" w:line="91"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will continue to use judgment in evaluating the assumptions utilized for our equity-based compensation expense calculations on a prospective basis. In addition to the assumptions used in the Black-Scholes model, the amount of equity-based compensation expense we recognize in our consolidated financial statements includes incentive share forfeitures as they occurred.</w:t>
      </w:r>
    </w:p>
    <w:p>
      <w:pPr>
        <w:spacing w:after="0" w:line="102"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 xml:space="preserve">As there has been no public market for our common shares to date, our board of directors, with input from management, has determined the estimated fair value of our common shares as of the date of each incentive share grant considering our then-most recently available third-party valuation of common shares. Valuations are updated when facts and circumstances indicate that the most recent valuation is no longer valid, such as changes in the stage of our development efforts, various exit strategies and their timing, and other scientific developments that could be related to the valuation of our company, or, at a minimum, annually. Third-party valuations were performed in accordance with the guidance outlined in the American Institute of Certified Public Accountants’ Accounting and Valuation Guide, </w:t>
      </w:r>
      <w:r>
        <w:rPr>
          <w:rFonts w:ascii="Arial" w:cs="Arial" w:eastAsia="Arial" w:hAnsi="Arial"/>
          <w:sz w:val="15"/>
          <w:szCs w:val="15"/>
          <w:i w:val="1"/>
          <w:iCs w:val="1"/>
          <w:color w:val="auto"/>
        </w:rPr>
        <w:t>Valuation of Privately-Held-Company Equity</w:t>
      </w:r>
      <w:r>
        <w:rPr>
          <w:rFonts w:ascii="Arial" w:cs="Arial" w:eastAsia="Arial" w:hAnsi="Arial"/>
          <w:sz w:val="15"/>
          <w:szCs w:val="15"/>
          <w:color w:val="auto"/>
        </w:rPr>
        <w:t xml:space="preserve"> </w:t>
      </w:r>
      <w:r>
        <w:rPr>
          <w:rFonts w:ascii="Arial" w:cs="Arial" w:eastAsia="Arial" w:hAnsi="Arial"/>
          <w:sz w:val="15"/>
          <w:szCs w:val="15"/>
          <w:i w:val="1"/>
          <w:iCs w:val="1"/>
          <w:color w:val="auto"/>
        </w:rPr>
        <w:t>Securities Issued as Compensation</w:t>
      </w:r>
      <w:r>
        <w:rPr>
          <w:rFonts w:ascii="Arial" w:cs="Arial" w:eastAsia="Arial" w:hAnsi="Arial"/>
          <w:sz w:val="15"/>
          <w:szCs w:val="15"/>
          <w:color w:val="auto"/>
        </w:rPr>
        <w:t>.</w:t>
      </w:r>
    </w:p>
    <w:p>
      <w:pPr>
        <w:spacing w:after="0" w:line="105"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estimates of fair value of our common stock are highly complex and subjective. There are significant judgments and estimates inherent in the determination of the fair value of our common shares. These judgments and estimates include assumptions regarding our future operating performance, the time to completing an initial public offering, or IPO, or other liquidity event, the related valuations associated with these events, and the determinations of the appropriate valuation methods at each valuation date. The assumptions underlying these valuations represent our best estimates, which involve inherent uncertainties and the application of management judgment. If we had made different assumptions, our equity-based compensation expense, net loss and net loss per share applicable to common shareholders could have been materially different.</w:t>
      </w:r>
    </w:p>
    <w:p>
      <w:pPr>
        <w:spacing w:after="0" w:line="9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Following the completion of this offering, we intend to determine the fair value of our common stock based on the closing price of our common stock as reported by Nasdaq on the date of grant.</w:t>
      </w:r>
    </w:p>
    <w:p>
      <w:pPr>
        <w:spacing w:after="0" w:line="9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following table details equity-based awards that we granted and awarded in the three months ended</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March 31, 2021 and 2020, and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tbl>
      <w:tblPr>
        <w:tblLayout w:type="fixed"/>
        <w:tblInd w:w="140" w:type="dxa"/>
        <w:tblCellMar>
          <w:top w:w="0" w:type="dxa"/>
          <w:left w:w="0" w:type="dxa"/>
          <w:bottom w:w="0" w:type="dxa"/>
          <w:right w:w="0" w:type="dxa"/>
        </w:tblCellMar>
      </w:tblPr>
      <w:tr>
        <w:trPr>
          <w:trHeight w:val="139"/>
        </w:trPr>
        <w:tc>
          <w:tcPr>
            <w:tcW w:w="4140" w:type="dxa"/>
            <w:vAlign w:val="bottom"/>
            <w:gridSpan w:val="3"/>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Estimate of</w:t>
            </w:r>
          </w:p>
        </w:tc>
        <w:tc>
          <w:tcPr>
            <w:tcW w:w="780" w:type="dxa"/>
            <w:vAlign w:val="bottom"/>
          </w:tcPr>
          <w:p>
            <w:pPr>
              <w:spacing w:after="0"/>
              <w:rPr>
                <w:sz w:val="24"/>
                <w:szCs w:val="24"/>
                <w:color w:val="auto"/>
              </w:rPr>
            </w:pPr>
          </w:p>
        </w:tc>
      </w:tr>
      <w:tr>
        <w:trPr>
          <w:trHeight w:val="132"/>
        </w:trPr>
        <w:tc>
          <w:tcPr>
            <w:tcW w:w="1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5"/>
              </w:rPr>
              <w:t>Common Share</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2"/>
              </w:rPr>
              <w:t>Black-Scholes</w:t>
            </w:r>
          </w:p>
        </w:tc>
      </w:tr>
      <w:tr>
        <w:trPr>
          <w:trHeight w:val="132"/>
        </w:trPr>
        <w:tc>
          <w:tcPr>
            <w:tcW w:w="1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2"/>
              </w:rPr>
              <w:t>Shares Subject</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7"/>
              </w:rPr>
              <w:t>Fair Value Per</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Value Per</w:t>
            </w:r>
          </w:p>
        </w:tc>
      </w:tr>
      <w:tr>
        <w:trPr>
          <w:trHeight w:val="132"/>
        </w:trPr>
        <w:tc>
          <w:tcPr>
            <w:tcW w:w="1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2"/>
              </w:rPr>
              <w:t>to Awards</w:t>
            </w: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2"/>
              </w:rPr>
              <w:t>Per Share</w:t>
            </w:r>
          </w:p>
        </w:tc>
        <w:tc>
          <w:tcPr>
            <w:tcW w:w="9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Share on Grant</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Share on Grant</w:t>
            </w:r>
          </w:p>
        </w:tc>
      </w:tr>
      <w:tr>
        <w:trPr>
          <w:trHeight w:val="150"/>
        </w:trPr>
        <w:tc>
          <w:tcPr>
            <w:tcW w:w="102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Grant Date</w:t>
            </w: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Granted</w:t>
            </w: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Exercise Price</w:t>
            </w: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Date</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Date</w:t>
            </w:r>
          </w:p>
        </w:tc>
      </w:tr>
      <w:tr>
        <w:trPr>
          <w:trHeight w:val="21"/>
        </w:trPr>
        <w:tc>
          <w:tcPr>
            <w:tcW w:w="10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May 15, 2019</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10,000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$4.72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$4.72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$ 3.02</w:t>
            </w:r>
          </w:p>
        </w:tc>
      </w:tr>
      <w:tr>
        <w:trPr>
          <w:trHeight w:val="209"/>
        </w:trPr>
        <w:tc>
          <w:tcPr>
            <w:tcW w:w="10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December 16, 2019</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150,000</w:t>
            </w:r>
          </w:p>
        </w:tc>
        <w:tc>
          <w:tcPr>
            <w:tcW w:w="16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4.21</w:t>
            </w:r>
          </w:p>
        </w:tc>
        <w:tc>
          <w:tcPr>
            <w:tcW w:w="18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4.21</w:t>
            </w:r>
          </w:p>
        </w:tc>
        <w:tc>
          <w:tcPr>
            <w:tcW w:w="1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2.45</w:t>
            </w:r>
          </w:p>
        </w:tc>
      </w:tr>
      <w:tr>
        <w:trPr>
          <w:trHeight w:val="209"/>
        </w:trPr>
        <w:tc>
          <w:tcPr>
            <w:tcW w:w="10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16, 2019</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554,496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4.21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4.21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2.63</w:t>
            </w:r>
          </w:p>
        </w:tc>
      </w:tr>
      <w:tr>
        <w:trPr>
          <w:trHeight w:val="209"/>
        </w:trPr>
        <w:tc>
          <w:tcPr>
            <w:tcW w:w="10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February 25, 2020</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139,100</w:t>
            </w:r>
          </w:p>
        </w:tc>
        <w:tc>
          <w:tcPr>
            <w:tcW w:w="160" w:type="dxa"/>
            <w:vAlign w:val="bottom"/>
          </w:tcPr>
          <w:p>
            <w:pPr>
              <w:spacing w:after="0"/>
              <w:rPr>
                <w:sz w:val="18"/>
                <w:szCs w:val="18"/>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4.21</w:t>
            </w:r>
          </w:p>
        </w:tc>
        <w:tc>
          <w:tcPr>
            <w:tcW w:w="18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4.21</w:t>
            </w:r>
          </w:p>
        </w:tc>
        <w:tc>
          <w:tcPr>
            <w:tcW w:w="180" w:type="dxa"/>
            <w:vAlign w:val="bottom"/>
          </w:tcPr>
          <w:p>
            <w:pPr>
              <w:spacing w:after="0"/>
              <w:rPr>
                <w:sz w:val="18"/>
                <w:szCs w:val="18"/>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2.55</w:t>
            </w:r>
          </w:p>
        </w:tc>
      </w:tr>
      <w:tr>
        <w:trPr>
          <w:trHeight w:val="209"/>
        </w:trPr>
        <w:tc>
          <w:tcPr>
            <w:tcW w:w="10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25, 2020</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65,000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4.21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4.21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2.39</w:t>
            </w:r>
          </w:p>
        </w:tc>
      </w:tr>
      <w:tr>
        <w:trPr>
          <w:trHeight w:val="220"/>
        </w:trPr>
        <w:tc>
          <w:tcPr>
            <w:tcW w:w="10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July 3, 2020</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5,000</w:t>
            </w:r>
          </w:p>
        </w:tc>
        <w:tc>
          <w:tcPr>
            <w:tcW w:w="160" w:type="dxa"/>
            <w:vAlign w:val="bottom"/>
          </w:tcPr>
          <w:p>
            <w:pPr>
              <w:spacing w:after="0"/>
              <w:rPr>
                <w:sz w:val="19"/>
                <w:szCs w:val="19"/>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9"/>
                <w:szCs w:val="19"/>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2.62</w:t>
            </w:r>
          </w:p>
        </w:tc>
      </w:tr>
      <w:tr>
        <w:trPr>
          <w:trHeight w:val="220"/>
        </w:trPr>
        <w:tc>
          <w:tcPr>
            <w:tcW w:w="1020" w:type="dxa"/>
            <w:vAlign w:val="bottom"/>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July 3, 2020</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15,000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4.35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4.35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2.61</w:t>
            </w:r>
          </w:p>
        </w:tc>
      </w:tr>
      <w:tr>
        <w:trPr>
          <w:trHeight w:val="220"/>
        </w:trPr>
        <w:tc>
          <w:tcPr>
            <w:tcW w:w="10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July 3, 2020</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5,000</w:t>
            </w:r>
          </w:p>
        </w:tc>
        <w:tc>
          <w:tcPr>
            <w:tcW w:w="160" w:type="dxa"/>
            <w:vAlign w:val="bottom"/>
          </w:tcPr>
          <w:p>
            <w:pPr>
              <w:spacing w:after="0"/>
              <w:rPr>
                <w:sz w:val="19"/>
                <w:szCs w:val="19"/>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9"/>
                <w:szCs w:val="19"/>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2.63</w:t>
            </w:r>
          </w:p>
        </w:tc>
      </w:tr>
      <w:tr>
        <w:trPr>
          <w:trHeight w:val="220"/>
        </w:trPr>
        <w:tc>
          <w:tcPr>
            <w:tcW w:w="1020" w:type="dxa"/>
            <w:vAlign w:val="bottom"/>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July 3, 2020</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4,674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4.35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4.35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3.41</w:t>
            </w:r>
          </w:p>
        </w:tc>
      </w:tr>
      <w:tr>
        <w:trPr>
          <w:trHeight w:val="220"/>
        </w:trPr>
        <w:tc>
          <w:tcPr>
            <w:tcW w:w="10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September 25, 2020</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2,000</w:t>
            </w:r>
          </w:p>
        </w:tc>
        <w:tc>
          <w:tcPr>
            <w:tcW w:w="160" w:type="dxa"/>
            <w:vAlign w:val="bottom"/>
          </w:tcPr>
          <w:p>
            <w:pPr>
              <w:spacing w:after="0"/>
              <w:rPr>
                <w:sz w:val="19"/>
                <w:szCs w:val="19"/>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9"/>
                <w:szCs w:val="19"/>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2.62</w:t>
            </w:r>
          </w:p>
        </w:tc>
      </w:tr>
      <w:tr>
        <w:trPr>
          <w:trHeight w:val="220"/>
        </w:trPr>
        <w:tc>
          <w:tcPr>
            <w:tcW w:w="1020" w:type="dxa"/>
            <w:vAlign w:val="bottom"/>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25, 2020</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4,674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4.35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4.35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3.40</w:t>
            </w:r>
          </w:p>
        </w:tc>
      </w:tr>
      <w:tr>
        <w:trPr>
          <w:trHeight w:val="231"/>
        </w:trPr>
        <w:tc>
          <w:tcPr>
            <w:tcW w:w="1020" w:type="dxa"/>
            <w:vAlign w:val="bottom"/>
          </w:tcPr>
          <w:p>
            <w:pPr>
              <w:spacing w:after="0"/>
              <w:rPr>
                <w:sz w:val="20"/>
                <w:szCs w:val="20"/>
                <w:color w:val="auto"/>
              </w:rPr>
            </w:pPr>
          </w:p>
        </w:tc>
        <w:tc>
          <w:tcPr>
            <w:tcW w:w="3120" w:type="dxa"/>
            <w:vAlign w:val="bottom"/>
            <w:gridSpan w:val="2"/>
          </w:tcPr>
          <w:p>
            <w:pPr>
              <w:spacing w:after="0" w:line="231" w:lineRule="exact"/>
              <w:rPr>
                <w:sz w:val="20"/>
                <w:szCs w:val="20"/>
                <w:color w:val="auto"/>
              </w:rPr>
            </w:pPr>
            <w:r>
              <w:rPr>
                <w:rFonts w:ascii="Arial" w:cs="Arial" w:eastAsia="Arial" w:hAnsi="Arial"/>
                <w:sz w:val="15"/>
                <w:szCs w:val="15"/>
                <w:color w:val="auto"/>
              </w:rPr>
              <w:t>October 25, 2020</w:t>
            </w:r>
            <w:r>
              <w:rPr>
                <w:rFonts w:ascii="Arial" w:cs="Arial" w:eastAsia="Arial" w:hAnsi="Arial"/>
                <w:sz w:val="21"/>
                <w:szCs w:val="21"/>
                <w:color w:val="auto"/>
                <w:vertAlign w:val="superscript"/>
              </w:rPr>
              <w:t>(1)</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4,674</w:t>
            </w:r>
          </w:p>
        </w:tc>
        <w:tc>
          <w:tcPr>
            <w:tcW w:w="160" w:type="dxa"/>
            <w:vAlign w:val="bottom"/>
          </w:tcPr>
          <w:p>
            <w:pPr>
              <w:spacing w:after="0"/>
              <w:rPr>
                <w:sz w:val="20"/>
                <w:szCs w:val="20"/>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4.69</w:t>
            </w:r>
          </w:p>
        </w:tc>
      </w:tr>
      <w:tr>
        <w:trPr>
          <w:trHeight w:val="220"/>
        </w:trPr>
        <w:tc>
          <w:tcPr>
            <w:tcW w:w="1020" w:type="dxa"/>
            <w:vAlign w:val="bottom"/>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18, 2021</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2,000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5.77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5.77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3.52</w:t>
            </w:r>
          </w:p>
        </w:tc>
      </w:tr>
      <w:tr>
        <w:trPr>
          <w:trHeight w:val="220"/>
        </w:trPr>
        <w:tc>
          <w:tcPr>
            <w:tcW w:w="10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March 18, 2021</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101,000</w:t>
            </w:r>
          </w:p>
        </w:tc>
        <w:tc>
          <w:tcPr>
            <w:tcW w:w="160" w:type="dxa"/>
            <w:vAlign w:val="bottom"/>
          </w:tcPr>
          <w:p>
            <w:pPr>
              <w:spacing w:after="0"/>
              <w:rPr>
                <w:sz w:val="19"/>
                <w:szCs w:val="19"/>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19"/>
                <w:szCs w:val="19"/>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3.54</w:t>
            </w:r>
          </w:p>
        </w:tc>
      </w:tr>
      <w:tr>
        <w:trPr>
          <w:trHeight w:val="220"/>
        </w:trPr>
        <w:tc>
          <w:tcPr>
            <w:tcW w:w="1020" w:type="dxa"/>
            <w:vAlign w:val="bottom"/>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18, 2021</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1,000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5.77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5.77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3.57</w:t>
            </w:r>
          </w:p>
        </w:tc>
      </w:tr>
      <w:tr>
        <w:trPr>
          <w:trHeight w:val="220"/>
        </w:trPr>
        <w:tc>
          <w:tcPr>
            <w:tcW w:w="10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March 18, 2021</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2,000</w:t>
            </w:r>
          </w:p>
        </w:tc>
        <w:tc>
          <w:tcPr>
            <w:tcW w:w="160" w:type="dxa"/>
            <w:vAlign w:val="bottom"/>
          </w:tcPr>
          <w:p>
            <w:pPr>
              <w:spacing w:after="0"/>
              <w:rPr>
                <w:sz w:val="19"/>
                <w:szCs w:val="19"/>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19"/>
                <w:szCs w:val="19"/>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3.58</w:t>
            </w:r>
          </w:p>
        </w:tc>
      </w:tr>
      <w:tr>
        <w:trPr>
          <w:trHeight w:val="220"/>
        </w:trPr>
        <w:tc>
          <w:tcPr>
            <w:tcW w:w="1020" w:type="dxa"/>
            <w:vAlign w:val="bottom"/>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18, 2021</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11,000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5.77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5.77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3.61</w:t>
            </w:r>
          </w:p>
        </w:tc>
      </w:tr>
      <w:tr>
        <w:trPr>
          <w:trHeight w:val="220"/>
        </w:trPr>
        <w:tc>
          <w:tcPr>
            <w:tcW w:w="10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March 18, 2021</w:t>
            </w:r>
          </w:p>
        </w:tc>
        <w:tc>
          <w:tcPr>
            <w:tcW w:w="760" w:type="dxa"/>
            <w:vAlign w:val="bottom"/>
          </w:tcPr>
          <w:p>
            <w:pPr>
              <w:jc w:val="right"/>
              <w:ind w:right="69"/>
              <w:spacing w:after="0"/>
              <w:rPr>
                <w:sz w:val="20"/>
                <w:szCs w:val="20"/>
                <w:color w:val="auto"/>
              </w:rPr>
            </w:pPr>
            <w:r>
              <w:rPr>
                <w:rFonts w:ascii="Arial" w:cs="Arial" w:eastAsia="Arial" w:hAnsi="Arial"/>
                <w:sz w:val="15"/>
                <w:szCs w:val="15"/>
                <w:color w:val="auto"/>
              </w:rPr>
              <w:t>42,910</w:t>
            </w:r>
          </w:p>
        </w:tc>
        <w:tc>
          <w:tcPr>
            <w:tcW w:w="160" w:type="dxa"/>
            <w:vAlign w:val="bottom"/>
          </w:tcPr>
          <w:p>
            <w:pPr>
              <w:spacing w:after="0"/>
              <w:rPr>
                <w:sz w:val="19"/>
                <w:szCs w:val="19"/>
                <w:color w:val="auto"/>
              </w:rPr>
            </w:pPr>
          </w:p>
        </w:tc>
        <w:tc>
          <w:tcPr>
            <w:tcW w:w="720" w:type="dxa"/>
            <w:vAlign w:val="bottom"/>
          </w:tcPr>
          <w:p>
            <w:pPr>
              <w:jc w:val="right"/>
              <w:ind w:right="108"/>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5"/>
                <w:szCs w:val="15"/>
                <w:color w:val="auto"/>
              </w:rPr>
              <w:t>5.77</w:t>
            </w:r>
          </w:p>
        </w:tc>
        <w:tc>
          <w:tcPr>
            <w:tcW w:w="180" w:type="dxa"/>
            <w:vAlign w:val="bottom"/>
          </w:tcPr>
          <w:p>
            <w:pPr>
              <w:spacing w:after="0"/>
              <w:rPr>
                <w:sz w:val="19"/>
                <w:szCs w:val="19"/>
                <w:color w:val="auto"/>
              </w:rPr>
            </w:pPr>
          </w:p>
        </w:tc>
        <w:tc>
          <w:tcPr>
            <w:tcW w:w="780" w:type="dxa"/>
            <w:vAlign w:val="bottom"/>
          </w:tcPr>
          <w:p>
            <w:pPr>
              <w:jc w:val="right"/>
              <w:ind w:right="149"/>
              <w:spacing w:after="0"/>
              <w:rPr>
                <w:sz w:val="20"/>
                <w:szCs w:val="20"/>
                <w:color w:val="auto"/>
              </w:rPr>
            </w:pPr>
            <w:r>
              <w:rPr>
                <w:rFonts w:ascii="Arial" w:cs="Arial" w:eastAsia="Arial" w:hAnsi="Arial"/>
                <w:sz w:val="15"/>
                <w:szCs w:val="15"/>
                <w:color w:val="auto"/>
              </w:rPr>
              <w:t>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-2489835</wp:posOffset>
            </wp:positionV>
            <wp:extent cx="11176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-2489835</wp:posOffset>
            </wp:positionV>
            <wp:extent cx="11176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-2489835</wp:posOffset>
            </wp:positionV>
            <wp:extent cx="11176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-2489835</wp:posOffset>
            </wp:positionV>
            <wp:extent cx="11176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97790</wp:posOffset>
            </wp:positionV>
            <wp:extent cx="44640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9" w:lineRule="exact"/>
        <w:rPr>
          <w:sz w:val="20"/>
          <w:szCs w:val="20"/>
          <w:color w:val="auto"/>
        </w:rPr>
      </w:pPr>
    </w:p>
    <w:p>
      <w:pPr>
        <w:ind w:left="1460" w:hanging="296"/>
        <w:spacing w:after="0"/>
        <w:tabs>
          <w:tab w:leader="none" w:pos="14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Represents an equity-based award for services rendered in 2020.</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12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See Note 2 to our consolidated financial statements and Note 2 to our unaudited interim consolidated financial statements found elsewhere in this prospectus for a description of recent accounting pronouncements applicable to our consolidated financial statements.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Off-balance Sheet Arrangements</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During the periods presented, we did not have, nor do we currently have, any off-balance sheet arrangements as defined in the rules and regulations of the SEC.</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24"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As of March 31, 2021, our cash consists of cash held as deposits at a major financial banking institution and highly liquid investments with an original maturity of three months or less at the date of purchase. As a result, the fair value of our portfolio is relatively insensitive to interest rate changes. As of March 31, 2021, we had no variable-rate debt outstanding and are therefore not exposed to interest rate risk with respect to debt. We believe a hypothetical 100 basis point increase or decrease in interest rates during the period presented would not have had a material impact on our financial results.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113"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All of our employees and our operations are currently located in the United States and our expenses are generally denominated in U.S. dollars. We believe a hypothetical 100 basis point increase or decrease in exchange rates during the period presented would not have had a material impact on our financial results.</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Effects of Inflation</w:t>
      </w:r>
    </w:p>
    <w:p>
      <w:pPr>
        <w:spacing w:after="0" w:line="113"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Inflation generally affects us by increasing our cost of labor and research, manufacturing, and clinical development costs. We do not believe that inflation and changing prices had a significant impact on our results of operations for the period presented herein.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Emerging Growth Company Status</w:t>
      </w:r>
    </w:p>
    <w:p>
      <w:pPr>
        <w:spacing w:after="0" w:line="128"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9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9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We may remain classified as an EGC until the end of the fiscal year following the fifth anniversary of this offering, although if the market value of our common stock that is held by non-affiliates exceeds $700 million as of June 30 of any year before that time, or if we have annual gross revenues of $1.07 billion or more in any fiscal year, we would cease to be an EGC as of December 31 of the applicable year. We also would cease to be an EGC if we issue more than $1.0 billion of non-convertible debt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17"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We are a biopharmaceutical company with an emerging pipeline focused on improving patient outcomes across a spectrum of debilitating oncologic and neurologic diseases by applying our deep knowledge of translational bioinformatics to every stage of the drug development process. We have more than a decade of experience in translational bioinformatics and generating insights into drug mechanisms of action and patient treatment responses. Building on this experience, we developed a disease-agnostic platform that enables us to utilize human data, novel biology and chemistry, and translational planning to create and advance our wholly owned pipeline. Our current development programs in oncology are focused on providing treatments for patients with solid tumors caused by mutations of the MAPK pathway and other oncologic signaling pathways. Our lead oncology product candidate, IMM-1-104, is designed to be a highly selective dual-MEK inhibitor that further disrupts KSR for the treatment of advanced solid tumors in patients harboring RAS mutant tumors. We plan to submit an IND for IMM-1-104 to the FDA in the first quarter of 2022. In addition, we anticipate filing at least two additional INDs for our other oncology programs, one in each of 2023 and 2024.</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Our platform is enabled by our ability to efficiently analyze high-throughput molecular-level biochemical assays, including transcriptomics, genomics and/or proteomics, collectively referred to as Omics data. These different types of biochemical assays each provide us with unique information about the molecular mechanisms of disease biology and drug response. Since our inception, we have partnered with industry-leading pharmaceutical and biotechnology companies to perform a variety of analyses that utilize our expertise in translational bioinformatics. Examples publicly disclosed by our partners include our analyses of ibrutinib, ipilimumab, daratumumab, glatiramer acetate and pridopidine.</w:t>
      </w:r>
    </w:p>
    <w:p>
      <w:pPr>
        <w:spacing w:after="0" w:line="9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In early 2018, we began applying our proprietary platform and approach to internally develop our wholly owned pipeline of orally administered small molecule drug programs. Our approach played a critical role in determining the most important characteristics for and creation of IMM-1-104. Specifically, our platform enables us to:</w:t>
      </w:r>
    </w:p>
    <w:p>
      <w:pPr>
        <w:spacing w:after="0" w:line="80" w:lineRule="exact"/>
        <w:rPr>
          <w:sz w:val="20"/>
          <w:szCs w:val="20"/>
          <w:color w:val="auto"/>
        </w:rPr>
      </w:pPr>
    </w:p>
    <w:p>
      <w:pPr>
        <w:ind w:left="1600" w:hanging="143"/>
        <w:spacing w:after="0"/>
        <w:tabs>
          <w:tab w:leader="none" w:pos="1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leverage insights from human data to identify disease transcriptional profiles we aim to counteract;</w:t>
      </w:r>
    </w:p>
    <w:p>
      <w:pPr>
        <w:spacing w:after="0" w:line="124" w:lineRule="exact"/>
        <w:rPr>
          <w:rFonts w:ascii="Arial" w:cs="Arial" w:eastAsia="Arial" w:hAnsi="Arial"/>
          <w:sz w:val="14"/>
          <w:szCs w:val="14"/>
          <w:color w:val="auto"/>
        </w:rPr>
      </w:pPr>
    </w:p>
    <w:p>
      <w:pPr>
        <w:ind w:left="1600" w:right="1179" w:hanging="143"/>
        <w:spacing w:after="0" w:line="300" w:lineRule="auto"/>
        <w:tabs>
          <w:tab w:leader="none" w:pos="1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identify novel biology, specifically evaluating new ways to drug an existing target by utilizing our proprietary Disease Cancelling Technology, or DCT, and analyze mechanisms of existing drugs;</w:t>
      </w:r>
    </w:p>
    <w:p>
      <w:pPr>
        <w:spacing w:after="0" w:line="47"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generate novel chemistry that overcomes MAPK-feedback loops to achieve optimal signaling dynamics; and</w:t>
      </w:r>
    </w:p>
    <w:p>
      <w:pPr>
        <w:spacing w:after="0" w:line="8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profile IMM-1-104 in a large number of 3D models using our own translational planning to identify the types of cancer most likely to be sensitive to the product candidate.</w:t>
      </w:r>
    </w:p>
    <w:p>
      <w:pPr>
        <w:spacing w:after="0" w:line="9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Our current oncology programs target mutations of the RAS/RAF/MEK/ERK, or MAPK, and the PI3K/AKT/mTOR, or mTOR, pathways. The MAPK and mTOR signaling pathways run parallel to each other, and in over half of all cancers, one or both of these pathways are inappropriately activated (as depicted below). Existing drugs targeting these pathways are limited by toxicity, resistance and/or are narrowly focused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on subpopulations with specific mutations. The MAPK and mTOR pathways function to drive cell proliferation, differentiation, survival and a variety of other cellular functions that are critical for the formation of tumors.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Fundamental Cancer Signaling Cellular Pathways: MAPK and mTOR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102235</wp:posOffset>
            </wp:positionV>
            <wp:extent cx="3390265" cy="1932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90265" cy="193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Each of the programs in our oncology pipeline are designed to cause cyclical disruption of abnormal activation of the MAPK and mTOR signaling pathways while limiting drug -related toxicity. Traditional drug approaches have been designed to sustain pathway inhibition, which can cause on-target drug-related toxicity and limit clinical durability as a result of drug holidays or treatment discontinuation. Based on insights derived from our translational bioinformatics platform, our differentiated approach is to design drugs with short half-lives that provide enhanced mechanistic control of the target of interest and break tumor addiction, which is the tumor’s ability to indefinitely self-replicate, metastasize and evade the host’s immune system, among others capabilities, through deep cyclic disruption of these pathways (i.e., signaling dynamics). By cyclically disrupting these core oncogenic signaling pathways in cancer cells, we believe we can create novel therapeutics that maximize therapeutic activity in broad patient populations while providing an improved tolerability profile (as depicted below). We believe we are pioneers in this unique approach of leveraging signaling dynamics against tumor addiction.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Signaling Dynamics: Traditional Sustained Inhibition Versus Our Cyclic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102235</wp:posOffset>
            </wp:positionV>
            <wp:extent cx="4011295" cy="13462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01129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Wholly Owned Pipeline</w:t>
      </w:r>
    </w:p>
    <w:p>
      <w:pPr>
        <w:spacing w:after="0" w:line="124"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Our oncology programs target clinically validated pathways, but we seek to improve patient outcomes across a wide range of addressable solid tumor types through our differentiated programs. In addition to our</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oncology pipeline, we are also leveraging our platform to build a neuroscience pipeline initially focusing on Alzheimer’s disease, or AD. Our current pipeline of product candidates and discovery programs is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77470</wp:posOffset>
            </wp:positionV>
            <wp:extent cx="3711575" cy="2085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11575" cy="208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Dual-MEK Program</w:t>
      </w:r>
    </w:p>
    <w:p>
      <w:pPr>
        <w:spacing w:after="0" w:line="11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Our dual mitogen-activated protein kinase kinase, or MEK, product candidate, IMM -1-104, is designed to be a highly selective inhibitor of mitogen-activated protein kinase kinase kinase, or ERK, activation (i.e., phosphorylation), prevent MAPK pathway reactivation and have a short plasma half-life that reduces sustained pathway inhibition (as depicted below) . Unlike MEK inhibitors approved by the U.S. Food and Drug Administration, or the FDA, IMM-1-104 is designed to prevent RAF- mediated activation of MEK by engagement of the RAF activation loop on MEK, such as CRAF-bypass, and further disrupt the kinase suppressor of RAS 1 and 2, or KSR. Additionally, with a short plasma half-life, IMM-1-104 can achieve deep cyclic inhibition of the MAPK pathway. We believe this innovative method of pathway inhibition normalizes cancer cell signaling dynamics and prevents further damage to normal healthy cells. Collectively, we believe these qualities differentiate IMM-1-104 from known MEK inhibitors by potentially enabling IMM-1-104 to avoid drug resistance while improving tolerability.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Dual-MEK Inhibition Prevents Activation of MEK and Downstream Activation of 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74295</wp:posOffset>
            </wp:positionV>
            <wp:extent cx="4234815" cy="1925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234815" cy="192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In preclinical studies, we observed that IMM-1-104 inhibited MEK and ERK across a wide range of human and murine solid tumor models, including those with activating mutations in KRAS, NRAS, HRAS and BRAF. In addition, in head-to-head preclinical studies, we evaluated IMM-1-104 in murine-based KRAS and BRAF mutant solid tumor models representing lung, colon, pancreas and skin cancer, and observed tumor stasis or regression with insignificant body weight loss, or BWL, when compared to certain current FDA-approved MEK and BRAF inhibitors. We are also currently evaluating IMM-1-104 in a murine-based NRAS melanoma tumor model. Given the data observed in these preclinical studies, we believe that IMM-1-104 has the potential to deliver clinical benefit as monotherapy and, in the future, may potentially be administered in select drug combinations for patients with RAS and/or RAF mutant solid tumors who currently have limited treatment options.</w:t>
      </w:r>
    </w:p>
    <w:p>
      <w:pPr>
        <w:spacing w:after="0" w:line="100"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IMM-1-104 is currently undergoing Investigational New Drug, or IND, enabling studies. We plan to submit an IND for IMM-1-104 to the FDA in the first quarter of 2022. We intend to initiate our first-in-human Phase 1 clinical trial of IMM-1-104 in the first half of 2022 for the treatment of advanced solid tumors in patients harboring RAS mutant tumors, if our IND for IMM-1-104 is accepted.</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MEK-Immuno-Oncology and Other Oncology Programs</w:t>
      </w:r>
    </w:p>
    <w:p>
      <w:pPr>
        <w:spacing w:after="0" w:line="124"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Our MEK-immuno-oncology, or MEK-io, program is focused on developing innovative allosteric MEK inhibitors to be administered in combination with select immune modulators (e.g., checkpoint inhibitors) for the treatment of “cold” solid tumors, which are immunologically inaccessible. Our investigational MEK-io program inhibitors are designed to target MEK in a way that disrupts the MAPK pathway at ERK and to also reduce baseline MEK activation. We are designing these inhibitors with unique pharmacokinetic, or PK, and pharmacodynamic, or PD, profiles that may enhance cycle inhibition time of MEK and ERK to optimize the patient’s immune response and promote maximal antitumor responses when administered in combination with select immune modulators.</w:t>
      </w:r>
    </w:p>
    <w:p>
      <w:pPr>
        <w:spacing w:after="0" w:line="9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 xml:space="preserve">We observed an initial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for our MEK-io program in a widely utilized syngeneic murine model. We evaluated one of our investigational MEK-io program inhibitors monotherapy and in combination with a checkpoint inhibitor as compared to vehicle to observe tumor growth inhibition in tumor-bearing BALB/C mice. Neither treatment alone altered tumor growth as compared to vehicle. However, when we administered our investigational MEK-io program inhibitor in combination with the checkpoint inhibitor, we observed greater than 50% tumor growth inhibition after two weeks of dosing as compared to vehicle treated mice.</w:t>
      </w:r>
    </w:p>
    <w:p>
      <w:pPr>
        <w:spacing w:after="0" w:line="9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Our MEK-io program is currently in the lead optimization stage of development and we are screening multiple advanced drug analogues for optimal PK and PD profiles that maximally modulate tumor growth inhibition through cyclic inhibition of MEK and ERK. Top candidates will be further evaluated in vivo for optimal drug-like properties that demonstrate synergistic tumor growth inhibition when combined with select immune modulators in preclinical cold solid tumor models.</w:t>
      </w:r>
    </w:p>
    <w:p>
      <w:pPr>
        <w:spacing w:after="0" w:line="105"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We are leveraging our platform to continue expanding our oncology pipeline by targeting the MAPK and mTOR pathways in novel ways. We have five additional programs in various stages of drug discovery focused on targeting these pathways through novel pharmacological approaches.</w:t>
      </w:r>
    </w:p>
    <w:p>
      <w:pPr>
        <w:spacing w:after="0" w:line="10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In addition to the expected IND filing of IMM-1-104, we anticipate filing at least two additional INDs for our other oncology programs, one in each of 2023 and 2024.</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Neuroscience Programs</w:t>
      </w:r>
    </w:p>
    <w:p>
      <w:pPr>
        <w:spacing w:after="0" w:line="1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AD is the most common form of dementia and one in three adults over the age of 65 succumb to AD-related dementia or another form of dementia. We believe there are specific subgroups of AD that can be stratified through gene expression and brain pathology. To identify AD subgroups, we have leveraged our platform to employ a patient-centric, data-driven approach. AD is a neurodegenerative disorder of uncertain cause and pathogenesis characterized by memory impairment and further cognitive decline that can ultimately affect the patient’s behavior, speech, visuospatial orientation and motor system. AD is a complex multifactorial disease driven by genetic and environmental causes that affects older adults and is one of the leading sources of</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morbidity and mortality in the aging population. The estimated total healthcare costs for the treatment of AD was approximately $305 billion in 2020, with the cost expected to increase to more than $1 trillion by 2050.</w:t>
      </w:r>
    </w:p>
    <w:p>
      <w:pPr>
        <w:spacing w:after="0" w:line="89"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Our neuroscience programs are in the early stages of drug discovery, and we are evaluating undisclosed targets to pursue a unique approach to treating AD. Our focus is to slow the progression of AD by developing targeted therapies for distinct biological mechanisms that we have identified in specific AD subgroups. Our platform and expertise in neurology and neuroscience have allowed us to determine biological differences in AD patients to help develop novel product candidates that may potentially address the significant unmet needs of this underserved patient population.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Team</w:t>
      </w:r>
    </w:p>
    <w:p>
      <w:pPr>
        <w:spacing w:after="0" w:line="12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We were founded in 2008 by our Chief Executive Officer, Benjamin J. Zeskind, Ph.D., and a member of our board of directors, Robert J. Carpenter, with the goal of leveraging translational bioinformatics to generate insights into the mechanisms that cause certain patients to respond to specific medicines across multiple therapeutic areas. Our multi-disciplinary team brings together experts across translational bioinformatics, preclinical and clinical development in both oncology and neuroscience and includes individuals with extensive experience at some of the leading pharmaceutical companies, including Johnson &amp; Johnson, AstraZeneca and Incyte. We are currently supported by a high-quality group of investors, including entities affiliated with Cormorant Asset Management, Surveyor Capital (a Citadel company), Rock Springs Capital and entities advised or sub-advised by T. Rowe Price Associates, Inc.</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History</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Our company is built on more than a decade of experience in translational bioinformatics. Since our founding in 2008, we have utilized this experience to generate insights into the mechanisms that cause certain patients to respond to specific medicines across therapeutic areas by analyzing Omics data. Our computational biology services business has helped us to better understand how translational bioinformatics can contribute to each stage of drug development, from early drug discovery to clinical development and through commercialization. However, we recognized the limitations of applying translational bioinformatics in isolation to specific stages of the drug development process and realized that bioinformatics could be even more helpful if applied continuously throughout the drug development process. Over time, we have developed a proprietary technology platform to facilitate that process and, in early 2018, we began applying the extensive insights from and capabilities of our platform and approach to create a wholly owned pipeline of drug programs, initially focusing on oncology.</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Strategy</w:t>
      </w:r>
    </w:p>
    <w:p>
      <w:pPr>
        <w:spacing w:after="0" w:line="117"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Our mission is to develop novel therapies by utilizing our disease-agnostic platform to address areas of high unmet medical need, initially in cancer and neurologic diseases. Our platform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suboptimal treatment options. To achieve our mission, we are executing a near-term strategy with the following key elements:</w:t>
      </w:r>
    </w:p>
    <w:p>
      <w:pPr>
        <w:spacing w:after="0" w:line="56" w:lineRule="exact"/>
        <w:rPr>
          <w:sz w:val="20"/>
          <w:szCs w:val="20"/>
          <w:color w:val="auto"/>
        </w:rPr>
      </w:pPr>
    </w:p>
    <w:p>
      <w:pPr>
        <w:jc w:val="both"/>
        <w:ind w:left="1600" w:right="1179" w:hanging="143"/>
        <w:spacing w:after="0" w:line="268" w:lineRule="auto"/>
        <w:tabs>
          <w:tab w:leader="none" w:pos="1600"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Advance IMM-1-104 into Clinical Development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that IMM-1-104 has the potential to treat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broad populations of solid tumor patients, specifically those with inappropriate activation of the MAPK pathway. IMM-1-104 has been specifically designed to overcome MAPK-feedback loops and, combined with its intentionally short half-life, could have the potential to provide broader therapeutic activity and an improved tolerability profile relative to known MEK inhibitors. We believe IMM-1-104 has the potential to target patients with a broad spectrum of mutations in KRAS and NRAS, as well as other mutations that activate the MAPK pathway. IMM-1-104 is currently in IND-enabling studies, and we expect to submit an IND in the first quarter of 2022.</w:t>
      </w:r>
    </w:p>
    <w:p>
      <w:pPr>
        <w:spacing w:after="0" w:line="55" w:lineRule="exact"/>
        <w:rPr>
          <w:rFonts w:ascii="Arial" w:cs="Arial" w:eastAsia="Arial" w:hAnsi="Arial"/>
          <w:sz w:val="14"/>
          <w:szCs w:val="14"/>
          <w:color w:val="auto"/>
        </w:rPr>
      </w:pPr>
    </w:p>
    <w:p>
      <w:pPr>
        <w:jc w:val="both"/>
        <w:ind w:left="1600" w:right="1179" w:hanging="143"/>
        <w:spacing w:after="0" w:line="304" w:lineRule="auto"/>
        <w:tabs>
          <w:tab w:leader="none" w:pos="160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Progress Our Pipeline of Additional MAPK and mTOR Pathway Programs to IND-Enabling Studies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key programs in our oncology pipeline also leverage our knowledge of the MAPK and mTOR pathways, translational bioinformatics and signaling dynamics. For example, we are advancing programs which modulate MEK to potentially enhance patient immune response to cancer as well as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0" w:right="1179"/>
        <w:spacing w:after="0" w:line="234" w:lineRule="auto"/>
        <w:rPr>
          <w:sz w:val="20"/>
          <w:szCs w:val="20"/>
          <w:color w:val="auto"/>
        </w:rPr>
      </w:pPr>
      <w:r>
        <w:rPr>
          <w:rFonts w:ascii="Arial" w:cs="Arial" w:eastAsia="Arial" w:hAnsi="Arial"/>
          <w:sz w:val="15"/>
          <w:szCs w:val="15"/>
          <w:color w:val="auto"/>
        </w:rPr>
        <w:t>programs which modulate the formation of RAS dimers to kill RAS-driven tumors while sparing healthy cells. We are also applying our platform to other relevant pathways and have initiated a program targeting PI3Kα in the mTOR pathway. We intend to develop other programs for the mTOR pathway, as well as other oncogenic pathways. In addition to the expected IND filing of IMM-1-104, we anticipate filing at least two additional INDs for our other oncology programs, one in each of 2023 and 2024.</w:t>
      </w:r>
    </w:p>
    <w:p>
      <w:pPr>
        <w:spacing w:after="0" w:line="57" w:lineRule="exact"/>
        <w:rPr>
          <w:sz w:val="20"/>
          <w:szCs w:val="20"/>
          <w:color w:val="auto"/>
        </w:rPr>
      </w:pPr>
    </w:p>
    <w:p>
      <w:pPr>
        <w:jc w:val="both"/>
        <w:ind w:left="1600" w:right="1179" w:hanging="143"/>
        <w:spacing w:after="0" w:line="248" w:lineRule="auto"/>
        <w:tabs>
          <w:tab w:leader="none" w:pos="160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Utilize Our Platform to Advance Our Neuroscience Programs. </w:t>
      </w:r>
      <w:r>
        <w:rPr>
          <w:rFonts w:ascii="Arial" w:cs="Arial" w:eastAsia="Arial" w:hAnsi="Arial"/>
          <w:sz w:val="15"/>
          <w:szCs w:val="15"/>
          <w:color w:val="auto"/>
        </w:rPr>
        <w:t>In addition to our extensive oncology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pipeline, we have built a neuroscience pipeline initially focused on AD, which leverages key components of our platform. We have identified subgroups of AD with distinct molecular drivers and have identified unique undisclosed targets for these specific subgroups. Currently, we are developing investigational small molecules to inhibit these undisclosed targets, which we intend to continue advancing towards IND-enabling studies.</w:t>
      </w:r>
    </w:p>
    <w:p>
      <w:pPr>
        <w:spacing w:after="0" w:line="58" w:lineRule="exact"/>
        <w:rPr>
          <w:rFonts w:ascii="Arial" w:cs="Arial" w:eastAsia="Arial" w:hAnsi="Arial"/>
          <w:sz w:val="15"/>
          <w:szCs w:val="15"/>
          <w:color w:val="auto"/>
        </w:rPr>
      </w:pPr>
    </w:p>
    <w:p>
      <w:pPr>
        <w:jc w:val="both"/>
        <w:ind w:left="1600" w:right="1179" w:hanging="143"/>
        <w:spacing w:after="0" w:line="290" w:lineRule="auto"/>
        <w:tabs>
          <w:tab w:leader="none" w:pos="1600" w:val="left"/>
        </w:tabs>
        <w:numPr>
          <w:ilvl w:val="0"/>
          <w:numId w:val="71"/>
        </w:numPr>
        <w:rPr>
          <w:rFonts w:ascii="Arial" w:cs="Arial" w:eastAsia="Arial" w:hAnsi="Arial"/>
          <w:sz w:val="13"/>
          <w:szCs w:val="13"/>
          <w:color w:val="auto"/>
        </w:rPr>
      </w:pPr>
      <w:r>
        <w:rPr>
          <w:rFonts w:ascii="Arial" w:cs="Arial" w:eastAsia="Arial" w:hAnsi="Arial"/>
          <w:sz w:val="13"/>
          <w:szCs w:val="13"/>
          <w:b w:val="1"/>
          <w:bCs w:val="1"/>
          <w:i w:val="1"/>
          <w:iCs w:val="1"/>
          <w:color w:val="auto"/>
        </w:rPr>
        <w:t>Continue to Grow and Advance Our Platform</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have built a biopharmaceutical company that fully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integrates bioinformatics across all aspects of drug discovery and development. We currently utilize our bioinformatics platform for our drug discovery efforts in oncology and neuroscience, and as we advance our product candidates into and through the clinic, we plan to utilize data and insights from our bioinformatics platform to not only guide future clinical development but to also provide key learnings back to our earlier stage programs. Lastly, we continue to iterate on our existing technology and processes, and develop new technologies for our platform, all aimed at creating the most efficient process for the development of product candidates that we believe have the potential to optimize both safety and efficacy in broad patient populations with high unmet medical needs.</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Bioinformatics Approach</w:t>
      </w:r>
    </w:p>
    <w:p>
      <w:pPr>
        <w:spacing w:after="0" w:line="12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Leveraging our history in translational bioinformatics, we have built a biopharmaceutical company that incorporates our expertise into every step of our process to discover and develop novel product candidates. Our goal is to meaningfully improve patient outcomes as compared to drugs developed through traditional drug discovery approaches. Our integrated approach has already yielded programs that have exhibited preclinical tumor growth inhibition against a broad range of clinically challenging solid tumors, which are advancing towards the clinic. Our Dual-MEK program is currently in IND- enabling studies, while the rest of our programs are in earlier stage preclinical studies. We have expanded our team of experts, including drug discovery and clinical development experts, to develop a pipeline of product candidates by leveraging our translational bioinformatics expertise (as depicted below).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Bioinformatics Expertise Leveraged Through All Stages of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109220</wp:posOffset>
            </wp:positionV>
            <wp:extent cx="3816350" cy="22256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16350" cy="222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Cancer Overview</w:t>
      </w:r>
    </w:p>
    <w:p>
      <w:pPr>
        <w:spacing w:after="0" w:line="117"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Cancer is the second most common cause of death worldwide with approximately 10 million deaths annually and an incidence of approximately 19.3 million new cases in 2020. Cancer is defined as a collection of diseases in which abnormal cells divide uncontrollably and can invade nearby tissues. The uncontrollable division of abnormal cells typically results in a malignant tumor (i.e., cancerous) or benign tumor (i.e., non-cancerous). There are two main categories of cancer: hematologic (i.e., blood) cancers and solid tumor cancers. Hematologic cancers are cancers of the blood cells, and include leukemia, lymphoma and multiple myeloma. Solid tumor cancers are cancers of any of the body’s other organs or tissue, including the pancreas, skin, lung and colon. Core tumor capabilities seen in cancer patients include the ability to indefinitely self-replicate, develop new blood vessels (i.e., angiogenesis), evade cell death (i.e., apoptosis), sustain self-sufficient growth, invade other tissues (i.e., metastasis), alter signaling pathways, evade immune system responses and modify metabolism. Tumor survival is dependent on certain of these capabilities (i.e., tumor addiction).</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MAPK and mTOR Pathways</w:t>
      </w:r>
    </w:p>
    <w:p>
      <w:pPr>
        <w:spacing w:after="0" w:line="124"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In all cells, signaling pathways govern how cells regulate themselves as well as direct activities in relation to other cells in the body. Two of the most commonly altered signaling pathways in cancer are the MAPK and mTOR pathways. MAPK and mTOR are both oncogenic signaling pathways that run parallel to each other. RAS is a family of related oncogenes found upstream in each pathway that codes for four highly related protein isoforms, HRAS, NRAS, KRAS4A and KRAS4B. In over half of all cancers, one or both of these pathways are inappropriately activated, often through mutations in the key members of the pathway, including RAS, RAF and PI3Kα. When RAS is switched “on” through the activation of the membrane-bound receptor tyrosine kinase, or RTK, the MAPK and mTOR pathways function to drive cell proliferation, differentiation, survival and a variety of other cellular functions that are critical for the formation of tumors. In addition, the membrane-bound RTKs can separately activate the mTOR pathway without the assistance of RAS.</w:t>
      </w:r>
    </w:p>
    <w:p>
      <w:pPr>
        <w:spacing w:after="0" w:line="110"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Through widespread adaptation of molecular profiling, we now recognize that up to one in two cancer patients harbor tumors which are inappropriately activated through the MAPK pathway, and an additional one in three display alterations that impact the mTOR pathway. Many of these patients display tumors with activation mutations in RAS or RAF, which lie upstream of MEK and ERK. Because inappropriate activation of the MAPK and/or mTOR pathways supports many of the core tumor capabilities described above, efforts to create new therapeutics to target these pathways has been a high priority in cancer drug research. However, therapeutics that target the MAPK and mTOR pathways have not lived up to the expectations of effectively disrupting these pathways with high patient tolerability. Nearly all targeted therapeutics against the MAPK and mTOR pathways have been designed for sustained pathway suppression, which has resulted in on-target drug-related toxicity that limits clinical durability and potential drug-drug combinations. Developing novel therapeutics to effectively and safely target these pathways may provide clinical benefit in large patient populations with significant unmet needs. In addition, although these two pathways represent two of the most active areas in cancer drug discovery and development, targeted therapeutics that more effectively and safely normalize, but not ablate, ERK and mTOR signaling may uncouple drug activity and tolerability, while optimizing both. Our oncology pipeline is designed to non-chronically disrupt molecular pathways that enable tumor addiction while limiting drug-related toxicity of normal healthy cells that also rely, to a lesser degree, on these pathways.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Programs Target Aggressive Solid Tumors That Display High RAS/RAF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116205</wp:posOffset>
            </wp:positionV>
            <wp:extent cx="4213860" cy="1793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13860" cy="179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Differentiated Approach to Tackling Some the Most Challenging Cancers</w:t>
      </w:r>
    </w:p>
    <w:p>
      <w:pPr>
        <w:spacing w:after="0" w:line="12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We are leveraging our platform to target the MAPK and/or mTOR pathway. Our differentiated approach is to design drugs with short half-lives that provide enhanced mechanistic control of the target of interest and break tumor addiction through deep cyclic disruption of these pathways (i.e., signaling dynamics). We believe we are pioneers in this approach of leveraging signaling dynamics against tumor addiction, and our insights derived from our translational bioinformatics platform supports our belief that this approach may result in novel therapies targeting these pathways. Traditional drug approaches have been designed to sustain pathway inhibition, which leads to on-target drug-related toxicity and becomes limiting for clinical durability as a result of drug holidays or treatment discontinuation . The mutational activation and/or overexpression of the signaling components that activate the MAPK pathway are well-known, and MEK has been previously validated as a therapeutic target. We believe our programs, as compared to FDA-approved treatments targeting the MAPK pathway, have the potential to be differentiated by their unique engagement and PK and PD profiles. For example, our lead product candidate, IMM-1-104, is designed to inhibit ERK, prevent MAPK-pathway reactivation and have a short plasma half-life that reduces sustained pathway inhibition compared to other drugs targeting the same mechanistic pathway. By cyclically disrupting these core oncogenic signaling pathways in cancer cells, we believe we can create novel therapeutics in oncology that maximize therapeutic activity in broad patient populations while providing an improved tolerability profile as compared to other FDA-approved treatments for cancers caused by MAPK pathway activation.</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Oncology Pipeline</w:t>
      </w:r>
    </w:p>
    <w:p>
      <w:pPr>
        <w:spacing w:after="0" w:line="128"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Our current development programs in oncology are focused on providing treatments for patients with solid tumors caused by mutations of the MAPK and mTOR pathways. Our Dual-MEK product candidate, IMM-1-104, is currently being evaluated in IND-enabling studies and is complemented by multiple earlier-stage programs that also target these pathways. The following table summarizes our oncology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439420</wp:posOffset>
            </wp:positionV>
            <wp:extent cx="3718560" cy="18624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718560" cy="186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 of Our Lead Program: Dual-MEK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Background of MEK Inhibitors</w:t>
      </w:r>
    </w:p>
    <w:p>
      <w:pPr>
        <w:spacing w:after="0" w:line="12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Activating mutations of RAS and/or RAS in the MAPK pathway is observed in approximately 30% of all cancer patients, and inappropriate activation of this pathway is observed in up to 50% of all tumors and represents one of the most highly utilized signaling pathways in oncologic drug discovery. In aggressive solid tumors of the pancreas, skin, lungs and colon, mutations in RAS and/or RAF are even more common. For example, approximately 40% of lung cancers and approximately 90% of pancreatic cancers are due to RAS and/or RAF mutations. To date, FDA-approved MEK inhibitors have been ineffective at treating RAS mutant tumors when compared to BRAF mutant tumors because of a well-known mechanism of resistance, CRAF-mediated MEK activation, or the CRAF-bypass. In addition, a well-known limitation of current FDA-approved MEK inhibitors are their high rates of serious drug-related adverse events, most often in over 50% of treated patients, which results in drug intolerability. The longer half-life of these drugs (e.g., up to 2 to 4 days), or moderate half-life (e.g., 3 to 6 hours) with increased dosing frequency, contributes to high rates of adverse events because these drugs systemically circulate for an extended period of time destroying healthy normal cells, which also rely on the pathway for survival. Our goal in developing IMM-1-104 is to address these shortcomings to potentially provide patients with better outcomes, improved tolerability, durability and expand drug-drug combination opportunities (as depicted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IMM-1-104: Designed to be a Highly Differentiated Dual-MEK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116205</wp:posOffset>
            </wp:positionV>
            <wp:extent cx="3823335" cy="15906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23335" cy="159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Solution: IMM-1-104</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We have leveraged our platform to develop our lead product candidate, IMM-1-104, which is designed to be</w:t>
      </w:r>
    </w:p>
    <w:p>
      <w:pPr>
        <w:spacing w:after="0" w:line="16" w:lineRule="exact"/>
        <w:rPr>
          <w:sz w:val="20"/>
          <w:szCs w:val="20"/>
          <w:color w:val="auto"/>
        </w:rPr>
      </w:pPr>
    </w:p>
    <w:p>
      <w:pPr>
        <w:jc w:val="both"/>
        <w:ind w:left="1160" w:right="1179" w:firstLine="4"/>
        <w:spacing w:after="0" w:line="247" w:lineRule="auto"/>
        <w:tabs>
          <w:tab w:leader="none" w:pos="1278" w:val="left"/>
        </w:tabs>
        <w:numPr>
          <w:ilvl w:val="0"/>
          <w:numId w:val="72"/>
        </w:numPr>
        <w:rPr>
          <w:rFonts w:ascii="Arial" w:cs="Arial" w:eastAsia="Arial" w:hAnsi="Arial"/>
          <w:sz w:val="14"/>
          <w:szCs w:val="14"/>
          <w:color w:val="auto"/>
        </w:rPr>
      </w:pPr>
      <w:r>
        <w:rPr>
          <w:rFonts w:ascii="Arial" w:cs="Arial" w:eastAsia="Arial" w:hAnsi="Arial"/>
          <w:sz w:val="14"/>
          <w:szCs w:val="14"/>
          <w:color w:val="auto"/>
        </w:rPr>
        <w:t>highly selective dual-MEK inhibitor that promotes additional scaffold-related disruption of KSR. We are developing IMM-1-104 to treat patients with cancer, including pancreatic, melanoma, colorectal and non-small cell lung cancer, or NSCLC, caused by mutations of RAS and/or RAF. In order to overcome MAPK-feedback and CRAF-mediated MEK activation, a well-known limitation of current FDA-approved MEK inhibitors, we developed IMM-1-104 to allosterically inhibit MEK by targeting the site lying adjacent to the binding pocket of adenosine triphosphate, or ATP, which results in downstream inhibition of ERK. In addition, unlike FDA-approved MEK inhibitors, IMM-1-104 is designed to prevent RAF-mediated activation of MEK by unique engagement of MEK that further disrupts KSR. We believe the bypass of these drug resistance mechanisms will provide for better patient outcomes by enhancing therapeutic activity throughout the course of treatment. By reducing steady state drug trough levels, we also designed IMM-1-104 to limit or reduce high rates of serious drug-related adverse events (e.g., ranging from 45% to 69%) that are observed in current FDA-approved MEK inhibitors, most often given in combination with a RAF inhibitor, which contribute to discontinuation rates of up to 10% to 15%.</w:t>
      </w:r>
    </w:p>
    <w:p>
      <w:pPr>
        <w:spacing w:after="0" w:line="97"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With a goal of improving the tolerability profile of our MEK inhibitor, we designed IMM-1- 104 to have a short plasma half -life of less than 2 hours, resulting in a near-zero steady state drug trough concentration that enables deep cyclic inhibition of the MAPK pathway. We believe this method of drug cadence-driven pathway inhibition has the potential to normalize cancer cell signaling dynamics and prevent further damage to normal healthy cells. Collectively, we believe these qualities may differentiate IMM-1-104 from known MEK inhibitors by potentially allowing IMM-1- 104 to avoid drug resistance while improving tolerability due to its dual allosteric inhibition of MEK, KSR disruption and short plasma half-life.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Preclinical Studies Overview: IMM-1-104</w:t>
      </w:r>
    </w:p>
    <w:p>
      <w:pPr>
        <w:spacing w:after="0" w:line="124" w:lineRule="exact"/>
        <w:rPr>
          <w:sz w:val="20"/>
          <w:szCs w:val="20"/>
          <w:color w:val="auto"/>
        </w:rPr>
      </w:pPr>
    </w:p>
    <w:p>
      <w:pPr>
        <w:jc w:val="both"/>
        <w:ind w:left="1160" w:right="1179"/>
        <w:spacing w:after="0" w:line="241" w:lineRule="auto"/>
        <w:rPr>
          <w:sz w:val="20"/>
          <w:szCs w:val="20"/>
          <w:color w:val="auto"/>
        </w:rPr>
      </w:pPr>
      <w:r>
        <w:rPr>
          <w:rFonts w:ascii="Arial" w:cs="Arial" w:eastAsia="Arial" w:hAnsi="Arial"/>
          <w:sz w:val="14"/>
          <w:szCs w:val="14"/>
          <w:color w:val="auto"/>
        </w:rPr>
        <w:t>In multiple preclinical studies, we observed that IMM-1 -104 inhibited activated MEK (i.e., pMEK) and activated ERK (i.e., pERK) across a wide range of murine and humanized 3D solid tumor models, including those with activating mutations in KRAS, NRAS, HRAS and BRAF. In addition, in head-to- head preclinical studies, we evaluated IMM-1-104 in murine-based KRAS and BRAF mutant solid tumor models representing lung (i.e., A549), colon (i.e., Colon-26), pancreas (i.e., MIA PaCa-2) and skin cancer (i.e., A375), and observed tumor stasis or regression with insignificant BWL when compared to current FDA-approved MEK inhibitors, including selumetinib, binimetinib, encorafenib and AMG-510 (now known as sotorasib). We are also currently evaluating IMM-1-104 in a murine-based NRAS</w:t>
      </w:r>
      <w:r>
        <w:rPr>
          <w:rFonts w:ascii="Arial" w:cs="Arial" w:eastAsia="Arial" w:hAnsi="Arial"/>
          <w:sz w:val="20"/>
          <w:szCs w:val="20"/>
          <w:color w:val="auto"/>
          <w:vertAlign w:val="superscript"/>
        </w:rPr>
        <w:t>Q61R</w:t>
      </w:r>
      <w:r>
        <w:rPr>
          <w:rFonts w:ascii="Arial" w:cs="Arial" w:eastAsia="Arial" w:hAnsi="Arial"/>
          <w:sz w:val="14"/>
          <w:szCs w:val="14"/>
          <w:color w:val="auto"/>
        </w:rPr>
        <w:t xml:space="preserve"> melanoma tumor model (i.e., SK-MEL-2). Given the data observed in our previously conducted preclinical studies, we believe that IMM-1-104 has the potential to deliver clinical benefit as monotherapy and, in the future, may potentially be administered in select drug combinations for patients with RAS and/or RAF mutant solid tumors who currently have limited treatment options.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Preclinical Studies: Maximum Tolerated Dose and Therapeutic Effect</w:t>
      </w:r>
    </w:p>
    <w:p>
      <w:pPr>
        <w:spacing w:after="0" w:line="113"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In our early maximum tolerated dose, or MTD, studies, we observed that oral administration of IMM-1-104 twice a day of up to 150 mg/kg/dose was well-tolerated in mice. In other preclinical studies, we observed that the maximum therapeutic effect of IMM- 1-104 was reached when administered orally twice a day between 100 and 150 mg/kg/dose. These dosing studies provided the basis of IMM-1-104’s dosing schedule in subsequent preclinical studies.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Preclinical Studies: Pharmacogenomics</w:t>
      </w:r>
    </w:p>
    <w:p>
      <w:pPr>
        <w:spacing w:after="0" w:line="95" w:lineRule="exact"/>
        <w:rPr>
          <w:sz w:val="20"/>
          <w:szCs w:val="20"/>
          <w:color w:val="auto"/>
        </w:rPr>
      </w:pPr>
    </w:p>
    <w:p>
      <w:pPr>
        <w:jc w:val="both"/>
        <w:ind w:left="1160" w:right="1179"/>
        <w:spacing w:after="0" w:line="228" w:lineRule="auto"/>
        <w:rPr>
          <w:sz w:val="20"/>
          <w:szCs w:val="20"/>
          <w:color w:val="auto"/>
        </w:rPr>
      </w:pPr>
      <w:r>
        <w:rPr>
          <w:rFonts w:ascii="Arial" w:cs="Arial" w:eastAsia="Arial" w:hAnsi="Arial"/>
          <w:sz w:val="15"/>
          <w:szCs w:val="15"/>
          <w:color w:val="auto"/>
        </w:rPr>
        <w:t>In a pharmacogenomics study utilizing a colorectal KRAS</w:t>
      </w:r>
      <w:r>
        <w:rPr>
          <w:rFonts w:ascii="Arial" w:cs="Arial" w:eastAsia="Arial" w:hAnsi="Arial"/>
          <w:sz w:val="21"/>
          <w:szCs w:val="21"/>
          <w:color w:val="auto"/>
          <w:vertAlign w:val="superscript"/>
        </w:rPr>
        <w:t>G12D</w:t>
      </w:r>
      <w:r>
        <w:rPr>
          <w:rFonts w:ascii="Arial" w:cs="Arial" w:eastAsia="Arial" w:hAnsi="Arial"/>
          <w:sz w:val="15"/>
          <w:szCs w:val="15"/>
          <w:color w:val="auto"/>
        </w:rPr>
        <w:t xml:space="preserve"> tumor model in BALB/c mice, we evaluated downstream ERK inhibition of the MAPK pathway after IMM-1-104 treatment. We orally administered vehicle, selumetinib and IMM- 1-104 twice a day at 100 mg/kg/dose, then harvested the tumors after 18 days of chronic treatment at 2 and 12 hours following the last drug dose to evaluate RNAseq changes. The tumors were collected across distinct BALB/c mice and RNAseq changes were evaluated using statistical analysis software. Consistent with IMM-1 -104’s designed short plasma half-life, we observed deep, cyclic inhibition of most of the top genes in the ERK transcriptome, as noted by the differences of the dark and light blue bars, which we believe may improve tolerability by allowing healthy normal cells to regenerate before the next dose</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 xml:space="preserve">is administered. For example, </w:t>
      </w:r>
      <w:r>
        <w:rPr>
          <w:rFonts w:ascii="Arial" w:cs="Arial" w:eastAsia="Arial" w:hAnsi="Arial"/>
          <w:sz w:val="14"/>
          <w:szCs w:val="14"/>
          <w:i w:val="1"/>
          <w:iCs w:val="1"/>
          <w:color w:val="auto"/>
        </w:rPr>
        <w:t>Erg1</w:t>
      </w:r>
      <w:r>
        <w:rPr>
          <w:rFonts w:ascii="Arial" w:cs="Arial" w:eastAsia="Arial" w:hAnsi="Arial"/>
          <w:sz w:val="14"/>
          <w:szCs w:val="14"/>
          <w:color w:val="auto"/>
        </w:rPr>
        <w:t xml:space="preserve"> and </w:t>
      </w:r>
      <w:r>
        <w:rPr>
          <w:rFonts w:ascii="Arial" w:cs="Arial" w:eastAsia="Arial" w:hAnsi="Arial"/>
          <w:sz w:val="14"/>
          <w:szCs w:val="14"/>
          <w:i w:val="1"/>
          <w:iCs w:val="1"/>
          <w:color w:val="auto"/>
        </w:rPr>
        <w:t>Spry4</w:t>
      </w:r>
      <w:r>
        <w:rPr>
          <w:rFonts w:ascii="Arial" w:cs="Arial" w:eastAsia="Arial" w:hAnsi="Arial"/>
          <w:sz w:val="14"/>
          <w:szCs w:val="14"/>
          <w:color w:val="auto"/>
        </w:rPr>
        <w:t xml:space="preserve"> were both downregulated over 16-fold at 2 hours after receiving the first dose on day 18 of the study, and at 12 hours after the first dose, which was prior to the second dose, both genes were approaching their baseline state when compared to vehicle treated tumors (as depicted below). In contrast to IMM-1-104, we did not observe deep cyclic inhibition of selumetinib, but rather observed sustained MAPK pathway suppression versus vehicle groups between the two timepoints on day 18 (as depicted below). The top 20 genes were a subset of a 52-gene signature for ERK signaling.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Head-to-Head Comparison of IMM-1-104 Against Selumetinib Using a Colon-26 Xenograft Tumor Model:</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Deep Cyclic Inhibition of the ERK Transcriptome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106680</wp:posOffset>
            </wp:positionV>
            <wp:extent cx="4032250" cy="17513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032250" cy="175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00"/>
        <w:spacing w:after="0"/>
        <w:rPr>
          <w:sz w:val="20"/>
          <w:szCs w:val="20"/>
          <w:color w:val="auto"/>
        </w:rPr>
      </w:pPr>
      <w:r>
        <w:rPr>
          <w:rFonts w:ascii="Arial" w:cs="Arial" w:eastAsia="Arial" w:hAnsi="Arial"/>
          <w:sz w:val="14"/>
          <w:szCs w:val="14"/>
          <w:i w:val="1"/>
          <w:iCs w:val="1"/>
          <w:color w:val="auto"/>
        </w:rPr>
        <w:t>* Adjusted p-value &lt; 0.05, for each treatment versus vehicle (n = 3-4 independent tumors per group)</w:t>
      </w:r>
    </w:p>
    <w:p>
      <w:pPr>
        <w:spacing w:after="0" w:line="19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Preclinical Studies: Resistance to CRAF-bypass</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evaluated IMM-1-104 head-to-head against four FDA-approved MEK inhibitors for CRAF-bypass resistance in a KRAS mutant NSCLC tumor model. We exposed the tumor cells with 100 nM of each drug for 2 hours and evaluated MEK and ERK activation levels. We observed that IMM-1-104 was able to reduce overall activity of the MAPK pathway at ERK and pathway reactivation at MEK through a decrease in MEK and ERK activation, resulting in CRAF-bypass resistance. In contrast, we observed that all four FDA-approved MEK inhibitors displayed an increase in activated MEK, resulting in CRAF-bypass (as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2620" w:right="140"/>
        <w:spacing w:after="0" w:line="241" w:lineRule="auto"/>
        <w:rPr>
          <w:sz w:val="20"/>
          <w:szCs w:val="20"/>
          <w:color w:val="auto"/>
        </w:rPr>
      </w:pPr>
      <w:r>
        <w:rPr>
          <w:rFonts w:ascii="Arial" w:cs="Arial" w:eastAsia="Arial" w:hAnsi="Arial"/>
          <w:sz w:val="15"/>
          <w:szCs w:val="15"/>
          <w:b w:val="1"/>
          <w:bCs w:val="1"/>
          <w:color w:val="auto"/>
        </w:rPr>
        <w:t>Head-to-Head Comparison of IMM-1-104 against Four FDA-Approved MEK Inhibitors Using a A549 Xenograft Tumor Model: Prevented Downstream Activation of ERK (↓ pERK) and Inhibited Activation of MEK (↓ pMEK)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Preclinical Studies: Tumor Regression and Body Weight Loss</w:t>
      </w:r>
    </w:p>
    <w:p>
      <w:pPr>
        <w:spacing w:after="0" w:line="124" w:lineRule="exact"/>
        <w:rPr>
          <w:sz w:val="20"/>
          <w:szCs w:val="20"/>
          <w:color w:val="auto"/>
        </w:rPr>
      </w:pPr>
    </w:p>
    <w:p>
      <w:pPr>
        <w:jc w:val="both"/>
        <w:ind w:left="1160" w:right="1179"/>
        <w:spacing w:after="0" w:line="238" w:lineRule="auto"/>
        <w:rPr>
          <w:sz w:val="20"/>
          <w:szCs w:val="20"/>
          <w:color w:val="auto"/>
        </w:rPr>
      </w:pPr>
      <w:r>
        <w:rPr>
          <w:rFonts w:ascii="Arial" w:cs="Arial" w:eastAsia="Arial" w:hAnsi="Arial"/>
          <w:sz w:val="14"/>
          <w:szCs w:val="14"/>
          <w:color w:val="auto"/>
        </w:rPr>
        <w:t>We evaluated IMM-1- 104 head-to-head against binimetinib and selumetinib in an aggressive murine colorectal tumor model (i.e., Colon-26), which expresses mutant KRAS</w:t>
      </w:r>
      <w:r>
        <w:rPr>
          <w:rFonts w:ascii="Arial" w:cs="Arial" w:eastAsia="Arial" w:hAnsi="Arial"/>
          <w:sz w:val="20"/>
          <w:szCs w:val="20"/>
          <w:color w:val="auto"/>
          <w:vertAlign w:val="superscript"/>
        </w:rPr>
        <w:t>G12D</w:t>
      </w:r>
      <w:r>
        <w:rPr>
          <w:rFonts w:ascii="Arial" w:cs="Arial" w:eastAsia="Arial" w:hAnsi="Arial"/>
          <w:sz w:val="14"/>
          <w:szCs w:val="14"/>
          <w:color w:val="auto"/>
        </w:rPr>
        <w:t>. We observed that IMM-1-104 demonstrated greater tumor growth inhibition, where notably 5 of 8 mice experienced tumor regression during the first 10 days of dosing, as well as greater tolerability, evidenced by changes in BWL. In addition, we observed that IMM-1-104 had overall better durability of antitumor response as compared to the two FDA -approved MEK inhibitors, as demonstrated by significantly lower tumor volume, or TV, progression. This study demonstrated that IMM-1-104 as compared to binimetinib and selumetinib provided greater tumor inhibition, lower BWL and lower TV progression (as depicted below).</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Head-to-Head Comparison of IMM-1-104 Against Binimetinib and Selumetinib Using a Colon-26 Xenograft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Tumor Model: Body Weight Loss and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85090</wp:posOffset>
            </wp:positionV>
            <wp:extent cx="4241800" cy="2183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41800" cy="2183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 xml:space="preserve">After observing the results of the Colon-26 tumor study, we completed two follow-up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studies, where we evaluated IMM-1-104 head-to-head against binimetinib or encorafenib, a BRAF inhibitor, as monotherapy plus the combination of binimetinib with encorafenib in BALB/c mice tumor models with RAS and RAF mutations. It should be noted that when encorafenib is used to treat KRAS mutant tumors that are wild type for BRAF, it can paradoxically activate the MAPK pathway and antagonize the effects of binimetinib. In addition, the drug doses and schedules used for binimetinib and encorafenib in these studies were consistent with what was provided in their NDAs to the FDA.</w:t>
      </w:r>
    </w:p>
    <w:p>
      <w:pPr>
        <w:spacing w:after="0" w:line="98"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We evaluated IMM-1-104 head-to-head against binimetinib monotherapy and in combination with encorafenib in the KRAS</w:t>
      </w:r>
      <w:r>
        <w:rPr>
          <w:rFonts w:ascii="Arial" w:cs="Arial" w:eastAsia="Arial" w:hAnsi="Arial"/>
          <w:sz w:val="21"/>
          <w:szCs w:val="21"/>
          <w:color w:val="auto"/>
          <w:vertAlign w:val="superscript"/>
        </w:rPr>
        <w:t>G12S</w:t>
      </w:r>
      <w:r>
        <w:rPr>
          <w:rFonts w:ascii="Arial" w:cs="Arial" w:eastAsia="Arial" w:hAnsi="Arial"/>
          <w:sz w:val="15"/>
          <w:szCs w:val="15"/>
          <w:color w:val="auto"/>
        </w:rPr>
        <w:t xml:space="preserve"> human NSCLC tumor model (i.e., A549). When comparing IMM-1-104 to binimetinib monotherapy, we observed that IMM-1-104 had greater tumor growth inhibition (as depicted below). The observations of IMM-1-104 head-to-head against binimetinib alone and in combination with encorafenib, which was not considered relevant for a KRAS mutant, RAF wild-type tumor model, has been included in the figure below for comparison purposes.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Head-to-Head Comparison of IMM-1-104 Against Binimetinib +/- Encorafenib Using a A549 Xenograft Tumor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106680</wp:posOffset>
            </wp:positionV>
            <wp:extent cx="4234815" cy="23507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34815" cy="235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160" w:right="1179"/>
        <w:spacing w:after="0" w:line="229" w:lineRule="auto"/>
        <w:rPr>
          <w:sz w:val="20"/>
          <w:szCs w:val="20"/>
          <w:color w:val="auto"/>
        </w:rPr>
      </w:pPr>
      <w:r>
        <w:rPr>
          <w:rFonts w:ascii="Arial" w:cs="Arial" w:eastAsia="Arial" w:hAnsi="Arial"/>
          <w:sz w:val="14"/>
          <w:szCs w:val="14"/>
          <w:color w:val="auto"/>
        </w:rPr>
        <w:t>We also evaluated IMM-1-104 head-to-head against binimetinib and encorafenib monotherapy and the combination of binimetinib with encorafenib in a BRAF</w:t>
      </w:r>
      <w:r>
        <w:rPr>
          <w:rFonts w:ascii="Arial" w:cs="Arial" w:eastAsia="Arial" w:hAnsi="Arial"/>
          <w:sz w:val="20"/>
          <w:szCs w:val="20"/>
          <w:color w:val="auto"/>
          <w:vertAlign w:val="superscript"/>
        </w:rPr>
        <w:t>V600E</w:t>
      </w:r>
      <w:r>
        <w:rPr>
          <w:rFonts w:ascii="Arial" w:cs="Arial" w:eastAsia="Arial" w:hAnsi="Arial"/>
          <w:sz w:val="14"/>
          <w:szCs w:val="14"/>
          <w:color w:val="auto"/>
        </w:rPr>
        <w:t xml:space="preserve"> human melanoma tumor model. It should be</w:t>
      </w:r>
    </w:p>
    <w:p>
      <w:pPr>
        <w:spacing w:after="0" w:line="2" w:lineRule="exact"/>
        <w:rPr>
          <w:sz w:val="20"/>
          <w:szCs w:val="20"/>
          <w:color w:val="auto"/>
        </w:rPr>
      </w:pPr>
    </w:p>
    <w:p>
      <w:pPr>
        <w:jc w:val="both"/>
        <w:ind w:left="1160" w:right="1179"/>
        <w:spacing w:after="0" w:line="222" w:lineRule="auto"/>
        <w:rPr>
          <w:sz w:val="20"/>
          <w:szCs w:val="20"/>
          <w:color w:val="auto"/>
        </w:rPr>
      </w:pPr>
      <w:r>
        <w:rPr>
          <w:rFonts w:ascii="Arial" w:cs="Arial" w:eastAsia="Arial" w:hAnsi="Arial"/>
          <w:sz w:val="14"/>
          <w:szCs w:val="14"/>
          <w:color w:val="auto"/>
        </w:rPr>
        <w:t>noted that the administered combination of binimetinib and encorafenib for BRAF mutant melanoma, such as BRAF</w:t>
      </w:r>
      <w:r>
        <w:rPr>
          <w:rFonts w:ascii="Arial" w:cs="Arial" w:eastAsia="Arial" w:hAnsi="Arial"/>
          <w:sz w:val="20"/>
          <w:szCs w:val="20"/>
          <w:color w:val="auto"/>
          <w:vertAlign w:val="superscript"/>
        </w:rPr>
        <w:t>V600E/K</w:t>
      </w:r>
      <w:r>
        <w:rPr>
          <w:rFonts w:ascii="Arial" w:cs="Arial" w:eastAsia="Arial" w:hAnsi="Arial"/>
          <w:sz w:val="14"/>
          <w:szCs w:val="14"/>
          <w:color w:val="auto"/>
        </w:rPr>
        <w:t>, is an FDA-approved combination. As expected, when comparing IMM-1-104 alone to</w:t>
      </w:r>
    </w:p>
    <w:p>
      <w:pPr>
        <w:spacing w:after="0" w:line="1" w:lineRule="exact"/>
        <w:rPr>
          <w:sz w:val="20"/>
          <w:szCs w:val="20"/>
          <w:color w:val="auto"/>
        </w:rPr>
      </w:pPr>
    </w:p>
    <w:p>
      <w:pPr>
        <w:jc w:val="both"/>
        <w:ind w:left="1160" w:right="1179"/>
        <w:spacing w:after="0" w:line="261" w:lineRule="auto"/>
        <w:rPr>
          <w:sz w:val="20"/>
          <w:szCs w:val="20"/>
          <w:color w:val="auto"/>
        </w:rPr>
      </w:pPr>
      <w:r>
        <w:rPr>
          <w:rFonts w:ascii="Arial" w:cs="Arial" w:eastAsia="Arial" w:hAnsi="Arial"/>
          <w:sz w:val="14"/>
          <w:szCs w:val="14"/>
          <w:color w:val="auto"/>
        </w:rPr>
        <w:t>binimetinib in combination with encorafenib, we observed that the combination therapy had greater tumor growth inhibition (as depicted below). However, when we compared IMM-1-104 to binimetinib monotherapy, we observed that IMM-1-104 had greater tumor growth inhibition (as depicted below). We believe the greater single agent MEK inhibitor activity provides an opportunity to expand IMM-1-104 into</w:t>
      </w:r>
    </w:p>
    <w:p>
      <w:pPr>
        <w:spacing w:after="0" w:line="2"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drug-drug combinations with other MAPK pathway inhibitors, such as encorafenib, to treat RAF mutant cancers, such as BRAF</w:t>
      </w:r>
      <w:r>
        <w:rPr>
          <w:rFonts w:ascii="Arial" w:cs="Arial" w:eastAsia="Arial" w:hAnsi="Arial"/>
          <w:sz w:val="21"/>
          <w:szCs w:val="21"/>
          <w:color w:val="auto"/>
          <w:vertAlign w:val="superscript"/>
        </w:rPr>
        <w:t>V600E/K</w:t>
      </w:r>
      <w:r>
        <w:rPr>
          <w:rFonts w:ascii="Arial" w:cs="Arial" w:eastAsia="Arial" w:hAnsi="Arial"/>
          <w:sz w:val="15"/>
          <w:szCs w:val="15"/>
          <w:color w:val="auto"/>
        </w:rPr>
        <w:t>, among other MAPK pathway mutations.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Head-to-Head Comparison of IMM-1-104 Against Binimetinib +/- Encorafenib Using a A375 Xenograft Tumor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106680</wp:posOffset>
            </wp:positionV>
            <wp:extent cx="4241800" cy="23787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41800" cy="237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 xml:space="preserve">In a further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study based on humanized 3D tumor model data, we evaluated IMM-1-104 head-to-head against AMG-510 and gemcitabine alone, and IMM-1-104 in combination with AMG-510, for 21 days in the KRAS</w:t>
      </w:r>
      <w:r>
        <w:rPr>
          <w:rFonts w:ascii="Arial" w:cs="Arial" w:eastAsia="Arial" w:hAnsi="Arial"/>
          <w:sz w:val="21"/>
          <w:szCs w:val="21"/>
          <w:color w:val="auto"/>
          <w:vertAlign w:val="superscript"/>
        </w:rPr>
        <w:t>G12C</w:t>
      </w:r>
      <w:r>
        <w:rPr>
          <w:rFonts w:ascii="Arial" w:cs="Arial" w:eastAsia="Arial" w:hAnsi="Arial"/>
          <w:sz w:val="15"/>
          <w:szCs w:val="15"/>
          <w:color w:val="auto"/>
        </w:rPr>
        <w:t xml:space="preserve"> mutant tumor model (i.e., MIA PaCa-2). In a previous study conducted by a third-party, AMG-510 demonstrated sensitivity to this pancreatic tumor model. Comparing IMM-1-104 alone, against AMG-510 and in combination with AMG-510, we observed tumor regressions with insignificant BWL (i.e., within 3% of baseline), which we believe indicates activity, durability and tolerability of IMM-1-104 against a KRAS</w:t>
      </w:r>
      <w:r>
        <w:rPr>
          <w:rFonts w:ascii="Arial" w:cs="Arial" w:eastAsia="Arial" w:hAnsi="Arial"/>
          <w:sz w:val="21"/>
          <w:szCs w:val="21"/>
          <w:color w:val="auto"/>
          <w:vertAlign w:val="superscript"/>
        </w:rPr>
        <w:t>G12C</w:t>
      </w:r>
      <w:r>
        <w:rPr>
          <w:rFonts w:ascii="Arial" w:cs="Arial" w:eastAsia="Arial" w:hAnsi="Arial"/>
          <w:sz w:val="15"/>
          <w:szCs w:val="15"/>
          <w:color w:val="auto"/>
        </w:rPr>
        <w:t xml:space="preserve"> mutant pancreatic cancer model (as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Head-to-Head Comparison of IMM-1-104 +/- AMG-510 and Gemcitabine Using a MIA PaCa-2 Xenograft</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92710</wp:posOffset>
            </wp:positionV>
            <wp:extent cx="4102100" cy="49390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102100" cy="493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60" w:right="1179"/>
        <w:spacing w:after="0" w:line="229" w:lineRule="auto"/>
        <w:rPr>
          <w:sz w:val="20"/>
          <w:szCs w:val="20"/>
          <w:color w:val="auto"/>
        </w:rPr>
      </w:pPr>
      <w:r>
        <w:rPr>
          <w:rFonts w:ascii="Arial" w:cs="Arial" w:eastAsia="Arial" w:hAnsi="Arial"/>
          <w:sz w:val="14"/>
          <w:szCs w:val="14"/>
          <w:color w:val="auto"/>
        </w:rPr>
        <w:t xml:space="preserve">In a further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study based on humanized 3D tumor model data, we evaluated IMM-1-104 monotherapy as compared to vehicle for 21 days in the NRAS</w:t>
      </w:r>
      <w:r>
        <w:rPr>
          <w:rFonts w:ascii="Arial" w:cs="Arial" w:eastAsia="Arial" w:hAnsi="Arial"/>
          <w:sz w:val="20"/>
          <w:szCs w:val="20"/>
          <w:color w:val="auto"/>
          <w:vertAlign w:val="superscript"/>
        </w:rPr>
        <w:t>Q61R</w:t>
      </w:r>
      <w:r>
        <w:rPr>
          <w:rFonts w:ascii="Arial" w:cs="Arial" w:eastAsia="Arial" w:hAnsi="Arial"/>
          <w:sz w:val="14"/>
          <w:szCs w:val="14"/>
          <w:color w:val="auto"/>
        </w:rPr>
        <w:t xml:space="preserve"> mutant tumor model (i.e., SK-MEL-2). We observed</w:t>
      </w:r>
    </w:p>
    <w:p>
      <w:pPr>
        <w:spacing w:after="0" w:line="2" w:lineRule="exact"/>
        <w:rPr>
          <w:sz w:val="20"/>
          <w:szCs w:val="20"/>
          <w:color w:val="auto"/>
        </w:rPr>
      </w:pPr>
    </w:p>
    <w:p>
      <w:pPr>
        <w:ind w:left="1160" w:right="1179"/>
        <w:spacing w:after="0" w:line="256" w:lineRule="auto"/>
        <w:rPr>
          <w:sz w:val="20"/>
          <w:szCs w:val="20"/>
          <w:color w:val="auto"/>
        </w:rPr>
      </w:pPr>
      <w:r>
        <w:rPr>
          <w:rFonts w:ascii="Arial" w:cs="Arial" w:eastAsia="Arial" w:hAnsi="Arial"/>
          <w:sz w:val="15"/>
          <w:szCs w:val="15"/>
          <w:color w:val="auto"/>
        </w:rPr>
        <w:t>tumor regressions in all mice treated with IMM-1-104, which we believe indicates activity and durability of IMM-1-104 against an NRAS</w:t>
      </w:r>
      <w:r>
        <w:rPr>
          <w:rFonts w:ascii="Arial" w:cs="Arial" w:eastAsia="Arial" w:hAnsi="Arial"/>
          <w:sz w:val="21"/>
          <w:szCs w:val="21"/>
          <w:color w:val="auto"/>
          <w:vertAlign w:val="superscript"/>
        </w:rPr>
        <w:t>Q61R</w:t>
      </w:r>
      <w:r>
        <w:rPr>
          <w:rFonts w:ascii="Arial" w:cs="Arial" w:eastAsia="Arial" w:hAnsi="Arial"/>
          <w:sz w:val="15"/>
          <w:szCs w:val="15"/>
          <w:color w:val="auto"/>
        </w:rPr>
        <w:t xml:space="preserve"> mutant melanoma cancer model (as depicted below).</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Evaluation of IMM-1-104 as Compared to Vehicle Using a SK-MEL-2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130810</wp:posOffset>
            </wp:positionV>
            <wp:extent cx="1981200" cy="2197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81200" cy="219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Preclinical Studies: 3D Tumor Growth Models</w:t>
      </w:r>
    </w:p>
    <w:p>
      <w:pPr>
        <w:spacing w:after="0" w:line="12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 xml:space="preserve">3D tumor growth models mimic the tumor microenvironment, or TME, more closely than 2D models, and we believe the 3D model more accurately reflects human tumor biology and complexity when evaluating pharmacological data of MAPK pathway inhibition </w:t>
      </w:r>
      <w:r>
        <w:rPr>
          <w:rFonts w:ascii="Arial" w:cs="Arial" w:eastAsia="Arial" w:hAnsi="Arial"/>
          <w:sz w:val="14"/>
          <w:szCs w:val="14"/>
          <w:i w:val="1"/>
          <w:iCs w:val="1"/>
          <w:color w:val="auto"/>
        </w:rPr>
        <w:t>in vivo</w:t>
      </w:r>
      <w:r>
        <w:rPr>
          <w:rFonts w:ascii="Arial" w:cs="Arial" w:eastAsia="Arial" w:hAnsi="Arial"/>
          <w:sz w:val="14"/>
          <w:szCs w:val="14"/>
          <w:color w:val="auto"/>
        </w:rPr>
        <w:t>. We established several dozen humanized 3D tumor models that display mutations in the RAS isoforms, amongst other mutated MAPK pathway targets, including BRAF, CRAF and ERK, to evaluate their sensitivities to IMM-1-104. In general, we observed that tumor models with KRAS or NRAS mutations and certain molecular profiles were most</w:t>
      </w:r>
    </w:p>
    <w:p>
      <w:pPr>
        <w:spacing w:after="0" w:line="3" w:lineRule="exact"/>
        <w:rPr>
          <w:sz w:val="20"/>
          <w:szCs w:val="20"/>
          <w:color w:val="auto"/>
        </w:rPr>
      </w:pPr>
    </w:p>
    <w:p>
      <w:pPr>
        <w:jc w:val="both"/>
        <w:ind w:left="1160" w:right="1179"/>
        <w:spacing w:after="0" w:line="195" w:lineRule="auto"/>
        <w:rPr>
          <w:sz w:val="20"/>
          <w:szCs w:val="20"/>
          <w:color w:val="auto"/>
        </w:rPr>
      </w:pPr>
      <w:r>
        <w:rPr>
          <w:rFonts w:ascii="Arial" w:cs="Arial" w:eastAsia="Arial" w:hAnsi="Arial"/>
          <w:sz w:val="14"/>
          <w:szCs w:val="14"/>
          <w:color w:val="auto"/>
        </w:rPr>
        <w:t>sensitive to IMM-1-104, followed closely by tumor models with BRAF mutations. For example, the IC</w:t>
      </w:r>
      <w:r>
        <w:rPr>
          <w:rFonts w:ascii="Arial" w:cs="Arial" w:eastAsia="Arial" w:hAnsi="Arial"/>
          <w:sz w:val="20"/>
          <w:szCs w:val="20"/>
          <w:color w:val="auto"/>
          <w:vertAlign w:val="subscript"/>
        </w:rPr>
        <w:t>50</w:t>
      </w:r>
      <w:r>
        <w:rPr>
          <w:rFonts w:ascii="Arial" w:cs="Arial" w:eastAsia="Arial" w:hAnsi="Arial"/>
          <w:sz w:val="14"/>
          <w:szCs w:val="14"/>
          <w:color w:val="auto"/>
        </w:rPr>
        <w:t xml:space="preserve"> of IMM-1-104 ranged from 68.7 nM in NRAS</w:t>
      </w:r>
      <w:r>
        <w:rPr>
          <w:rFonts w:ascii="Arial" w:cs="Arial" w:eastAsia="Arial" w:hAnsi="Arial"/>
          <w:sz w:val="20"/>
          <w:szCs w:val="20"/>
          <w:color w:val="auto"/>
          <w:vertAlign w:val="superscript"/>
        </w:rPr>
        <w:t>Q61K</w:t>
      </w:r>
      <w:r>
        <w:rPr>
          <w:rFonts w:ascii="Arial" w:cs="Arial" w:eastAsia="Arial" w:hAnsi="Arial"/>
          <w:sz w:val="14"/>
          <w:szCs w:val="14"/>
          <w:color w:val="auto"/>
        </w:rPr>
        <w:t xml:space="preserve"> to 214.7 nM in NRAS</w:t>
      </w:r>
      <w:r>
        <w:rPr>
          <w:rFonts w:ascii="Arial" w:cs="Arial" w:eastAsia="Arial" w:hAnsi="Arial"/>
          <w:sz w:val="20"/>
          <w:szCs w:val="20"/>
          <w:color w:val="auto"/>
          <w:vertAlign w:val="superscript"/>
        </w:rPr>
        <w:t>G12D</w:t>
      </w:r>
      <w:r>
        <w:rPr>
          <w:rFonts w:ascii="Arial" w:cs="Arial" w:eastAsia="Arial" w:hAnsi="Arial"/>
          <w:sz w:val="14"/>
          <w:szCs w:val="14"/>
          <w:color w:val="auto"/>
        </w:rPr>
        <w:t>, whereas the IC</w:t>
      </w:r>
      <w:r>
        <w:rPr>
          <w:rFonts w:ascii="Arial" w:cs="Arial" w:eastAsia="Arial" w:hAnsi="Arial"/>
          <w:sz w:val="20"/>
          <w:szCs w:val="20"/>
          <w:color w:val="auto"/>
          <w:vertAlign w:val="subscript"/>
        </w:rPr>
        <w:t>50</w:t>
      </w:r>
      <w:r>
        <w:rPr>
          <w:rFonts w:ascii="Arial" w:cs="Arial" w:eastAsia="Arial" w:hAnsi="Arial"/>
          <w:sz w:val="14"/>
          <w:szCs w:val="14"/>
          <w:color w:val="auto"/>
        </w:rPr>
        <w:t xml:space="preserve"> of IMM-1-104 ranged from 814.7 nM to greater than 10,000 nM in BRAF</w:t>
      </w:r>
      <w:r>
        <w:rPr>
          <w:rFonts w:ascii="Arial" w:cs="Arial" w:eastAsia="Arial" w:hAnsi="Arial"/>
          <w:sz w:val="20"/>
          <w:szCs w:val="20"/>
          <w:color w:val="auto"/>
          <w:vertAlign w:val="superscript"/>
        </w:rPr>
        <w:t>V600E</w:t>
      </w:r>
      <w:r>
        <w:rPr>
          <w:rFonts w:ascii="Arial" w:cs="Arial" w:eastAsia="Arial" w:hAnsi="Arial"/>
          <w:sz w:val="14"/>
          <w:szCs w:val="14"/>
          <w:color w:val="auto"/>
        </w:rPr>
        <w:t xml:space="preserve"> and certain RAS mutants, respectively.</w:t>
      </w:r>
    </w:p>
    <w:p>
      <w:pPr>
        <w:spacing w:after="0" w:line="1"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More specifically, our 3D tumor modeling data suggested that KRAS mutant pancreatic cancer and NRAS mutant melanoma may be particularly sensitive to IMM-1-104.</w:t>
      </w:r>
    </w:p>
    <w:p>
      <w:pPr>
        <w:spacing w:after="0" w:line="105"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To further examine the translational opportunity in KRAS mutant pancreatic cancer and NRAS mutant melanoma, we evaluated several of these cancer mutations utilizing real-world data through a pan-cancer registry, the Genomics Evidence Neoplasia Information Exchange, or GENIE. The total number of patients in the analysis are depicted below in blue and the percentage of patients with a known mutation in KRAS or NRAS are shown as a percentage of the total patients (depicted below in black). Biomarker sensitive profiles (depicted below in green) and biomarker resistant profiles (depicted below in red) are projected subsets of patients with mutated KRAS or NRAS that may be sensitive or resistant to IMM-1-104. We observed that the overwhelming majority of pancreatic cancers associated with KRAS mutations (i.e., 92%) and melanoma associated with NRAS mutations (i.e., 73%) are found to harbor a biomarker profile that may be sensitive to IMM-1-104 (as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Translational Profiling for KRAS Mutant Pancreatic Cancer and NRAS Mutant Melanoma Utilizing a Pan-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Cancer Registry, GENIE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57150</wp:posOffset>
            </wp:positionV>
            <wp:extent cx="3823335" cy="3564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23335" cy="356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Clinical Development Overview: IMM-1-104</w:t>
      </w:r>
    </w:p>
    <w:p>
      <w:pPr>
        <w:spacing w:after="0" w:line="113"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IMM -1- 104 is currently undergoing IND-enabling studies. We plan to submit an IND for IMM-1- 104 to the FDA in the first quarter of 2022. We continue to expand our preclinical pharmacology models, including research to further understand sensitivity and resistance biomarkers related to IMM-1-104. We also plan to conduct 28-day good laboratory practices, or GLP, orally dosed safety and toxicology studies in rats and dogs, and also plan to perform PK studies in non-human primates prior to initiating our Phase 1 clinical trial of IMM -1-104. We intend to initiate our first-in-human Phase 1 clinical trial of IMM-1-104 in the first half of 2022 for the treatment of advanced solid tumors in patients harboring RAS mutant tumors if our IND for IMM- 1-104 is accepted. The Phase 1 clinical trial of IMM-1-104 is being designed to primarily evaluate its safety and tolerability, and to also identify dose-limiting toxicities.</w:t>
      </w:r>
    </w:p>
    <w:p>
      <w:pPr>
        <w:spacing w:after="0" w:line="84"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Our clinical development plan for IMM-1-104 will initially focus on indications selected by our translational data. Additional indications will be based on future preclinical studies and clinical trial outcomes. Our goal is to further expand the development of IMM-1-104 in indications, including a broad range of RAS and/or RAF mutant tumors. In addition, we plan to evaluate IMM-1-104 in combination with FDA-approved MAPK pathway inhibitors to treat certain cancers in the future.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MEK-io Program</w:t>
      </w:r>
    </w:p>
    <w:p>
      <w:pPr>
        <w:spacing w:after="0" w:line="117"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We are developing innovative investigational allosteric MEK inhibitors to be administered in combination with select immune modulators (e.g., checkpoint inhibitors) for the treatment of “cold” solid tumors. Our</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investigational MEK-io program inhibitors are designed to target MEK in a way that disrupts the MAPK pathway at ERK and to also reduce baseline MEK activation. We are designing these inhibitors with unique PK and PD profiles that may enhance cycle inhibition time of MEK and ERK to optimize the patient’s immune response and promote maximal antitumor responses when administered in combination with select immune modulators. KRAS mutant tumors impact approximately 15% of patients globally and include cold or “non-inflamed” tumors. Cold tumors are immunologically inaccessible, meaning the patient’s immune system cannot provide an appropriate antitumor response because the lack of T-cell infiltration in the tumor, which is required for the immune system (i.e., T-cells) to find, target and attack the tumor. Checkpoint inhibitors work by helping to reactivate and enhance the patient’s immune system by allowing T-cells to better provide an appropriate antitumor response. If a cold tumor were to become “hot” or “inflamed,” this would create an inflammatory process enabling T-cells to infiltrate the tumor and allow them to recognize and attack the tumor (i.e., an antitumor response). We believe our investigational MEK-io program inhibitors have the potential to turn a cold tumor hot, and when administered in combination with a checkpoint inhibitor, could provide an innovative approach to treat patients with cold solid tumors by providing MEK/ERK inhibition and optimizing antitumor response, which would not typically be seen in these patients.</w:t>
      </w:r>
    </w:p>
    <w:p>
      <w:pPr>
        <w:spacing w:after="0" w:line="266"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 xml:space="preserve">We observed an initial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for our MEK-io program in a widely utilized syngeneic murine model. We evaluated one of our investigational MEK-io program inhibitors monotherapy and in combination with a checkpoint inhibitor as compared to vehicle to observe tumor growth inhibition in tumor-bearing BALB/C mice. Neither treatment alone altered tumor growth as compared to vehicle. However, when we administered our investigational MEK-io program inhibitor in combination with the checkpoint inhibitor, we observed greater than 50% tumor growth inhibition after two weeks of dosing as compared to vehicle treated mice.</w:t>
      </w:r>
    </w:p>
    <w:p>
      <w:pPr>
        <w:spacing w:after="0" w:line="10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Our MEK-io program is currently in the lead optimization stage of development and we are screening multiple advanced drug analogues for optimal PK and PD profiles that maximally modulate tumor growth inhibition through cyclic inhibition of MEK and ERK. Top candidates will be further evaluated in vivo for optimal drug-like properties that demonstrate synergistic tumor growth inhibition when combined with select immune modulators in preclinical cold solid tumor models.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Trifecta-MEK Program</w:t>
      </w:r>
    </w:p>
    <w:p>
      <w:pPr>
        <w:spacing w:after="0" w:line="128"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We are developing novel product candidates that are designed to uniquely engage MEK and inhibit the upstream activation events of MEK and the downstream activation events of ERK in MEK itself, for the treatment of solid tumors. We believe the inhibition of upstream and downstream activation events of MEK and ERK bypass MAPK pathway reactivation events (i.e., drug resistance). Our investigational Trifecta-MEK program inhibitors are designed to be differentiated from IMM-1-104 due to their potential novel allosteric inhibition of MEK and KSR disruption, along with their unique PK approach. The potential dosing intervals of our investigational Trifecta-MEK program inhibitors may broaden the application of these inhibitors to metabolically diverse RAS and RAF mutant tumors. We are designing our investigational Trifecta-MEK program inhibitors to be administered as monotherapy to provide potentially better alternatives to combination therapies inhibiting MEK and RAF in BRAF mutant tumors.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We have evaluated one of our investigational Trifecta-MEK program inhibitors head-to-head against</w:t>
      </w:r>
    </w:p>
    <w:p>
      <w:pPr>
        <w:spacing w:after="0" w:line="14" w:lineRule="exact"/>
        <w:rPr>
          <w:sz w:val="20"/>
          <w:szCs w:val="20"/>
          <w:color w:val="auto"/>
        </w:rPr>
      </w:pPr>
    </w:p>
    <w:p>
      <w:pPr>
        <w:jc w:val="both"/>
        <w:ind w:left="1160" w:right="1179"/>
        <w:spacing w:after="0" w:line="223" w:lineRule="auto"/>
        <w:rPr>
          <w:sz w:val="20"/>
          <w:szCs w:val="20"/>
          <w:color w:val="auto"/>
        </w:rPr>
      </w:pPr>
      <w:r>
        <w:rPr>
          <w:rFonts w:ascii="Arial" w:cs="Arial" w:eastAsia="Arial" w:hAnsi="Arial"/>
          <w:sz w:val="14"/>
          <w:szCs w:val="14"/>
          <w:color w:val="auto"/>
        </w:rPr>
        <w:t>binimetinib and encorafenib in a cell-based potency study to observe comparisons in the reduction of activated MEK and ERK in KRAS</w:t>
      </w:r>
      <w:r>
        <w:rPr>
          <w:rFonts w:ascii="Arial" w:cs="Arial" w:eastAsia="Arial" w:hAnsi="Arial"/>
          <w:sz w:val="20"/>
          <w:szCs w:val="20"/>
          <w:color w:val="auto"/>
          <w:vertAlign w:val="superscript"/>
        </w:rPr>
        <w:t>G12S</w:t>
      </w:r>
      <w:r>
        <w:rPr>
          <w:rFonts w:ascii="Arial" w:cs="Arial" w:eastAsia="Arial" w:hAnsi="Arial"/>
          <w:sz w:val="14"/>
          <w:szCs w:val="14"/>
          <w:color w:val="auto"/>
        </w:rPr>
        <w:t xml:space="preserve"> and BRAF</w:t>
      </w:r>
      <w:r>
        <w:rPr>
          <w:rFonts w:ascii="Arial" w:cs="Arial" w:eastAsia="Arial" w:hAnsi="Arial"/>
          <w:sz w:val="20"/>
          <w:szCs w:val="20"/>
          <w:color w:val="auto"/>
          <w:vertAlign w:val="superscript"/>
        </w:rPr>
        <w:t>V600E</w:t>
      </w:r>
      <w:r>
        <w:rPr>
          <w:rFonts w:ascii="Arial" w:cs="Arial" w:eastAsia="Arial" w:hAnsi="Arial"/>
          <w:sz w:val="14"/>
          <w:szCs w:val="14"/>
          <w:color w:val="auto"/>
        </w:rPr>
        <w:t xml:space="preserve"> mutant tumor models. In the KRAS mutant tumor</w:t>
      </w:r>
    </w:p>
    <w:p>
      <w:pPr>
        <w:spacing w:after="0" w:line="1"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model, our investigational Trifecta-MEK program inhibitor provided greater inhibition of activated MEK and ERK as compared to binimetinib and encorafenib (as depicted below). In the BRAF mutant tumor model, our investigational Trifecta-MEK program inhibitor displayed greater inhibition of activated MEK and ERK as compared to binimetinib, and greater activated ERK inhibition as compared to encorafenib (as depicted below). Our Trifecta-MEK program is currently in the drug discovery stage of development.</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Head-to-Head Comparison of One of Our Investigational Trifecta-MEK Program Inhibitors Against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Encorafenib and Binimetinib Using A549 and A375 Xenograft Tumor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120015</wp:posOffset>
            </wp:positionV>
            <wp:extent cx="3899535" cy="30137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99535" cy="301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KRAS4B Program</w:t>
      </w:r>
    </w:p>
    <w:p>
      <w:pPr>
        <w:spacing w:after="0" w:line="117"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We are developing investigational mutation agnostic KRAS4B inhibitors that are designed to bind to a unique, undisclosed site on KRAS4B for the treatment of solid tumors. We believe our investigational KRAS4B inhibitors have the potential to disrupt RAS nanocluster biology and prevent MAPK signaling in</w:t>
      </w:r>
    </w:p>
    <w:p>
      <w:pPr>
        <w:spacing w:after="0" w:line="1" w:lineRule="exact"/>
        <w:rPr>
          <w:sz w:val="20"/>
          <w:szCs w:val="20"/>
          <w:color w:val="auto"/>
        </w:rPr>
      </w:pPr>
    </w:p>
    <w:p>
      <w:pPr>
        <w:jc w:val="both"/>
        <w:ind w:left="1160" w:right="1179"/>
        <w:spacing w:after="0" w:line="222" w:lineRule="auto"/>
        <w:rPr>
          <w:sz w:val="20"/>
          <w:szCs w:val="20"/>
          <w:color w:val="auto"/>
        </w:rPr>
      </w:pPr>
      <w:r>
        <w:rPr>
          <w:rFonts w:ascii="Arial" w:cs="Arial" w:eastAsia="Arial" w:hAnsi="Arial"/>
          <w:sz w:val="13"/>
          <w:szCs w:val="13"/>
          <w:color w:val="auto"/>
        </w:rPr>
        <w:t>patients with KRAS mutant tumors, which represent approximately 15% of all cancer patients. Although drugs in this class have begun targeting RAS mutations, such as KRAS</w:t>
      </w:r>
      <w:r>
        <w:rPr>
          <w:rFonts w:ascii="Arial" w:cs="Arial" w:eastAsia="Arial" w:hAnsi="Arial"/>
          <w:sz w:val="19"/>
          <w:szCs w:val="19"/>
          <w:color w:val="auto"/>
          <w:vertAlign w:val="superscript"/>
        </w:rPr>
        <w:t>G12C</w:t>
      </w:r>
      <w:r>
        <w:rPr>
          <w:rFonts w:ascii="Arial" w:cs="Arial" w:eastAsia="Arial" w:hAnsi="Arial"/>
          <w:sz w:val="13"/>
          <w:szCs w:val="13"/>
          <w:color w:val="auto"/>
        </w:rPr>
        <w:t>, we believe a majority of KRAS</w:t>
      </w:r>
    </w:p>
    <w:p>
      <w:pPr>
        <w:ind w:left="1160"/>
        <w:spacing w:after="0"/>
        <w:rPr>
          <w:sz w:val="20"/>
          <w:szCs w:val="20"/>
          <w:color w:val="auto"/>
        </w:rPr>
      </w:pPr>
      <w:r>
        <w:rPr>
          <w:rFonts w:ascii="Arial" w:cs="Arial" w:eastAsia="Arial" w:hAnsi="Arial"/>
          <w:sz w:val="15"/>
          <w:szCs w:val="15"/>
          <w:color w:val="auto"/>
        </w:rPr>
        <w:t>mutations, which we are designing our KRAS4B inhibitors to target, will remain unaddressed.</w:t>
      </w:r>
    </w:p>
    <w:p>
      <w:pPr>
        <w:spacing w:after="0" w:line="24" w:lineRule="exact"/>
        <w:rPr>
          <w:sz w:val="20"/>
          <w:szCs w:val="20"/>
          <w:color w:val="auto"/>
        </w:rPr>
      </w:pPr>
    </w:p>
    <w:p>
      <w:pPr>
        <w:jc w:val="both"/>
        <w:ind w:left="1160" w:right="1179"/>
        <w:spacing w:after="0" w:line="242" w:lineRule="auto"/>
        <w:rPr>
          <w:sz w:val="20"/>
          <w:szCs w:val="20"/>
          <w:color w:val="auto"/>
        </w:rPr>
      </w:pPr>
      <w:r>
        <w:rPr>
          <w:rFonts w:ascii="Arial" w:cs="Arial" w:eastAsia="Arial" w:hAnsi="Arial"/>
          <w:sz w:val="14"/>
          <w:szCs w:val="14"/>
          <w:color w:val="auto"/>
        </w:rPr>
        <w:t xml:space="preserve">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tumor model, we observed a half maximal tumor inhibitor concentration, or IC</w:t>
      </w:r>
      <w:r>
        <w:rPr>
          <w:rFonts w:ascii="Arial" w:cs="Arial" w:eastAsia="Arial" w:hAnsi="Arial"/>
          <w:sz w:val="20"/>
          <w:szCs w:val="20"/>
          <w:color w:val="auto"/>
          <w:vertAlign w:val="subscript"/>
        </w:rPr>
        <w:t>50</w:t>
      </w:r>
      <w:r>
        <w:rPr>
          <w:rFonts w:ascii="Arial" w:cs="Arial" w:eastAsia="Arial" w:hAnsi="Arial"/>
          <w:sz w:val="14"/>
          <w:szCs w:val="14"/>
          <w:color w:val="auto"/>
        </w:rPr>
        <w:t>, of 1 μM for one of our investigational KRAS4B inhibitors. A low IC</w:t>
      </w:r>
      <w:r>
        <w:rPr>
          <w:rFonts w:ascii="Arial" w:cs="Arial" w:eastAsia="Arial" w:hAnsi="Arial"/>
          <w:sz w:val="20"/>
          <w:szCs w:val="20"/>
          <w:color w:val="auto"/>
          <w:vertAlign w:val="subscript"/>
        </w:rPr>
        <w:t>50</w:t>
      </w:r>
      <w:r>
        <w:rPr>
          <w:rFonts w:ascii="Arial" w:cs="Arial" w:eastAsia="Arial" w:hAnsi="Arial"/>
          <w:sz w:val="14"/>
          <w:szCs w:val="14"/>
          <w:color w:val="auto"/>
        </w:rPr>
        <w:t xml:space="preserve"> value means that a drug is effective at low concentrations and may provide lower systemic toxicity when administered to the patient because of the low concentration required to generate therapeutic activity. Based on this tumor model, we believe our investigational KRAS inhibitors may achieve KRAS4B inhibition when administered at low concentrations, providing a potentially improved tolerability profile as compared to other FDA-approved MAPK pathway inhibitors. Our KRAS4B program is currently in the drug discovery stage of development.</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RAS Induction Program</w:t>
      </w:r>
    </w:p>
    <w:p>
      <w:pPr>
        <w:spacing w:after="0" w:line="128"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We are developing investigational RAS inducers that are designed to hyperactivate the MAPK pathway to potentially induce tumor cell death. Our RAS inducers are designed to be agnostic to known activating mutations of any oncogene of the MAPK pathway, providing the potential clinical opportunity to effectively treat any patient with an activated MAPK pathway, which represents over 50% of all cancer patients globally. A recent study validated this novel pharmacological approach by demonstrating that the hyperactivation of the MAPK pathway in tumor cells that express mutant RAS or RAF are intolerant to further increases in</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activity at the level of ERK and induce tumor cell death. This approach was further validated by clinical observations of secondary tumor reductions in some patients when targeted agents that inhibit the MAPK pathway were discontinued.</w:t>
      </w:r>
    </w:p>
    <w:p>
      <w:pPr>
        <w:spacing w:after="0" w:line="90"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 xml:space="preserve">In an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KRAS mutant tumor model, we observed cell-based induction of the MAPK pathway at activated ERK of 844% when administering 30 μM of one of our RAS inducers. Additional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modeling is required to validate this pharmacologic strategy, but we believe that, if successful, short pulsatile target induction will be critical. Our RAS induction, or RASi, program is currently in the drug discovery stage of development.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Covalent-MEK Program</w:t>
      </w:r>
    </w:p>
    <w:p>
      <w:pPr>
        <w:spacing w:after="0" w:line="12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We are developing investigational irreversible allosteric inhibitors of MEK by attacking one of three critical amino acids lying adjacent to the binding pocket. We believe the covalent, or irreversible inhibition, fully disrupts MEK enzymatic activity completely avoiding any potential drug resistance from MAPK pathway reactivation events. Covalent-MEK’s novel pharmacological approach provides scaled attenuation of the MAPK pathway disruption that is anchored to the half-life of MEK itself, which has been reported to be approximately 12 to 14 hours.</w:t>
      </w:r>
    </w:p>
    <w:p>
      <w:pPr>
        <w:spacing w:after="0" w:line="10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Our Covalent-MEK program is in the drug discovery stage of development and builds on our dynamic portfolio of novel and mechanistically distinct MEK inhibitors.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PI3K-alpha Program</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are developing investigational allosteric PI3Kα inhibitors designed to target PI3Kα agnostically in common mutations and further disrupt upstream activation events of the mTOR pathway. Similar to IMM-1-104, we intend to design our PI3Kα inhibitors with a short plasma half-life to potentially normalize tumor signaling dynamics while retaining healthy normal cells. While still in the early drug discovery stage of development, we envision our PI3K-alpha program will be able to address significant unmet clinical needs in certain subsets of cancer, as well as reaching a broader patient population in combination with one or more of our MEK or RAS drug programs, where the mTOR pathway may synergistically work in tandem with MAPK pathway inhibition.</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Neuroscience Programs</w:t>
      </w:r>
    </w:p>
    <w:p>
      <w:pPr>
        <w:spacing w:after="0" w:line="128"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In addition to our extensive oncology pipeline, we are also leveraging our platform to build a neuroscience pipeline initially focusing on AD. Our neuroscience programs are in the early stages of drug discovery, and we are evaluating undisclosed targets to pursue a unique approach to treating AD. We believe by treating AD-related neuroinflammation, rather than treating amyloid beta protein, or β-amyloid, and hyperphosphorylated tau deposition in the brain, we may be able to slow the progression of AD. We believe our platform and expertise in neurology and neuroscience has allowed us to determine biological differences in AD patients to help develop novel product candidates that have the potential to address the significant unmet needs of this underserved patient population.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Alzheimer’s Disease Overview</w:t>
      </w:r>
    </w:p>
    <w:p>
      <w:pPr>
        <w:spacing w:after="0" w:line="128"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AD is a neurodegenerative disorder of uncertain cause and pathogenesis and is the most common form of dementia. AD is characterized by memory impairment and further cognitive decline that can ultimately affect the patient’s behavior, speech, visuospatial orientation and motor system. AD is a complex multifactorial disease driven by genetic and environmental causes that affects older adults and is one of the leading sources of morbidity and mortality in the aging population. Established risk factors for AD include age, family history of dementia, rare dominantly inherited mutations in genes that impact β-amyloid in the brain (as described below) and apolipoprotein E epsilon 4 allele (as described below). The disease is most often categorized into three different groups: early-onset AD, late-onset AD and familial AD. Late-onset AD, also referred to as sporadic AD, is the most common form of the disease representing approximately 90% of the patients, and is classified in patients who present with symptoms at older ages (i.e., ≥ 65 years), while early-onset AD is classified in patients who present with symptoms at younger ages (i.e., &lt; 65 years). Familial AD is an inherited</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form of AD (i.e., genetic) and patients with early-onset AD most often have some inherited form of the disease. In contrast, sporadic AD most often involves common and rare genetic risk factors, as well as environmental factors.</w:t>
      </w:r>
    </w:p>
    <w:p>
      <w:pPr>
        <w:spacing w:after="0" w:line="90"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Available data supports a worldwide prevalence of AD of approximately 35 million people, or approximately 6 million people in the United States. The prevalence of AD is known to increase exponentially with age, essentially doubling every 5 years after the age of 65. Diagnosis of AD is typically only considered after symptoms manifest and while the diagnosis of AD can be based on clinical criteria or detection of certain biomarkers, such as β-amyloid and tau, a postmortem histopathologic examination is required to confirm the diagnosis. Recent emerging evidence supports that neurological changes may occur years before patients start to experience early clinical manifestations of AD, which is most often memory impairment.</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Limitations of Current Targeted Therapies for Alzheimer’s Disease</w:t>
      </w:r>
    </w:p>
    <w:p>
      <w:pPr>
        <w:spacing w:after="0" w:line="124"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Since 2003, only one new treatment for AD has been approved by the FDA, representing a significant unmet medical need. Despite clinical trials of numerous agents over a wide range of mechanisms, including small molecule inhibitors developed to treat tau deposition, only one disease-modifying treatment, which treats β amyloid deposition, has been successfully developed. There are currently only six FDA-approved treatments for AD, and five of these treatments are widely considered to only briefly and modestly improve AD symptoms, ultimately failing to prevent or slow disease progression. Patients may develop AD irrespective of β amyloid deposition. Without a disease-modifying treatment that targets the underlying cause of AD, many AD patients require daily supportive care from their families or other caregivers.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Pathogenesis of Alzheimer’s Disease</w:t>
      </w:r>
    </w:p>
    <w:p>
      <w:pPr>
        <w:spacing w:after="0" w:line="124" w:lineRule="exact"/>
        <w:rPr>
          <w:sz w:val="20"/>
          <w:szCs w:val="20"/>
          <w:color w:val="auto"/>
        </w:rPr>
      </w:pPr>
    </w:p>
    <w:p>
      <w:pPr>
        <w:jc w:val="both"/>
        <w:ind w:left="1160" w:right="1179"/>
        <w:spacing w:after="0" w:line="290" w:lineRule="auto"/>
        <w:rPr>
          <w:sz w:val="20"/>
          <w:szCs w:val="20"/>
          <w:color w:val="auto"/>
        </w:rPr>
      </w:pPr>
      <w:r>
        <w:rPr>
          <w:rFonts w:ascii="Arial" w:cs="Arial" w:eastAsia="Arial" w:hAnsi="Arial"/>
          <w:sz w:val="13"/>
          <w:szCs w:val="13"/>
          <w:color w:val="auto"/>
        </w:rPr>
        <w:t xml:space="preserve">While the pathogenesis of AD remains unclear, the genetic basis for early-onset and familial AD is understood most clearly. Most AD patients appear to have an overproduction and/or decreased clearance of β-amyloid, which is neurotoxic. This explanation of AD is otherwise known as the “amyloid hypothesis.” β-amyloid is produced by the cleavage of a protein translated from the amyloid precursor protein gene, or </w:t>
      </w:r>
      <w:r>
        <w:rPr>
          <w:rFonts w:ascii="Arial" w:cs="Arial" w:eastAsia="Arial" w:hAnsi="Arial"/>
          <w:sz w:val="13"/>
          <w:szCs w:val="13"/>
          <w:i w:val="1"/>
          <w:iCs w:val="1"/>
          <w:color w:val="auto"/>
        </w:rPr>
        <w:t>APP</w:t>
      </w:r>
      <w:r>
        <w:rPr>
          <w:rFonts w:ascii="Arial" w:cs="Arial" w:eastAsia="Arial" w:hAnsi="Arial"/>
          <w:sz w:val="13"/>
          <w:szCs w:val="13"/>
          <w:color w:val="auto"/>
        </w:rPr>
        <w:t>, and cleaved by α-secretase, β-secretase, and γ-secretase. Presenilin is a sub-component of γ-secretase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is partially responsible for cleaving </w:t>
      </w:r>
      <w:r>
        <w:rPr>
          <w:rFonts w:ascii="Arial" w:cs="Arial" w:eastAsia="Arial" w:hAnsi="Arial"/>
          <w:sz w:val="13"/>
          <w:szCs w:val="13"/>
          <w:i w:val="1"/>
          <w:iCs w:val="1"/>
          <w:color w:val="auto"/>
        </w:rPr>
        <w:t>APP</w:t>
      </w:r>
      <w:r>
        <w:rPr>
          <w:rFonts w:ascii="Arial" w:cs="Arial" w:eastAsia="Arial" w:hAnsi="Arial"/>
          <w:sz w:val="13"/>
          <w:szCs w:val="13"/>
          <w:color w:val="auto"/>
        </w:rPr>
        <w:t xml:space="preserve">. Mutations in presenilin 1 gene, or </w:t>
      </w:r>
      <w:r>
        <w:rPr>
          <w:rFonts w:ascii="Arial" w:cs="Arial" w:eastAsia="Arial" w:hAnsi="Arial"/>
          <w:sz w:val="13"/>
          <w:szCs w:val="13"/>
          <w:i w:val="1"/>
          <w:iCs w:val="1"/>
          <w:color w:val="auto"/>
        </w:rPr>
        <w:t>PSEN1</w:t>
      </w:r>
      <w:r>
        <w:rPr>
          <w:rFonts w:ascii="Arial" w:cs="Arial" w:eastAsia="Arial" w:hAnsi="Arial"/>
          <w:sz w:val="13"/>
          <w:szCs w:val="13"/>
          <w:color w:val="auto"/>
        </w:rPr>
        <w:t xml:space="preserve">, or presenilin 2, or </w:t>
      </w:r>
      <w:r>
        <w:rPr>
          <w:rFonts w:ascii="Arial" w:cs="Arial" w:eastAsia="Arial" w:hAnsi="Arial"/>
          <w:sz w:val="13"/>
          <w:szCs w:val="13"/>
          <w:i w:val="1"/>
          <w:iCs w:val="1"/>
          <w:color w:val="auto"/>
        </w:rPr>
        <w:t>PSEN2</w:t>
      </w:r>
      <w:r>
        <w:rPr>
          <w:rFonts w:ascii="Arial" w:cs="Arial" w:eastAsia="Arial" w:hAnsi="Arial"/>
          <w:sz w:val="13"/>
          <w:szCs w:val="13"/>
          <w:color w:val="auto"/>
        </w:rPr>
        <w:t>, and</w:t>
      </w:r>
      <w:r>
        <w:rPr>
          <w:rFonts w:ascii="Arial" w:cs="Arial" w:eastAsia="Arial" w:hAnsi="Arial"/>
          <w:sz w:val="13"/>
          <w:szCs w:val="13"/>
          <w:i w:val="1"/>
          <w:iCs w:val="1"/>
          <w:color w:val="auto"/>
        </w:rPr>
        <w:t xml:space="preserve"> APP </w:t>
      </w:r>
      <w:r>
        <w:rPr>
          <w:rFonts w:ascii="Arial" w:cs="Arial" w:eastAsia="Arial" w:hAnsi="Arial"/>
          <w:sz w:val="13"/>
          <w:szCs w:val="13"/>
          <w:color w:val="auto"/>
        </w:rPr>
        <w:t>result in overproduction of β-amyloid and are known to cause familial AD in greater than</w:t>
      </w:r>
      <w:r>
        <w:rPr>
          <w:rFonts w:ascii="Arial" w:cs="Arial" w:eastAsia="Arial" w:hAnsi="Arial"/>
          <w:sz w:val="13"/>
          <w:szCs w:val="13"/>
          <w:i w:val="1"/>
          <w:iCs w:val="1"/>
          <w:color w:val="auto"/>
        </w:rPr>
        <w:t xml:space="preserve"> </w:t>
      </w:r>
      <w:r>
        <w:rPr>
          <w:rFonts w:ascii="Arial" w:cs="Arial" w:eastAsia="Arial" w:hAnsi="Arial"/>
          <w:sz w:val="13"/>
          <w:szCs w:val="13"/>
          <w:color w:val="auto"/>
        </w:rPr>
        <w:t>95% of patients. In addition, the pathogenesis of AD is believed to involve a second protein, tau.</w:t>
      </w:r>
    </w:p>
    <w:p>
      <w:pPr>
        <w:spacing w:after="0" w:line="71"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Tau plays a role in stabilizing the biological mechanisms required for facilitating neuronal activity and communication. In patients suffering from AD, observations have shown that tau accumulates and causes neurotoxicity as a result of its hyperphosphorylation. In addition, transmission of pathologic forms of tau between neurons has been proposed to account for the spread of AD in the brain.</w:t>
      </w:r>
    </w:p>
    <w:p>
      <w:pPr>
        <w:spacing w:after="0" w:line="102"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 xml:space="preserve">There are several other important and potentially overlapping pathways that are considered to be involved in AD. For example, the strongest association of sporadic AD involves human apolipoprotein E gene, or </w:t>
      </w:r>
      <w:r>
        <w:rPr>
          <w:rFonts w:ascii="Arial" w:cs="Arial" w:eastAsia="Arial" w:hAnsi="Arial"/>
          <w:sz w:val="15"/>
          <w:szCs w:val="15"/>
          <w:i w:val="1"/>
          <w:iCs w:val="1"/>
          <w:color w:val="auto"/>
        </w:rPr>
        <w:t>APOE</w:t>
      </w:r>
      <w:r>
        <w:rPr>
          <w:rFonts w:ascii="Arial" w:cs="Arial" w:eastAsia="Arial" w:hAnsi="Arial"/>
          <w:sz w:val="15"/>
          <w:szCs w:val="15"/>
          <w:color w:val="auto"/>
        </w:rPr>
        <w:t>.</w:t>
      </w:r>
      <w:r>
        <w:rPr>
          <w:rFonts w:ascii="Arial" w:cs="Arial" w:eastAsia="Arial" w:hAnsi="Arial"/>
          <w:sz w:val="15"/>
          <w:szCs w:val="15"/>
          <w:i w:val="1"/>
          <w:iCs w:val="1"/>
          <w:color w:val="auto"/>
        </w:rPr>
        <w:t xml:space="preserve"> APOE </w:t>
      </w:r>
      <w:r>
        <w:rPr>
          <w:rFonts w:ascii="Arial" w:cs="Arial" w:eastAsia="Arial" w:hAnsi="Arial"/>
          <w:sz w:val="15"/>
          <w:szCs w:val="15"/>
          <w:color w:val="auto"/>
        </w:rPr>
        <w:t>is involved in multiple cellular processes, including cholesterol transport and immune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regulation, amongst others. </w:t>
      </w:r>
      <w:r>
        <w:rPr>
          <w:rFonts w:ascii="Arial" w:cs="Arial" w:eastAsia="Arial" w:hAnsi="Arial"/>
          <w:sz w:val="15"/>
          <w:szCs w:val="15"/>
          <w:i w:val="1"/>
          <w:iCs w:val="1"/>
          <w:color w:val="auto"/>
        </w:rPr>
        <w:t>APOE</w:t>
      </w:r>
      <w:r>
        <w:rPr>
          <w:rFonts w:ascii="Arial" w:cs="Arial" w:eastAsia="Arial" w:hAnsi="Arial"/>
          <w:sz w:val="15"/>
          <w:szCs w:val="15"/>
          <w:color w:val="auto"/>
        </w:rPr>
        <w:t xml:space="preserve"> is known to have three alleles, including epsilon 4, or </w:t>
      </w:r>
      <w:r>
        <w:rPr>
          <w:rFonts w:ascii="Arial" w:cs="Arial" w:eastAsia="Arial" w:hAnsi="Arial"/>
          <w:sz w:val="15"/>
          <w:szCs w:val="15"/>
          <w:i w:val="1"/>
          <w:iCs w:val="1"/>
          <w:color w:val="auto"/>
        </w:rPr>
        <w:t>APOE4</w:t>
      </w:r>
      <w:r>
        <w:rPr>
          <w:rFonts w:ascii="Arial" w:cs="Arial" w:eastAsia="Arial" w:hAnsi="Arial"/>
          <w:sz w:val="15"/>
          <w:szCs w:val="15"/>
          <w:color w:val="auto"/>
        </w:rPr>
        <w:t xml:space="preserve">. Carriers of one </w:t>
      </w:r>
      <w:r>
        <w:rPr>
          <w:rFonts w:ascii="Arial" w:cs="Arial" w:eastAsia="Arial" w:hAnsi="Arial"/>
          <w:sz w:val="15"/>
          <w:szCs w:val="15"/>
          <w:i w:val="1"/>
          <w:iCs w:val="1"/>
          <w:color w:val="auto"/>
        </w:rPr>
        <w:t>APOE4</w:t>
      </w:r>
      <w:r>
        <w:rPr>
          <w:rFonts w:ascii="Arial" w:cs="Arial" w:eastAsia="Arial" w:hAnsi="Arial"/>
          <w:sz w:val="15"/>
          <w:szCs w:val="15"/>
          <w:color w:val="auto"/>
        </w:rPr>
        <w:t xml:space="preserve"> are two to three times more likely to develop AD as compared to noncarriers, and those with two </w:t>
      </w:r>
      <w:r>
        <w:rPr>
          <w:rFonts w:ascii="Arial" w:cs="Arial" w:eastAsia="Arial" w:hAnsi="Arial"/>
          <w:sz w:val="15"/>
          <w:szCs w:val="15"/>
          <w:i w:val="1"/>
          <w:iCs w:val="1"/>
          <w:color w:val="auto"/>
        </w:rPr>
        <w:t>APOE4</w:t>
      </w:r>
      <w:r>
        <w:rPr>
          <w:rFonts w:ascii="Arial" w:cs="Arial" w:eastAsia="Arial" w:hAnsi="Arial"/>
          <w:sz w:val="15"/>
          <w:szCs w:val="15"/>
          <w:color w:val="auto"/>
        </w:rPr>
        <w:t xml:space="preserve"> are at approximately 8 to 12 times more likely to develop AD. Despite </w:t>
      </w:r>
      <w:r>
        <w:rPr>
          <w:rFonts w:ascii="Arial" w:cs="Arial" w:eastAsia="Arial" w:hAnsi="Arial"/>
          <w:sz w:val="15"/>
          <w:szCs w:val="15"/>
          <w:i w:val="1"/>
          <w:iCs w:val="1"/>
          <w:color w:val="auto"/>
        </w:rPr>
        <w:t>APOE4</w:t>
      </w:r>
      <w:r>
        <w:rPr>
          <w:rFonts w:ascii="Arial" w:cs="Arial" w:eastAsia="Arial" w:hAnsi="Arial"/>
          <w:sz w:val="15"/>
          <w:szCs w:val="15"/>
          <w:color w:val="auto"/>
        </w:rPr>
        <w:t xml:space="preserve">’s strong link to sporadic AD, some carriers of </w:t>
      </w:r>
      <w:r>
        <w:rPr>
          <w:rFonts w:ascii="Arial" w:cs="Arial" w:eastAsia="Arial" w:hAnsi="Arial"/>
          <w:sz w:val="15"/>
          <w:szCs w:val="15"/>
          <w:i w:val="1"/>
          <w:iCs w:val="1"/>
          <w:color w:val="auto"/>
        </w:rPr>
        <w:t>APOE4</w:t>
      </w:r>
      <w:r>
        <w:rPr>
          <w:rFonts w:ascii="Arial" w:cs="Arial" w:eastAsia="Arial" w:hAnsi="Arial"/>
          <w:sz w:val="15"/>
          <w:szCs w:val="15"/>
          <w:color w:val="auto"/>
        </w:rPr>
        <w:t xml:space="preserve"> never develop any cognitive decline. Unlike familial and early-onset AD, the genetic basis for sporadic AD is complex and poorly understood, and often involves environmental factors.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Pathology of Alzheimer’s Disease</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hallmark neuropathologic changes of AD are diffuse and neuritic plaques, marked by extracellular β-amyloid deposition and neurofibrillary tangles, comprised of the intracellular accumulation of hyperphosphorylated tau (as depicted below). The pathology of AD is characterized by the widespread death of neurons in the brain and follows a destructive trajectory starting at the hippocampus, which is responsible for learning and memory. As AD progresses, the pathology gradually spreads to other important regions of the brain further causing cognitive decline. Among AD patients, the levels of brain atrophy vary and the underlying cause of this is unknown.</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Healthy Brain Compared to an AD Patient’s Brain with β-Amyloid and Tau Deposition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102235</wp:posOffset>
            </wp:positionV>
            <wp:extent cx="3809365" cy="15976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09365" cy="159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Heterogeneity Among Alzheimer’s Disease Patients</w:t>
      </w:r>
    </w:p>
    <w:p>
      <w:pPr>
        <w:spacing w:after="0" w:line="124"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A growing body of evidence suggests that AD is a heterogeneous group of diseases, which may partially explain the lack of consistent clinical data, including clinical trials. The cardinal symptoms of AD are cognitive impairment, including memory impairment, loss of executive function, impaired judgement and problem solving, behavioral and psychological problems, and visuospatial impairment. While nearly all AD patients struggle with cognitive decline, there is no prescribed pattern or progression of symptoms. For example, some AD patients have significant β-amyloid and hyperphosphorylated tau deposition, but experience little or no cognitive impairment.</w:t>
      </w:r>
    </w:p>
    <w:p>
      <w:pPr>
        <w:spacing w:after="0" w:line="102"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The pattern of memory impairment in patients suffering from AD is distinctive. Memory of events occurring at a particular time and place is often profoundly affected in these patients. These memory deficits develop insidiously and progress slowly over time, evolving to include deficits of semantic memory (i.e., general knowledge accumulated throughout life) and immediate recall. Impairments of procedural memory (i.e., how to perform certain actions and skills) appear only in the late stages of AD. In addition, behavioral and psychologic symptoms become more common in the middle to late course of the disease. These can begin with relatively subtle symptoms including apathy, social disengagement and irritability. However, emergence of behavioral disturbances such as agitation, aggression, wandering and psychosis are seen as well. Approximately 11% of AD patients suffer from some form of psychosis and at least 75% of AD patients deal with agitation, aggression and wandering. Although the signs and symptoms of AD are understood, the underlying cause of the disease, including progression of certain aspects of the disease, still remain unknown and provide an opportunity for the development of disease-modifying treatments that would address significant unmet needs in the underserved AD patient population.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Approach to Alzheimer’s Disease</w:t>
      </w:r>
    </w:p>
    <w:p>
      <w:pPr>
        <w:spacing w:after="0" w:line="11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We believe there are specific subgroups of AD that can be stratified through gene expression and brain pathology. To identify AD subgroups, we have leveraged our platform to employ a patient-centric, data-driven approach through:</w:t>
      </w:r>
    </w:p>
    <w:p>
      <w:pPr>
        <w:spacing w:after="0" w:line="68" w:lineRule="exact"/>
        <w:rPr>
          <w:sz w:val="20"/>
          <w:szCs w:val="20"/>
          <w:color w:val="auto"/>
        </w:rPr>
      </w:pPr>
    </w:p>
    <w:p>
      <w:pPr>
        <w:ind w:left="1600" w:right="1179" w:hanging="143"/>
        <w:spacing w:after="0" w:line="264"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Patient Data</w:t>
      </w:r>
      <w:r>
        <w:rPr>
          <w:rFonts w:ascii="Arial" w:cs="Arial" w:eastAsia="Arial" w:hAnsi="Arial"/>
          <w:sz w:val="15"/>
          <w:szCs w:val="15"/>
          <w:color w:val="auto"/>
        </w:rPr>
        <w:t>. Categorizing and quality controlling postmortem patient data available from multiple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public repositories.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Patient Stratification</w:t>
      </w:r>
      <w:r>
        <w:rPr>
          <w:rFonts w:ascii="Arial" w:cs="Arial" w:eastAsia="Arial" w:hAnsi="Arial"/>
          <w:sz w:val="15"/>
          <w:szCs w:val="15"/>
          <w:color w:val="auto"/>
        </w:rPr>
        <w:t>. Using a combination of different types of data, such as brain pathology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 expression, to stratify patients into certain groups.</w:t>
      </w:r>
    </w:p>
    <w:p>
      <w:pPr>
        <w:spacing w:after="0" w:line="59"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73"/>
        </w:numPr>
        <w:rPr>
          <w:rFonts w:ascii="Arial" w:cs="Arial" w:eastAsia="Arial" w:hAnsi="Arial"/>
          <w:sz w:val="14"/>
          <w:szCs w:val="14"/>
          <w:color w:val="auto"/>
        </w:rPr>
      </w:pPr>
      <w:r>
        <w:rPr>
          <w:rFonts w:ascii="Arial" w:cs="Arial" w:eastAsia="Arial" w:hAnsi="Arial"/>
          <w:sz w:val="14"/>
          <w:szCs w:val="14"/>
          <w:b w:val="1"/>
          <w:bCs w:val="1"/>
          <w:i w:val="1"/>
          <w:iCs w:val="1"/>
          <w:color w:val="auto"/>
        </w:rPr>
        <w:t>Our Expertise</w:t>
      </w:r>
      <w:r>
        <w:rPr>
          <w:rFonts w:ascii="Arial" w:cs="Arial" w:eastAsia="Arial" w:hAnsi="Arial"/>
          <w:sz w:val="14"/>
          <w:szCs w:val="14"/>
          <w:color w:val="auto"/>
        </w:rPr>
        <w:t>. Leveraging our computational biology expertise to develop machine learning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algorithms to detect patterns across biological data and find subgroups based on distinct patterns.</w:t>
      </w:r>
    </w:p>
    <w:p>
      <w:pPr>
        <w:spacing w:after="0" w:line="70"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Our approach to stratify AD patients based off specific subgroups and discover therapies that may benefit these patients is depicted in the image below.</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 Patient Subgroup Stratification and Application of Our Drug Discovery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109220</wp:posOffset>
            </wp:positionV>
            <wp:extent cx="3809365" cy="12001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0936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160" w:right="1179"/>
        <w:spacing w:after="0" w:line="292" w:lineRule="auto"/>
        <w:rPr>
          <w:sz w:val="20"/>
          <w:szCs w:val="20"/>
          <w:color w:val="auto"/>
        </w:rPr>
      </w:pPr>
      <w:r>
        <w:rPr>
          <w:rFonts w:ascii="Arial" w:cs="Arial" w:eastAsia="Arial" w:hAnsi="Arial"/>
          <w:sz w:val="13"/>
          <w:szCs w:val="13"/>
          <w:color w:val="auto"/>
        </w:rPr>
        <w:t>We believe our platform and expertise in neurology and neuroscience has allowed us to determine biological differences in AD patients to help develop novel product candidates that have the potential to address the significant unmet needs of this underserved patient population. Through postmortem patient data, we have determined multiple subgroups of AD with varying degrees of neuropathology and cognitive deficiencies, differences in brain gene expression irrespective of β-amyloid or tau deposition, and inclusion or lack of high levels of gene expression resulting in neuroinflammation of the brain. We categorize the subgroup of patients with high levels of gene expression resulting in neuroinflammation of the brain as “Type I AD.”</w:t>
      </w:r>
    </w:p>
    <w:p>
      <w:pPr>
        <w:spacing w:after="0" w:line="7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Through our next-generation approach for AD drug discovery (as depicted above), we have been able to develop a streamlined strategy for identifying novel product candidates by utilizing the following elements of our platform:</w:t>
      </w:r>
    </w:p>
    <w:p>
      <w:pPr>
        <w:spacing w:after="0" w:line="79" w:lineRule="exact"/>
        <w:rPr>
          <w:sz w:val="20"/>
          <w:szCs w:val="20"/>
          <w:color w:val="auto"/>
        </w:rPr>
      </w:pPr>
    </w:p>
    <w:p>
      <w:pPr>
        <w:jc w:val="both"/>
        <w:ind w:left="1600" w:right="1179" w:hanging="143"/>
        <w:spacing w:after="0" w:line="25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Novel Biology</w:t>
      </w:r>
      <w:r>
        <w:rPr>
          <w:rFonts w:ascii="Arial" w:cs="Arial" w:eastAsia="Arial" w:hAnsi="Arial"/>
          <w:sz w:val="15"/>
          <w:szCs w:val="15"/>
          <w:color w:val="auto"/>
        </w:rPr>
        <w:t>. Leveraging DCT to identify robust novel targets using gene expression signatures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each AD subgroup. Characterizing mechanisms of action in central nervous system, or CNS, cell types for target assessment.</w:t>
      </w:r>
    </w:p>
    <w:p>
      <w:pPr>
        <w:spacing w:after="0" w:line="78"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Novel Chemistry</w:t>
      </w:r>
      <w:r>
        <w:rPr>
          <w:rFonts w:ascii="Arial" w:cs="Arial" w:eastAsia="Arial" w:hAnsi="Arial"/>
          <w:sz w:val="15"/>
          <w:szCs w:val="15"/>
          <w:color w:val="auto"/>
        </w:rPr>
        <w:t>. Employing our Fluency technology to accelerate the identification of small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molecules that selectively bind to a target of interest.</w:t>
      </w:r>
    </w:p>
    <w:p>
      <w:pPr>
        <w:spacing w:after="0" w:line="70"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Proprietary Translational Planning. </w:t>
      </w:r>
      <w:r>
        <w:rPr>
          <w:rFonts w:ascii="Arial" w:cs="Arial" w:eastAsia="Arial" w:hAnsi="Arial"/>
          <w:sz w:val="15"/>
          <w:szCs w:val="15"/>
          <w:color w:val="auto"/>
        </w:rPr>
        <w:t>Utilizing the AD subgroup data that we have generated to select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ideal preclinical models to improve clinical translation, including AD subgroup-specific induced pluripotent stem cell, or iPSC, lines, and defined existing and novel biomarkers specific to these patients.</w:t>
      </w:r>
    </w:p>
    <w:p>
      <w:pPr>
        <w:spacing w:after="0" w:line="102"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By leveraging our data-driven discoveries, we believe we have a unique advantage to develop a targeted strategy for patient selection and to increase response rates by treating the underlying biology of the AD subgroups.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Neuroscience Pipeline</w:t>
      </w:r>
    </w:p>
    <w:p>
      <w:pPr>
        <w:spacing w:after="0" w:line="128" w:lineRule="exact"/>
        <w:rPr>
          <w:sz w:val="20"/>
          <w:szCs w:val="20"/>
          <w:color w:val="auto"/>
        </w:rPr>
      </w:pPr>
    </w:p>
    <w:p>
      <w:pPr>
        <w:jc w:val="both"/>
        <w:ind w:left="1160" w:right="1179"/>
        <w:spacing w:after="0" w:line="302" w:lineRule="auto"/>
        <w:rPr>
          <w:sz w:val="20"/>
          <w:szCs w:val="20"/>
          <w:color w:val="auto"/>
        </w:rPr>
      </w:pPr>
      <w:r>
        <w:rPr>
          <w:rFonts w:ascii="Arial" w:cs="Arial" w:eastAsia="Arial" w:hAnsi="Arial"/>
          <w:sz w:val="13"/>
          <w:szCs w:val="13"/>
          <w:color w:val="auto"/>
        </w:rPr>
        <w:t>Our current neuroscience programs are dedicated to providing treatments for patients classified in a specific AD subgroup for which there are significant unmet needs and underserved patient populations. Our neuroscience programs are currently in the early stages of drug discovery and we are focused on advancing these programs into lead optimization. The following table summarizes our neuroscience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73025</wp:posOffset>
            </wp:positionV>
            <wp:extent cx="4220845" cy="1053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20845" cy="105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Neuroscience Programs—Rationale for Treating Neuroinflammation</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We believe treating neuroinflammation in Type I AD patients will slow the progression of the disease. Previous academic studies have shown that neuroinflammation is a possible cause of AD pathology. In addition, other studies have determined that neuroinflammation is an early AD event that precedes β-amyloid and/or tau deposition in AD patients, and is necessary for AD patients to progress from mild cognitive symptoms to more severe cognitive impairment leading to diagnosis of AD. In a meta -analysis review of peripheral inflammatory markers in AD, an academic group reviewed 175 studies that enrolled over 26,000 patients and observed that AD patients have elevated inflammatory markers, including IL- 1β and IL-6. In another study, IL-1β was associated with a faster rate of decline on executive functioning in older adults and IL-6 was associated with a faster decline of verbal memory. These observations are in agreement with our studies that identified subgroups of AD patients with elevated levels of neuroinflammatory gene expression. Collectively, through our own research and publicly available literature, we believe that treating neuroinflammation earlier in Type I AD patients may be able to slow the progression of the disease in these patients.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Solution: IMM-ALL-01</w:t>
      </w:r>
    </w:p>
    <w:p>
      <w:pPr>
        <w:spacing w:after="0" w:line="124"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We are developing investigational small molecule inhibitors against an undisclosed target, or AO.01, for our IMM-ALL-01 program, which is currently in early stages of discovery. We believe that inhibition of AO.01 will decrease AD-related neuroinflammation by reducing the activation of microglia. Microglia are innate immune cells that have been observed to significantly increase AD-related neuroinflammation. Our preclinical studies in cultured microglia have demonstrated that 50 µM treatment with our AO.01 inhibitors decrease the release of IL-6 (as depicted in figure B below), an inflammatory marker that drives AD-related neuroinflammation, while promoting anti-inflammatory IL-10 expression (as depicted in figure A below).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 xml:space="preserve">In Vitro </w:t>
      </w:r>
      <w:r>
        <w:rPr>
          <w:rFonts w:ascii="Arial" w:cs="Arial" w:eastAsia="Arial" w:hAnsi="Arial"/>
          <w:sz w:val="13"/>
          <w:szCs w:val="13"/>
          <w:b w:val="1"/>
          <w:bCs w:val="1"/>
          <w:color w:val="auto"/>
        </w:rPr>
        <w:t>Observation of AO.01 Inhibitors Decreasing the Release of IL-6 and Promoting IL-10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151765</wp:posOffset>
            </wp:positionV>
            <wp:extent cx="3809365" cy="1681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09365"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 xml:space="preserve">DCT revealed AO.01 as a target involved in AD-related neuroinflammatory mechanisms dysregulated in the brains of Type I AD patients. Through our bioinformatics analysis of independent study data, we observed that gene expression of AO.01 is significantly increased in activated microglia. In our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knockdown of AO.01 gene expression suppressed the neuroinflammatory behavior of primary microglia. Our RNAseq analysis of our internal microglia experiment confirmed reduced expression of neuroinflammatory pathway genes after AO.01 knockdown. Based on these studies, we observed that knockdown of AO.01 directly correlates with a decrease in neuroinflammatory markers. We further observed that knockdown of AO.01 gene expression decreased neuronal hyperphosphorylated tau deposition in a tau cell model. We believe this suggests that AO.01 inhibition may block multiple independent AD-related neuroinflammatory pathways by inhibiting and/or suppressing the release of neuroinflammatory markers, including IL-6, and decreasing tau deposition.</w:t>
      </w:r>
    </w:p>
    <w:p>
      <w:pPr>
        <w:spacing w:after="0" w:line="96"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 xml:space="preserve">We plan to improve the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potency of our AO.01 inhibitors by focusing on a resolved catalytic pocket of AO.01 to further reduce the proinflammatory activity of microglia. While our preliminary studies demonstrate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high cell permeability for our current AO.01 inhibitors, we plan to focus on optimizing blood brain barrier penetrance during lead optimization to provide desirable activity in the brain. Our goal is to increase translatability by exploring the effect of our AO.01 inhibitors on inflammation in human microglia derived from acquired iPSC lines of Type I AD patients.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Solution: IMM-ALL-03</w:t>
      </w:r>
    </w:p>
    <w:p>
      <w:pPr>
        <w:spacing w:after="0" w:line="113"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We are developing investigational small molecule inhibitors against an undisclosed target, or AO.03, for our IMM-ALL-03 program, which is currently in the early stages of discovery. We leveraged Fluency to identify and rank initial hits against the AO.03 protein and screened a subset of hits with drug-like properties through a cell-free assay. The screening assays confirmed several Fluency hits from different chemical classes to AO.03, and subsequent modification of our AO.03 hits significantly improved inhibition of AO.03’s activity (as depicted in figure A below). Our preclinical studies in activated microglia have demonstrated that 10 and 50 µM treatment with our AO.03 inhibitors decrease the release of IL-6 (as depicted in figure B below). In addition, in our preliminary studies, we have observed high cell permeability for our current AO.03 inhibitors. We plan to optimize blood brain barrier penetrance during lead optimization to provide desirable activity in the brain.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Fluency Platform Identifies Small Molecules Designed to Inhibit AO.03 and In Vitro Observation of AO.03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Inhibitors Decreasing the Release of IL-6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127000</wp:posOffset>
            </wp:positionV>
            <wp:extent cx="3809365" cy="1667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09365" cy="166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Biological Relevance of AO.03</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 xml:space="preserve">Through our platform, we have discovered that AO.03 is a target that is involved in aberrant inflammatory pathways in Type I AD pathogenesis, and that reduced AO.03 gene expression corrects the expression of genes related to Type I AD biology. In our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we observed that stimulation of microglia into a proinflammatory state triggered significant increases in AO.03 gene expression, whereas reduction of AO.03 gene expression had a causative effect in converting microglial behavior from a proinflammatory state to an anti-inflammatory state. Similar to AO.01, we also observed that lower AO.03 gene expression blocked neuronal tau deposition in a tau cell model, including phosphorylation of tau at a protein site called Threonine 181, or p181 (as depicted below). Based upon literature, there is strong evidence that p181 phosphorylation occurs early in AD progression and is positively correlated to the age of onset, suggesting early prevention of p181 phosphorylation may significantly delay AD symptoms. While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analysis of stimulated microglia after AO.03 and AO.01 knockdown revealed non-identical, overlapping changes in cytokine release, RNAseq analyses have revealed that the targeted pathways of AO.03 and AO.01 are different. Concretely, reduction of AO.01 gene expression reduced expression of signaling genes for oxidation phosphorylation and the pentose phosphate pathway, whereas reduction of AO.03 gene caused a reduction of genes widely known to be involved in neuroinflammatory pathways in AD, including the IL-6 and toll-like receptor signaling pathways (as depicted below). We believe this represents unique opportunities for regulating several neuroinflammatory pathways in Type I AD patients.</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Biological Effect of Reducing AO.03 Gene Expression on Inflammation and Tau Deposition, and Pathway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Analysis of AO.01 versus AO.03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120015</wp:posOffset>
            </wp:positionV>
            <wp:extent cx="3809365" cy="18484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09365" cy="184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Platform</w:t>
      </w:r>
    </w:p>
    <w:p>
      <w:pPr>
        <w:spacing w:after="0" w:line="128"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Consistent with our approach of weaving bioinformatics and computational biology into every stage of the drug development process, we have developed a proprietary disease-agnostic platform that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high unmet medical needs and suboptimal treatment options. Key elements of our platform include:</w:t>
      </w:r>
    </w:p>
    <w:p>
      <w:pPr>
        <w:spacing w:after="0" w:line="68" w:lineRule="exact"/>
        <w:rPr>
          <w:sz w:val="20"/>
          <w:szCs w:val="20"/>
          <w:color w:val="auto"/>
        </w:rPr>
      </w:pPr>
    </w:p>
    <w:p>
      <w:pPr>
        <w:ind w:left="1600" w:right="117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Insights from Human Data. </w:t>
      </w:r>
      <w:r>
        <w:rPr>
          <w:rFonts w:ascii="Arial" w:cs="Arial" w:eastAsia="Arial" w:hAnsi="Arial"/>
          <w:sz w:val="15"/>
          <w:szCs w:val="15"/>
          <w:color w:val="auto"/>
        </w:rPr>
        <w:t>Compare distinct groups of individuals who differ in a certain aspect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disease or response to a particular therapy, or identify new patient subsets.</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Novel Biology. </w:t>
      </w:r>
      <w:r>
        <w:rPr>
          <w:rFonts w:ascii="Arial" w:cs="Arial" w:eastAsia="Arial" w:hAnsi="Arial"/>
          <w:sz w:val="15"/>
          <w:szCs w:val="15"/>
          <w:color w:val="auto"/>
        </w:rPr>
        <w:t>Identify novel targets and new ways to drug existing targets using DCT and/or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insights into mechanisms of response.</w:t>
      </w:r>
    </w:p>
    <w:p>
      <w:pPr>
        <w:spacing w:after="0" w:line="59"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Novel Chemistry. </w:t>
      </w:r>
      <w:r>
        <w:rPr>
          <w:rFonts w:ascii="Arial" w:cs="Arial" w:eastAsia="Arial" w:hAnsi="Arial"/>
          <w:sz w:val="14"/>
          <w:szCs w:val="14"/>
          <w:color w:val="auto"/>
        </w:rPr>
        <w:t>Rapidly identify small molecules that selectively bind to a target of interest using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proprietary Fluency technology, and/or engineer PK to achieve optimal signaling dynamics.</w:t>
      </w:r>
    </w:p>
    <w:p>
      <w:pPr>
        <w:spacing w:after="0" w:line="36"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Proprietary Translational Planning. </w:t>
      </w:r>
      <w:r>
        <w:rPr>
          <w:rFonts w:ascii="Arial" w:cs="Arial" w:eastAsia="Arial" w:hAnsi="Arial"/>
          <w:sz w:val="15"/>
          <w:szCs w:val="15"/>
          <w:color w:val="auto"/>
        </w:rPr>
        <w:t>Use humanized preclinical models and bioinformatics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prioritize indications and identify sensitive subpopulations.</w:t>
      </w:r>
    </w:p>
    <w:p>
      <w:pPr>
        <w:spacing w:after="0" w:line="82"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Underlying each of these elements is our rigorous quality control and ability to analyze complex biological datasets. We are one of the few biopharmaceutical companies that has been involved in defining best practices for robustly analyzing bioinformatics data, as evidenced by co-authorship on journal articles together with regulators as well as writing invited reviews to educate the scientific community on this topic. This attention to rigorous quality control pervades all of our analyses, and we believe this enables us to extract meaningful information from a variety of databases of human data, including GENIE and The Cancer Genome Atlas Program, or TCGA.</w:t>
      </w:r>
    </w:p>
    <w:p>
      <w:pPr>
        <w:spacing w:after="0" w:line="102"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Our platform is not limited to a single aspect or pathology; rather, it is disease-agnostic, which we believe enables us to identify, develop and evaluate product candidates across multiple disease areas simultaneously, with our initial focus in oncology and neuroscience. While we currently have an emphasis on transcriptomic data, our platform is not limited to a single data type and thus we believe it will be able to evolve as new datasets emerge. Our platform enabled the initiation, discovery and development of our lead product candidate, IMM- 1-104, and has led us to identify additional product candidates with novel compositions of matter by leveraging our platform and drug discovery process. Moreover, our platform has been applied extensively in successful partnerships with large pharmaceutical and biotechnology companies, and through our internal drug discovery and development.</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Insights from Human Data</w:t>
      </w:r>
    </w:p>
    <w:p>
      <w:pPr>
        <w:spacing w:after="0" w:line="1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Our analyses often begin by comparing existing transcriptomic data from two groups of patients (e.g. from those whose tumors have metastasized versus those whose tumors have not) to help elucidate the biological mechanisms underlying a particular aspect of disease which we seek to counteract. As another example, we may analyze existing data from patients with differences in response to an existing therapy, in order to better understand what is happening in responders versus non-responders. We may also analyze existing data from patients with a disease to identify novel subsets of patients. Our platform has enabled us to conduct multiple projects that involve stratifying patients into novel subsets. We associate transcriptomic profiles with each subset, which can then be directly inputted into DCT to identify novel targets specific to a given patient subset.</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Novel Biology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Disease Cancelling Technology</w:t>
      </w:r>
    </w:p>
    <w:p>
      <w:pPr>
        <w:spacing w:after="0" w:line="124"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We have developed DCT to identify targets that reverse a disease signal across multiple relevant genes with the potential to yield product candidates with differentiated mechanisms that are less likely to be discovered by traditional drug discovery methods. Additional biologic context is derived from quantifying the extent to which different time points, concentrations and perturbations (e.g., inhibition and overexpression) may cancel a disease signal more effectively than existing drug targets. DCT ranks target perturbations by the extent to which they generate signals that counteract disease-associated gene expression changes observed in patient data. Thus, we believe DCT enables hypothesis-free, data-driven identification of novel targets and new ways to drug existing targets.</w:t>
      </w:r>
    </w:p>
    <w:p>
      <w:pPr>
        <w:spacing w:after="0" w:line="94"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DCT leverages gene expression data derived from human patient samples to identify targets that may rescue abnormal gene expression and restore pathway homeostasis. In addition, DCT identifies biology relevant to attenuating a disease by quantifying the similarity of genome-wide signatures of specific aspects of the disease to signatures of target induced gene expression changes using a mathematical similarity metric. Uniquely, DCT quantifies the per-gene contribution to overall disease amplification or cancellation. An example of a typical analysis begins by running DCT to identify an unwanted, disease-specific gene expression pattern. The ideal input to DCT is focused on a specific aspect of a disease, such as tumors that have metastasized versus those that have not, rather than comparing diseased versus healthy states. DCT identifies target candidates by screening a disease differential expression signature and comparing it to thousands of target gene expression signatures.</w:t>
      </w:r>
    </w:p>
    <w:p>
      <w:pPr>
        <w:spacing w:after="0" w:line="100"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DCT is able to rapidly compare disease state signatures against vast numbers of target signatures. DCT ranks signatures resulting from the modulation of specific targets by the extent to which they oppose disease signatures (as depicted below). Unlike some algorithms or artificial intelligence, or AI, approaches, the results originating from DCT are designed to be interpretable from a computational and biological perspective. This platform uses gene expression from patient datasets and does not rely on literature. Together with the target, DCT provides a specific list of testable genes associated with the target of interest, relevant drug concentrations and temporal dynamic information driving the result. Thus, we believe DCT can identify new targets and readily detect dynamic relevant biology relating to modulating a target in a better way.</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 summary workflow for DCT’s novel target identification can be described as follows:</w:t>
      </w:r>
    </w:p>
    <w:p>
      <w:pPr>
        <w:spacing w:after="0" w:line="91" w:lineRule="exact"/>
        <w:rPr>
          <w:sz w:val="20"/>
          <w:szCs w:val="20"/>
          <w:color w:val="auto"/>
        </w:rPr>
      </w:pPr>
    </w:p>
    <w:p>
      <w:pPr>
        <w:ind w:left="1600" w:right="117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Carefully curated and quality controlled human transcriptomic data representing a specific aspect of disease, or Input 1, is input and vectorized for processing (as depicted below).</w:t>
      </w:r>
    </w:p>
    <w:p>
      <w:pPr>
        <w:spacing w:after="0" w:line="59" w:lineRule="exact"/>
        <w:rPr>
          <w:rFonts w:ascii="Arial" w:cs="Arial" w:eastAsia="Arial" w:hAnsi="Arial"/>
          <w:sz w:val="15"/>
          <w:szCs w:val="15"/>
          <w:color w:val="auto"/>
        </w:rPr>
      </w:pPr>
    </w:p>
    <w:p>
      <w:pPr>
        <w:jc w:val="both"/>
        <w:ind w:left="1600" w:right="1179" w:hanging="143"/>
        <w:spacing w:after="0" w:line="249"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 carefully curated and quality controlled library of gene expression signals associated with perturbing specific targets at specific time points and concentrations, or Input 2, is input and vectorized for processing (as depicted below). This library can potentially include clustered regularly interspaced short palindromic repeats, or CRISPR, RNA interference, tool compounds, screening library compounds and existing drugs.</w:t>
      </w:r>
    </w:p>
    <w:p>
      <w:pPr>
        <w:spacing w:after="0" w:line="72"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strength of disease signal cancellation is measured between Input 1 and every target signature in Input 2.</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Disease Cancelling Technology Summary Workflow for Target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137160</wp:posOffset>
            </wp:positionV>
            <wp:extent cx="3662680" cy="37884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662680" cy="378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A second filtration step selects target candidates for which multiple biological pathways are restored in the proper direction compared to the disease signal. DCT includes a method to compute a per pathway contribution to disease canceling in terms of percent contribution to overall disease reversal for cases when a specific pathway is particularly relevant. DCT is designed to have many capabilities in addition to identifying novel targets or novel ways to drug existing targets. To enable rapid translation to experimental validation, DCT can suggest ideal concentrations, temporal dynamics and marker genes to monitor. DCT is also capable of predicting target combinations for a given disease or an ideal target for combination with an existing therapy. For expanded utility, DCT has a graphical user interface that enables our biologists to interact with, sort, modify, query and run results along with producing visualizations of results.</w:t>
      </w:r>
    </w:p>
    <w:p>
      <w:pPr>
        <w:spacing w:after="0" w:line="95"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 xml:space="preserve">We believe DCT has several advantages over other target identification technologies. The platform uses patient data as a starting point, rather than artificial 2D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models. For example, our neuroscience program uses gene expression data from AD patient subsets as an input to DCT. We have presented data at American Association for Cancer Research and other conferences demonstrating how cell lines fail to capture the heterogeneity of patient tumors, and our discovery team’s experience in the 3D tumor modeling field has also highlighted the limitations of 2D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data. Moreover, working closely with several FDA-approved drugs, we have found that transcriptomic data was most frequently and dynamically linked to drug activity. Thus, our core insights are derived from transcriptomic data (RNA), while some of our competitor’s platforms may focus on sequencing data (DNA), imaging data from phenotypic screens and/or literature. DCT is focused on</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identifying novel targets or novel ways to modulate existing targets, with the goal of generating novel therapeutics with improved clinical activity. We have not in-licensed external drugs and we do not focus on “drug repurposing” activities. Our pipeline is composed of programs with potentially novel pharmacological effects.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Biological Mechanisms of Response</w:t>
      </w:r>
    </w:p>
    <w:p>
      <w:pPr>
        <w:spacing w:after="0" w:line="11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also identify novel biology by applying translational bioinformatics to analyze the biological mechanisms of response of existing therapies. This may include comparing the transcriptional profiles induced by a drug at different timepoints in order to highlight biological feedback loops that we then seek to counteract.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Novel Chemistry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Fluency</w:t>
      </w:r>
    </w:p>
    <w:p>
      <w:pPr>
        <w:spacing w:after="0" w:line="124" w:lineRule="exact"/>
        <w:rPr>
          <w:sz w:val="20"/>
          <w:szCs w:val="20"/>
          <w:color w:val="auto"/>
        </w:rPr>
      </w:pPr>
    </w:p>
    <w:p>
      <w:pPr>
        <w:jc w:val="both"/>
        <w:ind w:left="1160" w:right="1179"/>
        <w:spacing w:after="0" w:line="288" w:lineRule="auto"/>
        <w:rPr>
          <w:sz w:val="20"/>
          <w:szCs w:val="20"/>
          <w:color w:val="auto"/>
        </w:rPr>
      </w:pPr>
      <w:r>
        <w:rPr>
          <w:rFonts w:ascii="Arial" w:cs="Arial" w:eastAsia="Arial" w:hAnsi="Arial"/>
          <w:sz w:val="13"/>
          <w:szCs w:val="13"/>
          <w:color w:val="auto"/>
        </w:rPr>
        <w:t>We developed Fluency, an easy-to-use AI-based tool, to allow for the rapid screening of large compound libraries for potential binders to a protein target of interest. Fluency can be run with any compound library, including libraries containing millions of compounds. It identifies the most attractive drug candidates within a library by making ranked predictions of binding affinity for all compounds. It also makes predictions about the target binding location for all compounds, which allows us to filter the library for drug candidates that are the most likely to affect a specific region of interest on the desired target. Fluency accelerates our drug development process by allowing us to go from millions of potential compounds down to what Fluency selects as the best hundred drug candidates within a single work day. This allows us to quickly advance only those select candidates to medicinal chemistry and experimental validation (as depicted below), increasing our capital efficiency. Knowledge of the 3D structure of the protein target of interest is not required, which expands the applicability of Fluency to include targets with poorly defined or non-existent 3D structures.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Fluency Accelerates Our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144145</wp:posOffset>
            </wp:positionV>
            <wp:extent cx="3550920" cy="16325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50920" cy="163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To illustrate both the ease of use, as well as the power of Fluency to identify promising drug candidates, we constructed a test screen of Tukysa® (tucatinib), a recently FDA-approved drug for the treatment of advanced breast cancer in combination with trastuzumab and capecitabine. Tukysa® is a tyrosine kinase inhibitor of human epidermal growth factor receptor 2, or HER2 (also referred to as ERBB2). We created a test compound library by placing Tukysa® in a diverse chemical library of 17.8 million drug-like molecules and evaluated whether or not Fluency could identify it as a promising drug candidate against ERBB2 (depicted in the first panel below). The binding models within Fluency were trained against millions of carefully quality controlled, publicly available binding affinity measurements for compounds against thousands of proteins. However, because Fluency did not see Tukysa® or other molecules highly similar to Tukysa® during training, it did not know whether or not it was a promising candidate before the test screen was run. In our test screens, we input the protein of interest into Fluency, then select a library to screen, and optionally enter the region of interest</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within the protein (depicted in the second panel below). In the test screen for Tukysa®, we screened the test library against all amino acids within ERBB2.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Fluency Test Screen Input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109220</wp:posOffset>
            </wp:positionV>
            <wp:extent cx="3816350" cy="12700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16350" cy="127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Fluency rapidly screened approximately 17.8 million compounds in less than 7 hours and identified Tukysa® as the best binder to ERBB2 along with a number of other potential candidates (as depicted below). Fluency’s location prediction for this compound points towards the kinase domain of ERBB2 which contains the binding site. Referring back to our drug discovery flow chart depicted above, Tukysa® would have been amongst the hundreds of compounds to go on to medicinal chemistry and experimental validation if we were searching for general ERBB2 binders or if we were searching for potential binders specific to the kinase domain.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Fluency Test Screen Output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144145</wp:posOffset>
            </wp:positionV>
            <wp:extent cx="3816350" cy="11372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16350" cy="113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Fluency has been used to screen for potential drug candidates within our early-stage oncology and neuroscience programs. We have a dedicated team of AI experts who continue to evolve Fluency and are embedded in our end-to-end preclinical drug development processes. We continue to seek new ways to apply our AI expertise to develop novel product candidates and potentially improve the lives of patients.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Signaling Dynamics (PK-Driven)</w:t>
      </w:r>
    </w:p>
    <w:p>
      <w:pPr>
        <w:spacing w:after="0" w:line="124"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Transcriptomic data has proven critical to these analyses because it provides an understanding of the extent to which specific genes are expressed at any given time, capturing temporal changes in pathway activation. Signaling networks differ between cell types, and we leverage this to modulate targets in such a way that certain cell types will be more impacted than others. Our platform enables us to assess the signaling dynamics of product candidates, which we believe allows us to optimize the chemistry of our product candidate programs to achieve broad therapeutic activity against diseased cells while sparing healthy normal cells. Modulation of these signaling networks impacts cell fate decisions in many cell types, including cancerous cells. Our computational biology expertise enables us to analyze transcriptomic data that closely reflects spatiotemporal dynamics of biological signaling networks.</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Proprietary Translational Planning</w:t>
      </w:r>
    </w:p>
    <w:p>
      <w:pPr>
        <w:spacing w:after="0" w:line="113"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i w:val="1"/>
          <w:iCs w:val="1"/>
          <w:color w:val="auto"/>
        </w:rPr>
        <w:t>Humanized Models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In oncology, we are deeply experienced in advanced, humanized 3D-based tumor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growth models, which based on peer reviewed research by members of our team and others, more accurately predict drug response in animal models, and we believe in patients, compared to standard models. Unlike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vitro </w:t>
      </w:r>
      <w:r>
        <w:rPr>
          <w:rFonts w:ascii="Arial" w:cs="Arial" w:eastAsia="Arial" w:hAnsi="Arial"/>
          <w:sz w:val="15"/>
          <w:szCs w:val="15"/>
          <w:color w:val="auto"/>
        </w:rPr>
        <w:t>approaches, the 3D tumor growth models reflect the complexity of tumor biology given their</w:t>
      </w:r>
      <w:r>
        <w:rPr>
          <w:rFonts w:ascii="Arial" w:cs="Arial" w:eastAsia="Arial" w:hAnsi="Arial"/>
          <w:sz w:val="15"/>
          <w:szCs w:val="15"/>
          <w:i w:val="1"/>
          <w:iCs w:val="1"/>
          <w:color w:val="auto"/>
        </w:rPr>
        <w:t xml:space="preserve"> </w:t>
      </w:r>
      <w:r>
        <w:rPr>
          <w:rFonts w:ascii="Arial" w:cs="Arial" w:eastAsia="Arial" w:hAnsi="Arial"/>
          <w:sz w:val="15"/>
          <w:szCs w:val="15"/>
          <w:color w:val="auto"/>
        </w:rPr>
        <w:t>alignment with the TME. Thus, we believe our deep expertise in 3D tumor models enables us to more accurately stratify patients likely to benefit from our potential product candidates. In neuroscience, we similarly seek to use human iPSC based models that more faithfully represent the biology of a heterogeneous patient population than more traditional cell lines.</w:t>
      </w:r>
    </w:p>
    <w:p>
      <w:pPr>
        <w:spacing w:after="0" w:line="100"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i w:val="1"/>
          <w:iCs w:val="1"/>
          <w:color w:val="auto"/>
        </w:rPr>
        <w:t>Prioritize Indications and Identify Sensitive Subpopulations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We are able to leverage bioinformatics to</w:t>
      </w:r>
      <w:r>
        <w:rPr>
          <w:rFonts w:ascii="Arial" w:cs="Arial" w:eastAsia="Arial" w:hAnsi="Arial"/>
          <w:sz w:val="15"/>
          <w:szCs w:val="15"/>
          <w:i w:val="1"/>
          <w:iCs w:val="1"/>
          <w:color w:val="auto"/>
        </w:rPr>
        <w:t xml:space="preserve"> </w:t>
      </w:r>
      <w:r>
        <w:rPr>
          <w:rFonts w:ascii="Arial" w:cs="Arial" w:eastAsia="Arial" w:hAnsi="Arial"/>
          <w:sz w:val="15"/>
          <w:szCs w:val="15"/>
          <w:color w:val="auto"/>
        </w:rPr>
        <w:t>analyze genomic data from large patient databases to identify specific indications where the majority of patients have characteristics that align with our more reflective humanized models, and identify biological mechanisms and biomarkers that enable us to identify subpopulations that are more likely to be sensitive based on their similarity to our translational approaches.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Platform and its Role in the IMM-1-104 Program</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 xml:space="preserve">Our platform played a key role in creating the most important characteristics of our lead product candidate, IMM-1-104. In the early stages of the program, insights from human data were used to identify transcriptional profiles we aimed to counteract. DCT and our analysis of mechanisms of existing drugs led us to identify what we believe to be novel biology, specifically new ways to drug an existing target, to highlight the goal of counteracting a biologic feedback loop. Novel chemistry was generated to counteract the feedback loop, and the PK was tuned to generate optimal signaling dynamics (deep but cyclic interruptions of the pathway) as confirmed for translational profiling. Our proprietary translational planning has involved profiling IMM -1-104 in a large number of 3D models to identify the types of cancer (and biomarkers of subsets when needed) that we believe will have the highest probability of success in the clinic. Together, these insights enabled us to demonstrate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model that a drug with feedback loop resistance combined with a short half-life was able to move toward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improvements in key efficacy metrics and tolerability through modulation of tumor cell signaling dynamics.</w:t>
      </w:r>
    </w:p>
    <w:p>
      <w:pPr>
        <w:spacing w:after="0" w:line="83"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Early in the program, we utilized human data to generate translational profiles specific to cancer patients experiencing cachexia, which causes extreme weight loss and muscle wasting. DCT was then utilized to identify targets and intervention time points, otherwise known as biological perturbations, that could counteract cachexia. Among the highest ranked perturbations were multiple MEK, inhibitors, but only the gene expression profiles induced by these MEK inhibitors at early time points (i.e., at 3 and 6 hours) were ranked highly for cancelling the disease-associated signals according to our technology. In contrast, the gene expression signals induced by MEK inhibitors at a later time point (i.e., at 24 hours) amplified or mimicked the transcriptomic signatures associated with diseases. These findings pointed to the importance of a feedback loop in the MAPK pathway called the CRAF-bypass, which may lead to resistance of MEK inhibition, and highlighted the critical importance of designing IMM-1-104 to potentially counteract the CRAF-bypass.</w:t>
      </w:r>
    </w:p>
    <w:p>
      <w:pPr>
        <w:spacing w:after="0" w:line="100" w:lineRule="exact"/>
        <w:rPr>
          <w:sz w:val="20"/>
          <w:szCs w:val="20"/>
          <w:color w:val="auto"/>
        </w:rPr>
      </w:pPr>
    </w:p>
    <w:p>
      <w:pPr>
        <w:jc w:val="both"/>
        <w:ind w:left="1160" w:right="1179"/>
        <w:spacing w:after="0" w:line="242" w:lineRule="auto"/>
        <w:rPr>
          <w:sz w:val="20"/>
          <w:szCs w:val="20"/>
          <w:color w:val="auto"/>
        </w:rPr>
      </w:pPr>
      <w:r>
        <w:rPr>
          <w:rFonts w:ascii="Arial" w:cs="Arial" w:eastAsia="Arial" w:hAnsi="Arial"/>
          <w:sz w:val="14"/>
          <w:szCs w:val="14"/>
          <w:color w:val="auto"/>
        </w:rPr>
        <w:t>We next applied our platform’s ability to characterize mechanisms of response by generating transcriptomic (RNA sequencing) data evaluating the impact of a recently approved MEK inhibitor, selumetinib, relative to vehicle in KRAS</w:t>
      </w:r>
      <w:r>
        <w:rPr>
          <w:rFonts w:ascii="Arial" w:cs="Arial" w:eastAsia="Arial" w:hAnsi="Arial"/>
          <w:sz w:val="20"/>
          <w:szCs w:val="20"/>
          <w:color w:val="auto"/>
          <w:vertAlign w:val="superscript"/>
        </w:rPr>
        <w:t>G12D</w:t>
      </w:r>
      <w:r>
        <w:rPr>
          <w:rFonts w:ascii="Arial" w:cs="Arial" w:eastAsia="Arial" w:hAnsi="Arial"/>
          <w:sz w:val="14"/>
          <w:szCs w:val="14"/>
          <w:color w:val="auto"/>
        </w:rPr>
        <w:t xml:space="preserve"> tumor-bearing BALB/c mice, which are inbred, albino and immunodeficient mice ordinarily used in research models for cancer therapy. The BALB/c mice were orally administered 100 mg/kg of selumetinib twice a day for 18 days. Notably, when we examined a set of genes known to be downstream of ERK and activated by the MAPK pathway, we saw reduced downregulation of the pathway following selumetinib treatment. There was very little difference between the degree of MAPK pathway downregulation at the 2 hour time point and the 12 hour time point, demonstrating that the inhibition achieved by a typical MEK inhibitor with a non-zero drug trough was both static and limiting in a chronic setting. This focused us on the need to develop IMM-1-104 with novel chemistry, specifically a short half-life to achieve deep cyclic inhibition. Through the medicinal chemistry process, we were able to conduct similar analyses to assess the impact of varying PK profiles on signaling dynamics, and when we conducted the same analysis with IMM-1- 104 in the model referenced above, we observed much stronger downregulation at the 2 hour time point followed by a return to baseline at the 12 hour time point. These observed results confirm that we achieved the desired signaling dynamics of cycles of deep inhibition and release of the MAPK pathway.</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We are utilizing our platform’s proprietary translational planning capabilities by evaluating IMM -1-104 in a large panel of 3D tumor models, and then applying our ability to robustly analyze challenging datasets to assess genomic data from the GENIE cohort to prioritize indications for IMM -1-104 and identify biomarkers of response, when needed. We believe this analysis will enable us to identify substantial translational opportunities for additional indications.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Platform and Our Early-Stage Oncology Pipeline</w:t>
      </w:r>
    </w:p>
    <w:p>
      <w:pPr>
        <w:spacing w:after="0" w:line="117"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We utilize Fluency, the novel chemistry element of our platform, to rapidly identify small molecule hits for a targeted region of a protein for many of the earlier stage programs in our oncology pipeline. Fluency is being utilized to accelerate the advancement of our RAS and PI3K -alpha programs. In addition, these earlier stage programs also utilize our platform’s ability to generate novel biology by characterizing mechanisms of response to address these targets in new ways. In the case of our RAS modulators, this involves targeting the process of RAS dimerization. Finally, we are also leveraging novel chemistry in the form of PK changes with the goal of achieving optimal signaling dynamics and deep cyclic inhibition to maximize therapeutic activity in broad populations while improving tolerability. We plan to evaluate each of our programs in humanized 3D models and leverage bioinformatics to prioritize indications and identify sensitive patient subgroups.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Platform and Our Neuroscience Programs</w:t>
      </w:r>
    </w:p>
    <w:p>
      <w:pPr>
        <w:spacing w:after="0" w:line="12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 xml:space="preserve">Our neuroscience programs began with our platform’s ability to identify insights from human data, specifically by methodically analyzing challenging datasets by assessing the robustness of various publicly available AD datasets. Given the lack of disease-modifying therapies and AD patient heterogeneity, robust analysis of data is a motivating factor to drive our success in this space. We applied our platform’s capability to stratify patients into previously undiscovered subsets, identifying new subpopulations of AD patients with strikingly different molecular biology and distinct gene expression profiles. We then applied our platform’s ability to identify novel biology by leveraging DCT to identify and rank novel targets for specific subsets of AD patients. Two of these undisclosed AD targets, AO.01 and AO.03, have been identified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have gone on to become the focus of our two lead neuroscience programs, IMM-ALL-01 and IMM-ALL-03, respectively. Once those targets had been identified and experimentally confirmed, we utilized Fluency to rapidly identify small molecules that are designed to selectively bind to the targets, and such selective binding has since been observed </w:t>
      </w:r>
      <w:r>
        <w:rPr>
          <w:rFonts w:ascii="Arial" w:cs="Arial" w:eastAsia="Arial" w:hAnsi="Arial"/>
          <w:sz w:val="14"/>
          <w:szCs w:val="14"/>
          <w:i w:val="1"/>
          <w:iCs w:val="1"/>
          <w:color w:val="auto"/>
        </w:rPr>
        <w:t>in vitro</w:t>
      </w:r>
      <w:r>
        <w:rPr>
          <w:rFonts w:ascii="Arial" w:cs="Arial" w:eastAsia="Arial" w:hAnsi="Arial"/>
          <w:sz w:val="14"/>
          <w:szCs w:val="14"/>
          <w:color w:val="auto"/>
        </w:rPr>
        <w:t>. We also leveraged our platform’s capabilities for characterizing mechanisms of response to assess the biological impact of those hits, and we are preparing for proprietary translational planning by using iPSC models to confirm the differences in response we expect to see in specific AD patient subgroups.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Competition</w:t>
      </w:r>
    </w:p>
    <w:p>
      <w:pPr>
        <w:spacing w:after="0" w:line="128"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The pharmaceutical and biotechnology industries are characterized by rapid advancement of novel technologies, significant competition and a strong defense of intellectual property rights. While we believe that our proprietary platform and scientific expertise provides us with competitive advantages, we face competition from multiple sources, including larger and better-funded pharmaceutical and biotechnology companies, academic institutions, governmental agencies and public and private research institutions. Any product candidates that we successfully develop and commercialize will compete with currently approved therapies and new therapies that may become available in the future. Key factors that would affect our ability to effectively compete with other therapeutics include safety, efficacy, ease of administration, pricing, brand recognition and availability of reimbursement and coverage by third party payors.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Oncology and Neuroscience Programs</w:t>
      </w:r>
    </w:p>
    <w:p>
      <w:pPr>
        <w:spacing w:after="0" w:line="113"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The current FDA-approved treatment options that target MAPK pathway cancers are either MEK inhibitors limited by their high rates of serious drug-related adverse events that result in drug intolerability and drug resistance through MAPK-feedback loops, or KRAS inhibitors limited to patients with specific KRAS mutations. We expect that our oncology programs targeting the MAPK pathway may compete with current FDA-approved therapies or clinical programs targeting KRAS mutant tumors that are being advanced by certain pharmaceutical and biotechnology companies.</w:t>
      </w:r>
    </w:p>
    <w:p>
      <w:pPr>
        <w:spacing w:after="0" w:line="101"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There are currently only five FDA-approved treatments for AD, and these treatments are widely considered to only briefly and modestly improve AD symptoms, ultimately failing to prevent or slow disease progression.</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We expect that our neuroscience programs that are initially focused on treating neuroinflammation in AD may compete with products or programs being advanced by certain pharmaceutical and biotechnology companies.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Intellectual Property</w:t>
      </w:r>
    </w:p>
    <w:p>
      <w:pPr>
        <w:spacing w:after="0" w:line="117"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Our ability to obtain and maintain intellectual property protection for our products and technology is fundamental to the long-term success of our business. We rely on a combination of intellectual property protection strategies, including patents, trademarks, copyrights, trade secrets, license agreements, confidentiality policies and procedures, non-disclosure agreements,invention assignment agreements and technical measures designed to protect the intellectual property and confidential information and data used in our business.</w:t>
      </w:r>
    </w:p>
    <w:p>
      <w:pPr>
        <w:spacing w:after="0" w:line="101"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As of March 31, 2021, we have: two pending U.S. patent applications; and one Patent Cooperation Treaty, or PCT, application that has not entered national stage. These patents and patent applications relate to subject matter, including: our lead product candidate, IMM-1-104, our DCT, and Fluency. Excluding any possible patent term adjustments or extensions and assuming payment of all appropriate maintenance, renewal, annuity or other governmental fees, as applicable: any patents that may issue from our owned pending U.S. patent applications are expected to expire in February, 2039; and any patents that may issue from our owned pending foreign patent applications or PCT applications are expected to expire in January, 2041.</w:t>
      </w:r>
    </w:p>
    <w:p>
      <w:pPr>
        <w:spacing w:after="0" w:line="100"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With respect to IMM-1 -104, as of March 31, 2021, we have one pending PCT application; this application has not yet entered the national stage. Any patent that may issue, based upon this pending PCT application related to IMM-1-104, is expected to expire in January, 2041, excluding any possible patent term adjustments or extensions and assuming payment of all appropriate maintenance, renewal, annuity or other governmental fees, as applicable.</w:t>
      </w:r>
    </w:p>
    <w:p>
      <w:pPr>
        <w:spacing w:after="0" w:line="8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With respect to our DCT, as of March 31, 2021, we have one pending U.S. patent application. Any patent that may issue from our pending patent application related to our DCT is expected to expire in February, 2039, excluding any possible patent term adjustments or extensions and assuming payment of all appropriate maintenance, renewal, annuity or other governmental fees, as applicable.</w:t>
      </w:r>
    </w:p>
    <w:p>
      <w:pPr>
        <w:spacing w:after="0" w:line="102"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With respect to Fluency, as of March 31, 2021, we have one pending U.S. patent application. Any patent that may issue from our pending patent application related to Fluency is expected to expire in February, 2039, excluding any possible patent term adjustments or extensions and assuming payment of all appropriate maintenance, renewal, annuity or other governmental fees, as applicable.</w:t>
      </w:r>
    </w:p>
    <w:p>
      <w:pPr>
        <w:spacing w:after="0" w:line="102"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We cannot be sure that our pending patent applications that we have filed or may file in the future will result in issued patents, and we can give no assurance that any patents that have issued or might issue in the future will protect our current or future products, will provide us with any competitive advantage, and will not be challenged, invalidated, or circumvented.</w:t>
      </w:r>
    </w:p>
    <w:p>
      <w:pPr>
        <w:spacing w:after="0" w:line="83"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In the United States, the patent term of a patent that claims an FDA-approved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certain other foreign jurisdictions to extend the term of a patent that covers an approved drug or biologic. In the future, if any drug candidates that we may develop receive FDA approval, we expect to apply for patent term extensions where applicable on patents covering those drugs. We plan to seek patent term extensions to any of our future issued patents in any jurisdiction where these are available. However, there is no guarantee that the applicable</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authorities, including the FDA in the United States, will agree with our assessment of whether these extensions should be granted, and if granted, the length of these extensions.</w:t>
      </w:r>
    </w:p>
    <w:p>
      <w:pPr>
        <w:spacing w:after="0" w:line="82"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cost-effective. Our ability to stop third parties from making, using or commercializing any of our patented inventions will depend in part on our success in obtaining, defending and enforcing patent claims that cover our technology, inventions, and improvements. With respect to our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w:t>
      </w:r>
    </w:p>
    <w:p>
      <w:pPr>
        <w:spacing w:after="0" w:line="10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In addition to our reliance on patent protection for our inventions, products, and technologies, we also seek to protect our brand through the procurement of trademark rights. As of March 31, 2021, we have certain trademark registrations and pending applications for trademark registration, for the marks DISEASE CANCELLING and IMMUNEERING in the United States and/or certain foreign jurisdictions. Furthermore, we rely on trade secrets, know-how, unpatented technology and other proprietary information, to strengthen our competitive position. We have determined that certain technologies, including some of our software, are better protected as trade secrets. To mitigate the possibility of trade secret misappropriation, we enter into non-disclosure and confidentiality agreements with parties who have access to our trade secrets, such as our employees, consultants, advisors and other third parties. We also enter into invention assignment agreements with our employees and consultants that obligate them to assign to us any inventions they have developed while working for us. We generally control access to our proprietary and confidential information through the use of internal and external controls that are subject to periodic review. 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“Risk Factors—Risks Related to Our Intellectual Property.”</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Government Regulation</w:t>
      </w:r>
    </w:p>
    <w:p>
      <w:pPr>
        <w:spacing w:after="0" w:line="12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Among others, the FDA, U.S. Department of Health and Human Services Office of Inspector General, the Centers for Medicare and Medicaid Services and comparable regulatory authorities in state and local jurisdictions and in other countries impose substantial and burdensome requirements upon companies involved in the preclinical and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packaging, storage, record keeping, approval, sales, commercialization, marketing, advertising and promotion, distribution, post-approval monitoring and reporting, sampling and export and import of our product candidates. Any drug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or EU, are addressed in a centralized way, but country-specific regulation remains essential in many respects.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U.S. Drug Development Process</w:t>
      </w:r>
    </w:p>
    <w:p>
      <w:pPr>
        <w:spacing w:after="0" w:line="113"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In the United States, the FDA regulates drugs under the federal Food, Drug, and Cosmetic Act, or the FDCA, and its implementing regulations. The process required by the FDA before a drug may be marketed in the United States generally involves the following:</w:t>
      </w:r>
    </w:p>
    <w:p>
      <w:pPr>
        <w:spacing w:after="0" w:line="68" w:lineRule="exact"/>
        <w:rPr>
          <w:sz w:val="20"/>
          <w:szCs w:val="20"/>
          <w:color w:val="auto"/>
        </w:rPr>
      </w:pPr>
    </w:p>
    <w:p>
      <w:pPr>
        <w:ind w:left="1600" w:right="1179" w:hanging="143"/>
        <w:spacing w:after="0" w:line="300" w:lineRule="auto"/>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completion of preclinical laboratory tests, animal studies and formulation studies in accordance with FDA’s good laboratory practice requirements and other applicable regulations;</w:t>
      </w:r>
    </w:p>
    <w:p>
      <w:pPr>
        <w:spacing w:after="0" w:line="47"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submission to the FDA of an IND which must become effective before human clinical trials may begin;</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approval by an independent institutional review board, or IRB, or ethics committee at each clinical site before each trial may be initiated;</w:t>
      </w:r>
    </w:p>
    <w:p>
      <w:pPr>
        <w:spacing w:after="0" w:line="60"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in accordance with good clinical practice, or GCP, requirements to establish the safety and efficacy of the proposed drug for its intended use;</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submission to the FDA of a New Drug Application, or NDA, after completion of all pivotal trials;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payment of user fees associated with an NDA;</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 determination by the FDA within 60 days of its receipt of an NDA to file the NDA for review;</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satisfactory completion of an FDA advisory committee review, if applicable;</w:t>
      </w:r>
    </w:p>
    <w:p>
      <w:pPr>
        <w:spacing w:after="0" w:line="91" w:lineRule="exact"/>
        <w:rPr>
          <w:rFonts w:ascii="Arial" w:cs="Arial" w:eastAsia="Arial" w:hAnsi="Arial"/>
          <w:sz w:val="15"/>
          <w:szCs w:val="15"/>
          <w:color w:val="auto"/>
        </w:rPr>
      </w:pPr>
    </w:p>
    <w:p>
      <w:pPr>
        <w:jc w:val="both"/>
        <w:ind w:left="1600" w:right="1179" w:hanging="143"/>
        <w:spacing w:after="0" w:line="249"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at which the drug is produced to assess compliance with current good manufacturing practice, or cGMP, requirements to assure that the facilities, methods and controls are adequate to preserve the drug’s identity, strength, quality and purity, and of selected clinical investigation sites to assess compliance with GCPs;</w:t>
      </w:r>
    </w:p>
    <w:p>
      <w:pPr>
        <w:spacing w:after="0" w:line="72"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potential FDA audit of the preclinical and/or clinical trial sites that generated the data in support of the NDA, and</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FDA review and approval of the NDA to permit commercial marketing of the product for particular indications for use in the United States.</w:t>
      </w:r>
    </w:p>
    <w:p>
      <w:pPr>
        <w:spacing w:after="0" w:line="93"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Some preclinical testing may continue even after the IND is submitted.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97" w:lineRule="exact"/>
        <w:rPr>
          <w:sz w:val="20"/>
          <w:szCs w:val="20"/>
          <w:color w:val="auto"/>
        </w:rPr>
      </w:pPr>
    </w:p>
    <w:p>
      <w:pPr>
        <w:jc w:val="both"/>
        <w:ind w:left="1160" w:right="1179"/>
        <w:spacing w:after="0" w:line="263" w:lineRule="auto"/>
        <w:rPr>
          <w:sz w:val="20"/>
          <w:szCs w:val="20"/>
          <w:color w:val="auto"/>
        </w:rPr>
      </w:pPr>
      <w:r>
        <w:rPr>
          <w:rFonts w:ascii="Arial" w:cs="Arial" w:eastAsia="Arial" w:hAnsi="Arial"/>
          <w:sz w:val="14"/>
          <w:szCs w:val="14"/>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under certain timelines, of ongoing clinical</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studies and clinical study results to public registries, specifically the clinicaltrials.gov website managed by the National Institutes of Health.</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103" w:lineRule="exact"/>
        <w:rPr>
          <w:sz w:val="20"/>
          <w:szCs w:val="20"/>
          <w:color w:val="auto"/>
        </w:rPr>
      </w:pPr>
    </w:p>
    <w:p>
      <w:pPr>
        <w:jc w:val="both"/>
        <w:ind w:left="1600" w:right="1179" w:hanging="143"/>
        <w:spacing w:after="0" w:line="247"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5"/>
          <w:szCs w:val="15"/>
          <w:color w:val="auto"/>
        </w:rPr>
      </w:pPr>
    </w:p>
    <w:p>
      <w:pPr>
        <w:jc w:val="both"/>
        <w:ind w:left="1600" w:right="1179" w:hanging="143"/>
        <w:spacing w:after="0" w:line="249"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Phase 2: The product candidate is administered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w:t>
      </w:r>
    </w:p>
    <w:p>
      <w:pPr>
        <w:spacing w:after="0" w:line="72" w:lineRule="exact"/>
        <w:rPr>
          <w:rFonts w:ascii="Arial" w:cs="Arial" w:eastAsia="Arial" w:hAnsi="Arial"/>
          <w:sz w:val="15"/>
          <w:szCs w:val="15"/>
          <w:color w:val="auto"/>
        </w:rPr>
      </w:pPr>
    </w:p>
    <w:p>
      <w:pPr>
        <w:jc w:val="both"/>
        <w:ind w:left="1600" w:right="1179" w:hanging="143"/>
        <w:spacing w:after="0" w:line="248"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an NDA.</w:t>
      </w:r>
    </w:p>
    <w:p>
      <w:pPr>
        <w:spacing w:after="0" w:line="95"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Post-approval trials, sometimes referred to as Phase 4 studies, may be conducted after initial marketing approval. These trials are used to gain additional experience from the treatment of patients in the approved indication. In certain instances, such as with accelerated approval drugs, the FDA may mandate the performance of Phase 4 trials as a condition of approval of an NDA.</w:t>
      </w:r>
    </w:p>
    <w:p>
      <w:pPr>
        <w:spacing w:after="0" w:line="102"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0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Specifically, the FDA has promulgated regulations governing the acceptance of foreign clinical trials not conducted under an IND, establishing that such studies will be accepted as support for an IND or application for marketing approval if the study was conducted in accordance with GCP, including review and approval by an independent ethics committee, or IEC,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During the development of a new drug, sponsors are given opportunities to meet with the FDA at certain points. These points are generally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to obtain the FDA’s feedback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82"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0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U.S. Review and Approval Process</w:t>
      </w:r>
    </w:p>
    <w:p>
      <w:pPr>
        <w:spacing w:after="0" w:line="124"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 Additionally, no user fees are assessed on NDAs for products designated as orphan drugs, unless the product application also includes a non-orphan indication.</w:t>
      </w:r>
    </w:p>
    <w:p>
      <w:pPr>
        <w:spacing w:after="0" w:line="98"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9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92"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If regulatory approval of a product is granted, such approval will be granted for particular indications and may contain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 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96"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Orphan Drug Designation and Exclusivity</w:t>
      </w:r>
    </w:p>
    <w:p>
      <w:pPr>
        <w:spacing w:after="0" w:line="11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(i.e., greater safety, greater efficacy, or a major contribution to patient care)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drug as defined by the FDA or if our product candidate is determined to be contained within the competitor’s product for the same indication or disease, and we are unable to demonstrate that our product is clinically superior to the competitor product. If an orphan designated product receives marketing approval for an indication broader than what is designated, it may not be entitled to orphan exclusivity.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Expedited Development and Review Programs</w:t>
      </w:r>
    </w:p>
    <w:p>
      <w:pPr>
        <w:spacing w:after="0" w:line="11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The FDA has a number of programs intended to expedite the development or review of products that meet certain criteria. Sponsors may request that FDA allow the use of one or more of these expedited pathways. For example,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96"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9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In addition, a product may be eligible for accelerated approval. Drug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The FDA may withdraw accelerated approval if, among other things, the confirmatory study fails to verify clinical benefit; the applicant fails to perform required confirmatory studies with due diligence; postmarketing use demonstrates that postmarketing restrictions are inadequate to assure safe use; the applicant fails to adhere to agreed-upon postmarketing restrictions; promotional materials are false or misleading; or, other evidence demonstrates that the product is not shown to be safe or effective under its conditions of use. In addition, the FDA currently requires pre-approval of promotional materials as a condition for accelerated approval, which could adversely impact</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timing of the commercial launch of the product. Drugs granted accelerated approval must meet the same statutory standards for safety and effectiveness as those granted traditional approval.</w:t>
      </w:r>
    </w:p>
    <w:p>
      <w:pPr>
        <w:spacing w:after="0" w:line="8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96"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Post-Approval Requirements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86"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9" w:lineRule="exact"/>
        <w:rPr>
          <w:sz w:val="20"/>
          <w:szCs w:val="20"/>
          <w:color w:val="auto"/>
        </w:rPr>
      </w:pPr>
    </w:p>
    <w:p>
      <w:pPr>
        <w:ind w:left="1600" w:right="1179" w:hanging="143"/>
        <w:spacing w:after="0" w:line="26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complete withdrawal of the product from the market or product recalls;</w:t>
      </w:r>
    </w:p>
    <w:p>
      <w:pPr>
        <w:spacing w:after="0" w:line="38" w:lineRule="exact"/>
        <w:rPr>
          <w:rFonts w:ascii="Arial" w:cs="Arial" w:eastAsia="Arial" w:hAnsi="Arial"/>
          <w:sz w:val="15"/>
          <w:szCs w:val="15"/>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fines, warning letters, or untitled letters;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clinical holds on clinical studies;</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refusal of the FDA to approve pending applications or supplements to approved applications, or suspension or revocation of product license approvals;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product seizure or detention, or refusal to permit the import or export of products;</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consent decrees, corporate integrity agreements, debarment or exclusion from federal healthcare programs;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mandated modification of promotional materials and labeling and the issuance of corrective information;</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issuance of safety alerts, Dear Healthcare Provider letters, press releases and other communications containing warnings or other safety information about the product; or</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9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untitled or warning letters, requirements to conduct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spacing w:after="0" w:line="100"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Marketing Exclusivity</w:t>
      </w:r>
    </w:p>
    <w:p>
      <w:pPr>
        <w:spacing w:after="0" w:line="12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Market exclusivity provisions under the FDCA can delay the submission or the approval of certain marketing applications. The FDCA provides a five-year period of non-patent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However, such an application may be submitted after four years if it contains a certification of patent invalidity or non-infringement to one of the patents listed with the FDA by the innovator NDA holder.</w:t>
      </w:r>
    </w:p>
    <w:p>
      <w:pPr>
        <w:spacing w:after="0" w:line="8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modification for which the drug received approval on the basis of the new clinical investigations and does not prohibit the FDA from approving ANDAs or 505(b)(2) NDAs for drugs containing the active agent for the original indication or condition of use. Five -year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90"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Other Healthcare Laws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Pharmaceutical companies like us are subject to additional healthcare regulation and enforcement by the federal government and by authorities in the states and foreign jurisdictions in which they conduct their business. Such regulation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data privacy and security laws and regulations, and transparency laws and regulations addressing drug pricing and payments and other transfers of value made by pharmaceutical manufacturers to physicians and other healthcare providers, such as the federal Physician Payment Sunshine Act. Violations of 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federal and state healthcare programs, such as Medicare and Medicaid, and imprisonment.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Coverage and Reimbursement</w:t>
      </w:r>
    </w:p>
    <w:p>
      <w:pPr>
        <w:spacing w:after="0" w:line="124" w:lineRule="exact"/>
        <w:rPr>
          <w:sz w:val="20"/>
          <w:szCs w:val="20"/>
          <w:color w:val="auto"/>
        </w:rPr>
      </w:pPr>
    </w:p>
    <w:p>
      <w:pPr>
        <w:jc w:val="both"/>
        <w:ind w:left="1160" w:right="1179"/>
        <w:spacing w:after="0" w:line="270" w:lineRule="auto"/>
        <w:rPr>
          <w:sz w:val="20"/>
          <w:szCs w:val="20"/>
          <w:color w:val="auto"/>
        </w:rPr>
      </w:pPr>
      <w:r>
        <w:rPr>
          <w:rFonts w:ascii="Arial" w:cs="Arial" w:eastAsia="Arial" w:hAnsi="Arial"/>
          <w:sz w:val="13"/>
          <w:szCs w:val="13"/>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 -by-plan basis.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 party payor not to cover a product could reduce physician usage and patient demand for the product and also have a material adverse effect on sales.</w:t>
      </w:r>
    </w:p>
    <w:p>
      <w:pPr>
        <w:spacing w:after="0" w:line="237"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price reporting metrics to the government, such as Medicaid Average Manufacturer Price, or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will require significant resources and may have a material adverse effect on our revenues.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Healthcare Reform</w:t>
      </w:r>
    </w:p>
    <w:p>
      <w:pPr>
        <w:spacing w:after="0" w:line="124"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In the United States, in March 2010, the Patient Protection and Affordable Care Act, as amended by the Health Care and Education Reconciliation Act, each as amended, collectively known as the ACA, was enacted,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58" w:lineRule="exact"/>
        <w:rPr>
          <w:sz w:val="20"/>
          <w:szCs w:val="20"/>
          <w:color w:val="auto"/>
        </w:rPr>
      </w:pPr>
    </w:p>
    <w:p>
      <w:pPr>
        <w:ind w:left="1600" w:right="1179" w:hanging="143"/>
        <w:spacing w:after="0" w:line="26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increased the minimum level of Medicaid rebates payable by manufacturers of brand name drugs from 15.1% to 23.1% of the AMP;</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required collection of rebates for drugs paid by Medicaid managed care organizations;</w:t>
      </w:r>
    </w:p>
    <w:p>
      <w:pPr>
        <w:spacing w:after="0" w:line="91" w:lineRule="exact"/>
        <w:rPr>
          <w:rFonts w:ascii="Arial" w:cs="Arial" w:eastAsia="Arial" w:hAnsi="Arial"/>
          <w:sz w:val="15"/>
          <w:szCs w:val="15"/>
          <w:color w:val="auto"/>
        </w:rPr>
      </w:pPr>
    </w:p>
    <w:p>
      <w:pPr>
        <w:jc w:val="both"/>
        <w:ind w:left="1600" w:right="1179" w:hanging="143"/>
        <w:spacing w:after="0" w:line="281" w:lineRule="auto"/>
        <w:tabs>
          <w:tab w:leader="none" w:pos="1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expanded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49" w:lineRule="exact"/>
        <w:rPr>
          <w:rFonts w:ascii="Arial" w:cs="Arial" w:eastAsia="Arial" w:hAnsi="Arial"/>
          <w:sz w:val="14"/>
          <w:szCs w:val="14"/>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expanded the types of entities eligible for the 340B Drug Pricing Program;</w:t>
      </w:r>
    </w:p>
    <w:p>
      <w:pPr>
        <w:spacing w:after="0" w:line="80" w:lineRule="exact"/>
        <w:rPr>
          <w:rFonts w:ascii="Arial" w:cs="Arial" w:eastAsia="Arial" w:hAnsi="Arial"/>
          <w:sz w:val="15"/>
          <w:szCs w:val="15"/>
          <w:color w:val="auto"/>
        </w:rPr>
      </w:pPr>
    </w:p>
    <w:p>
      <w:pPr>
        <w:jc w:val="both"/>
        <w:ind w:left="1600" w:right="1179" w:hanging="143"/>
        <w:spacing w:after="0" w:line="251"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w:t>
      </w:r>
    </w:p>
    <w:p>
      <w:pPr>
        <w:spacing w:after="0" w:line="6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imposed a non-deductible annual fee on pharmaceutical manufacturers or importers who sell “branded prescription drugs” and biologic agents apportioned among these entities according to their market share in certain federal government programs;</w:t>
      </w:r>
    </w:p>
    <w:p>
      <w:pPr>
        <w:spacing w:after="0" w:line="67"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established the Center for Medicare and Medicaid Innovation within the Centers for Medicare and Medicaid Services to test innovative payment and service delivery models to lower Medicare and Medicaid spending, potentially including prescription drug spending;</w:t>
      </w:r>
    </w:p>
    <w:p>
      <w:pPr>
        <w:spacing w:after="0" w:line="56"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created the Patient-Centered Outcomes Research Institute to oversee, identify priorities in, and conduct comparative clinical effectiveness research, along with funding for such research;</w:t>
      </w:r>
    </w:p>
    <w:p>
      <w:pPr>
        <w:spacing w:after="0" w:line="36" w:lineRule="exact"/>
        <w:rPr>
          <w:rFonts w:ascii="Arial" w:cs="Arial" w:eastAsia="Arial" w:hAnsi="Arial"/>
          <w:sz w:val="14"/>
          <w:szCs w:val="14"/>
          <w:color w:val="auto"/>
        </w:rPr>
      </w:pPr>
    </w:p>
    <w:p>
      <w:pPr>
        <w:jc w:val="both"/>
        <w:ind w:left="1600" w:right="1179" w:hanging="143"/>
        <w:spacing w:after="0" w:line="25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required reporting of certain financial arrangements between manufacturers of drugs, biologics, devices, and medical supplies and physicians and teaching hospitals under the federal Physician Payment Sunshine Act; and</w:t>
      </w:r>
    </w:p>
    <w:p>
      <w:pPr>
        <w:spacing w:after="0" w:line="6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required annual reporting of certain information regarding drug samples that manufacturers and distributors provide to licensed practitioners.</w:t>
      </w:r>
    </w:p>
    <w:p>
      <w:pPr>
        <w:spacing w:after="0" w:line="9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There have been executive, judicial and Congressional challenges to certain aspects of the ACA. The U.S. Supreme Court is currently reviewing the constitutionality of the ACA in its entirety, and is expected to issue its decision in 2021. Although the U.S. Supreme Court has not yet ruled on the constitutionality of the ACA,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85"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Other legislative changes have been proposed and adopted since the ACA was enacted, including aggregate reductions of Medicare payments to providers of 2% per fiscal year, which was temporarily suspended from May 1, 2020 through December 31, 2021 due to the COVID-19 pandemic.</w:t>
      </w:r>
    </w:p>
    <w:p>
      <w:pPr>
        <w:spacing w:after="0" w:line="40"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In addition, the American Taxpayer Relief Act of 2021, effective January 1, 2024, would eliminate the statutory cap on rebate amounts owed by drug manufacturers under the Medicaid Drug Rebate Program, or MDRP, which is currently capped at 100% of the AMP for a covered outpatient drug. In the future, there may be additional challenges and/or amendments to the ACA.</w:t>
      </w:r>
    </w:p>
    <w:p>
      <w:pPr>
        <w:spacing w:after="0" w:line="47" w:lineRule="exact"/>
        <w:rPr>
          <w:sz w:val="20"/>
          <w:szCs w:val="20"/>
          <w:color w:val="auto"/>
        </w:rPr>
      </w:pPr>
    </w:p>
    <w:p>
      <w:pPr>
        <w:jc w:val="both"/>
        <w:ind w:left="1160" w:right="1179"/>
        <w:spacing w:after="0" w:line="294" w:lineRule="auto"/>
        <w:rPr>
          <w:sz w:val="20"/>
          <w:szCs w:val="20"/>
          <w:color w:val="auto"/>
        </w:rPr>
      </w:pPr>
      <w:r>
        <w:rPr>
          <w:rFonts w:ascii="Arial" w:cs="Arial" w:eastAsia="Arial" w:hAnsi="Arial"/>
          <w:sz w:val="13"/>
          <w:szCs w:val="13"/>
          <w:color w:val="auto"/>
        </w:rPr>
        <w:t>Moreover, the cost of prescription pharmaceuticals has been the subject of considerable discussion in the United States. Congress has considered and passed legislation, and the former Trump administration pursued several regulatory reforms to further increase transparency around prices and price increases, lower</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out-of-pocket costs for consumers, and decrease spending on prescription drugs by government programs. Congress has also continued to conduct inquiries into the prescription drug industry’s pricing practices. While several proposed reform measures will require Congress to pass legislation to become effective, Congress and the new Biden administration have each indicated that it will continue to seek new legislative and/or administrative measures to address prescription drug costs.</w:t>
      </w:r>
    </w:p>
    <w:p>
      <w:pPr>
        <w:spacing w:after="0" w:line="50" w:lineRule="exact"/>
        <w:rPr>
          <w:sz w:val="20"/>
          <w:szCs w:val="20"/>
          <w:color w:val="auto"/>
        </w:rPr>
      </w:pPr>
    </w:p>
    <w:p>
      <w:pPr>
        <w:jc w:val="both"/>
        <w:ind w:left="1160" w:right="1179"/>
        <w:spacing w:after="0" w:line="297" w:lineRule="auto"/>
        <w:rPr>
          <w:sz w:val="20"/>
          <w:szCs w:val="20"/>
          <w:color w:val="auto"/>
        </w:rPr>
      </w:pPr>
      <w:r>
        <w:rPr>
          <w:rFonts w:ascii="Arial" w:cs="Arial" w:eastAsia="Arial" w:hAnsi="Arial"/>
          <w:sz w:val="13"/>
          <w:szCs w:val="13"/>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also possible that governmental action will be taken in response to the COVID-19 pandemic.</w:t>
      </w:r>
    </w:p>
    <w:p>
      <w:pPr>
        <w:spacing w:after="0" w:line="31"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Facilities</w:t>
      </w:r>
    </w:p>
    <w:p>
      <w:pPr>
        <w:spacing w:after="0" w:line="84"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Since 2018, our corporate headquarters has been located at 245 Main Street, Second Floor Cambridge, Massachusetts 02142, where we currently occupy approximately 586 square feet of office space under a service agreement that can be terminated by either party upon 30 days written notice. We also occupy approximately 3,657 square feet of office space in San Diego, California, under a lease that terminates on April 30, 2026; approximately 190 square feet of office space in New York, New York under a service agreement that currently runs through June 30, 2021 and automatically renews unless we provide 30 days advance notice to terminate; and approximately 66 square feet of office space in San Francisco, California under an agreement that can be terminated by either party upon 60 days notice. As of March 31, 2021, approximately 12 of our employees are located at our corporate headquarters.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Human Capital</w:t>
      </w:r>
    </w:p>
    <w:p>
      <w:pPr>
        <w:spacing w:after="0" w:line="7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As of March 31, 2021, we have 32 full-time employees, 29 of whom are dedicated to research and development. Twenty seven of our employees hold doctorate degrees (i.e., Ph.D. or M.D.). None of our employees are represented by labor unions or covered by collective bargaining agreements. We consider our relationship with our employees to be good.</w:t>
      </w:r>
    </w:p>
    <w:p>
      <w:pPr>
        <w:spacing w:after="0" w:line="5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61"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Legal Proceedings</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are not subject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17"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The following table provides information regarding our executive officers and members of our board of directors (ages as of the date of this prospectus):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2940" w:type="dxa"/>
            <w:vAlign w:val="bottom"/>
          </w:tcPr>
          <w:p>
            <w:pPr>
              <w:spacing w:after="0"/>
              <w:rPr>
                <w:sz w:val="12"/>
                <w:szCs w:val="1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70"/>
              </w:rPr>
              <w:t>Age</w:t>
            </w:r>
          </w:p>
        </w:tc>
        <w:tc>
          <w:tcPr>
            <w:tcW w:w="180" w:type="dxa"/>
            <w:vAlign w:val="bottom"/>
          </w:tcPr>
          <w:p>
            <w:pPr>
              <w:spacing w:after="0"/>
              <w:rPr>
                <w:sz w:val="12"/>
                <w:szCs w:val="12"/>
                <w:color w:val="auto"/>
              </w:rPr>
            </w:pPr>
          </w:p>
        </w:tc>
        <w:tc>
          <w:tcPr>
            <w:tcW w:w="3060" w:type="dxa"/>
            <w:vAlign w:val="bottom"/>
            <w:tcBorders>
              <w:bottom w:val="single" w:sz="8" w:color="auto"/>
            </w:tcBorders>
          </w:tcPr>
          <w:p>
            <w:pPr>
              <w:ind w:left="1280"/>
              <w:spacing w:after="0"/>
              <w:rPr>
                <w:sz w:val="20"/>
                <w:szCs w:val="20"/>
                <w:color w:val="auto"/>
              </w:rPr>
            </w:pPr>
            <w:r>
              <w:rPr>
                <w:rFonts w:ascii="Arial" w:cs="Arial" w:eastAsia="Arial" w:hAnsi="Arial"/>
                <w:sz w:val="12"/>
                <w:szCs w:val="12"/>
                <w:b w:val="1"/>
                <w:bCs w:val="1"/>
                <w:color w:val="auto"/>
              </w:rPr>
              <w:t>Position(s)</w:t>
            </w:r>
          </w:p>
        </w:tc>
      </w:tr>
      <w:tr>
        <w:trPr>
          <w:trHeight w:val="211"/>
        </w:trPr>
        <w:tc>
          <w:tcPr>
            <w:tcW w:w="32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5"/>
                <w:szCs w:val="15"/>
                <w:color w:val="auto"/>
              </w:rPr>
              <w:t>Benjamin J. Zeskind, Ph.D.</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39</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Co-Founder, Chief Executive Officer, Director</w:t>
            </w:r>
          </w:p>
        </w:tc>
      </w:tr>
      <w:tr>
        <w:trPr>
          <w:trHeight w:val="209"/>
        </w:trPr>
        <w:tc>
          <w:tcPr>
            <w:tcW w:w="3240" w:type="dxa"/>
            <w:vAlign w:val="bottom"/>
            <w:gridSpan w:val="2"/>
          </w:tcPr>
          <w:p>
            <w:pPr>
              <w:spacing w:after="0"/>
              <w:rPr>
                <w:sz w:val="20"/>
                <w:szCs w:val="20"/>
                <w:color w:val="auto"/>
              </w:rPr>
            </w:pPr>
            <w:r>
              <w:rPr>
                <w:rFonts w:ascii="Arial" w:cs="Arial" w:eastAsia="Arial" w:hAnsi="Arial"/>
                <w:sz w:val="15"/>
                <w:szCs w:val="15"/>
                <w:color w:val="auto"/>
              </w:rPr>
              <w:t>Biren Amin</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48</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Chief Financial Officer</w:t>
            </w:r>
          </w:p>
        </w:tc>
      </w:tr>
      <w:tr>
        <w:trPr>
          <w:trHeight w:val="209"/>
        </w:trPr>
        <w:tc>
          <w:tcPr>
            <w:tcW w:w="3240" w:type="dxa"/>
            <w:vAlign w:val="bottom"/>
            <w:gridSpan w:val="2"/>
          </w:tcPr>
          <w:p>
            <w:pPr>
              <w:spacing w:after="0"/>
              <w:rPr>
                <w:sz w:val="20"/>
                <w:szCs w:val="20"/>
                <w:color w:val="auto"/>
              </w:rPr>
            </w:pPr>
            <w:r>
              <w:rPr>
                <w:rFonts w:ascii="Arial" w:cs="Arial" w:eastAsia="Arial" w:hAnsi="Arial"/>
                <w:sz w:val="15"/>
                <w:szCs w:val="15"/>
                <w:color w:val="auto"/>
              </w:rPr>
              <w:t>Scott Barrett, M.D.</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58</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Chief Medical Officer</w:t>
            </w:r>
          </w:p>
        </w:tc>
      </w:tr>
      <w:tr>
        <w:trPr>
          <w:trHeight w:val="220"/>
        </w:trPr>
        <w:tc>
          <w:tcPr>
            <w:tcW w:w="3240" w:type="dxa"/>
            <w:vAlign w:val="bottom"/>
            <w:gridSpan w:val="2"/>
          </w:tcPr>
          <w:p>
            <w:pPr>
              <w:spacing w:after="0"/>
              <w:rPr>
                <w:sz w:val="20"/>
                <w:szCs w:val="20"/>
                <w:color w:val="auto"/>
              </w:rPr>
            </w:pPr>
            <w:r>
              <w:rPr>
                <w:rFonts w:ascii="Arial" w:cs="Arial" w:eastAsia="Arial" w:hAnsi="Arial"/>
                <w:sz w:val="15"/>
                <w:szCs w:val="15"/>
                <w:color w:val="auto"/>
              </w:rPr>
              <w:t>Brett Hall, Ph.D.</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53</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Chief Scientific Officer</w:t>
            </w:r>
          </w:p>
        </w:tc>
      </w:tr>
      <w:tr>
        <w:trPr>
          <w:trHeight w:val="220"/>
        </w:trPr>
        <w:tc>
          <w:tcPr>
            <w:tcW w:w="32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Non-Employee Directors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0"/>
        </w:trPr>
        <w:tc>
          <w:tcPr>
            <w:tcW w:w="3240" w:type="dxa"/>
            <w:vAlign w:val="bottom"/>
            <w:gridSpan w:val="2"/>
          </w:tcPr>
          <w:p>
            <w:pPr>
              <w:spacing w:after="0"/>
              <w:rPr>
                <w:sz w:val="20"/>
                <w:szCs w:val="20"/>
                <w:color w:val="auto"/>
              </w:rPr>
            </w:pPr>
            <w:r>
              <w:rPr>
                <w:rFonts w:ascii="Arial" w:cs="Arial" w:eastAsia="Arial" w:hAnsi="Arial"/>
                <w:sz w:val="15"/>
                <w:szCs w:val="15"/>
                <w:color w:val="auto"/>
              </w:rPr>
              <w:t>Robert J. Carpenter</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76</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Co-Founder, Director</w:t>
            </w:r>
          </w:p>
        </w:tc>
      </w:tr>
      <w:tr>
        <w:trPr>
          <w:trHeight w:val="220"/>
        </w:trPr>
        <w:tc>
          <w:tcPr>
            <w:tcW w:w="3240" w:type="dxa"/>
            <w:vAlign w:val="bottom"/>
            <w:gridSpan w:val="2"/>
          </w:tcPr>
          <w:p>
            <w:pPr>
              <w:spacing w:after="0"/>
              <w:rPr>
                <w:sz w:val="20"/>
                <w:szCs w:val="20"/>
                <w:color w:val="auto"/>
              </w:rPr>
            </w:pPr>
            <w:r>
              <w:rPr>
                <w:rFonts w:ascii="Arial" w:cs="Arial" w:eastAsia="Arial" w:hAnsi="Arial"/>
                <w:sz w:val="15"/>
                <w:szCs w:val="15"/>
                <w:color w:val="auto"/>
              </w:rPr>
              <w:t>Peter Feinberg</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60</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r>
      <w:tr>
        <w:trPr>
          <w:trHeight w:val="220"/>
        </w:trPr>
        <w:tc>
          <w:tcPr>
            <w:tcW w:w="3240" w:type="dxa"/>
            <w:vAlign w:val="bottom"/>
            <w:gridSpan w:val="2"/>
          </w:tcPr>
          <w:p>
            <w:pPr>
              <w:spacing w:after="0"/>
              <w:rPr>
                <w:sz w:val="20"/>
                <w:szCs w:val="20"/>
                <w:color w:val="auto"/>
              </w:rPr>
            </w:pPr>
            <w:r>
              <w:rPr>
                <w:rFonts w:ascii="Arial" w:cs="Arial" w:eastAsia="Arial" w:hAnsi="Arial"/>
                <w:sz w:val="15"/>
                <w:szCs w:val="15"/>
                <w:color w:val="auto"/>
              </w:rPr>
              <w:t>Laurie B. Keating</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67</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r>
      <w:tr>
        <w:trPr>
          <w:trHeight w:val="289"/>
        </w:trPr>
        <w:tc>
          <w:tcPr>
            <w:tcW w:w="3240" w:type="dxa"/>
            <w:vAlign w:val="bottom"/>
            <w:gridSpan w:val="2"/>
          </w:tcPr>
          <w:p>
            <w:pPr>
              <w:spacing w:after="0"/>
              <w:rPr>
                <w:sz w:val="20"/>
                <w:szCs w:val="20"/>
                <w:color w:val="auto"/>
              </w:rPr>
            </w:pPr>
            <w:r>
              <w:rPr>
                <w:rFonts w:ascii="Arial" w:cs="Arial" w:eastAsia="Arial" w:hAnsi="Arial"/>
                <w:sz w:val="15"/>
                <w:szCs w:val="15"/>
                <w:color w:val="auto"/>
              </w:rPr>
              <w:t>Andrew Phillips, Ph.D.</w:t>
            </w:r>
            <w:r>
              <w:rPr>
                <w:rFonts w:ascii="Arial" w:cs="Arial" w:eastAsia="Arial" w:hAnsi="Arial"/>
                <w:sz w:val="21"/>
                <w:szCs w:val="21"/>
                <w:color w:val="auto"/>
                <w:vertAlign w:val="superscript"/>
              </w:rPr>
              <w:t>*</w:t>
            </w:r>
          </w:p>
        </w:tc>
        <w:tc>
          <w:tcPr>
            <w:tcW w:w="200" w:type="dxa"/>
            <w:vAlign w:val="bottom"/>
          </w:tcPr>
          <w:p>
            <w:pPr>
              <w:ind w:left="20"/>
              <w:spacing w:after="0"/>
              <w:rPr>
                <w:sz w:val="20"/>
                <w:szCs w:val="20"/>
                <w:color w:val="auto"/>
              </w:rPr>
            </w:pPr>
            <w:r>
              <w:rPr>
                <w:rFonts w:ascii="Arial" w:cs="Arial" w:eastAsia="Arial" w:hAnsi="Arial"/>
                <w:sz w:val="15"/>
                <w:szCs w:val="15"/>
                <w:color w:val="auto"/>
                <w:w w:val="95"/>
              </w:rPr>
              <w:t>50</w:t>
            </w:r>
          </w:p>
        </w:tc>
        <w:tc>
          <w:tcPr>
            <w:tcW w:w="324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67945</wp:posOffset>
            </wp:positionV>
            <wp:extent cx="44640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92" w:lineRule="exact"/>
        <w:rPr>
          <w:sz w:val="20"/>
          <w:szCs w:val="20"/>
          <w:color w:val="auto"/>
        </w:rPr>
      </w:pPr>
    </w:p>
    <w:p>
      <w:pPr>
        <w:ind w:left="1460" w:right="1179" w:hanging="296"/>
        <w:spacing w:after="0" w:line="247" w:lineRule="auto"/>
        <w:tabs>
          <w:tab w:leader="none" w:pos="14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Dr. Phillips will resign as a director immediately prior to the effectiveness of the registration statement on Form S-1 of which this prospectus forms a part.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Officers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i w:val="1"/>
          <w:iCs w:val="1"/>
          <w:color w:val="auto"/>
        </w:rPr>
        <w:t>Benjamin J. Zeskind, Ph.D</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 Zeskind has served as our Co-Founder, Chief Executive Officer and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member of our board of directors since February 2008. Dr. Zeskind received his S.B. in electrical engineering and computer science and his Ph.D. in bioengineering from Massachusetts Institute of Technology, or MIT, and his M.B.A. from Harvard Business School, where he was recognized as a Baker Scholar, the highest award for distinction. We believe that Dr. Zeskind is qualified to serve on our board of directors due to his extensive experience in the pharmaceutical industry and in-depth knowledge of our business.</w:t>
      </w:r>
    </w:p>
    <w:p>
      <w:pPr>
        <w:spacing w:after="0" w:line="97"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b w:val="1"/>
          <w:bCs w:val="1"/>
          <w:i w:val="1"/>
          <w:iCs w:val="1"/>
          <w:color w:val="auto"/>
        </w:rPr>
        <w:t xml:space="preserve">Biren Amin. </w:t>
      </w:r>
      <w:r>
        <w:rPr>
          <w:rFonts w:ascii="Arial" w:cs="Arial" w:eastAsia="Arial" w:hAnsi="Arial"/>
          <w:sz w:val="14"/>
          <w:szCs w:val="14"/>
          <w:color w:val="auto"/>
        </w:rPr>
        <w:t>Mr. Amin has served as our Chief Financial Officer since April 2021. Prior to joining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Amin served as a Managing Director of Jefferies Financial Group Inc., an American financial services company based in New York City, in their Biotechnology Equity Research group, from June 2011 until March 2021. Previously, he spent time at other equity research firms such as WJB Capital Group, Inc., FTN Equity Capital Markets Corporation, Stanford Group Company and Prudential Equity Group, LLC focusing on pharmaceutical and biotechnology company investments. Over approximately two decades, Mr. Amin built a strong track record on Wall Street covering small and mid-cap pharmaceutical and biotechnology companies focusing on oncology, CNS disorders, ophthalmology and rare diseases. He started his career at Aventis Pharmaceuticals Inc., a former public pharmaceutical company, which merged with Sanofi S.A., where he served as the Senior Manager in their Scientific Competitive Intelligence group. Mr. Amin received his B.S. in pharmacy from the University of the Sciences in Philadelphia, his M.S. in pharmacy from Long Island University and his M.B.A. from the Stern School of Business at New York University.</w:t>
      </w:r>
    </w:p>
    <w:p>
      <w:pPr>
        <w:spacing w:after="0" w:line="93"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b w:val="1"/>
          <w:bCs w:val="1"/>
          <w:i w:val="1"/>
          <w:iCs w:val="1"/>
          <w:color w:val="auto"/>
        </w:rPr>
        <w:t>Scott Barrett, M.D</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Barrett has served as our Chief Medical Officer since November 2019.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joining us, Dr. Barrett served as the Executive Director of Global Medical Affairs of Incyte Corp, a publicly traded biopharmaceutical company focused on discovery, development and commercialization of proprietary therapeutics in oncology and other areas of interest, from June 2016 until November 2019. Prior to that, he served as the Senior Director of Clinical Development of Infinity Pharmaceuticals, Inc., a publicly traded biopharmaceutical drug development company, from July 2014 until June 2016. Dr. Barrett is a trained physician-scientist, accomplished medical oncologist and a drug discovery and development expert with more than 30 years of clinical and research experience. He received his B.A. in natural science from The Johns Hopkins University as a Beneficial-Hodson Scholarship recipient, his M.D. from the University of Miami School of Medicine and completed his internal medicine residency at the Mayo Clinic in Rochester, Minnesota. Dr. Barrett then went on to complete a fellowship in medical oncology at Memorial Sloan-Kettering Cancer Center and became board-certified in internal medicine and medical oncology.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b w:val="1"/>
          <w:bCs w:val="1"/>
          <w:i w:val="1"/>
          <w:iCs w:val="1"/>
          <w:color w:val="auto"/>
        </w:rPr>
        <w:t>Brett Hall, Ph.D</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Hall has served as our Chief Scientific Officer since November 2019. He also serves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the President, Founder and Chairman of the board of directors of Bioarkive, Inc., or Bioarkive, a privately held biotechnology services company, and President and Founder of Trans Medical Sciences, LLC, a privately held consulting company for biotechnology and biopharmaceutical companies. Prior to joining us, Dr. Hall served as the Chief Executive Officer of Asellus Therapeutics, LLC, a privately held biotechnology company, from July 2015 until May 2018. Dr. Hall served in roles of increasing responsibility with Johnson &amp; Johnson, a multinational corporation that develops medical devices, pharmaceuticals and consumer packaged goods, from November 2008 until July 2014, culminating in his role as the Head of Biomarkers of the Hematologic Disease Area Stronghold, where he led translational efforts for Sylvant® and Imbruvica® through clinical development. Subsequently, he served as the Head of Translational Medicine of Oncology at Medimmune, LLC, the biologics division of AstraZeneca Pharmaceuticals LP, from July 2014 until July 2015, before transitioning to executive discovery roles in biotechnology. He has extensive drug development and leadership experience ranging from early drug discovery through translational clinical sciences, including multiple drug registrations. Dr. Hall has extensively published in the areas of TME and translational sciences, and holds multiple patents for drug pharmacology and discovery. He was also a tenure-track Assistant Professor at Ohio State University where his laboratory focused on the development of human TME-aligned models to better translate preclinical data into the clinic and discover novel biomarkers. Prior to Dr. Hall’s career in life sciences, he served in the United States Air Force and worked as an investment banker. Dr. Hall received his B.S. in biochemistry from Ohio State University, his Ph.D. in immunology and cancer biology from West Virginia University and completed his post-doctoral fellowship in cancer cell epigenetics at St. Jude Children’s Research Hospital.</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Non-Employee Directors</w:t>
      </w:r>
    </w:p>
    <w:p>
      <w:pPr>
        <w:spacing w:after="0" w:line="113"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b w:val="1"/>
          <w:bCs w:val="1"/>
          <w:i w:val="1"/>
          <w:iCs w:val="1"/>
          <w:color w:val="auto"/>
        </w:rPr>
        <w:t>Robert J. Carpenter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Carpenter has served on our board of directors since May 2009. Mr. Carpenter also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currently serves as the Chairman of Hydra Biosciences, Inc., or Hydra Biosciences, a privately held clinical-stage biopharmaceutical company. From 1992 until 2015, he served as the Chief Executive Officer of Boston Medical Investors, Inc., a venture capital firm. Mr. Carpenter has founded and served in executive management and board roles at numerous biotechnology companies, including Olaris Inc., Integrated Genetics and GelTex Pharmaceuticals, both of which merged with Genzyme Corporation, and VacTex Corp., which was acquired by Aquila Biopharmaceuticals, Inc. Mr. Carpenter received his B.S. in engineering from the U.S. Military Academy at West Point, his M.S. in computer science from Stanford University and his M.B.A. from Harvard Business School. We believe that Mr. Carpenter is qualified to serve on our board of directors due to his extensive leadership skills and experience in the healthcare and biotechnology industries.</w:t>
      </w:r>
    </w:p>
    <w:p>
      <w:pPr>
        <w:spacing w:after="0" w:line="89"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b w:val="1"/>
          <w:bCs w:val="1"/>
          <w:i w:val="1"/>
          <w:iCs w:val="1"/>
          <w:color w:val="auto"/>
        </w:rPr>
        <w:t>Peter Feinberg</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Feinberg has served on our board of directors since January 2021. Mr. Feinberg also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currently serves as Partner and was a Founding Member of Boxcar Partners, a venture capital investment firm with a focus on biotechnology investing, and Founder of Sporos Bioventures, Inc. In addition, he currently serves as Co-Founder of BridgeBio Pharma, Inc., a publicly traded biotechnology company focusing on genetic diseases, Boxcar PMJ LP and Emerging Security Solutions. He has more than three decades of experience in the financial services industry at Oppenheimer &amp; Co. Inc. where he served as a Managing Director. Mr. Feinberg received his B.S. in finance from Whittier College. We believe that Mr. Feinberg is qualified to serve on our board of directors due to his extensive leadership skills and experience in the financial and biotechnology industries.</w:t>
      </w:r>
    </w:p>
    <w:p>
      <w:pPr>
        <w:spacing w:after="0" w:line="8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b w:val="1"/>
          <w:bCs w:val="1"/>
          <w:i w:val="1"/>
          <w:iCs w:val="1"/>
          <w:color w:val="auto"/>
        </w:rPr>
        <w:t>Laurie B. Keating</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Ms. Keating has served on our board of directors since March 2021. Ms. Keating also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currently serves as the Executive Vice President, Chief Legal Officer and Secretary of Alnylam Pharmaceuticals, Inc., since March 2019, and also served as its Senior Vice President, General Counsel and Secretary from September 2014 until March 2019. From September 2004 until January 2014, she served as the Senior Vice President, General Counsel and Secretary of Millennium Pharmaceuticals, Inc., a wholly owned oncology-focused subsidiary of Takeda Pharmaceutical Company Limited since 2008, and was the founding Chief Executive Officer and a member of the board of directors of Hydra Biosciences. Ms. Keating earned her A.B. in economics from the University of California, Berkeley and her J.D. from the University of California, Hastings College of the Law. We believe that Ms. Keating is qualified to serve on our board of directors due to her extensive leadership skills and experience in the biotechnology industry.</w:t>
      </w:r>
    </w:p>
    <w:p>
      <w:pPr>
        <w:spacing w:after="0" w:line="85"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b w:val="1"/>
          <w:bCs w:val="1"/>
          <w:i w:val="1"/>
          <w:iCs w:val="1"/>
          <w:color w:val="auto"/>
        </w:rPr>
        <w:t>Andrew Phillips, Ph.D</w:t>
      </w:r>
      <w:r>
        <w:rPr>
          <w:rFonts w:ascii="Arial" w:cs="Arial" w:eastAsia="Arial" w:hAnsi="Arial"/>
          <w:sz w:val="13"/>
          <w:szCs w:val="13"/>
          <w:color w:val="auto"/>
        </w:rPr>
        <w:t>. Dr. Phillips has served on our board of directors since December 2020. Dr. Phillips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also currently serves as a Managing Director at Cormorant Asset Management, LP, and serves as a member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of the board of directors of BiVacor, Inc., Elevation Oncology, Inc. and Enliven Therapeutics, Inc. Prior to joining us, he served in various roles, including President, Chief Executive Officer and Chief Scientific Officer of C4 Therapeutics, Inc., from January 2016 until March 2020. Prior to that, Dr. Phillips served as the Senior Director of the Center for the Development of Therapeutics at the Broad Institute of MIT and Harvard. Earlier in his career, he was a Full Professor of chemistry at Yale University and an Assistant, Associate and Full Professor of chemistry and biochemistry at the University of Colorado. Dr. Phillips received his B.Sc., with honors, and his Ph.D. in biochemistry and chemistry from the University of Canterbury in Christchurch, New Zealand. We believe that Dr. Phillips is qualified to serve on our board of directors due to his extensive leadership skills and experience in the pharmaceutical industry.</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Family Relationships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There are no family relationships among any of our directors or executive officers.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Composition of Our Board of Directors</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Our board of directors currently consists of five directors. Our amended and restated certificate of incorporation and amended and restated bylaws will provide that the number of directors on our board of directors will be fixed from time to time by resolution of the board of directors and that our board of directors will be divided into three classes, as nearly equal in number as possible, with the directors in each class serving for a three-year term, and one class being elected each year by our stockholders. Dr. Phillips will resign as a director immediately prior to the effectiveness of the registration statement on Form S-1, of which this prospectus forms a part.</w:t>
      </w:r>
    </w:p>
    <w:p>
      <w:pPr>
        <w:spacing w:after="0" w:line="10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95"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ectPr>
          <w:pgSz w:w="11900" w:h="16838" w:orient="portrait"/>
          <w:cols w:equalWidth="0" w:num="1">
            <w:col w:w="9019"/>
          </w:cols>
          <w:pgMar w:left="1440" w:top="134" w:right="1440" w:bottom="1440" w:gutter="0" w:footer="0" w:header="0"/>
        </w:sectPr>
      </w:pPr>
    </w:p>
    <w:p>
      <w:pPr>
        <w:spacing w:after="0" w:line="6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  the Class I directors will be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and their terms will expire at the annual meeting of stockholders</w:t>
      </w:r>
    </w:p>
    <w:p>
      <w:pPr>
        <w:spacing w:after="0" w:line="25" w:lineRule="exact"/>
        <w:rPr>
          <w:sz w:val="20"/>
          <w:szCs w:val="20"/>
          <w:color w:val="auto"/>
        </w:rPr>
      </w:pPr>
    </w:p>
    <w:p>
      <w:pPr>
        <w:sectPr>
          <w:pgSz w:w="11900" w:h="16838" w:orient="portrait"/>
          <w:cols w:equalWidth="0" w:num="2">
            <w:col w:w="3300" w:space="500"/>
            <w:col w:w="5219"/>
          </w:cols>
          <w:pgMar w:left="1440" w:top="134" w:right="1440"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to be held in 2022;</w:t>
      </w:r>
    </w:p>
    <w:p>
      <w:pPr>
        <w:sectPr>
          <w:pgSz w:w="11900" w:h="16838" w:orient="portrait"/>
          <w:cols w:equalWidth="0" w:num="1">
            <w:col w:w="9019"/>
          </w:cols>
          <w:pgMar w:left="1440" w:top="134" w:right="1440" w:bottom="1440" w:gutter="0" w:footer="0" w:header="0"/>
          <w:type w:val="continuous"/>
        </w:sectPr>
      </w:pPr>
    </w:p>
    <w:p>
      <w:pPr>
        <w:spacing w:after="0" w:line="9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the Class II directors will be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 and their terms will expire at the annual meeting of</w:t>
      </w:r>
    </w:p>
    <w:p>
      <w:pPr>
        <w:spacing w:after="0" w:line="14" w:lineRule="exact"/>
        <w:rPr>
          <w:sz w:val="20"/>
          <w:szCs w:val="20"/>
          <w:color w:val="auto"/>
        </w:rPr>
      </w:pPr>
    </w:p>
    <w:p>
      <w:pPr>
        <w:sectPr>
          <w:pgSz w:w="11900" w:h="16838" w:orient="portrait"/>
          <w:cols w:equalWidth="0" w:num="2">
            <w:col w:w="3580" w:space="560"/>
            <w:col w:w="4879"/>
          </w:cols>
          <w:pgMar w:left="1440" w:top="134" w:right="1440" w:bottom="1440" w:gutter="0" w:footer="0" w:header="0"/>
          <w:type w:val="continuous"/>
        </w:sectPr>
      </w:pPr>
    </w:p>
    <w:p>
      <w:pPr>
        <w:ind w:left="1600"/>
        <w:spacing w:after="0"/>
        <w:rPr>
          <w:sz w:val="20"/>
          <w:szCs w:val="20"/>
          <w:color w:val="auto"/>
        </w:rPr>
      </w:pPr>
      <w:r>
        <w:rPr>
          <w:rFonts w:ascii="Arial" w:cs="Arial" w:eastAsia="Arial" w:hAnsi="Arial"/>
          <w:sz w:val="13"/>
          <w:szCs w:val="13"/>
          <w:color w:val="auto"/>
        </w:rPr>
        <w:t>stockholders to be held in 2023; and</w:t>
      </w:r>
    </w:p>
    <w:p>
      <w:pPr>
        <w:sectPr>
          <w:pgSz w:w="11900" w:h="16838" w:orient="portrait"/>
          <w:cols w:equalWidth="0" w:num="1">
            <w:col w:w="9019"/>
          </w:cols>
          <w:pgMar w:left="1440" w:top="134" w:right="1440" w:bottom="1440" w:gutter="0" w:footer="0" w:header="0"/>
          <w:type w:val="continuous"/>
        </w:sectPr>
      </w:pPr>
    </w:p>
    <w:p>
      <w:pPr>
        <w:spacing w:after="0" w:line="10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the Class III directors will be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 and their terms will expire at the annual meeting of</w:t>
      </w:r>
    </w:p>
    <w:p>
      <w:pPr>
        <w:spacing w:after="0" w:line="14" w:lineRule="exact"/>
        <w:rPr>
          <w:sz w:val="20"/>
          <w:szCs w:val="20"/>
          <w:color w:val="auto"/>
        </w:rPr>
      </w:pPr>
    </w:p>
    <w:p>
      <w:pPr>
        <w:sectPr>
          <w:pgSz w:w="11900" w:h="16838" w:orient="portrait"/>
          <w:cols w:equalWidth="0" w:num="2">
            <w:col w:w="3620" w:space="540"/>
            <w:col w:w="4859"/>
          </w:cols>
          <w:pgMar w:left="1440" w:top="134" w:right="1440" w:bottom="1440" w:gutter="0" w:footer="0" w:header="0"/>
          <w:type w:val="continuous"/>
        </w:sectPr>
      </w:pPr>
    </w:p>
    <w:p>
      <w:pPr>
        <w:ind w:left="1600"/>
        <w:spacing w:after="0"/>
        <w:rPr>
          <w:sz w:val="20"/>
          <w:szCs w:val="20"/>
          <w:color w:val="auto"/>
        </w:rPr>
      </w:pPr>
      <w:r>
        <w:rPr>
          <w:rFonts w:ascii="Arial" w:cs="Arial" w:eastAsia="Arial" w:hAnsi="Arial"/>
          <w:sz w:val="13"/>
          <w:szCs w:val="13"/>
          <w:color w:val="auto"/>
        </w:rPr>
        <w:t>stockholders to be held in 2024.</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Independence</w:t>
      </w:r>
    </w:p>
    <w:p>
      <w:pPr>
        <w:sectPr>
          <w:pgSz w:w="11900" w:h="16838" w:orient="portrait"/>
          <w:cols w:equalWidth="0" w:num="1">
            <w:col w:w="9019"/>
          </w:cols>
          <w:pgMar w:left="1440" w:top="134" w:right="1440" w:bottom="1440" w:gutter="0" w:footer="0" w:header="0"/>
          <w:type w:val="continuous"/>
        </w:sectPr>
      </w:pP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Our board of directors has determined that, of our directors,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7"/>
          <w:szCs w:val="7"/>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do not</w:t>
      </w:r>
    </w:p>
    <w:p>
      <w:pPr>
        <w:spacing w:after="0" w:line="25" w:lineRule="exact"/>
        <w:rPr>
          <w:sz w:val="20"/>
          <w:szCs w:val="20"/>
          <w:color w:val="auto"/>
        </w:rPr>
      </w:pPr>
    </w:p>
    <w:p>
      <w:pPr>
        <w:sectPr>
          <w:pgSz w:w="11900" w:h="16838" w:orient="portrait"/>
          <w:cols w:equalWidth="0" w:num="5">
            <w:col w:w="5020" w:space="520"/>
            <w:col w:w="20" w:space="520"/>
            <w:col w:w="40" w:space="580"/>
            <w:col w:w="220" w:space="520"/>
            <w:col w:w="1579"/>
          </w:cols>
          <w:pgMar w:left="1440" w:top="134" w:right="1440" w:bottom="1440" w:gutter="0" w:footer="0" w:header="0"/>
          <w:type w:val="continuous"/>
        </w:sectPr>
      </w:pPr>
    </w:p>
    <w:p>
      <w:pPr>
        <w:jc w:val="both"/>
        <w:ind w:left="1160" w:right="1179"/>
        <w:spacing w:after="0" w:line="246" w:lineRule="auto"/>
        <w:rPr>
          <w:sz w:val="20"/>
          <w:szCs w:val="20"/>
          <w:color w:val="auto"/>
        </w:rPr>
      </w:pPr>
      <w:r>
        <w:rPr>
          <w:rFonts w:ascii="Arial" w:cs="Arial" w:eastAsia="Arial" w:hAnsi="Arial"/>
          <w:sz w:val="15"/>
          <w:szCs w:val="15"/>
          <w:color w:val="auto"/>
        </w:rPr>
        <w:t>have a relationship that would interfere with the exercise of independent judgment in carrying out the responsibilities of a director and that each of these directors is “independent” as that term is defined under the rules of the Nasdaq Stock Market LLC, or the Nasdaq rules. There are no family relationships among any of our directors or executive officers.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Leadership Structure</w:t>
      </w:r>
    </w:p>
    <w:p>
      <w:pPr>
        <w:spacing w:after="0" w:line="12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Our board of directors is currently chaired by . Our corporate governance guidelines will provide that, if the chairman of the board is a member of management or does not otherwise qualify as independent, the independent directors of the board may elect a lead director. The lead director’s responsibilities would include, but would not be not limited to: presiding over all meetings of the board of directors at which the chairman is not present, including any executive sessions of the independent directors; approving board meeting schedules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49" w:name="page150"/>
    <w:bookmarkEnd w:id="14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Role of the Board in Risk Oversight</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will monitor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Committees</w:t>
      </w:r>
    </w:p>
    <w:p>
      <w:pPr>
        <w:spacing w:after="0" w:line="128"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 xml:space="preserve">Our board of directors has established three standing committees—audit, compensation and nominating and corporate governance—each of which operates under a charter that has been approved by our board of directors. Upon our listing on the Nasdaq Global Market, each committee’s charter will be available under the Corporate Governance section of our website at </w:t>
      </w:r>
      <w:r>
        <w:rPr>
          <w:rFonts w:ascii="Arial" w:cs="Arial" w:eastAsia="Arial" w:hAnsi="Arial"/>
          <w:sz w:val="14"/>
          <w:szCs w:val="14"/>
          <w:i w:val="1"/>
          <w:iCs w:val="1"/>
          <w:color w:val="auto"/>
        </w:rPr>
        <w:t>www.immuneering.com</w:t>
      </w:r>
      <w:r>
        <w:rPr>
          <w:rFonts w:ascii="Arial" w:cs="Arial" w:eastAsia="Arial" w:hAnsi="Arial"/>
          <w:sz w:val="14"/>
          <w:szCs w:val="14"/>
          <w:color w:val="auto"/>
        </w:rPr>
        <w:t>. The reference to our website address does not constitute incorporation by reference of the information contained at or available through our website, and you should not consider it to be a part of this prospectus.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audit committee’s responsibilities include:</w:t>
      </w:r>
    </w:p>
    <w:p>
      <w:pPr>
        <w:spacing w:after="0" w:line="91" w:lineRule="exact"/>
        <w:rPr>
          <w:sz w:val="20"/>
          <w:szCs w:val="20"/>
          <w:color w:val="auto"/>
        </w:rPr>
      </w:pPr>
    </w:p>
    <w:p>
      <w:pPr>
        <w:ind w:left="1600" w:right="117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4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coordinating our board of directors’ oversight of our internal control over financial reporting, disclosure controls and procedures and code of business conduct and ethics;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 rules.</w:t>
      </w:r>
    </w:p>
    <w:p>
      <w:pPr>
        <w:spacing w:after="0" w:line="124"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5"/>
          <w:szCs w:val="15"/>
          <w:color w:val="auto"/>
        </w:rPr>
        <w:t>The members of our audit committee are , and . serves as the chairperson of the committee. All members of our audit committee meet the requirements for financial literacy under the</w:t>
      </w:r>
    </w:p>
    <w:p>
      <w:pPr>
        <w:jc w:val="both"/>
        <w:ind w:left="1160" w:right="1179"/>
        <w:spacing w:after="0" w:line="244" w:lineRule="auto"/>
        <w:rPr>
          <w:sz w:val="20"/>
          <w:szCs w:val="20"/>
          <w:color w:val="auto"/>
        </w:rPr>
      </w:pPr>
      <w:r>
        <w:rPr>
          <w:rFonts w:ascii="Arial" w:cs="Arial" w:eastAsia="Arial" w:hAnsi="Arial"/>
          <w:sz w:val="15"/>
          <w:szCs w:val="15"/>
          <w:color w:val="auto"/>
        </w:rPr>
        <w:t>applicable Nasdaq rules. Our board of directors has determined that and meet the independence requirements of Rule 10A-3 under the Exchange Act and the applicable Nasdaq rules. Our</w:t>
      </w:r>
    </w:p>
    <w:p>
      <w:pPr>
        <w:spacing w:after="0" w:line="1"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board of directors has determined that is an “audit committee financial expert” as defined by applicable SEC rules and has the requisite financial sophistication as defined under the applicable Nasdaq rules.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compensation committee’s responsibilities include:</w:t>
      </w:r>
    </w:p>
    <w:p>
      <w:pPr>
        <w:spacing w:after="0" w:line="91" w:lineRule="exact"/>
        <w:rPr>
          <w:sz w:val="20"/>
          <w:szCs w:val="20"/>
          <w:color w:val="auto"/>
        </w:rPr>
      </w:pPr>
    </w:p>
    <w:p>
      <w:pPr>
        <w:ind w:left="1600" w:right="1179" w:hanging="143"/>
        <w:spacing w:after="0" w:line="26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reviewing and approving, or recommending for approval by the board of directors, the compensation of our Chief Executive Officer and our other executive officers;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60"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to the extent required;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preparing the annual compensation committee report required by SEC rules, to the extent required.</w:t>
      </w:r>
    </w:p>
    <w:p>
      <w:pPr>
        <w:spacing w:after="0" w:line="136"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5"/>
          <w:szCs w:val="15"/>
          <w:color w:val="auto"/>
        </w:rPr>
        <w:t>The members of our compensation committee are , and . serves as the chairperson of the committee. Our board of directors has determined that each of , and</w:t>
      </w:r>
    </w:p>
    <w:p>
      <w:pPr>
        <w:jc w:val="both"/>
        <w:ind w:left="1160" w:right="1179" w:firstLine="457"/>
        <w:spacing w:after="0" w:line="246" w:lineRule="auto"/>
        <w:rPr>
          <w:sz w:val="20"/>
          <w:szCs w:val="20"/>
          <w:color w:val="auto"/>
        </w:rPr>
      </w:pPr>
      <w:r>
        <w:rPr>
          <w:rFonts w:ascii="Arial" w:cs="Arial" w:eastAsia="Arial" w:hAnsi="Arial"/>
          <w:sz w:val="15"/>
          <w:szCs w:val="15"/>
          <w:color w:val="auto"/>
        </w:rPr>
        <w:t>is independent under the applicable Nasdaq rules, including the Nasdaq rules specific to membership on the compensation committee, and is a “non-employee director” as defined in Rule 16b-3 promulgated under the Exchange Act.</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91" w:lineRule="exact"/>
        <w:rPr>
          <w:sz w:val="20"/>
          <w:szCs w:val="20"/>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59" w:lineRule="exact"/>
        <w:rPr>
          <w:rFonts w:ascii="Arial" w:cs="Arial" w:eastAsia="Arial" w:hAnsi="Arial"/>
          <w:sz w:val="15"/>
          <w:szCs w:val="15"/>
          <w:color w:val="auto"/>
        </w:rPr>
      </w:pPr>
    </w:p>
    <w:p>
      <w:pPr>
        <w:jc w:val="both"/>
        <w:ind w:left="1600" w:right="1179" w:hanging="143"/>
        <w:spacing w:after="0" w:line="25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guidelines, and reviewing and recommending to our board of directors proposed changes to our corporate governance guidelines from time to time; and</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overseeing a periodic evaluation of our board of directors.</w:t>
      </w:r>
    </w:p>
    <w:p>
      <w:pPr>
        <w:sectPr>
          <w:pgSz w:w="11900" w:h="16838" w:orient="portrait"/>
          <w:cols w:equalWidth="0" w:num="1">
            <w:col w:w="9019"/>
          </w:cols>
          <w:pgMar w:left="1440" w:top="134" w:right="1440" w:bottom="1440" w:gutter="0" w:footer="0" w:header="0"/>
        </w:sectPr>
      </w:pPr>
    </w:p>
    <w:p>
      <w:pPr>
        <w:spacing w:after="0" w:line="113" w:lineRule="exact"/>
        <w:rPr>
          <w:sz w:val="20"/>
          <w:szCs w:val="20"/>
          <w:color w:val="auto"/>
        </w:rPr>
      </w:pPr>
    </w:p>
    <w:p>
      <w:pPr>
        <w:ind w:left="1620" w:hanging="456"/>
        <w:spacing w:after="0" w:line="259" w:lineRule="auto"/>
        <w:rPr>
          <w:sz w:val="20"/>
          <w:szCs w:val="20"/>
          <w:color w:val="auto"/>
        </w:rPr>
      </w:pPr>
      <w:r>
        <w:rPr>
          <w:rFonts w:ascii="Arial" w:cs="Arial" w:eastAsia="Arial" w:hAnsi="Arial"/>
          <w:sz w:val="15"/>
          <w:szCs w:val="15"/>
          <w:color w:val="auto"/>
        </w:rPr>
        <w:t>The members of our nominating and corporate governance committee are</w:t>
      </w:r>
      <w:r>
        <w:rPr>
          <w:sz w:val="20"/>
          <w:szCs w:val="20"/>
          <w:color w:val="auto"/>
        </w:rPr>
        <w:t xml:space="preserve"> </w:t>
      </w:r>
      <w:r>
        <w:rPr>
          <w:rFonts w:ascii="Arial" w:cs="Arial" w:eastAsia="Arial" w:hAnsi="Arial"/>
          <w:sz w:val="15"/>
          <w:szCs w:val="15"/>
          <w:color w:val="auto"/>
        </w:rPr>
        <w:t>, and serves as the chairperson of the committee. Our board of directors has determined that and are independent under the applicable Nasdaq rules.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4" w:lineRule="exact"/>
        <w:rPr>
          <w:sz w:val="20"/>
          <w:szCs w:val="20"/>
          <w:color w:val="auto"/>
        </w:rPr>
      </w:pPr>
    </w:p>
    <w:p>
      <w:pPr>
        <w:sectPr>
          <w:pgSz w:w="11900" w:h="16838" w:orient="portrait"/>
          <w:cols w:equalWidth="0" w:num="2">
            <w:col w:w="7280" w:space="520"/>
            <w:col w:w="1219"/>
          </w:cols>
          <w:pgMar w:left="1440" w:top="134" w:right="1440" w:bottom="1440" w:gutter="0" w:footer="0" w:header="0"/>
          <w:type w:val="continuous"/>
        </w:sectPr>
      </w:pP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28"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Code of Ethics and Code of Conduct</w:t>
      </w:r>
    </w:p>
    <w:p>
      <w:pPr>
        <w:spacing w:after="0" w:line="128"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 xml:space="preserve">We will adopt a written code of business conduct and ethics that applies to our directors, officers and employees, including our principal executive officer, principal financial officer, principal accounting officer or controller, or persons performing similar functions. Upon our listing on the Nasdaq Global Market, our code of business conduct and ethics will be available under the Corporate Governance section of our website at </w:t>
      </w:r>
      <w:r>
        <w:rPr>
          <w:rFonts w:ascii="Arial" w:cs="Arial" w:eastAsia="Arial" w:hAnsi="Arial"/>
          <w:sz w:val="14"/>
          <w:szCs w:val="14"/>
          <w:i w:val="1"/>
          <w:iCs w:val="1"/>
          <w:color w:val="auto"/>
        </w:rPr>
        <w:t>www.immuneering.com</w:t>
      </w:r>
      <w:r>
        <w:rPr>
          <w:rFonts w:ascii="Arial" w:cs="Arial" w:eastAsia="Arial" w:hAnsi="Arial"/>
          <w:sz w:val="14"/>
          <w:szCs w:val="14"/>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51" w:name="page152"/>
    <w:bookmarkEnd w:id="15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AND DIRECTOR COMPENSATION</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This section discusses the material components of the executive compensation program for our executive officers who are named in the “2020 Summary Compensation Table” below.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73" w:lineRule="exact"/>
        <w:rPr>
          <w:sz w:val="20"/>
          <w:szCs w:val="20"/>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Benjamin J. Zeskind, Ph.D., Chief Executive Officer;</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Brett Hall, Ph.D., Chief Scientific Officer;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Scott Barrett, M.D., Chief Medical Officer.</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2020 Summary Compensation Table</w:t>
      </w:r>
    </w:p>
    <w:p>
      <w:pPr>
        <w:spacing w:after="0" w:line="117"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The following table sets forth information concerning the compensation awarded to, earned by and paid to our named executive officers with respect to the year ended December 31, 2020.</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0"/>
              </w:rPr>
              <w:t>Bonus</w:t>
            </w: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All Other</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Salary</w:t>
            </w:r>
          </w:p>
        </w:tc>
        <w:tc>
          <w:tcPr>
            <w:tcW w:w="680" w:type="dxa"/>
            <w:vAlign w:val="bottom"/>
            <w:gridSpan w:val="2"/>
            <w:vMerge w:val="continue"/>
          </w:tcPr>
          <w:p>
            <w:pPr>
              <w:spacing w:after="0"/>
              <w:rPr>
                <w:sz w:val="10"/>
                <w:szCs w:val="10"/>
                <w:color w:val="auto"/>
              </w:rPr>
            </w:pPr>
          </w:p>
        </w:tc>
        <w:tc>
          <w:tcPr>
            <w:tcW w:w="9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3"/>
              </w:rPr>
              <w:t>Name and Principal Position</w:t>
            </w:r>
          </w:p>
        </w:tc>
        <w:tc>
          <w:tcPr>
            <w:tcW w:w="1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Year</w:t>
            </w: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ind w:right="56"/>
              <w:spacing w:after="0" w:line="187"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Total</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280" w:type="dxa"/>
            <w:vAlign w:val="bottom"/>
            <w:gridSpan w:val="3"/>
            <w:shd w:val="clear" w:color="auto" w:fill="CCEEFF"/>
          </w:tcPr>
          <w:p>
            <w:pPr>
              <w:spacing w:after="0" w:line="167" w:lineRule="exact"/>
              <w:rPr>
                <w:sz w:val="20"/>
                <w:szCs w:val="20"/>
                <w:color w:val="auto"/>
              </w:rPr>
            </w:pPr>
            <w:r>
              <w:rPr>
                <w:rFonts w:ascii="Arial" w:cs="Arial" w:eastAsia="Arial" w:hAnsi="Arial"/>
                <w:sz w:val="15"/>
                <w:szCs w:val="15"/>
                <w:color w:val="auto"/>
              </w:rPr>
              <w:t>Benjamin J. Zeskind, Ph.D.</w:t>
            </w:r>
          </w:p>
        </w:tc>
        <w:tc>
          <w:tcPr>
            <w:tcW w:w="500" w:type="dxa"/>
            <w:vAlign w:val="bottom"/>
            <w:gridSpan w:val="2"/>
            <w:shd w:val="clear" w:color="auto" w:fill="CCEEFF"/>
          </w:tcPr>
          <w:p>
            <w:pPr>
              <w:jc w:val="center"/>
              <w:ind w:right="160"/>
              <w:spacing w:after="0" w:line="167" w:lineRule="exact"/>
              <w:rPr>
                <w:sz w:val="20"/>
                <w:szCs w:val="20"/>
                <w:color w:val="auto"/>
              </w:rPr>
            </w:pPr>
            <w:r>
              <w:rPr>
                <w:rFonts w:ascii="Arial" w:cs="Arial" w:eastAsia="Arial" w:hAnsi="Arial"/>
                <w:sz w:val="15"/>
                <w:szCs w:val="15"/>
                <w:color w:val="auto"/>
                <w:w w:val="89"/>
              </w:rPr>
              <w:t>2020</w:t>
            </w:r>
          </w:p>
        </w:tc>
        <w:tc>
          <w:tcPr>
            <w:tcW w:w="660" w:type="dxa"/>
            <w:vAlign w:val="bottom"/>
            <w:gridSpan w:val="2"/>
            <w:shd w:val="clear" w:color="auto" w:fill="CCEEFF"/>
          </w:tcPr>
          <w:p>
            <w:pPr>
              <w:jc w:val="center"/>
              <w:ind w:right="160"/>
              <w:spacing w:after="0" w:line="167" w:lineRule="exact"/>
              <w:rPr>
                <w:sz w:val="20"/>
                <w:szCs w:val="20"/>
                <w:color w:val="auto"/>
              </w:rPr>
            </w:pPr>
            <w:r>
              <w:rPr>
                <w:rFonts w:ascii="Arial" w:cs="Arial" w:eastAsia="Arial" w:hAnsi="Arial"/>
                <w:sz w:val="15"/>
                <w:szCs w:val="15"/>
                <w:color w:val="auto"/>
                <w:w w:val="84"/>
              </w:rPr>
              <w:t>292,550</w:t>
            </w:r>
          </w:p>
        </w:tc>
        <w:tc>
          <w:tcPr>
            <w:tcW w:w="6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500,000</w:t>
            </w:r>
          </w:p>
        </w:tc>
        <w:tc>
          <w:tcPr>
            <w:tcW w:w="720" w:type="dxa"/>
            <w:vAlign w:val="bottom"/>
            <w:shd w:val="clear" w:color="auto" w:fill="CCEEFF"/>
          </w:tcPr>
          <w:p>
            <w:pPr>
              <w:jc w:val="right"/>
              <w:spacing w:after="0" w:line="167" w:lineRule="exact"/>
              <w:rPr>
                <w:sz w:val="20"/>
                <w:szCs w:val="20"/>
                <w:color w:val="auto"/>
              </w:rPr>
            </w:pPr>
            <w:r>
              <w:rPr>
                <w:rFonts w:ascii="Arial" w:cs="Arial" w:eastAsia="Arial" w:hAnsi="Arial"/>
                <w:sz w:val="13"/>
                <w:szCs w:val="13"/>
                <w:color w:val="auto"/>
              </w:rPr>
              <w:t>13,495</w:t>
            </w:r>
            <w:r>
              <w:rPr>
                <w:rFonts w:ascii="Arial" w:cs="Arial" w:eastAsia="Arial" w:hAnsi="Arial"/>
                <w:sz w:val="19"/>
                <w:szCs w:val="19"/>
                <w:color w:val="auto"/>
                <w:vertAlign w:val="superscript"/>
              </w:rPr>
              <w:t>(3)</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160"/>
              <w:spacing w:after="0" w:line="167" w:lineRule="exact"/>
              <w:rPr>
                <w:sz w:val="20"/>
                <w:szCs w:val="20"/>
                <w:color w:val="auto"/>
              </w:rPr>
            </w:pPr>
            <w:r>
              <w:rPr>
                <w:rFonts w:ascii="Arial" w:cs="Arial" w:eastAsia="Arial" w:hAnsi="Arial"/>
                <w:sz w:val="15"/>
                <w:szCs w:val="15"/>
                <w:color w:val="auto"/>
                <w:w w:val="84"/>
              </w:rPr>
              <w:t>806,045</w:t>
            </w:r>
          </w:p>
        </w:tc>
        <w:tc>
          <w:tcPr>
            <w:tcW w:w="0" w:type="dxa"/>
            <w:vAlign w:val="bottom"/>
          </w:tcPr>
          <w:p>
            <w:pPr>
              <w:spacing w:after="0"/>
              <w:rPr>
                <w:sz w:val="1"/>
                <w:szCs w:val="1"/>
                <w:color w:val="auto"/>
              </w:rPr>
            </w:pPr>
          </w:p>
        </w:tc>
      </w:tr>
      <w:tr>
        <w:trPr>
          <w:trHeight w:val="197"/>
        </w:trPr>
        <w:tc>
          <w:tcPr>
            <w:tcW w:w="3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Chief Executive Officer</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80" w:type="dxa"/>
            <w:vAlign w:val="bottom"/>
            <w:gridSpan w:val="3"/>
          </w:tcPr>
          <w:p>
            <w:pPr>
              <w:spacing w:after="0"/>
              <w:rPr>
                <w:sz w:val="20"/>
                <w:szCs w:val="20"/>
                <w:color w:val="auto"/>
              </w:rPr>
            </w:pPr>
            <w:r>
              <w:rPr>
                <w:rFonts w:ascii="Arial" w:cs="Arial" w:eastAsia="Arial" w:hAnsi="Arial"/>
                <w:sz w:val="15"/>
                <w:szCs w:val="15"/>
                <w:color w:val="auto"/>
              </w:rPr>
              <w:t>Brett Hall, Ph.D.</w:t>
            </w:r>
          </w:p>
        </w:tc>
        <w:tc>
          <w:tcPr>
            <w:tcW w:w="50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2020</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84"/>
              </w:rPr>
              <w:t>615,000</w:t>
            </w:r>
          </w:p>
        </w:tc>
        <w:tc>
          <w:tcPr>
            <w:tcW w:w="680" w:type="dxa"/>
            <w:vAlign w:val="bottom"/>
            <w:gridSpan w:val="2"/>
          </w:tcPr>
          <w:p>
            <w:pPr>
              <w:ind w:left="20"/>
              <w:spacing w:after="0"/>
              <w:rPr>
                <w:sz w:val="20"/>
                <w:szCs w:val="20"/>
                <w:color w:val="auto"/>
              </w:rPr>
            </w:pPr>
            <w:r>
              <w:rPr>
                <w:rFonts w:ascii="Arial" w:cs="Arial" w:eastAsia="Arial" w:hAnsi="Arial"/>
                <w:sz w:val="15"/>
                <w:szCs w:val="15"/>
                <w:color w:val="auto"/>
              </w:rPr>
              <w:t>160,000</w:t>
            </w:r>
          </w:p>
        </w:tc>
        <w:tc>
          <w:tcPr>
            <w:tcW w:w="720" w:type="dxa"/>
            <w:vAlign w:val="bottom"/>
          </w:tcPr>
          <w:p>
            <w:pPr>
              <w:jc w:val="right"/>
              <w:ind w:right="95"/>
              <w:spacing w:after="0"/>
              <w:rPr>
                <w:sz w:val="20"/>
                <w:szCs w:val="20"/>
                <w:color w:val="auto"/>
              </w:rPr>
            </w:pPr>
            <w:r>
              <w:rPr>
                <w:rFonts w:ascii="Arial" w:cs="Arial" w:eastAsia="Arial" w:hAnsi="Arial"/>
                <w:sz w:val="15"/>
                <w:szCs w:val="15"/>
                <w:color w:val="auto"/>
              </w:rPr>
              <w:t>200</w:t>
            </w:r>
          </w:p>
        </w:tc>
        <w:tc>
          <w:tcPr>
            <w:tcW w:w="180" w:type="dxa"/>
            <w:vAlign w:val="bottom"/>
          </w:tcPr>
          <w:p>
            <w:pPr>
              <w:spacing w:after="0"/>
              <w:rPr>
                <w:sz w:val="16"/>
                <w:szCs w:val="16"/>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84"/>
              </w:rPr>
              <w:t>775,200</w:t>
            </w:r>
          </w:p>
        </w:tc>
        <w:tc>
          <w:tcPr>
            <w:tcW w:w="0" w:type="dxa"/>
            <w:vAlign w:val="bottom"/>
          </w:tcPr>
          <w:p>
            <w:pPr>
              <w:spacing w:after="0"/>
              <w:rPr>
                <w:sz w:val="1"/>
                <w:szCs w:val="1"/>
                <w:color w:val="auto"/>
              </w:rPr>
            </w:pPr>
          </w:p>
        </w:tc>
      </w:tr>
      <w:tr>
        <w:trPr>
          <w:trHeight w:val="192"/>
        </w:trPr>
        <w:tc>
          <w:tcPr>
            <w:tcW w:w="3280" w:type="dxa"/>
            <w:vAlign w:val="bottom"/>
            <w:gridSpan w:val="3"/>
          </w:tcPr>
          <w:p>
            <w:pPr>
              <w:ind w:left="160"/>
              <w:spacing w:after="0"/>
              <w:rPr>
                <w:sz w:val="20"/>
                <w:szCs w:val="20"/>
                <w:color w:val="auto"/>
              </w:rPr>
            </w:pPr>
            <w:r>
              <w:rPr>
                <w:rFonts w:ascii="Arial" w:cs="Arial" w:eastAsia="Arial" w:hAnsi="Arial"/>
                <w:sz w:val="15"/>
                <w:szCs w:val="15"/>
                <w:color w:val="auto"/>
              </w:rPr>
              <w:t>Chief Scientific Officer</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Scott Barrett, M.D.</w:t>
            </w: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89"/>
              </w:rPr>
              <w:t>2020</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84"/>
              </w:rPr>
              <w:t>504,000</w:t>
            </w:r>
          </w:p>
        </w:tc>
        <w:tc>
          <w:tcPr>
            <w:tcW w:w="6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5"/>
                <w:szCs w:val="15"/>
                <w:color w:val="auto"/>
                <w:w w:val="89"/>
              </w:rPr>
              <w:t>200,000</w:t>
            </w:r>
            <w:r>
              <w:rPr>
                <w:rFonts w:ascii="Arial" w:cs="Arial" w:eastAsia="Arial" w:hAnsi="Arial"/>
                <w:sz w:val="21"/>
                <w:szCs w:val="21"/>
                <w:color w:val="auto"/>
                <w:w w:val="89"/>
                <w:vertAlign w:val="superscript"/>
              </w:rPr>
              <w:t>(2)</w:t>
            </w:r>
          </w:p>
        </w:tc>
        <w:tc>
          <w:tcPr>
            <w:tcW w:w="720" w:type="dxa"/>
            <w:vAlign w:val="bottom"/>
            <w:shd w:val="clear" w:color="auto" w:fill="CCEEFF"/>
          </w:tcPr>
          <w:p>
            <w:pPr>
              <w:jc w:val="right"/>
              <w:spacing w:after="0" w:line="193" w:lineRule="exact"/>
              <w:rPr>
                <w:sz w:val="20"/>
                <w:szCs w:val="20"/>
                <w:color w:val="auto"/>
              </w:rPr>
            </w:pPr>
            <w:r>
              <w:rPr>
                <w:rFonts w:ascii="Arial" w:cs="Arial" w:eastAsia="Arial" w:hAnsi="Arial"/>
                <w:sz w:val="15"/>
                <w:szCs w:val="15"/>
                <w:color w:val="auto"/>
              </w:rPr>
              <w:t>11,400</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84"/>
              </w:rPr>
              <w:t>715,400</w:t>
            </w:r>
          </w:p>
        </w:tc>
        <w:tc>
          <w:tcPr>
            <w:tcW w:w="0" w:type="dxa"/>
            <w:vAlign w:val="bottom"/>
          </w:tcPr>
          <w:p>
            <w:pPr>
              <w:spacing w:after="0"/>
              <w:rPr>
                <w:sz w:val="1"/>
                <w:szCs w:val="1"/>
                <w:color w:val="auto"/>
              </w:rPr>
            </w:pPr>
          </w:p>
        </w:tc>
      </w:tr>
      <w:tr>
        <w:trPr>
          <w:trHeight w:val="197"/>
        </w:trPr>
        <w:tc>
          <w:tcPr>
            <w:tcW w:w="3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Chief Medical Officer</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60" w:right="1179" w:hanging="296"/>
        <w:spacing w:after="0" w:line="247" w:lineRule="auto"/>
        <w:tabs>
          <w:tab w:leader="none" w:pos="14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amounts reported represent discretionary annual bonuses paid in recognition of 2020 performance. Refer to the section titled “2020 Bonuses” below for additional information.</w:t>
      </w:r>
    </w:p>
    <w:p>
      <w:pPr>
        <w:spacing w:after="0" w:line="34" w:lineRule="exact"/>
        <w:rPr>
          <w:rFonts w:ascii="Arial" w:cs="Arial" w:eastAsia="Arial" w:hAnsi="Arial"/>
          <w:sz w:val="12"/>
          <w:szCs w:val="12"/>
          <w:color w:val="auto"/>
        </w:rPr>
      </w:pPr>
    </w:p>
    <w:p>
      <w:pPr>
        <w:jc w:val="both"/>
        <w:ind w:left="1460" w:right="1179" w:hanging="296"/>
        <w:spacing w:after="0" w:line="238" w:lineRule="auto"/>
        <w:tabs>
          <w:tab w:leader="none" w:pos="14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Dr. Barrett’s aggregate bonus award for 2020 consists of (i) a discretionary bonus of $50,000, and (ii) a signing bonus of $180,000, of which $150,000 was paid out in 2020. Dr. Barrett’s signing bonus was paid in $15,000 monthly increments, beginning in November 2019 and ending in October 2020, subject to his continued service with the Company.</w:t>
      </w:r>
    </w:p>
    <w:p>
      <w:pPr>
        <w:spacing w:after="0" w:line="39" w:lineRule="exact"/>
        <w:rPr>
          <w:rFonts w:ascii="Arial" w:cs="Arial" w:eastAsia="Arial" w:hAnsi="Arial"/>
          <w:sz w:val="12"/>
          <w:szCs w:val="12"/>
          <w:color w:val="auto"/>
        </w:rPr>
      </w:pPr>
    </w:p>
    <w:p>
      <w:pPr>
        <w:ind w:left="1460" w:hanging="296"/>
        <w:spacing w:after="0"/>
        <w:tabs>
          <w:tab w:leader="none" w:pos="1460" w:val="left"/>
        </w:tabs>
        <w:numPr>
          <w:ilvl w:val="0"/>
          <w:numId w:val="88"/>
        </w:numPr>
        <w:rPr>
          <w:rFonts w:ascii="Arial" w:cs="Arial" w:eastAsia="Arial" w:hAnsi="Arial"/>
          <w:sz w:val="11"/>
          <w:szCs w:val="11"/>
          <w:color w:val="auto"/>
        </w:rPr>
      </w:pPr>
      <w:r>
        <w:rPr>
          <w:rFonts w:ascii="Arial" w:cs="Arial" w:eastAsia="Arial" w:hAnsi="Arial"/>
          <w:sz w:val="11"/>
          <w:szCs w:val="11"/>
          <w:color w:val="auto"/>
        </w:rPr>
        <w:t>The amount reported includes employer contributions under the Company’s 401(k) plan and a Company paid cell phone.</w:t>
      </w:r>
    </w:p>
    <w:p>
      <w:pPr>
        <w:spacing w:after="0" w:line="71" w:lineRule="exact"/>
        <w:rPr>
          <w:rFonts w:ascii="Arial" w:cs="Arial" w:eastAsia="Arial" w:hAnsi="Arial"/>
          <w:sz w:val="11"/>
          <w:szCs w:val="11"/>
          <w:color w:val="auto"/>
        </w:rPr>
      </w:pPr>
    </w:p>
    <w:p>
      <w:pPr>
        <w:ind w:left="1460" w:hanging="296"/>
        <w:spacing w:after="0"/>
        <w:tabs>
          <w:tab w:leader="none" w:pos="14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amount reported includes employer contributions under the Company’s 401(k) plan.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Narrative to Summary Compensation Table</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Salaries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Effective July 1, 2020, following its annual review, the Board increased Dr. Hall’s base salary from $600,000 to $630,000. Drs. Zeskind and Barrett did not receive increases in their annual base salaries for 2020.</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Bonuses</w:t>
      </w:r>
    </w:p>
    <w:p>
      <w:pPr>
        <w:spacing w:after="0" w:line="113"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For 2020, we offered our named executive officers the opportunity to earn discretionary cash bonuses based on performance. In December 2020, the Board evaluated the Company’s and the named executive officers’ 2020 performance and, in recognition of the Company’s and each named executive officer’s 2020 performance, elected to pay the cash bonuses set forth above in the 2020 Summary Compensation Table.</w:t>
      </w:r>
    </w:p>
    <w:p>
      <w:pPr>
        <w:spacing w:after="0" w:line="89"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Pursuant to the terms of his employment agreement, Dr. Barrett was also entitled to a signing bonus in the amount of $180,000 in connection with the commencement of his employment in November 2019, payable in twelve monthly installments of $15,000 from November 2019 until October 2020, subject to his continued employment.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13"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We have historically granted stock options to our employees, including our named executive officers, under the 2015 Plan as the long-term incentive component of our compensation program. Our stock options generally allow employees to purchase shares of our Class A common stock at a price per share equal to the fair market value of our Class A common stock on the date of grant. During 2020, the Board of Directors modified an outstanding option award of Dr. Hall to convert such option award to an incentive stock option award. There was no incremental fair value associated with this modification under ASC 718. Please see the table titled “Outstanding Equity Awards at 2020 Fiscal Year-End” below for information regarding outstanding stock option awards held by our named executive officers as of December 31, 2020.</w:t>
      </w:r>
    </w:p>
    <w:p>
      <w:pPr>
        <w:spacing w:after="0" w:line="94"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the Company and certain of its affiliates to enable the Company and certain of its affiliates to obtain and retain services of these individuals, which we consider to be essential to our long-term success. Following the effective date of the 2021 Plan, we do not intend to make any further grants under the 2015 Plan. However, the 2015 Plan will continue to govern the terms and conditions of the outstanding awards granted under it. For additional information about the 2021 Plan, please see the section titled “Incentive Compensation Plans” below.</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Other Elements of Compensation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Retirement Plans</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pre-tax basis through contributions to the 401(k) plan. For 2020, we matched contributions made by participants in the 401(k) plan up to four percent of the employees' eligible compensation.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Health and Welfare Plans</w:t>
      </w:r>
    </w:p>
    <w:p>
      <w:pPr>
        <w:spacing w:after="0" w:line="11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All of our full-time employees, including our named executive officers, are eligible to participate in our health and welfare plans on the same terms.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Executive Compensation Arrangements</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Drs. Hall and Barrett are each party to an employment or letter agreement with us that sets forth the terms and conditions of their employment. Our named executive officers have entered agreements with restrictive covenants relating to non-competition and non-solicitation of customers and employees during employment and for one year following a termination of employment. We expect to enter into new employment agreements with the named executive officers that will supersede their existing agreements effective upon the effectiveness of the registration statement relating to this offering. The terms of these new agreements are not yet known.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Outstanding Equity Awards at 2020 Fiscal Year-End</w:t>
      </w:r>
    </w:p>
    <w:p>
      <w:pPr>
        <w:spacing w:after="0" w:line="12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following table summarizes the number of shares of Class A common stock underlying outstanding equity incentive plan awards for each named executive officer as of December 31, 2020.</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tbl>
      <w:tblPr>
        <w:tblLayout w:type="fixed"/>
        <w:tblInd w:w="140" w:type="dxa"/>
        <w:tblCellMar>
          <w:top w:w="0" w:type="dxa"/>
          <w:left w:w="0" w:type="dxa"/>
          <w:bottom w:w="0" w:type="dxa"/>
          <w:right w:w="0" w:type="dxa"/>
        </w:tblCellMar>
      </w:tblPr>
      <w:tr>
        <w:trPr>
          <w:trHeight w:val="139"/>
        </w:trPr>
        <w:tc>
          <w:tcPr>
            <w:tcW w:w="3920" w:type="dxa"/>
            <w:vAlign w:val="bottom"/>
            <w:gridSpan w:val="3"/>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1"/>
        </w:trPr>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4"/>
          </w:tcPr>
          <w:p>
            <w:pPr>
              <w:ind w:left="300"/>
              <w:spacing w:after="0"/>
              <w:rPr>
                <w:sz w:val="20"/>
                <w:szCs w:val="20"/>
                <w:color w:val="auto"/>
              </w:rPr>
            </w:pPr>
            <w:r>
              <w:rPr>
                <w:rFonts w:ascii="Arial" w:cs="Arial" w:eastAsia="Arial" w:hAnsi="Arial"/>
                <w:sz w:val="12"/>
                <w:szCs w:val="12"/>
                <w:b w:val="1"/>
                <w:bCs w:val="1"/>
                <w:color w:val="auto"/>
              </w:rPr>
              <w:t>Option Awards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Number of</w:t>
            </w: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Number of</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Securities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2"/>
              </w:rPr>
              <w:t>Vesting</w:t>
            </w: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9"/>
              </w:rPr>
              <w:t>Underlying</w:t>
            </w:r>
          </w:p>
        </w:tc>
        <w:tc>
          <w:tcPr>
            <w:tcW w:w="6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Option</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81"/>
              </w:rPr>
              <w:t>Unexercised</w:t>
            </w:r>
          </w:p>
        </w:tc>
        <w:tc>
          <w:tcPr>
            <w:tcW w:w="84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4"/>
              </w:rPr>
              <w:t>Unexercised</w:t>
            </w:r>
          </w:p>
        </w:tc>
        <w:tc>
          <w:tcPr>
            <w:tcW w:w="620" w:type="dxa"/>
            <w:vAlign w:val="bottom"/>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80"/>
              </w:rPr>
              <w:t>Exercise</w:t>
            </w:r>
          </w:p>
        </w:tc>
        <w:tc>
          <w:tcPr>
            <w:tcW w:w="6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Option</w:t>
            </w: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Start</w:t>
            </w: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Options (#)</w:t>
            </w:r>
          </w:p>
        </w:tc>
        <w:tc>
          <w:tcPr>
            <w:tcW w:w="84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Options (#)</w:t>
            </w:r>
          </w:p>
        </w:tc>
        <w:tc>
          <w:tcPr>
            <w:tcW w:w="62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1"/>
              </w:rPr>
              <w:t>Price</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8"/>
              </w:rPr>
              <w:t>Expiration</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9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Date</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0"/>
              </w:rPr>
              <w:t>Exercisable</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1"/>
              </w:rPr>
              <w:t>Unexercisable</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20" w:type="dxa"/>
            <w:vAlign w:val="bottom"/>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Benjamin J. Zeskind, Ph.D.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9/20/2019</w:t>
            </w:r>
          </w:p>
        </w:tc>
        <w:tc>
          <w:tcPr>
            <w:tcW w:w="620" w:type="dxa"/>
            <w:vAlign w:val="bottom"/>
            <w:shd w:val="clear" w:color="auto" w:fill="CCEEFF"/>
          </w:tcPr>
          <w:p>
            <w:pPr>
              <w:jc w:val="right"/>
              <w:spacing w:after="0" w:line="204" w:lineRule="exact"/>
              <w:rPr>
                <w:sz w:val="20"/>
                <w:szCs w:val="20"/>
                <w:color w:val="auto"/>
              </w:rPr>
            </w:pPr>
            <w:r>
              <w:rPr>
                <w:rFonts w:ascii="Arial" w:cs="Arial" w:eastAsia="Arial" w:hAnsi="Arial"/>
                <w:sz w:val="15"/>
                <w:szCs w:val="15"/>
                <w:color w:val="auto"/>
                <w:w w:val="84"/>
              </w:rPr>
              <w:t>150,000</w:t>
            </w:r>
            <w:r>
              <w:rPr>
                <w:rFonts w:ascii="Arial" w:cs="Arial" w:eastAsia="Arial" w:hAnsi="Arial"/>
                <w:sz w:val="21"/>
                <w:szCs w:val="21"/>
                <w:color w:val="auto"/>
                <w:w w:val="84"/>
                <w:vertAlign w:val="superscript"/>
              </w:rPr>
              <w:t>(1)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4.21</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12/15/2029</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Brett Hall, Ph.D.</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11/1/2019</w:t>
            </w:r>
          </w:p>
        </w:tc>
        <w:tc>
          <w:tcPr>
            <w:tcW w:w="800" w:type="dxa"/>
            <w:vAlign w:val="bottom"/>
            <w:gridSpan w:val="2"/>
          </w:tcPr>
          <w:p>
            <w:pPr>
              <w:jc w:val="right"/>
              <w:ind w:right="180"/>
              <w:spacing w:after="0" w:line="220" w:lineRule="exact"/>
              <w:rPr>
                <w:sz w:val="20"/>
                <w:szCs w:val="20"/>
                <w:color w:val="auto"/>
              </w:rPr>
            </w:pPr>
            <w:r>
              <w:rPr>
                <w:rFonts w:ascii="Arial" w:cs="Arial" w:eastAsia="Arial" w:hAnsi="Arial"/>
                <w:sz w:val="15"/>
                <w:szCs w:val="15"/>
                <w:color w:val="auto"/>
                <w:w w:val="95"/>
              </w:rPr>
              <w:t>39,000</w:t>
            </w:r>
            <w:r>
              <w:rPr>
                <w:rFonts w:ascii="Arial" w:cs="Arial" w:eastAsia="Arial" w:hAnsi="Arial"/>
                <w:sz w:val="21"/>
                <w:szCs w:val="21"/>
                <w:color w:val="auto"/>
                <w:w w:val="95"/>
                <w:vertAlign w:val="superscript"/>
              </w:rPr>
              <w:t>(2)</w:t>
            </w:r>
          </w:p>
        </w:tc>
        <w:tc>
          <w:tcPr>
            <w:tcW w:w="680" w:type="dxa"/>
            <w:vAlign w:val="bottom"/>
          </w:tcPr>
          <w:p>
            <w:pPr>
              <w:jc w:val="right"/>
              <w:spacing w:after="0" w:line="220" w:lineRule="exact"/>
              <w:rPr>
                <w:sz w:val="20"/>
                <w:szCs w:val="20"/>
                <w:color w:val="auto"/>
              </w:rPr>
            </w:pPr>
            <w:r>
              <w:rPr>
                <w:rFonts w:ascii="Arial" w:cs="Arial" w:eastAsia="Arial" w:hAnsi="Arial"/>
                <w:sz w:val="15"/>
                <w:szCs w:val="15"/>
                <w:color w:val="auto"/>
                <w:w w:val="89"/>
              </w:rPr>
              <w:t>105,000</w:t>
            </w:r>
            <w:r>
              <w:rPr>
                <w:rFonts w:ascii="Arial" w:cs="Arial" w:eastAsia="Arial" w:hAnsi="Arial"/>
                <w:sz w:val="21"/>
                <w:szCs w:val="21"/>
                <w:color w:val="auto"/>
                <w:w w:val="89"/>
                <w:vertAlign w:val="superscript"/>
              </w:rPr>
              <w:t>(2)</w:t>
            </w:r>
          </w:p>
        </w:tc>
        <w:tc>
          <w:tcPr>
            <w:tcW w:w="1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4.21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12/15/2029</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5/5/2018</w:t>
            </w:r>
          </w:p>
        </w:tc>
        <w:tc>
          <w:tcPr>
            <w:tcW w:w="800" w:type="dxa"/>
            <w:vAlign w:val="bottom"/>
            <w:gridSpan w:val="2"/>
            <w:shd w:val="clear" w:color="auto" w:fill="CCEEFF"/>
          </w:tcPr>
          <w:p>
            <w:pPr>
              <w:jc w:val="right"/>
              <w:ind w:right="180"/>
              <w:spacing w:after="0" w:line="220" w:lineRule="exact"/>
              <w:rPr>
                <w:sz w:val="20"/>
                <w:szCs w:val="20"/>
                <w:color w:val="auto"/>
              </w:rPr>
            </w:pPr>
            <w:r>
              <w:rPr>
                <w:rFonts w:ascii="Arial" w:cs="Arial" w:eastAsia="Arial" w:hAnsi="Arial"/>
                <w:sz w:val="15"/>
                <w:szCs w:val="15"/>
                <w:color w:val="auto"/>
                <w:w w:val="95"/>
              </w:rPr>
              <w:t>41,979</w:t>
            </w:r>
            <w:r>
              <w:rPr>
                <w:rFonts w:ascii="Arial" w:cs="Arial" w:eastAsia="Arial" w:hAnsi="Arial"/>
                <w:sz w:val="21"/>
                <w:szCs w:val="21"/>
                <w:color w:val="auto"/>
                <w:w w:val="95"/>
                <w:vertAlign w:val="superscript"/>
              </w:rPr>
              <w:t>(2)</w:t>
            </w:r>
          </w:p>
        </w:tc>
        <w:tc>
          <w:tcPr>
            <w:tcW w:w="680" w:type="dxa"/>
            <w:vAlign w:val="bottom"/>
            <w:shd w:val="clear" w:color="auto" w:fill="CCEEFF"/>
          </w:tcPr>
          <w:p>
            <w:pPr>
              <w:jc w:val="right"/>
              <w:spacing w:after="0" w:line="220" w:lineRule="exact"/>
              <w:rPr>
                <w:sz w:val="20"/>
                <w:szCs w:val="20"/>
                <w:color w:val="auto"/>
              </w:rPr>
            </w:pPr>
            <w:r>
              <w:rPr>
                <w:rFonts w:ascii="Arial" w:cs="Arial" w:eastAsia="Arial" w:hAnsi="Arial"/>
                <w:sz w:val="15"/>
                <w:szCs w:val="15"/>
                <w:color w:val="auto"/>
              </w:rPr>
              <w:t>23,021</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4.21</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2/24/2029</w:t>
            </w:r>
          </w:p>
        </w:tc>
        <w:tc>
          <w:tcPr>
            <w:tcW w:w="0" w:type="dxa"/>
            <w:vAlign w:val="bottom"/>
          </w:tcPr>
          <w:p>
            <w:pPr>
              <w:spacing w:after="0"/>
              <w:rPr>
                <w:sz w:val="1"/>
                <w:szCs w:val="1"/>
                <w:color w:val="auto"/>
              </w:rPr>
            </w:pPr>
          </w:p>
        </w:tc>
      </w:tr>
      <w:tr>
        <w:trPr>
          <w:trHeight w:val="285"/>
        </w:trPr>
        <w:tc>
          <w:tcPr>
            <w:tcW w:w="102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Scott Barrett, M.D.</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11/11/2019</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37,673</w:t>
            </w:r>
            <w:r>
              <w:rPr>
                <w:rFonts w:ascii="Arial" w:cs="Arial" w:eastAsia="Arial" w:hAnsi="Arial"/>
                <w:sz w:val="21"/>
                <w:szCs w:val="21"/>
                <w:color w:val="auto"/>
                <w:w w:val="95"/>
                <w:vertAlign w:val="superscript"/>
              </w:rPr>
              <w:t>(2)</w:t>
            </w:r>
          </w:p>
        </w:tc>
        <w:tc>
          <w:tcPr>
            <w:tcW w:w="680" w:type="dxa"/>
            <w:vAlign w:val="bottom"/>
          </w:tcPr>
          <w:p>
            <w:pPr>
              <w:jc w:val="right"/>
              <w:spacing w:after="0"/>
              <w:rPr>
                <w:sz w:val="20"/>
                <w:szCs w:val="20"/>
                <w:color w:val="auto"/>
              </w:rPr>
            </w:pPr>
            <w:r>
              <w:rPr>
                <w:rFonts w:ascii="Arial" w:cs="Arial" w:eastAsia="Arial" w:hAnsi="Arial"/>
                <w:sz w:val="15"/>
                <w:szCs w:val="15"/>
                <w:color w:val="auto"/>
                <w:w w:val="89"/>
              </w:rPr>
              <w:t>101,427</w:t>
            </w:r>
            <w:r>
              <w:rPr>
                <w:rFonts w:ascii="Arial" w:cs="Arial" w:eastAsia="Arial" w:hAnsi="Arial"/>
                <w:sz w:val="21"/>
                <w:szCs w:val="21"/>
                <w:color w:val="auto"/>
                <w:w w:val="89"/>
                <w:vertAlign w:val="superscript"/>
              </w:rPr>
              <w:t>(2)</w:t>
            </w:r>
          </w:p>
        </w:tc>
        <w:tc>
          <w:tcPr>
            <w:tcW w:w="1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88"/>
              </w:rPr>
              <w:t>4.21</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12/15/2029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-605790</wp:posOffset>
            </wp:positionV>
            <wp:extent cx="11176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-605790</wp:posOffset>
            </wp:positionV>
            <wp:extent cx="11176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-605790</wp:posOffset>
            </wp:positionV>
            <wp:extent cx="11176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-605790</wp:posOffset>
            </wp:positionV>
            <wp:extent cx="11176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-605790</wp:posOffset>
            </wp:positionV>
            <wp:extent cx="5588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63500</wp:posOffset>
            </wp:positionV>
            <wp:extent cx="44640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5" w:lineRule="exact"/>
        <w:rPr>
          <w:sz w:val="20"/>
          <w:szCs w:val="20"/>
          <w:color w:val="auto"/>
        </w:rPr>
      </w:pPr>
    </w:p>
    <w:p>
      <w:pPr>
        <w:jc w:val="both"/>
        <w:ind w:left="1460" w:right="1179" w:hanging="296"/>
        <w:spacing w:after="0" w:line="238" w:lineRule="auto"/>
        <w:tabs>
          <w:tab w:leader="none" w:pos="1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options may be early exercised in full for restricted stock as of the date of the grant. The amounts reported as exercisable or unexercisable represent the number of shares as to which the options are vested or unvested, respectively. 100% of the underlying shares vest on the first anniversary of the vesting start date indicated.</w:t>
      </w:r>
    </w:p>
    <w:p>
      <w:pPr>
        <w:spacing w:after="0" w:line="50" w:lineRule="exact"/>
        <w:rPr>
          <w:rFonts w:ascii="Arial" w:cs="Arial" w:eastAsia="Arial" w:hAnsi="Arial"/>
          <w:sz w:val="12"/>
          <w:szCs w:val="12"/>
          <w:color w:val="auto"/>
        </w:rPr>
      </w:pPr>
    </w:p>
    <w:p>
      <w:pPr>
        <w:jc w:val="both"/>
        <w:ind w:left="1460" w:right="1179" w:hanging="296"/>
        <w:spacing w:after="0" w:line="234" w:lineRule="auto"/>
        <w:tabs>
          <w:tab w:leader="none" w:pos="1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options may be early exercised in full for restricted stock as of the date of grant. The amounts reported as exercisable or unexercisable represent the number of shares as to which the options are vested or unvested, respectively. The options vest as to 25% of the underlying shares on the first anniversary of the vesting start date indicated and in equal monthly installments over the following three years, subject to continued employment through each applicable vesting date. In the event of a change in control of the Company, 50% of the remaining unvested shares subject to the option will become vested and exercisable upon such change in control.</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2020 Director Compensation</w:t>
      </w:r>
    </w:p>
    <w:p>
      <w:pPr>
        <w:spacing w:after="0" w:line="117"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did not pay our directors any compensation for serving on the Board during 2020. We intend to approve and implement a compensation program for our non-employee directors that will become effective on the effectiveness of the registration statement for this offering. The terms of the program have not yet been determined.</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Incentive Compensation Plans</w:t>
      </w:r>
    </w:p>
    <w:p>
      <w:pPr>
        <w:spacing w:after="0" w:line="128"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The following summarizes the expected material terms of 2021 Incentive Award Plan, or the 2021 Plan, and the 2021 Employee Stock Purchase Plan, which will be the long-term incentive compensation plans in which our directors and employees, including the named executive officers, are eligible to participate following the consummation of this offering, and the 2015 Plan, under which we have previously made periodic grants of equity and equity-based awards to our directors and named executive officers.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2021 Incentive Award Plan</w:t>
      </w:r>
    </w:p>
    <w:p>
      <w:pPr>
        <w:spacing w:after="0" w:line="124"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Effective the day prior to the first public trading date of our Class A common stock, we intend to adopt and ask our stockholders to approve the 2021 Plan, under which we may grant cash and equity-based incentive awards to eligible service providers in order to attract, retain and motivate the persons who make important contributions to the Company. The expected material terms of the 2021 Plan are summarized below.</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Eligibility and Administration</w:t>
      </w:r>
    </w:p>
    <w:p>
      <w:pPr>
        <w:spacing w:after="0" w:line="113"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Our employees, consultants and directors, and employees and consultants of our subsidiaries, will be eligible to receive awards under the 2021 Plan. The 2021 Plan will be administered by our board of directors, which may delegate its duties and responsibilities to one or more committees of our directors and/or officers (referred to collectively as the plan administrator below), subject to the limitations imposed under the 2021 Plan, Section 16 of the Exchange Act, stock exchange rules and other applicable laws. The plan administrator will have the authority to take all actions and make all determinations under the 2021 Plan, to interpret the 2021 Plan and award agreements and to adopt, amend and repeal rules for the administration of the 2021 Plan as it deems advisable. The plan administrator will also have the authority to grant awards, determine which eligible service providers receive awards and set the terms and conditions of all awards under the 2021 Plan, including any vesting and vesting acceleration provisions, subject to the conditions and limitations in the 2021 Plan. We expect that the compensation committee will be the initial administrator of the 2021 Plan.</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Shares Available for Awards</w:t>
      </w:r>
    </w:p>
    <w:p>
      <w:pPr>
        <w:spacing w:after="0" w:line="113" w:lineRule="exact"/>
        <w:rPr>
          <w:sz w:val="20"/>
          <w:szCs w:val="20"/>
          <w:color w:val="auto"/>
        </w:rPr>
      </w:pPr>
    </w:p>
    <w:p>
      <w:pPr>
        <w:jc w:val="both"/>
        <w:ind w:left="1160" w:right="1179"/>
        <w:spacing w:after="0" w:line="270" w:lineRule="auto"/>
        <w:rPr>
          <w:sz w:val="20"/>
          <w:szCs w:val="20"/>
          <w:color w:val="auto"/>
        </w:rPr>
      </w:pPr>
      <w:r>
        <w:rPr>
          <w:rFonts w:ascii="Arial" w:cs="Arial" w:eastAsia="Arial" w:hAnsi="Arial"/>
          <w:sz w:val="14"/>
          <w:szCs w:val="14"/>
          <w:color w:val="auto"/>
        </w:rPr>
        <w:t>An aggregate of shares of our Class A common stock will initially be available for issuance under the 2021 Plan. The number of shares initially available for issuance will be increased annually on January 1</w:t>
      </w:r>
    </w:p>
    <w:p>
      <w:pPr>
        <w:jc w:val="both"/>
        <w:ind w:left="1160" w:right="1179"/>
        <w:spacing w:after="0" w:line="262" w:lineRule="auto"/>
        <w:rPr>
          <w:sz w:val="20"/>
          <w:szCs w:val="20"/>
          <w:color w:val="auto"/>
        </w:rPr>
      </w:pPr>
      <w:r>
        <w:rPr>
          <w:rFonts w:ascii="Arial" w:cs="Arial" w:eastAsia="Arial" w:hAnsi="Arial"/>
          <w:sz w:val="14"/>
          <w:szCs w:val="14"/>
          <w:color w:val="auto"/>
        </w:rPr>
        <w:t>of each calendar year beginning in 2022 and ending in and including 2031, equal to the lesser of (A) % of the shares of Class A common stock outstanding on the final day of the immediately preceding calendar</w:t>
      </w:r>
    </w:p>
    <w:p>
      <w:pPr>
        <w:jc w:val="both"/>
        <w:ind w:left="1160" w:right="1179"/>
        <w:spacing w:after="0" w:line="246" w:lineRule="auto"/>
        <w:rPr>
          <w:sz w:val="20"/>
          <w:szCs w:val="20"/>
          <w:color w:val="auto"/>
        </w:rPr>
      </w:pPr>
      <w:r>
        <w:rPr>
          <w:rFonts w:ascii="Arial" w:cs="Arial" w:eastAsia="Arial" w:hAnsi="Arial"/>
          <w:sz w:val="15"/>
          <w:szCs w:val="15"/>
          <w:color w:val="auto"/>
        </w:rPr>
        <w:t>year and (B) a smaller number of shares determined by our board of directors. No more than shares of Class A common stock may be issued under the 2021 Plan upon the exercise of incentive stock options. Shares issued under the 2021 Plan may be authorized but unissued shares, shares purchased on the open market or treasury shares.</w:t>
      </w:r>
    </w:p>
    <w:p>
      <w:pPr>
        <w:spacing w:after="0" w:line="106"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If an award under the 2021 Plan or the 2015 Plan, expires, lapses or is terminated, exchanged for cash, surrendered, repurchased, canceled without having been fully exercised or forfeited, any unused shares subject to the award will, as applicable, become or again be available for new grants under the 2021 Plan. In addition, any shares delivered to the Company by a participant to satisfy the applicable exercise or purchase price of an award granted under the 2021 Plan or the 2015 Plan or to satisfy any applicable tax withholding obligation of an award granted under the 2021 Plan or the 2015 Plan will, as applicable, become or again be available for award grants under the 2021 Plan. Awards granted under the 2021 Plan in substitution for any options or other stock or stock-based awards granted by an entity before the entity’s merger or consolidation with us or our acquisition of the entity’s property or stock will not reduce the shares available for grant under the 2021 Plan, but may count against the maximum number of shares that may be issued upon the exercise of incentive stock options, or ISOs.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Awards</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2021 Plan provides for the grant of stock options, including ISOs, and nonqualified stock options, or NSOs, stock appreciation rights, or SARs, restricted stock, dividend equivalents, restricted stock units, or RSUs, and other stock or cash-based awards. Certain awards under the 2021 Plan may constitute or provide for payment of “nonqualified deferred compensation” under Section 409A of the Code. All awards under the 2021 Plan will be set forth in award agreements, which will detail the terms and conditions of awards, including any applicable vesting and payment terms and post-termination exercise limitations. A brief description of each award type follows.</w:t>
      </w:r>
    </w:p>
    <w:p>
      <w:pPr>
        <w:spacing w:after="0" w:line="76" w:lineRule="exact"/>
        <w:rPr>
          <w:sz w:val="20"/>
          <w:szCs w:val="20"/>
          <w:color w:val="auto"/>
        </w:rPr>
      </w:pPr>
    </w:p>
    <w:p>
      <w:pPr>
        <w:jc w:val="both"/>
        <w:ind w:left="1600" w:right="1179" w:hanging="143"/>
        <w:spacing w:after="0" w:line="265" w:lineRule="auto"/>
        <w:tabs>
          <w:tab w:leader="none" w:pos="16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Stock Options and SARs. Stock options provide for the purchase of shares of our Class A common stock in the future at an exercise price set 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62" w:lineRule="exact"/>
        <w:rPr>
          <w:rFonts w:ascii="Arial" w:cs="Arial" w:eastAsia="Arial" w:hAnsi="Arial"/>
          <w:sz w:val="14"/>
          <w:szCs w:val="14"/>
          <w:color w:val="auto"/>
        </w:rPr>
      </w:pPr>
    </w:p>
    <w:p>
      <w:pPr>
        <w:jc w:val="both"/>
        <w:ind w:left="1600" w:right="1179" w:hanging="143"/>
        <w:spacing w:after="0" w:line="266" w:lineRule="auto"/>
        <w:tabs>
          <w:tab w:leader="none" w:pos="16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Restricted Stock and RSUs. Restricted stock is an award of nontransferable shares of our Class A common stock that remain forfeitable unless and until specified conditions are met and which may be subject to a purchase price. RSUs are contractual promises to deliver shares of our Class A common stock in the future, which may also remain forfeitable unless and until specified conditions are met and may be accompanied by the right to receive the equivalent value of dividends paid on shares of our Class A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2021 Plan.</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0" w:right="1179" w:hanging="143"/>
        <w:spacing w:after="0" w:line="267" w:lineRule="auto"/>
        <w:tabs>
          <w:tab w:leader="none" w:pos="1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Other Stock or Cash-Based Awards. Other stock or cash-based awards are awards of cash, fully vested shares of our Class A common stock and other awards valued wholly or partially by referring to, or otherwise based on, shares of our Class A common stock or other property. Other stock or cash-based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cash-based awards, which may include any purchase price, performance goal, transfer restrictions and vesting conditions.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Performance Criteria</w:t>
      </w:r>
    </w:p>
    <w:p>
      <w:pPr>
        <w:spacing w:after="0" w:line="1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The plan administrator may select performance criteria for an award to establish performance goals for a performance period. Performance criteria under the 2021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Transactions</w:t>
      </w:r>
    </w:p>
    <w:p>
      <w:pPr>
        <w:spacing w:after="0" w:line="12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In connection with certain corporate transactions and events affecting our Class A common stock, including a change in control, or change in any applicable laws or accounting principles, the plan administrator has broad discretion to take action under the 2021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the plan administrator will make equitable adjustments to awards outstanding under the 2021 Plan as it deems appropriate to reflect the transaction.</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Provisions of the 2021 Plan Relating to Director Compensation</w:t>
      </w:r>
    </w:p>
    <w:p>
      <w:pPr>
        <w:spacing w:after="0" w:line="124"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The 2021 Plan provides that the plan administrator may establish compensation for non-employee directors from time to time subject to the 2021 Plan’s limitations. Prior to commencing this offering, we intend to</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85" w:lineRule="auto"/>
        <w:rPr>
          <w:sz w:val="20"/>
          <w:szCs w:val="20"/>
          <w:color w:val="auto"/>
        </w:rPr>
      </w:pPr>
      <w:r>
        <w:rPr>
          <w:rFonts w:ascii="Arial" w:cs="Arial" w:eastAsia="Arial" w:hAnsi="Arial"/>
          <w:sz w:val="13"/>
          <w:szCs w:val="13"/>
          <w:color w:val="auto"/>
        </w:rPr>
        <w:t>approve and implement a compensation program for our non-employee directors. Our board of directors or its authorized committee may modify the non-employee director compensation program from time to time in the exercise of its business judgment, taking into account such factors, circumstances and considerations as it deems relevant from time to time, provided that the sum of any cash compensation or other compensation and the grant date fair value of any equity awards granted under the 2021 Plan as compensation for services</w:t>
      </w:r>
    </w:p>
    <w:p>
      <w:pPr>
        <w:spacing w:after="0" w:line="2" w:lineRule="exact"/>
        <w:rPr>
          <w:sz w:val="20"/>
          <w:szCs w:val="20"/>
          <w:color w:val="auto"/>
        </w:rPr>
      </w:pPr>
    </w:p>
    <w:p>
      <w:pPr>
        <w:ind w:left="1160"/>
        <w:spacing w:after="0"/>
        <w:tabs>
          <w:tab w:leader="none" w:pos="5960" w:val="left"/>
        </w:tabs>
        <w:rPr>
          <w:sz w:val="20"/>
          <w:szCs w:val="20"/>
          <w:color w:val="auto"/>
        </w:rPr>
      </w:pPr>
      <w:r>
        <w:rPr>
          <w:rFonts w:ascii="Arial" w:cs="Arial" w:eastAsia="Arial" w:hAnsi="Arial"/>
          <w:sz w:val="15"/>
          <w:szCs w:val="15"/>
          <w:color w:val="auto"/>
        </w:rPr>
        <w:t>as a non-employee director during any fiscal year may not exceed $</w:t>
      </w:r>
      <w:r>
        <w:rPr>
          <w:sz w:val="20"/>
          <w:szCs w:val="20"/>
          <w:color w:val="auto"/>
        </w:rPr>
        <w:tab/>
      </w:r>
      <w:r>
        <w:rPr>
          <w:rFonts w:ascii="Arial" w:cs="Arial" w:eastAsia="Arial" w:hAnsi="Arial"/>
          <w:sz w:val="15"/>
          <w:szCs w:val="15"/>
          <w:color w:val="auto"/>
        </w:rPr>
        <w:t>in the fiscal year of the non-</w:t>
      </w:r>
    </w:p>
    <w:p>
      <w:pPr>
        <w:spacing w:after="0" w:line="3"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employee director’s initial service and $ in any other fiscal year. The plan administrator may make exceptions to this limit for individual non-employee directors in extraordinary circumstances, as the plan administrator may determine in its discretion, subject to the limitations in the 2021 Plan.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Plan Amendment and Termination</w:t>
      </w:r>
    </w:p>
    <w:p>
      <w:pPr>
        <w:spacing w:after="0" w:line="113"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Our board of directors may amend or terminate the 2021 Plan at any time; however, no amendment, other than an amendment that increases the number of shares available under the 2021 Plan, may materially and adversely affect an award outstanding under the 2021 Plan without the consent of the affected participant and stockholder approval will be obtained for any amendment to the extent necessary to comply with applicable laws or the rules of the applicable stock exchange on which the common stock is then traded. Further, the plan administrator may, without the approval of our stockholders, amend any outstanding stock option or SAR to reduce its price per share, including in the context of corporate transactions or equity restructurings, as described above. The 2021 Plan will remain in effect until the tenth anniversary of its effective date, unless earlier terminated by our board of directors. No awards may be granted under the 2021 Plan after its termination.</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Foreign Participants, Claw-Back Provisions, Transferability and Participant Payments</w:t>
      </w:r>
    </w:p>
    <w:p>
      <w:pPr>
        <w:spacing w:after="0" w:line="12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Class A common stock that meet specified conditions, a promissory note, a “market sell order,” such other consideration as the plan administrator deems suitable or any combination of the foregoing.</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2021 Employee Stock Purchase Plan</w:t>
      </w:r>
    </w:p>
    <w:p>
      <w:pPr>
        <w:spacing w:after="0" w:line="124"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Effective the day prior to the first public trading date of our Class A common stock, we intend to adopt and ask our stockholders to approve the 2021 Employee Stock Purchase Plan, or the 2021 ESPP, the expected material terms of which are summarized below.</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Shares Available for Awards; Administration</w:t>
      </w:r>
    </w:p>
    <w:p>
      <w:pPr>
        <w:spacing w:after="0" w:line="113"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A total of shares of our Class A common stock will initially be reserved for issuance under the 2021 ESPP. In addition, the number of shares available for issuance under the 2021 ESPP will be annually increased on January 1 of each calendar year beginning in 2022 and ending in and including 2031, by an</w:t>
      </w:r>
    </w:p>
    <w:p>
      <w:pPr>
        <w:spacing w:after="0" w:line="1" w:lineRule="exact"/>
        <w:rPr>
          <w:sz w:val="20"/>
          <w:szCs w:val="20"/>
          <w:color w:val="auto"/>
        </w:rPr>
      </w:pPr>
    </w:p>
    <w:p>
      <w:pPr>
        <w:jc w:val="both"/>
        <w:ind w:left="1160" w:right="1179"/>
        <w:spacing w:after="0" w:line="262" w:lineRule="auto"/>
        <w:rPr>
          <w:sz w:val="20"/>
          <w:szCs w:val="20"/>
          <w:color w:val="auto"/>
        </w:rPr>
      </w:pPr>
      <w:r>
        <w:rPr>
          <w:rFonts w:ascii="Arial" w:cs="Arial" w:eastAsia="Arial" w:hAnsi="Arial"/>
          <w:sz w:val="14"/>
          <w:szCs w:val="14"/>
          <w:color w:val="auto"/>
        </w:rPr>
        <w:t>amount equal to the lesser of (A) % of the shares outstanding on the final day of the immediately preceding calendar year and (B) such smaller number of shares as is determined by our board of directors,</w:t>
      </w:r>
    </w:p>
    <w:p>
      <w:pPr>
        <w:jc w:val="both"/>
        <w:ind w:left="1160" w:right="1179"/>
        <w:spacing w:after="0" w:line="246" w:lineRule="auto"/>
        <w:rPr>
          <w:sz w:val="20"/>
          <w:szCs w:val="20"/>
          <w:color w:val="auto"/>
        </w:rPr>
      </w:pPr>
      <w:r>
        <w:rPr>
          <w:rFonts w:ascii="Arial" w:cs="Arial" w:eastAsia="Arial" w:hAnsi="Arial"/>
          <w:sz w:val="15"/>
          <w:szCs w:val="15"/>
          <w:color w:val="auto"/>
        </w:rPr>
        <w:t>provided that no more than shares of our Class A common stock may be issued under the 2021 ESPP. Our board of directors or a committee of our board of directors will administer and will have authority to interpret the terms of the 2021 ESPP and determine eligibility of participants. We expect that the compensation committee will be the initial administrator of the 2021 ESPP.</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Eligibility</w:t>
      </w:r>
    </w:p>
    <w:p>
      <w:pPr>
        <w:spacing w:after="0" w:line="11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All of our employees will be eligible to participate in the 2021 ESPP. However, an employee may not be granted rights to purchase stock under our 2021 ESPP if the employee, immediately after the grant, would own (directly or through attribution) stock possessing 5% or more of the total combined voting power or value of all classes of our stock.</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Grant of Rights</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2021 ESPP is intended to qualify under Section 423 of the Code and stock will be offered under the 2021 ESPP during offering periods. The length of the offering periods under the 2021 ESPP will be 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2021 ESPP will commence when determined by the plan administrator. The plan administrator may, in its discretion, modify the terms of future offering periods.</w:t>
      </w:r>
    </w:p>
    <w:p>
      <w:pPr>
        <w:spacing w:after="0" w:line="109"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The 2021 ESPP permits participants to purchase Class A common stock through payroll deductions of up to a specified percentage of their eligible compensation. The plan administrator will establish a maximum number of shares that may be purchased by a participant during any offering period. In addition, no employee will be permitted to accrue the right to purchase stock under the 2021 ESPP at a rate in excess of $25,000 worth of shares during any calendar year during which such a purchase right is outstanding (based on the fair market value per share of our Class A common stock as of the first day of the offering period).</w:t>
      </w:r>
    </w:p>
    <w:p>
      <w:pPr>
        <w:spacing w:after="0" w:line="82"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On the first trading day of each offering period, each participant will automatically be granted an option to purchase shares of our Class A common stock.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Class A common stock on the first trading day of the offering period or on the purchase date. Participants may voluntarily end their participation in the 2021 ESPP at any time during a specified period prior to the end of the applicable offering period, and will be paid their accrued payroll deductions that have not yet been used to purchase shares of Class A common stock. Participation ends automatically upon a participant’s termination of employment.</w:t>
      </w:r>
    </w:p>
    <w:p>
      <w:pPr>
        <w:spacing w:after="0" w:line="9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A participant may not transfer rights granted under the 2021 ESPP other than by will or the laws of descent and distribution, and such rights are exercisable only by the participant.</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Transactions</w:t>
      </w:r>
    </w:p>
    <w:p>
      <w:pPr>
        <w:spacing w:after="0" w:line="124"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In the event of certain non-reciprocal transactions or events affecting our Class A common stock, the plan administrator will make equitable adjustments to the 2021 ESPP and outstanding rights. In the event of certain unusual or non-recurring events or transactions, including a change in control, the plan administrator may provide for (1)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Plan Amendment</w:t>
      </w:r>
    </w:p>
    <w:p>
      <w:pPr>
        <w:spacing w:after="0" w:line="113"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plan administrator may amend, suspend or terminate the 2021 ESPP at any time. However, stockholder approval will be obtained for any amendment that increases the aggregate number or changes the type of shares that may be sold pursuant to rights under the 2021 ESPP, changes the corporations or classes of corporations whose employees are eligible to participate in the 2021 ESPP or changes the 2021 ESPP in any manner that would cause the 2021 ESPP to no longer be an employee stock purchase plan within the meaning of Section 423(b) of the Code.</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2015 Long Term Incentive Plan</w:t>
      </w:r>
    </w:p>
    <w:p>
      <w:pPr>
        <w:spacing w:after="0" w:line="113"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Our board of directors and stockholders have approved the 2015 Plan, under which we may grant stock options and restricted stock to employees, directors and consultants of the Company or its subsidiaries. We have reserved a total of 819,768 shares of our Class A common stock for issuance under the 2015 Plan.</w:t>
      </w:r>
    </w:p>
    <w:p>
      <w:pPr>
        <w:spacing w:after="0" w:line="83"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Following the effectiveness of the 2021 Plan, we will not make any further grants under the 2015 Plan. However, the 2015 Plan will continue to govern the terms and conditions of the outstanding awards granted under it. Shares of our Class A common stock subject to awards granted under the 2015 Plan that are forfeited, lapse unexercised or are settled in cash and which following the effective date of the 2021 Plan</w:t>
      </w:r>
    </w:p>
    <w:p>
      <w:pPr>
        <w:ind w:left="1160" w:right="1179"/>
        <w:spacing w:after="0" w:line="246" w:lineRule="auto"/>
        <w:rPr>
          <w:sz w:val="20"/>
          <w:szCs w:val="20"/>
          <w:color w:val="auto"/>
        </w:rPr>
      </w:pPr>
      <w:r>
        <w:rPr>
          <w:rFonts w:ascii="Arial" w:cs="Arial" w:eastAsia="Arial" w:hAnsi="Arial"/>
          <w:sz w:val="15"/>
          <w:szCs w:val="15"/>
          <w:color w:val="auto"/>
        </w:rPr>
        <w:t>are not issued under the 2015 Plan will be available for issuance under the 2021 Plan. As of , a total of shares of our Class A common stock were subject to outstanding stock options issued under the 2015 Plan and no other awards were outstanding under the 2015 Plan.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Administration</w:t>
      </w:r>
    </w:p>
    <w:p>
      <w:pPr>
        <w:spacing w:after="0" w:line="12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Our board of directors or a committee thereof is authorized to administer the 2015 Plan. Subject to the express terms and conditions of the 2015 Plan, the plan administrator has the authority to make all determinations and interpretations under the plan, establish, amend, suspend or waive rules and regulations used to administer the 2015 Plan and make any other determination and take any other action that the administrator deems necessary or desirable to administer the 2015 Plan.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Transactions</w:t>
      </w:r>
    </w:p>
    <w:p>
      <w:pPr>
        <w:spacing w:after="0" w:line="1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plan administrator has broad discretion to adjust the provisions of the 2015 Plan and the terms and conditions of existing and future awards, in the event of a change in control or certain transactions and events affecting our Class A common stock, such as a reorganization, merger, consolidation, combination, exchange, recapitalization, or other relevant change in capitalization of the Company. Specifically, in the event of the transactions mentioned above, the administrator may remove applicable forfeiture restrictions on any award, accelerate the time of exercisability, provide for a cash payment in consideration for the cancellation of awards, cancel awards that are unexercisable or remain subject to a restricted period on the date of a change in control, or make such adjustment to awards then outstanding as the administrator deems appropriate.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and Termination</w:t>
      </w:r>
    </w:p>
    <w:p>
      <w:pPr>
        <w:spacing w:after="0" w:line="124"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Our board of directors may amend the 2015 Plan at any time and from time to time; provided that no amendment may materially and adversely affect the rights of any participant without the consent of the affected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17"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The following includes a summary of transactions since January 1, 2018 to which we have been a party in which the amount involved exceeded or will exceed $120,000, and in which any of our directors, executive officers or, to our knowledge, beneficial owners of more than 5% of our capital stock, or 5% security holders,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Related Party Agreements in Effect Prior to this Offering</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Series A Convertible Preferred Stock</w:t>
      </w:r>
    </w:p>
    <w:p>
      <w:pPr>
        <w:spacing w:after="0" w:line="12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From September 2019 to January 2020, we issued and sold to investors in a private placement an aggregate of 1,710,227 shares of Series A Preferred Stock at a purchase price of $8.5514 per share, for aggregate consideration of approximately $14.6 million. In conjunction with the issuance of Series A Preferred Stock in September 2019, we issued 785,706 shares of Series A Preferred Stock as settlement for $5.3 million of convertible notes and $0.1 million of accrued interest.</w:t>
      </w:r>
    </w:p>
    <w:p>
      <w:pPr>
        <w:spacing w:after="0" w:line="105"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following table sets forth the aggregate number of Series A Preferred Stock acquired by certain beneficial owners of more than 5% of our capital stock, executive officers and entities affiliated with certain of our directors in the financing transactions described above.</w:t>
      </w:r>
    </w:p>
    <w:p>
      <w:pPr>
        <w:spacing w:after="0" w:line="11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Participants</w:t>
            </w:r>
            <w:r>
              <w:rPr>
                <w:rFonts w:ascii="Arial" w:cs="Arial" w:eastAsia="Arial" w:hAnsi="Arial"/>
                <w:sz w:val="17"/>
                <w:szCs w:val="17"/>
                <w:b w:val="1"/>
                <w:bCs w:val="1"/>
                <w:color w:val="auto"/>
                <w:vertAlign w:val="superscript"/>
              </w:rPr>
              <w:t>(1)</w:t>
            </w: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Series A Preferred</w:t>
            </w:r>
          </w:p>
        </w:tc>
        <w:tc>
          <w:tcPr>
            <w:tcW w:w="128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Aggregate Purchase Price</w:t>
            </w:r>
          </w:p>
        </w:tc>
        <w:tc>
          <w:tcPr>
            <w:tcW w:w="0" w:type="dxa"/>
            <w:vAlign w:val="bottom"/>
          </w:tcPr>
          <w:p>
            <w:pPr>
              <w:spacing w:after="0"/>
              <w:rPr>
                <w:sz w:val="1"/>
                <w:szCs w:val="1"/>
                <w:color w:val="auto"/>
              </w:rPr>
            </w:pPr>
          </w:p>
        </w:tc>
      </w:tr>
      <w:tr>
        <w:trPr>
          <w:trHeight w:val="149"/>
        </w:trPr>
        <w:tc>
          <w:tcPr>
            <w:tcW w:w="430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1280" w:type="dxa"/>
            <w:vAlign w:val="bottom"/>
            <w:gridSpan w:val="2"/>
          </w:tcPr>
          <w:p>
            <w:pPr>
              <w:jc w:val="right"/>
              <w:ind w:right="227"/>
              <w:spacing w:after="0"/>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Merrin Investors LLC</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409,289</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9"/>
              </w:rPr>
              <w:t>3,500</w:t>
            </w:r>
          </w:p>
        </w:tc>
        <w:tc>
          <w:tcPr>
            <w:tcW w:w="0" w:type="dxa"/>
            <w:vAlign w:val="bottom"/>
          </w:tcPr>
          <w:p>
            <w:pPr>
              <w:spacing w:after="0"/>
              <w:rPr>
                <w:sz w:val="1"/>
                <w:szCs w:val="1"/>
                <w:color w:val="auto"/>
              </w:rPr>
            </w:pPr>
          </w:p>
        </w:tc>
      </w:tr>
      <w:tr>
        <w:trPr>
          <w:trHeight w:val="209"/>
        </w:trPr>
        <w:tc>
          <w:tcPr>
            <w:tcW w:w="4300" w:type="dxa"/>
            <w:vAlign w:val="bottom"/>
            <w:gridSpan w:val="2"/>
          </w:tcPr>
          <w:p>
            <w:pPr>
              <w:spacing w:after="0"/>
              <w:rPr>
                <w:sz w:val="20"/>
                <w:szCs w:val="20"/>
                <w:color w:val="auto"/>
              </w:rPr>
            </w:pPr>
            <w:r>
              <w:rPr>
                <w:rFonts w:ascii="Arial" w:cs="Arial" w:eastAsia="Arial" w:hAnsi="Arial"/>
                <w:sz w:val="15"/>
                <w:szCs w:val="15"/>
                <w:color w:val="auto"/>
              </w:rPr>
              <w:t>Robert J. Carpenter</w:t>
            </w:r>
          </w:p>
        </w:tc>
        <w:tc>
          <w:tcPr>
            <w:tcW w:w="920" w:type="dxa"/>
            <w:vAlign w:val="bottom"/>
          </w:tcPr>
          <w:p>
            <w:pPr>
              <w:jc w:val="right"/>
              <w:ind w:right="150"/>
              <w:spacing w:after="0"/>
              <w:rPr>
                <w:sz w:val="20"/>
                <w:szCs w:val="20"/>
                <w:color w:val="auto"/>
              </w:rPr>
            </w:pPr>
            <w:r>
              <w:rPr>
                <w:rFonts w:ascii="Arial" w:cs="Arial" w:eastAsia="Arial" w:hAnsi="Arial"/>
                <w:sz w:val="15"/>
                <w:szCs w:val="15"/>
                <w:color w:val="auto"/>
              </w:rPr>
              <w:t>67,561</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67"/>
              <w:spacing w:after="0"/>
              <w:rPr>
                <w:sz w:val="20"/>
                <w:szCs w:val="20"/>
                <w:color w:val="auto"/>
              </w:rPr>
            </w:pPr>
            <w:r>
              <w:rPr>
                <w:rFonts w:ascii="Arial" w:cs="Arial" w:eastAsia="Arial" w:hAnsi="Arial"/>
                <w:sz w:val="15"/>
                <w:szCs w:val="15"/>
                <w:color w:val="auto"/>
              </w:rPr>
              <w:t>512</w:t>
            </w:r>
          </w:p>
        </w:tc>
        <w:tc>
          <w:tcPr>
            <w:tcW w:w="0" w:type="dxa"/>
            <w:vAlign w:val="bottom"/>
          </w:tcPr>
          <w:p>
            <w:pPr>
              <w:spacing w:after="0"/>
              <w:rPr>
                <w:sz w:val="1"/>
                <w:szCs w:val="1"/>
                <w:color w:val="auto"/>
              </w:rPr>
            </w:pPr>
          </w:p>
        </w:tc>
      </w:tr>
      <w:tr>
        <w:trPr>
          <w:trHeight w:val="209"/>
        </w:trPr>
        <w:tc>
          <w:tcPr>
            <w:tcW w:w="4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Benjamin J. Zeskind, Ph.D.</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29,234</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09"/>
        </w:trPr>
        <w:tc>
          <w:tcPr>
            <w:tcW w:w="4300" w:type="dxa"/>
            <w:vAlign w:val="bottom"/>
            <w:gridSpan w:val="2"/>
          </w:tcPr>
          <w:p>
            <w:pPr>
              <w:spacing w:after="0"/>
              <w:rPr>
                <w:sz w:val="20"/>
                <w:szCs w:val="20"/>
                <w:color w:val="auto"/>
              </w:rPr>
            </w:pPr>
            <w:r>
              <w:rPr>
                <w:rFonts w:ascii="Arial" w:cs="Arial" w:eastAsia="Arial" w:hAnsi="Arial"/>
                <w:sz w:val="15"/>
                <w:szCs w:val="15"/>
                <w:color w:val="auto"/>
              </w:rPr>
              <w:t>Brett Hall, Ph.D.</w:t>
            </w:r>
          </w:p>
        </w:tc>
        <w:tc>
          <w:tcPr>
            <w:tcW w:w="920" w:type="dxa"/>
            <w:vAlign w:val="bottom"/>
          </w:tcPr>
          <w:p>
            <w:pPr>
              <w:jc w:val="right"/>
              <w:ind w:right="150"/>
              <w:spacing w:after="0"/>
              <w:rPr>
                <w:sz w:val="20"/>
                <w:szCs w:val="20"/>
                <w:color w:val="auto"/>
              </w:rPr>
            </w:pPr>
            <w:r>
              <w:rPr>
                <w:rFonts w:ascii="Arial" w:cs="Arial" w:eastAsia="Arial" w:hAnsi="Arial"/>
                <w:sz w:val="15"/>
                <w:szCs w:val="15"/>
                <w:color w:val="auto"/>
              </w:rPr>
              <w:t>1,169</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67"/>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9"/>
        </w:trPr>
        <w:tc>
          <w:tcPr>
            <w:tcW w:w="4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Scott Barrett, M.D.</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2,338</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89"/>
        </w:trPr>
        <w:tc>
          <w:tcPr>
            <w:tcW w:w="4300" w:type="dxa"/>
            <w:vAlign w:val="bottom"/>
            <w:gridSpan w:val="2"/>
          </w:tcPr>
          <w:p>
            <w:pPr>
              <w:spacing w:after="0"/>
              <w:rPr>
                <w:sz w:val="20"/>
                <w:szCs w:val="20"/>
                <w:color w:val="auto"/>
              </w:rPr>
            </w:pPr>
            <w:r>
              <w:rPr>
                <w:rFonts w:ascii="Arial" w:cs="Arial" w:eastAsia="Arial" w:hAnsi="Arial"/>
                <w:sz w:val="15"/>
                <w:szCs w:val="15"/>
                <w:color w:val="auto"/>
              </w:rPr>
              <w:t>Entities affiliated with Peter Feinberg</w:t>
            </w:r>
            <w:r>
              <w:rPr>
                <w:rFonts w:ascii="Arial" w:cs="Arial" w:eastAsia="Arial" w:hAnsi="Arial"/>
                <w:sz w:val="21"/>
                <w:szCs w:val="21"/>
                <w:color w:val="auto"/>
                <w:vertAlign w:val="superscript"/>
              </w:rPr>
              <w:t>(2)</w:t>
            </w:r>
          </w:p>
        </w:tc>
        <w:tc>
          <w:tcPr>
            <w:tcW w:w="920" w:type="dxa"/>
            <w:vAlign w:val="bottom"/>
          </w:tcPr>
          <w:p>
            <w:pPr>
              <w:jc w:val="right"/>
              <w:ind w:right="150"/>
              <w:spacing w:after="0"/>
              <w:rPr>
                <w:sz w:val="20"/>
                <w:szCs w:val="20"/>
                <w:color w:val="auto"/>
              </w:rPr>
            </w:pPr>
            <w:r>
              <w:rPr>
                <w:rFonts w:ascii="Arial" w:cs="Arial" w:eastAsia="Arial" w:hAnsi="Arial"/>
                <w:sz w:val="15"/>
                <w:szCs w:val="15"/>
                <w:color w:val="auto"/>
              </w:rPr>
              <w:t>213,215</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67"/>
              <w:spacing w:after="0"/>
              <w:rPr>
                <w:sz w:val="20"/>
                <w:szCs w:val="20"/>
                <w:color w:val="auto"/>
              </w:rPr>
            </w:pPr>
            <w:r>
              <w:rPr>
                <w:rFonts w:ascii="Arial" w:cs="Arial" w:eastAsia="Arial" w:hAnsi="Arial"/>
                <w:sz w:val="15"/>
                <w:szCs w:val="15"/>
                <w:color w:val="auto"/>
                <w:w w:val="79"/>
              </w:rPr>
              <w:t>1,509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74930</wp:posOffset>
            </wp:positionV>
            <wp:extent cx="44640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14" w:lineRule="exact"/>
        <w:rPr>
          <w:sz w:val="20"/>
          <w:szCs w:val="20"/>
          <w:color w:val="auto"/>
        </w:rPr>
      </w:pPr>
    </w:p>
    <w:p>
      <w:pPr>
        <w:ind w:left="1460" w:right="1179" w:hanging="296"/>
        <w:spacing w:after="0" w:line="247" w:lineRule="auto"/>
        <w:tabs>
          <w:tab w:leader="none" w:pos="14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56" w:lineRule="exact"/>
        <w:rPr>
          <w:rFonts w:ascii="Arial" w:cs="Arial" w:eastAsia="Arial" w:hAnsi="Arial"/>
          <w:sz w:val="12"/>
          <w:szCs w:val="12"/>
          <w:color w:val="auto"/>
        </w:rPr>
      </w:pPr>
    </w:p>
    <w:p>
      <w:pPr>
        <w:jc w:val="both"/>
        <w:ind w:left="1460" w:right="1179" w:hanging="296"/>
        <w:spacing w:after="0" w:line="236" w:lineRule="auto"/>
        <w:tabs>
          <w:tab w:leader="none" w:pos="14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Consists of 66,078 shares of Series A Preferred Stock purchased by PEF LLC, 36,759 shares of Series A Preferred Stock purchased by Feinberg Investment Trust LLC, 73,519 shares of Series A Preferred Stock purchased by PF Associates L.P., 36,759 shares of Series A Preferred Stock purchased by S4K Investments LLC and 100 shares of Series A Preferred Stock purchased by Boxcar PMJ, LLC.</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Series B Convertible Preferred Stock</w:t>
      </w:r>
    </w:p>
    <w:p>
      <w:pPr>
        <w:spacing w:after="0" w:line="113"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On December 31, 2020, we issued and sold to investors in a private placement an aggregate of 3,619,292 shares of Series B Preferred Stock at a purchase price of $10.2782 per share, for an aggregate consideration of approximately $37.2 million. In addition, in April and May 2021, we issued and sold to investors in a private placement an additional 2,412,853 shares of Series B Preferred Stock at a purchase price of $10.2782 per share, for an aggregate consideration of approximately $24.8 million.</w:t>
      </w:r>
    </w:p>
    <w:p>
      <w:pPr>
        <w:spacing w:after="0" w:line="91"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following table sets forth the aggregate number of Series B Preferred Stock acquired by certain beneficial owners of more than 5% of our capital stock, executive officers and entities affiliated with certain of our directors in the financing transactions described above.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tbl>
      <w:tblPr>
        <w:tblLayout w:type="fixed"/>
        <w:tblInd w:w="140" w:type="dxa"/>
        <w:tblCellMar>
          <w:top w:w="0" w:type="dxa"/>
          <w:left w:w="0" w:type="dxa"/>
          <w:bottom w:w="0" w:type="dxa"/>
          <w:right w:w="0" w:type="dxa"/>
        </w:tblCellMar>
      </w:tblPr>
      <w:tr>
        <w:trPr>
          <w:trHeight w:val="139"/>
        </w:trPr>
        <w:tc>
          <w:tcPr>
            <w:tcW w:w="5420" w:type="dxa"/>
            <w:vAlign w:val="bottom"/>
            <w:gridSpan w:val="3"/>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4"/>
        </w:trPr>
        <w:tc>
          <w:tcPr>
            <w:tcW w:w="1020" w:type="dxa"/>
            <w:vAlign w:val="bottom"/>
          </w:tcPr>
          <w:p>
            <w:pPr>
              <w:spacing w:after="0"/>
              <w:rPr>
                <w:sz w:val="24"/>
                <w:szCs w:val="24"/>
                <w:color w:val="auto"/>
              </w:rPr>
            </w:pPr>
          </w:p>
        </w:tc>
        <w:tc>
          <w:tcPr>
            <w:tcW w:w="4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Participants</w:t>
            </w:r>
            <w:r>
              <w:rPr>
                <w:rFonts w:ascii="Arial" w:cs="Arial" w:eastAsia="Arial" w:hAnsi="Arial"/>
                <w:sz w:val="17"/>
                <w:szCs w:val="17"/>
                <w:b w:val="1"/>
                <w:bCs w:val="1"/>
                <w:color w:val="auto"/>
                <w:vertAlign w:val="superscript"/>
              </w:rPr>
              <w:t>(1)</w:t>
            </w:r>
          </w:p>
        </w:tc>
        <w:tc>
          <w:tcPr>
            <w:tcW w:w="1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3"/>
              </w:rPr>
              <w:t>Series B Preferred</w:t>
            </w:r>
          </w:p>
        </w:tc>
        <w:tc>
          <w:tcPr>
            <w:tcW w:w="1280" w:type="dxa"/>
            <w:vAlign w:val="bottom"/>
            <w:gridSpan w:val="2"/>
          </w:tcPr>
          <w:p>
            <w:pPr>
              <w:jc w:val="right"/>
              <w:spacing w:after="0"/>
              <w:rPr>
                <w:sz w:val="20"/>
                <w:szCs w:val="20"/>
                <w:color w:val="auto"/>
              </w:rPr>
            </w:pPr>
            <w:r>
              <w:rPr>
                <w:rFonts w:ascii="Arial" w:cs="Arial" w:eastAsia="Arial" w:hAnsi="Arial"/>
                <w:sz w:val="12"/>
                <w:szCs w:val="12"/>
                <w:b w:val="1"/>
                <w:bCs w:val="1"/>
                <w:color w:val="auto"/>
                <w:w w:val="82"/>
              </w:rPr>
              <w:t>Aggregate Purchase Price</w:t>
            </w:r>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4400" w:type="dxa"/>
            <w:vAlign w:val="bottom"/>
            <w:gridSpan w:val="2"/>
            <w:vMerge w:val="continue"/>
          </w:tcPr>
          <w:p>
            <w:pPr>
              <w:spacing w:after="0"/>
              <w:rPr>
                <w:sz w:val="11"/>
                <w:szCs w:val="11"/>
                <w:color w:val="auto"/>
              </w:rPr>
            </w:pPr>
          </w:p>
        </w:tc>
        <w:tc>
          <w:tcPr>
            <w:tcW w:w="100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79"/>
              </w:rPr>
              <w:t>Stock</w:t>
            </w:r>
          </w:p>
        </w:tc>
        <w:tc>
          <w:tcPr>
            <w:tcW w:w="1280" w:type="dxa"/>
            <w:vAlign w:val="bottom"/>
            <w:gridSpan w:val="2"/>
          </w:tcPr>
          <w:p>
            <w:pPr>
              <w:jc w:val="right"/>
              <w:ind w:right="227"/>
              <w:spacing w:after="0" w:line="128" w:lineRule="exact"/>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20" w:type="dxa"/>
            <w:vAlign w:val="bottom"/>
          </w:tcPr>
          <w:p>
            <w:pPr>
              <w:spacing w:after="0"/>
              <w:rPr>
                <w:sz w:val="13"/>
                <w:szCs w:val="13"/>
                <w:color w:val="auto"/>
              </w:rPr>
            </w:pPr>
          </w:p>
        </w:tc>
        <w:tc>
          <w:tcPr>
            <w:tcW w:w="440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Merrin Investors LLC</w:t>
            </w:r>
          </w:p>
        </w:tc>
        <w:tc>
          <w:tcPr>
            <w:tcW w:w="920" w:type="dxa"/>
            <w:vAlign w:val="bottom"/>
            <w:shd w:val="clear" w:color="auto" w:fill="CCEEFF"/>
          </w:tcPr>
          <w:p>
            <w:pPr>
              <w:jc w:val="right"/>
              <w:ind w:right="89"/>
              <w:spacing w:after="0" w:line="160" w:lineRule="exact"/>
              <w:rPr>
                <w:sz w:val="20"/>
                <w:szCs w:val="20"/>
                <w:color w:val="auto"/>
              </w:rPr>
            </w:pPr>
            <w:r>
              <w:rPr>
                <w:rFonts w:ascii="Arial" w:cs="Arial" w:eastAsia="Arial" w:hAnsi="Arial"/>
                <w:sz w:val="15"/>
                <w:szCs w:val="15"/>
                <w:color w:val="auto"/>
              </w:rPr>
              <w:t>291,878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327"/>
              <w:spacing w:after="0" w:line="160" w:lineRule="exact"/>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tcPr>
          <w:p>
            <w:pPr>
              <w:spacing w:after="0" w:line="187" w:lineRule="exact"/>
              <w:rPr>
                <w:sz w:val="20"/>
                <w:szCs w:val="20"/>
                <w:color w:val="auto"/>
              </w:rPr>
            </w:pPr>
            <w:r>
              <w:rPr>
                <w:rFonts w:ascii="Arial" w:cs="Arial" w:eastAsia="Arial" w:hAnsi="Arial"/>
                <w:sz w:val="15"/>
                <w:szCs w:val="15"/>
                <w:color w:val="auto"/>
              </w:rPr>
              <w:t>Entities affiliated with Cormorant Asset Management, LP</w:t>
            </w:r>
            <w:r>
              <w:rPr>
                <w:rFonts w:ascii="Arial" w:cs="Arial" w:eastAsia="Arial" w:hAnsi="Arial"/>
                <w:sz w:val="21"/>
                <w:szCs w:val="21"/>
                <w:color w:val="auto"/>
                <w:vertAlign w:val="superscript"/>
              </w:rPr>
              <w:t>(2)</w:t>
            </w:r>
          </w:p>
        </w:tc>
        <w:tc>
          <w:tcPr>
            <w:tcW w:w="920" w:type="dxa"/>
            <w:vAlign w:val="bottom"/>
          </w:tcPr>
          <w:p>
            <w:pPr>
              <w:jc w:val="right"/>
              <w:ind w:right="89"/>
              <w:spacing w:after="0"/>
              <w:rPr>
                <w:sz w:val="20"/>
                <w:szCs w:val="20"/>
                <w:color w:val="auto"/>
              </w:rPr>
            </w:pPr>
            <w:r>
              <w:rPr>
                <w:rFonts w:ascii="Arial" w:cs="Arial" w:eastAsia="Arial" w:hAnsi="Arial"/>
                <w:sz w:val="15"/>
                <w:szCs w:val="15"/>
                <w:color w:val="auto"/>
              </w:rPr>
              <w:t>1,216,163</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27"/>
              <w:spacing w:after="0"/>
              <w:rPr>
                <w:sz w:val="20"/>
                <w:szCs w:val="20"/>
                <w:color w:val="auto"/>
              </w:rPr>
            </w:pPr>
            <w:r>
              <w:rPr>
                <w:rFonts w:ascii="Arial" w:cs="Arial" w:eastAsia="Arial" w:hAnsi="Arial"/>
                <w:sz w:val="15"/>
                <w:szCs w:val="15"/>
                <w:color w:val="auto"/>
                <w:w w:val="82"/>
              </w:rPr>
              <w:t>12,500</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shd w:val="clear" w:color="auto" w:fill="CCEEFF"/>
          </w:tcPr>
          <w:p>
            <w:pPr>
              <w:spacing w:after="0" w:line="187" w:lineRule="exact"/>
              <w:rPr>
                <w:sz w:val="20"/>
                <w:szCs w:val="20"/>
                <w:color w:val="auto"/>
              </w:rPr>
            </w:pPr>
            <w:r>
              <w:rPr>
                <w:rFonts w:ascii="Arial" w:cs="Arial" w:eastAsia="Arial" w:hAnsi="Arial"/>
                <w:sz w:val="15"/>
                <w:szCs w:val="15"/>
                <w:color w:val="auto"/>
                <w:w w:val="96"/>
              </w:rPr>
              <w:t>Entities advised or sub-advised by T. Rowe Price Associates, Inc.</w:t>
            </w:r>
            <w:r>
              <w:rPr>
                <w:rFonts w:ascii="Arial" w:cs="Arial" w:eastAsia="Arial" w:hAnsi="Arial"/>
                <w:sz w:val="21"/>
                <w:szCs w:val="21"/>
                <w:color w:val="auto"/>
                <w:w w:val="96"/>
                <w:vertAlign w:val="superscript"/>
              </w:rPr>
              <w:t>(3)</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778,345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rPr>
              <w:t>8,000</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4400" w:type="dxa"/>
            <w:vAlign w:val="bottom"/>
            <w:gridSpan w:val="2"/>
          </w:tcPr>
          <w:p>
            <w:pPr>
              <w:spacing w:after="0" w:line="198" w:lineRule="exact"/>
              <w:rPr>
                <w:sz w:val="20"/>
                <w:szCs w:val="20"/>
                <w:color w:val="auto"/>
              </w:rPr>
            </w:pPr>
            <w:r>
              <w:rPr>
                <w:rFonts w:ascii="Arial" w:cs="Arial" w:eastAsia="Arial" w:hAnsi="Arial"/>
                <w:sz w:val="15"/>
                <w:szCs w:val="15"/>
                <w:color w:val="auto"/>
              </w:rPr>
              <w:t>Entities affiliated with Rock Springs Capital LP</w:t>
            </w:r>
            <w:r>
              <w:rPr>
                <w:rFonts w:ascii="Arial" w:cs="Arial" w:eastAsia="Arial" w:hAnsi="Arial"/>
                <w:sz w:val="21"/>
                <w:szCs w:val="21"/>
                <w:color w:val="auto"/>
                <w:vertAlign w:val="superscript"/>
              </w:rPr>
              <w:t>(4)</w:t>
            </w:r>
          </w:p>
        </w:tc>
        <w:tc>
          <w:tcPr>
            <w:tcW w:w="920" w:type="dxa"/>
            <w:vAlign w:val="bottom"/>
          </w:tcPr>
          <w:p>
            <w:pPr>
              <w:jc w:val="right"/>
              <w:ind w:right="89"/>
              <w:spacing w:after="0"/>
              <w:rPr>
                <w:sz w:val="20"/>
                <w:szCs w:val="20"/>
                <w:color w:val="auto"/>
              </w:rPr>
            </w:pPr>
            <w:r>
              <w:rPr>
                <w:rFonts w:ascii="Arial" w:cs="Arial" w:eastAsia="Arial" w:hAnsi="Arial"/>
                <w:sz w:val="15"/>
                <w:szCs w:val="15"/>
                <w:color w:val="auto"/>
              </w:rPr>
              <w:t>778,345</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27"/>
              <w:spacing w:after="0"/>
              <w:rPr>
                <w:sz w:val="20"/>
                <w:szCs w:val="20"/>
                <w:color w:val="auto"/>
              </w:rPr>
            </w:pPr>
            <w:r>
              <w:rPr>
                <w:rFonts w:ascii="Arial" w:cs="Arial" w:eastAsia="Arial" w:hAnsi="Arial"/>
                <w:sz w:val="15"/>
                <w:szCs w:val="15"/>
                <w:color w:val="auto"/>
              </w:rPr>
              <w:t>8,000</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Citadel Multi-Strategy Equities Master Fund Ltd.</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1,216,165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82"/>
              </w:rPr>
              <w:t>12,500</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5"/>
                <w:szCs w:val="15"/>
                <w:color w:val="auto"/>
              </w:rPr>
              <w:t>Benjamin J. Zeskind, Ph.D.</w:t>
            </w:r>
          </w:p>
        </w:tc>
        <w:tc>
          <w:tcPr>
            <w:tcW w:w="920" w:type="dxa"/>
            <w:vAlign w:val="bottom"/>
          </w:tcPr>
          <w:p>
            <w:pPr>
              <w:jc w:val="right"/>
              <w:ind w:right="89"/>
              <w:spacing w:after="0"/>
              <w:rPr>
                <w:sz w:val="20"/>
                <w:szCs w:val="20"/>
                <w:color w:val="auto"/>
              </w:rPr>
            </w:pPr>
            <w:r>
              <w:rPr>
                <w:rFonts w:ascii="Arial" w:cs="Arial" w:eastAsia="Arial" w:hAnsi="Arial"/>
                <w:sz w:val="15"/>
                <w:szCs w:val="15"/>
                <w:color w:val="auto"/>
              </w:rPr>
              <w:t>5,837</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27"/>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J. Carpenter</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87,563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5"/>
                <w:szCs w:val="15"/>
                <w:color w:val="auto"/>
              </w:rPr>
              <w:t>Brett Hall, Ph.D.</w:t>
            </w:r>
          </w:p>
        </w:tc>
        <w:tc>
          <w:tcPr>
            <w:tcW w:w="920" w:type="dxa"/>
            <w:vAlign w:val="bottom"/>
          </w:tcPr>
          <w:p>
            <w:pPr>
              <w:jc w:val="right"/>
              <w:ind w:right="89"/>
              <w:spacing w:after="0"/>
              <w:rPr>
                <w:sz w:val="20"/>
                <w:szCs w:val="20"/>
                <w:color w:val="auto"/>
              </w:rPr>
            </w:pPr>
            <w:r>
              <w:rPr>
                <w:rFonts w:ascii="Arial" w:cs="Arial" w:eastAsia="Arial" w:hAnsi="Arial"/>
                <w:sz w:val="15"/>
                <w:szCs w:val="15"/>
                <w:color w:val="auto"/>
              </w:rPr>
              <w:t>2,431</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27"/>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Scott Barrett, M.D.</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1,945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5"/>
                <w:szCs w:val="15"/>
                <w:color w:val="auto"/>
              </w:rPr>
              <w:t>Biren Amin</w:t>
            </w:r>
          </w:p>
        </w:tc>
        <w:tc>
          <w:tcPr>
            <w:tcW w:w="920" w:type="dxa"/>
            <w:vAlign w:val="bottom"/>
          </w:tcPr>
          <w:p>
            <w:pPr>
              <w:jc w:val="right"/>
              <w:ind w:right="89"/>
              <w:spacing w:after="0"/>
              <w:rPr>
                <w:sz w:val="20"/>
                <w:szCs w:val="20"/>
                <w:color w:val="auto"/>
              </w:rPr>
            </w:pPr>
            <w:r>
              <w:rPr>
                <w:rFonts w:ascii="Arial" w:cs="Arial" w:eastAsia="Arial" w:hAnsi="Arial"/>
                <w:sz w:val="15"/>
                <w:szCs w:val="15"/>
                <w:color w:val="auto"/>
              </w:rPr>
              <w:t>1,945</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27"/>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4400" w:type="dxa"/>
            <w:vAlign w:val="bottom"/>
            <w:gridSpan w:val="2"/>
            <w:shd w:val="clear" w:color="auto" w:fill="CCEEFF"/>
          </w:tcPr>
          <w:p>
            <w:pPr>
              <w:spacing w:after="0" w:line="198" w:lineRule="exact"/>
              <w:rPr>
                <w:sz w:val="20"/>
                <w:szCs w:val="20"/>
                <w:color w:val="auto"/>
              </w:rPr>
            </w:pPr>
            <w:r>
              <w:rPr>
                <w:rFonts w:ascii="Arial" w:cs="Arial" w:eastAsia="Arial" w:hAnsi="Arial"/>
                <w:sz w:val="15"/>
                <w:szCs w:val="15"/>
                <w:color w:val="auto"/>
              </w:rPr>
              <w:t>Entities affiliated with Peter Feinberg</w:t>
            </w:r>
            <w:r>
              <w:rPr>
                <w:rFonts w:ascii="Arial" w:cs="Arial" w:eastAsia="Arial" w:hAnsi="Arial"/>
                <w:sz w:val="21"/>
                <w:szCs w:val="21"/>
                <w:color w:val="auto"/>
                <w:vertAlign w:val="superscript"/>
              </w:rPr>
              <w:t>(5)</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87,560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97790</wp:posOffset>
            </wp:positionV>
            <wp:extent cx="44640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28" w:lineRule="exact"/>
        <w:rPr>
          <w:sz w:val="20"/>
          <w:szCs w:val="20"/>
          <w:color w:val="auto"/>
        </w:rPr>
      </w:pPr>
    </w:p>
    <w:p>
      <w:pPr>
        <w:ind w:left="1460" w:right="1179" w:hanging="296"/>
        <w:spacing w:after="0" w:line="247" w:lineRule="auto"/>
        <w:tabs>
          <w:tab w:leader="none" w:pos="1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34" w:lineRule="exact"/>
        <w:rPr>
          <w:rFonts w:ascii="Arial" w:cs="Arial" w:eastAsia="Arial" w:hAnsi="Arial"/>
          <w:sz w:val="12"/>
          <w:szCs w:val="12"/>
          <w:color w:val="auto"/>
        </w:rPr>
      </w:pPr>
    </w:p>
    <w:p>
      <w:pPr>
        <w:jc w:val="both"/>
        <w:ind w:left="1460" w:right="1179" w:hanging="296"/>
        <w:spacing w:after="0" w:line="238" w:lineRule="auto"/>
        <w:tabs>
          <w:tab w:leader="none" w:pos="1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Consists of 927,495 shares of Series B Preferred Stock purchased by Cormorant Private Healthcare Fund III, LP, 276,920 shares of Series B Preferred Stock purchased by Cormorant Global Healthcare Master Fund, LP, and 11,748 shares of Series B Preferred Stock purchased by CRMA SPV, LP.</w:t>
      </w:r>
    </w:p>
    <w:p>
      <w:pPr>
        <w:spacing w:after="0" w:line="39" w:lineRule="exact"/>
        <w:rPr>
          <w:rFonts w:ascii="Arial" w:cs="Arial" w:eastAsia="Arial" w:hAnsi="Arial"/>
          <w:sz w:val="12"/>
          <w:szCs w:val="12"/>
          <w:color w:val="auto"/>
        </w:rPr>
      </w:pPr>
    </w:p>
    <w:p>
      <w:pPr>
        <w:jc w:val="both"/>
        <w:ind w:left="1460" w:right="1179" w:hanging="296"/>
        <w:spacing w:after="0" w:line="238" w:lineRule="auto"/>
        <w:tabs>
          <w:tab w:leader="none" w:pos="1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Consists of 696,164 shares of Series B Preferred Stock purchased by T. Rowe Price Health Sciences Fund, Inc., 50,975 shares of Series B Preferred Stock purchased by TD Mutual Funds—TD Health Sciences Fund, and 31,206 shares of Series B Preferred Stock purchased by T. Rowe Price Health Sciences Portfolio.</w:t>
      </w:r>
    </w:p>
    <w:p>
      <w:pPr>
        <w:spacing w:after="0" w:line="39" w:lineRule="exact"/>
        <w:rPr>
          <w:rFonts w:ascii="Arial" w:cs="Arial" w:eastAsia="Arial" w:hAnsi="Arial"/>
          <w:sz w:val="12"/>
          <w:szCs w:val="12"/>
          <w:color w:val="auto"/>
        </w:rPr>
      </w:pPr>
    </w:p>
    <w:p>
      <w:pPr>
        <w:ind w:left="1460" w:right="1179" w:hanging="296"/>
        <w:spacing w:after="0" w:line="247" w:lineRule="auto"/>
        <w:tabs>
          <w:tab w:leader="none" w:pos="1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Consists of 632,405 shares of Series B Preferred Stock purchased by Rock Springs Capital Master Fund LP, and 145,940 shares of Series B Preferred Stock purchased by Four Pines Master Fund LP.</w:t>
      </w:r>
    </w:p>
    <w:p>
      <w:pPr>
        <w:spacing w:after="0" w:line="34" w:lineRule="exact"/>
        <w:rPr>
          <w:rFonts w:ascii="Arial" w:cs="Arial" w:eastAsia="Arial" w:hAnsi="Arial"/>
          <w:sz w:val="12"/>
          <w:szCs w:val="12"/>
          <w:color w:val="auto"/>
        </w:rPr>
      </w:pPr>
    </w:p>
    <w:p>
      <w:pPr>
        <w:jc w:val="both"/>
        <w:ind w:left="1460" w:right="1179" w:hanging="296"/>
        <w:spacing w:after="0" w:line="238" w:lineRule="auto"/>
        <w:tabs>
          <w:tab w:leader="none" w:pos="1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Consists of 21,890 shares of Series B Preferred Stock purchased by PF Associates L.P., 21,890 shares of Series B Preferred Stock purchased by PEF LLC, 21,890 shares of Series B Preferred Stock purchased by Feinberg Investment Trust LLC and 21,890 shares of Series B Preferred Stock purchased by S4K Investments LLC.</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Management and Other Agreements</w:t>
      </w:r>
    </w:p>
    <w:p>
      <w:pPr>
        <w:spacing w:after="0" w:line="124"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Brett Hall, our Chief Scientific Officer, is Founder, President and Chairman of the board of directors of Bioarkive, a CRO that provides contract services to us. Our research and development expenses include the cost of services provided by the CRO to us, and amounted to $2.7 million and $0.4 million for the years ended December 31, 2020 and 2019, respectively. Of this amount, $0.3 million and $0.1 million was owed to the CRO at December 31, 2020 and 2019, respectively, and is included in accounts payable or accrued contract research expenses in our consolidated financial statements included elsewhere in this prospectus.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Amended and Restated Investors’ Rights Agreement</w:t>
      </w:r>
    </w:p>
    <w:p>
      <w:pPr>
        <w:spacing w:after="0" w:line="113"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In connection with the issuance of our Series B Preferred Stock on December 21, 2020, we entered into an Amended and Restated Investors’ Rights Agreement, or the IRA, with certain holders of our preferred stock, many which are beneficial holders of more than 5% of our capital stock or are entities with which certain of our directors are affiliated. The IRA imposes certain affirmative obligations on us and also grants certain rights to holders, including certain registration rights with respect to the securities held by them, certain information and observer rights, and certain additional rights. Certain provisions of the IRA will terminate in connection with this offering. See “Description of Capital Stock—Registration Rights” for additional information.</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Amended and Restated Voting Agreement</w:t>
      </w:r>
    </w:p>
    <w:p>
      <w:pPr>
        <w:spacing w:after="0" w:line="124" w:lineRule="exact"/>
        <w:rPr>
          <w:sz w:val="20"/>
          <w:szCs w:val="20"/>
          <w:color w:val="auto"/>
        </w:rPr>
      </w:pPr>
    </w:p>
    <w:p>
      <w:pPr>
        <w:jc w:val="both"/>
        <w:ind w:left="1160" w:right="1179"/>
        <w:spacing w:after="0" w:line="273" w:lineRule="auto"/>
        <w:rPr>
          <w:sz w:val="20"/>
          <w:szCs w:val="20"/>
          <w:color w:val="auto"/>
        </w:rPr>
      </w:pPr>
      <w:r>
        <w:rPr>
          <w:rFonts w:ascii="Arial" w:cs="Arial" w:eastAsia="Arial" w:hAnsi="Arial"/>
          <w:sz w:val="13"/>
          <w:szCs w:val="13"/>
          <w:color w:val="auto"/>
        </w:rPr>
        <w:t>In connection with the issuance of our Series B Preferred Stock on December 21, 2020, we entered into an Amended and Restated Voting Agreement, or the Voting Agreement, which, among other things, provides the terms for the voting of shares with respect to the constituency of our board of directors. Pursuant to the terms of the Voting Agreement, the following directors were elected to serve as members of our board of directors, and, as of the date of this prospectus, continue to so serve: Benjamin J. Zeskind, Andrew Phillips and Robert J. Carpenter. Dr. Zeskind was selected to serve on our board of directors as our Chief Executive Officer, Mr. Phillips were selected to serve on our board of directors as designated by the Cormorant Private Healthcare Fund III, LP, Cormorant Global Healthcare Master Fund, LP and CRMA SPV, LP, collectively</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referred to as Cormorant, and Mr. Carpenter was elected to serve on our board of directors by the holders of a majority of the then-outstanding shares of our common stock. Dr. Zeskind and Messrs. Phillips and Carpenter are joined on our board of directors by Peter Feinberg and Laurie B. Keating and, together with the aforementioned directors, possess relevant industry experience and are acceptable to a majority of the holders as parties to the Voting Agreement.</w:t>
      </w:r>
    </w:p>
    <w:p>
      <w:pPr>
        <w:spacing w:after="0" w:line="9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Voting Agreement, including its provisions concerning the rights of certain of the holders to designate directors, will terminate automatically upon the consummation of this offering.</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Amended and Restated Right of First Refusal and Co-Sale Agreement</w:t>
      </w:r>
    </w:p>
    <w:p>
      <w:pPr>
        <w:spacing w:after="0" w:line="124"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In connection with the issuance of our Series B Preferred Stock on December 21, 2020, we entered into an Amended and Restated Right of First Refusal and Co-Sale Agreement, or the ROFR and Co-Sale Agreement, with certain of our preferred stockholders, many of which are beneficial holders of more than 5% of our capital stock or are entities with which certain of our directors are affiliated. The ROFR and Co-Sale Agreement, among other things: (a) grants our investors certain rights of first refusal and co-sale with respect to proposed transfers of our securities by certain preferred stockholders; and (b) grants us certain rights of first refusal with respect to proposed transfers of our securities by certain preferred stockholders.</w:t>
      </w:r>
    </w:p>
    <w:p>
      <w:pPr>
        <w:spacing w:after="0" w:line="9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ROFR and Co-Sale Agreement will automatically terminate immediately prior to the completion of this offering.</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Employment Agreements</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We have entered into employment agreements or consulting agreements with each of our executive officers. See “Executive and Director Compensation—Executive Compensation Arrangements.”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and Officer Indemnification and Insurance</w:t>
      </w:r>
    </w:p>
    <w:p>
      <w:pPr>
        <w:spacing w:after="0" w:line="128"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2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Our board of directors has adopted a written related person transaction policy, to be effective immediately prior to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PRINCIPAL STOCKHOLDERS</w:t>
      </w:r>
    </w:p>
    <w:p>
      <w:pPr>
        <w:spacing w:after="0" w:line="117"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The following table sets forth information as of May 31, 2021 with respect to the beneficial ownership of our Class A common stock by:</w:t>
      </w:r>
    </w:p>
    <w:p>
      <w:pPr>
        <w:spacing w:after="0" w:line="61" w:lineRule="exact"/>
        <w:rPr>
          <w:sz w:val="20"/>
          <w:szCs w:val="20"/>
          <w:color w:val="auto"/>
        </w:rPr>
      </w:pPr>
    </w:p>
    <w:p>
      <w:pPr>
        <w:ind w:left="1600" w:right="1179" w:hanging="143"/>
        <w:spacing w:after="0" w:line="264" w:lineRule="auto"/>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outstanding shares of Class A common stock;</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each of our directors;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24"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The number of shares beneficially owned by each stockholder is determined in accordance with the rules issued by the SEC, and the information is not necessarily indicative of beneficial ownership for any other purpose. Under these rules, beneficial ownership includes any shares as to which the individual or entity has sole or shared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community property laws.</w:t>
      </w:r>
    </w:p>
    <w:p>
      <w:pPr>
        <w:spacing w:after="0" w:line="100"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4"/>
          <w:szCs w:val="14"/>
          <w:color w:val="auto"/>
        </w:rPr>
        <w:t>Percentage ownership of our Class A common stock before this offering is based on 14,299,937 shares of Class A common stock outstanding as of May 31, 2021. Percentage ownership of our common stock after</w:t>
      </w:r>
    </w:p>
    <w:p>
      <w:pPr>
        <w:spacing w:after="0" w:line="1" w:lineRule="exact"/>
        <w:rPr>
          <w:sz w:val="20"/>
          <w:szCs w:val="20"/>
          <w:color w:val="auto"/>
        </w:rPr>
      </w:pPr>
    </w:p>
    <w:p>
      <w:pPr>
        <w:jc w:val="both"/>
        <w:ind w:left="1160" w:right="1179"/>
        <w:spacing w:after="0" w:line="230" w:lineRule="auto"/>
        <w:rPr>
          <w:sz w:val="20"/>
          <w:szCs w:val="20"/>
          <w:color w:val="auto"/>
        </w:rPr>
      </w:pPr>
      <w:r>
        <w:rPr>
          <w:rFonts w:ascii="Arial" w:cs="Arial" w:eastAsia="Arial" w:hAnsi="Arial"/>
          <w:sz w:val="15"/>
          <w:szCs w:val="15"/>
          <w:color w:val="auto"/>
        </w:rPr>
        <w:t>this offering is based on shares of Class A common stock as of May 31, 2021, after giving effect to our issuance of shares of our common stock in this offering. In computing the number of shares beneficially owned by an individual or entity and the percentage ownership of that person, shares of Class A common stock subject to options, warrants or other rights held by such person that are currently exercisable or will become exercisable within 60 days of May 31, 2021 are considered outstanding, although these shares are not considered outstanding for purposes of computing the percentage ownership of any other person. Unless noted otherwise, the address of all listed stockholders is 245 Main Street, Second Floor, Cambridge, Massachusetts 02142.</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3"/>
              </w:rPr>
              <w:t>Class A Common Stock Beneficially</w:t>
            </w:r>
          </w:p>
        </w:tc>
        <w:tc>
          <w:tcPr>
            <w:tcW w:w="17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Class A Common Stock Beneficially</w:t>
            </w:r>
          </w:p>
        </w:tc>
      </w:tr>
      <w:tr>
        <w:trPr>
          <w:trHeight w:val="149"/>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8"/>
              </w:rPr>
              <w:t>Owned Prior to Offering</w:t>
            </w:r>
          </w:p>
        </w:tc>
        <w:tc>
          <w:tcPr>
            <w:tcW w:w="17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Owned After Offering</w:t>
            </w:r>
          </w:p>
        </w:tc>
      </w:tr>
      <w:tr>
        <w:trPr>
          <w:trHeight w:val="134"/>
        </w:trPr>
        <w:tc>
          <w:tcPr>
            <w:tcW w:w="29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b w:val="1"/>
                <w:bCs w:val="1"/>
                <w:color w:val="auto"/>
              </w:rPr>
              <w:t>Name of Beneficial Owner</w:t>
            </w:r>
          </w:p>
        </w:tc>
        <w:tc>
          <w:tcPr>
            <w:tcW w:w="6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7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Borders>
              <w:top w:val="single" w:sz="8" w:color="auto"/>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88"/>
              <w:spacing w:after="0" w:line="134" w:lineRule="exact"/>
              <w:rPr>
                <w:sz w:val="20"/>
                <w:szCs w:val="20"/>
                <w:color w:val="auto"/>
              </w:rPr>
            </w:pPr>
            <w:r>
              <w:rPr>
                <w:rFonts w:ascii="Arial" w:cs="Arial" w:eastAsia="Arial" w:hAnsi="Arial"/>
                <w:sz w:val="12"/>
                <w:szCs w:val="12"/>
                <w:b w:val="1"/>
                <w:bCs w:val="1"/>
                <w:color w:val="auto"/>
              </w:rPr>
              <w:t>Percentage</w:t>
            </w:r>
          </w:p>
        </w:tc>
        <w:tc>
          <w:tcPr>
            <w:tcW w:w="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ind w:left="18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34"/>
              <w:spacing w:after="0" w:line="134" w:lineRule="exact"/>
              <w:rPr>
                <w:sz w:val="20"/>
                <w:szCs w:val="20"/>
                <w:color w:val="auto"/>
              </w:rPr>
            </w:pPr>
            <w:r>
              <w:rPr>
                <w:rFonts w:ascii="Arial" w:cs="Arial" w:eastAsia="Arial" w:hAnsi="Arial"/>
                <w:sz w:val="12"/>
                <w:szCs w:val="12"/>
                <w:b w:val="1"/>
                <w:bCs w:val="1"/>
                <w:color w:val="auto"/>
              </w:rPr>
              <w:t>Percentage</w:t>
            </w:r>
          </w:p>
        </w:tc>
      </w:tr>
      <w:tr>
        <w:trPr>
          <w:trHeight w:val="156"/>
        </w:trPr>
        <w:tc>
          <w:tcPr>
            <w:tcW w:w="304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b w:val="1"/>
                <w:bCs w:val="1"/>
                <w:i w:val="1"/>
                <w:iCs w:val="1"/>
                <w:color w:val="auto"/>
              </w:rPr>
              <w:t>5% or Greater Stockholders</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36"/>
        </w:trPr>
        <w:tc>
          <w:tcPr>
            <w:tcW w:w="3040" w:type="dxa"/>
            <w:vAlign w:val="bottom"/>
            <w:gridSpan w:val="2"/>
          </w:tcPr>
          <w:p>
            <w:pPr>
              <w:spacing w:after="0" w:line="136" w:lineRule="exact"/>
              <w:rPr>
                <w:sz w:val="20"/>
                <w:szCs w:val="20"/>
                <w:color w:val="auto"/>
              </w:rPr>
            </w:pPr>
            <w:r>
              <w:rPr>
                <w:rFonts w:ascii="Arial" w:cs="Arial" w:eastAsia="Arial" w:hAnsi="Arial"/>
                <w:sz w:val="15"/>
                <w:szCs w:val="15"/>
                <w:color w:val="auto"/>
              </w:rPr>
              <w:t>Citadel Multi-Strategy Equities Master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27"/>
        </w:trPr>
        <w:tc>
          <w:tcPr>
            <w:tcW w:w="3040" w:type="dxa"/>
            <w:vAlign w:val="bottom"/>
            <w:gridSpan w:val="2"/>
          </w:tcPr>
          <w:p>
            <w:pPr>
              <w:ind w:left="160"/>
              <w:spacing w:after="0" w:line="227" w:lineRule="exact"/>
              <w:rPr>
                <w:sz w:val="20"/>
                <w:szCs w:val="20"/>
                <w:color w:val="auto"/>
              </w:rPr>
            </w:pPr>
            <w:r>
              <w:rPr>
                <w:rFonts w:ascii="Arial" w:cs="Arial" w:eastAsia="Arial" w:hAnsi="Arial"/>
                <w:sz w:val="15"/>
                <w:szCs w:val="15"/>
                <w:color w:val="auto"/>
              </w:rPr>
              <w:t>Fund Ltd.</w:t>
            </w:r>
            <w:r>
              <w:rPr>
                <w:rFonts w:ascii="Arial" w:cs="Arial" w:eastAsia="Arial" w:hAnsi="Arial"/>
                <w:sz w:val="21"/>
                <w:szCs w:val="21"/>
                <w:color w:val="auto"/>
                <w:vertAlign w:val="superscript"/>
              </w:rPr>
              <w:t>(1)</w:t>
            </w:r>
          </w:p>
        </w:tc>
        <w:tc>
          <w:tcPr>
            <w:tcW w:w="880" w:type="dxa"/>
            <w:vAlign w:val="bottom"/>
          </w:tcPr>
          <w:p>
            <w:pPr>
              <w:jc w:val="right"/>
              <w:ind w:right="70"/>
              <w:spacing w:after="0"/>
              <w:rPr>
                <w:sz w:val="20"/>
                <w:szCs w:val="20"/>
                <w:color w:val="auto"/>
              </w:rPr>
            </w:pPr>
            <w:r>
              <w:rPr>
                <w:rFonts w:ascii="Arial" w:cs="Arial" w:eastAsia="Arial" w:hAnsi="Arial"/>
                <w:sz w:val="15"/>
                <w:szCs w:val="15"/>
                <w:color w:val="auto"/>
              </w:rPr>
              <w:t>1,216,165</w:t>
            </w:r>
          </w:p>
        </w:tc>
        <w:tc>
          <w:tcPr>
            <w:tcW w:w="80" w:type="dxa"/>
            <w:vAlign w:val="bottom"/>
          </w:tcPr>
          <w:p>
            <w:pPr>
              <w:spacing w:after="0"/>
              <w:rPr>
                <w:sz w:val="19"/>
                <w:szCs w:val="19"/>
                <w:color w:val="auto"/>
              </w:rPr>
            </w:pPr>
          </w:p>
        </w:tc>
        <w:tc>
          <w:tcPr>
            <w:tcW w:w="840" w:type="dxa"/>
            <w:vAlign w:val="bottom"/>
          </w:tcPr>
          <w:p>
            <w:pPr>
              <w:jc w:val="right"/>
              <w:ind w:right="88"/>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5"/>
                <w:szCs w:val="15"/>
                <w:color w:val="auto"/>
              </w:rPr>
              <w:t>%</w:t>
            </w:r>
          </w:p>
        </w:tc>
      </w:tr>
      <w:tr>
        <w:trPr>
          <w:trHeight w:val="136"/>
        </w:trPr>
        <w:tc>
          <w:tcPr>
            <w:tcW w:w="304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auto"/>
              </w:rPr>
              <w:t>Entities affiliated with Cormorant Asset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7"/>
        </w:trPr>
        <w:tc>
          <w:tcPr>
            <w:tcW w:w="304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5"/>
                <w:szCs w:val="15"/>
                <w:color w:val="auto"/>
              </w:rPr>
              <w:t>Management, LP</w:t>
            </w:r>
            <w:r>
              <w:rPr>
                <w:rFonts w:ascii="Arial" w:cs="Arial" w:eastAsia="Arial" w:hAnsi="Arial"/>
                <w:sz w:val="21"/>
                <w:szCs w:val="21"/>
                <w:color w:val="auto"/>
                <w:vertAlign w:val="superscript"/>
              </w:rPr>
              <w:t>(2)</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1,216,163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8.5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6"/>
        </w:trPr>
        <w:tc>
          <w:tcPr>
            <w:tcW w:w="3040" w:type="dxa"/>
            <w:vAlign w:val="bottom"/>
            <w:gridSpan w:val="2"/>
          </w:tcPr>
          <w:p>
            <w:pPr>
              <w:spacing w:after="0" w:line="176" w:lineRule="exact"/>
              <w:rPr>
                <w:sz w:val="20"/>
                <w:szCs w:val="20"/>
                <w:color w:val="auto"/>
              </w:rPr>
            </w:pPr>
            <w:r>
              <w:rPr>
                <w:rFonts w:ascii="Arial" w:cs="Arial" w:eastAsia="Arial" w:hAnsi="Arial"/>
                <w:sz w:val="14"/>
                <w:szCs w:val="14"/>
                <w:color w:val="auto"/>
              </w:rPr>
              <w:t>Merrin Investors LLC</w:t>
            </w:r>
            <w:r>
              <w:rPr>
                <w:rFonts w:ascii="Arial" w:cs="Arial" w:eastAsia="Arial" w:hAnsi="Arial"/>
                <w:sz w:val="20"/>
                <w:szCs w:val="20"/>
                <w:color w:val="auto"/>
                <w:vertAlign w:val="superscript"/>
              </w:rPr>
              <w:t>(3)</w:t>
            </w:r>
          </w:p>
        </w:tc>
        <w:tc>
          <w:tcPr>
            <w:tcW w:w="880" w:type="dxa"/>
            <w:vAlign w:val="bottom"/>
          </w:tcPr>
          <w:p>
            <w:pPr>
              <w:jc w:val="right"/>
              <w:ind w:right="70"/>
              <w:spacing w:after="0"/>
              <w:rPr>
                <w:sz w:val="20"/>
                <w:szCs w:val="20"/>
                <w:color w:val="auto"/>
              </w:rPr>
            </w:pPr>
            <w:r>
              <w:rPr>
                <w:rFonts w:ascii="Arial" w:cs="Arial" w:eastAsia="Arial" w:hAnsi="Arial"/>
                <w:sz w:val="15"/>
                <w:szCs w:val="15"/>
                <w:color w:val="auto"/>
              </w:rPr>
              <w:t>789,562</w:t>
            </w:r>
          </w:p>
        </w:tc>
        <w:tc>
          <w:tcPr>
            <w:tcW w:w="80" w:type="dxa"/>
            <w:vAlign w:val="bottom"/>
          </w:tcPr>
          <w:p>
            <w:pPr>
              <w:spacing w:after="0"/>
              <w:rPr>
                <w:sz w:val="15"/>
                <w:szCs w:val="15"/>
                <w:color w:val="auto"/>
              </w:rPr>
            </w:pPr>
          </w:p>
        </w:tc>
        <w:tc>
          <w:tcPr>
            <w:tcW w:w="840" w:type="dxa"/>
            <w:vAlign w:val="bottom"/>
          </w:tcPr>
          <w:p>
            <w:pPr>
              <w:jc w:val="right"/>
              <w:ind w:right="208"/>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36"/>
        </w:trPr>
        <w:tc>
          <w:tcPr>
            <w:tcW w:w="304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auto"/>
              </w:rPr>
              <w:t>Entities affiliated with Rock Springs Capital</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7"/>
        </w:trPr>
        <w:tc>
          <w:tcPr>
            <w:tcW w:w="304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26"/>
                <w:szCs w:val="26"/>
                <w:color w:val="auto"/>
                <w:vertAlign w:val="subscript"/>
              </w:rPr>
              <w:t>LP</w:t>
            </w:r>
            <w:r>
              <w:rPr>
                <w:rFonts w:ascii="Arial" w:cs="Arial" w:eastAsia="Arial" w:hAnsi="Arial"/>
                <w:sz w:val="10"/>
                <w:szCs w:val="10"/>
                <w:color w:val="auto"/>
              </w:rPr>
              <w:t>(4)</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778,345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36"/>
        </w:trPr>
        <w:tc>
          <w:tcPr>
            <w:tcW w:w="3040" w:type="dxa"/>
            <w:vAlign w:val="bottom"/>
            <w:gridSpan w:val="2"/>
          </w:tcPr>
          <w:p>
            <w:pPr>
              <w:spacing w:after="0" w:line="136" w:lineRule="exact"/>
              <w:rPr>
                <w:sz w:val="20"/>
                <w:szCs w:val="20"/>
                <w:color w:val="auto"/>
              </w:rPr>
            </w:pPr>
            <w:r>
              <w:rPr>
                <w:rFonts w:ascii="Arial" w:cs="Arial" w:eastAsia="Arial" w:hAnsi="Arial"/>
                <w:sz w:val="15"/>
                <w:szCs w:val="15"/>
                <w:color w:val="auto"/>
              </w:rPr>
              <w:t>Entities advised or sub-advised by T. Rowe</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27"/>
        </w:trPr>
        <w:tc>
          <w:tcPr>
            <w:tcW w:w="3040" w:type="dxa"/>
            <w:vAlign w:val="bottom"/>
            <w:gridSpan w:val="2"/>
          </w:tcPr>
          <w:p>
            <w:pPr>
              <w:ind w:left="160"/>
              <w:spacing w:after="0" w:line="227" w:lineRule="exact"/>
              <w:rPr>
                <w:sz w:val="20"/>
                <w:szCs w:val="20"/>
                <w:color w:val="auto"/>
              </w:rPr>
            </w:pPr>
            <w:r>
              <w:rPr>
                <w:rFonts w:ascii="Arial" w:cs="Arial" w:eastAsia="Arial" w:hAnsi="Arial"/>
                <w:sz w:val="15"/>
                <w:szCs w:val="15"/>
                <w:color w:val="auto"/>
              </w:rPr>
              <w:t>Price Associates, Inc.</w:t>
            </w:r>
            <w:r>
              <w:rPr>
                <w:rFonts w:ascii="Arial" w:cs="Arial" w:eastAsia="Arial" w:hAnsi="Arial"/>
                <w:sz w:val="21"/>
                <w:szCs w:val="21"/>
                <w:color w:val="auto"/>
                <w:vertAlign w:val="superscript"/>
              </w:rPr>
              <w:t>(5)</w:t>
            </w:r>
          </w:p>
        </w:tc>
        <w:tc>
          <w:tcPr>
            <w:tcW w:w="880" w:type="dxa"/>
            <w:vAlign w:val="bottom"/>
          </w:tcPr>
          <w:p>
            <w:pPr>
              <w:jc w:val="right"/>
              <w:ind w:right="70"/>
              <w:spacing w:after="0"/>
              <w:rPr>
                <w:sz w:val="20"/>
                <w:szCs w:val="20"/>
                <w:color w:val="auto"/>
              </w:rPr>
            </w:pPr>
            <w:r>
              <w:rPr>
                <w:rFonts w:ascii="Arial" w:cs="Arial" w:eastAsia="Arial" w:hAnsi="Arial"/>
                <w:sz w:val="15"/>
                <w:szCs w:val="15"/>
                <w:color w:val="auto"/>
              </w:rPr>
              <w:t>778,345</w:t>
            </w:r>
          </w:p>
        </w:tc>
        <w:tc>
          <w:tcPr>
            <w:tcW w:w="80" w:type="dxa"/>
            <w:vAlign w:val="bottom"/>
          </w:tcPr>
          <w:p>
            <w:pPr>
              <w:spacing w:after="0"/>
              <w:rPr>
                <w:sz w:val="19"/>
                <w:szCs w:val="19"/>
                <w:color w:val="auto"/>
              </w:rPr>
            </w:pPr>
          </w:p>
        </w:tc>
        <w:tc>
          <w:tcPr>
            <w:tcW w:w="840" w:type="dxa"/>
            <w:vAlign w:val="bottom"/>
          </w:tcPr>
          <w:p>
            <w:pPr>
              <w:jc w:val="right"/>
              <w:ind w:right="208"/>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3"/>
        </w:trPr>
        <w:tc>
          <w:tcPr>
            <w:tcW w:w="30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Named Executive Officers and Directors</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176"/>
        </w:trPr>
        <w:tc>
          <w:tcPr>
            <w:tcW w:w="3040" w:type="dxa"/>
            <w:vAlign w:val="bottom"/>
            <w:gridSpan w:val="2"/>
          </w:tcPr>
          <w:p>
            <w:pPr>
              <w:spacing w:after="0" w:line="176" w:lineRule="exact"/>
              <w:rPr>
                <w:sz w:val="20"/>
                <w:szCs w:val="20"/>
                <w:color w:val="auto"/>
              </w:rPr>
            </w:pPr>
            <w:r>
              <w:rPr>
                <w:rFonts w:ascii="Arial" w:cs="Arial" w:eastAsia="Arial" w:hAnsi="Arial"/>
                <w:sz w:val="14"/>
                <w:szCs w:val="14"/>
                <w:color w:val="auto"/>
              </w:rPr>
              <w:t>Benjamin J. Zeskind, Ph.D.</w:t>
            </w:r>
            <w:r>
              <w:rPr>
                <w:rFonts w:ascii="Arial" w:cs="Arial" w:eastAsia="Arial" w:hAnsi="Arial"/>
                <w:sz w:val="20"/>
                <w:szCs w:val="20"/>
                <w:color w:val="auto"/>
                <w:vertAlign w:val="superscript"/>
              </w:rPr>
              <w:t>(6)</w:t>
            </w:r>
          </w:p>
        </w:tc>
        <w:tc>
          <w:tcPr>
            <w:tcW w:w="880" w:type="dxa"/>
            <w:vAlign w:val="bottom"/>
          </w:tcPr>
          <w:p>
            <w:pPr>
              <w:jc w:val="right"/>
              <w:ind w:right="70"/>
              <w:spacing w:after="0"/>
              <w:rPr>
                <w:sz w:val="20"/>
                <w:szCs w:val="20"/>
                <w:color w:val="auto"/>
              </w:rPr>
            </w:pPr>
            <w:r>
              <w:rPr>
                <w:rFonts w:ascii="Arial" w:cs="Arial" w:eastAsia="Arial" w:hAnsi="Arial"/>
                <w:sz w:val="15"/>
                <w:szCs w:val="15"/>
                <w:color w:val="auto"/>
              </w:rPr>
              <w:t>2,520,071</w:t>
            </w:r>
          </w:p>
        </w:tc>
        <w:tc>
          <w:tcPr>
            <w:tcW w:w="80" w:type="dxa"/>
            <w:vAlign w:val="bottom"/>
          </w:tcPr>
          <w:p>
            <w:pPr>
              <w:spacing w:after="0"/>
              <w:rPr>
                <w:sz w:val="15"/>
                <w:szCs w:val="15"/>
                <w:color w:val="auto"/>
              </w:rPr>
            </w:pPr>
          </w:p>
        </w:tc>
        <w:tc>
          <w:tcPr>
            <w:tcW w:w="840" w:type="dxa"/>
            <w:vAlign w:val="bottom"/>
          </w:tcPr>
          <w:p>
            <w:pPr>
              <w:jc w:val="right"/>
              <w:ind w:right="208"/>
              <w:spacing w:after="0"/>
              <w:rPr>
                <w:sz w:val="20"/>
                <w:szCs w:val="20"/>
                <w:color w:val="auto"/>
              </w:rPr>
            </w:pPr>
            <w:r>
              <w:rPr>
                <w:rFonts w:ascii="Arial" w:cs="Arial" w:eastAsia="Arial" w:hAnsi="Arial"/>
                <w:sz w:val="15"/>
                <w:szCs w:val="15"/>
                <w:color w:val="auto"/>
              </w:rPr>
              <w:t>17.6</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4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Scott Barrett, M.D.</w:t>
            </w:r>
            <w:r>
              <w:rPr>
                <w:rFonts w:ascii="Arial" w:cs="Arial" w:eastAsia="Arial" w:hAnsi="Arial"/>
                <w:sz w:val="20"/>
                <w:szCs w:val="20"/>
                <w:color w:val="auto"/>
                <w:vertAlign w:val="superscript"/>
              </w:rPr>
              <w:t>(7)</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56,446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3040" w:type="dxa"/>
            <w:vAlign w:val="bottom"/>
            <w:gridSpan w:val="2"/>
          </w:tcPr>
          <w:p>
            <w:pPr>
              <w:spacing w:after="0" w:line="176" w:lineRule="exact"/>
              <w:rPr>
                <w:sz w:val="20"/>
                <w:szCs w:val="20"/>
                <w:color w:val="auto"/>
              </w:rPr>
            </w:pPr>
            <w:r>
              <w:rPr>
                <w:rFonts w:ascii="Arial" w:cs="Arial" w:eastAsia="Arial" w:hAnsi="Arial"/>
                <w:sz w:val="14"/>
                <w:szCs w:val="14"/>
                <w:color w:val="auto"/>
              </w:rPr>
              <w:t>Brett Hall, Ph.D.</w:t>
            </w:r>
            <w:r>
              <w:rPr>
                <w:rFonts w:ascii="Arial" w:cs="Arial" w:eastAsia="Arial" w:hAnsi="Arial"/>
                <w:sz w:val="20"/>
                <w:szCs w:val="20"/>
                <w:color w:val="auto"/>
                <w:vertAlign w:val="superscript"/>
              </w:rPr>
              <w:t>(8)</w:t>
            </w:r>
          </w:p>
        </w:tc>
        <w:tc>
          <w:tcPr>
            <w:tcW w:w="880" w:type="dxa"/>
            <w:vAlign w:val="bottom"/>
          </w:tcPr>
          <w:p>
            <w:pPr>
              <w:jc w:val="right"/>
              <w:ind w:right="70"/>
              <w:spacing w:after="0"/>
              <w:rPr>
                <w:sz w:val="20"/>
                <w:szCs w:val="20"/>
                <w:color w:val="auto"/>
              </w:rPr>
            </w:pPr>
            <w:r>
              <w:rPr>
                <w:rFonts w:ascii="Arial" w:cs="Arial" w:eastAsia="Arial" w:hAnsi="Arial"/>
                <w:sz w:val="15"/>
                <w:szCs w:val="15"/>
                <w:color w:val="auto"/>
              </w:rPr>
              <w:t>106,350</w:t>
            </w:r>
          </w:p>
        </w:tc>
        <w:tc>
          <w:tcPr>
            <w:tcW w:w="80" w:type="dxa"/>
            <w:vAlign w:val="bottom"/>
          </w:tcPr>
          <w:p>
            <w:pPr>
              <w:spacing w:after="0"/>
              <w:rPr>
                <w:sz w:val="15"/>
                <w:szCs w:val="15"/>
                <w:color w:val="auto"/>
              </w:rPr>
            </w:pPr>
          </w:p>
        </w:tc>
        <w:tc>
          <w:tcPr>
            <w:tcW w:w="840" w:type="dxa"/>
            <w:vAlign w:val="bottom"/>
          </w:tcPr>
          <w:p>
            <w:pPr>
              <w:jc w:val="right"/>
              <w:ind w:right="20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4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Robert J. Carpenter</w:t>
            </w:r>
            <w:r>
              <w:rPr>
                <w:rFonts w:ascii="Arial" w:cs="Arial" w:eastAsia="Arial" w:hAnsi="Arial"/>
                <w:sz w:val="20"/>
                <w:szCs w:val="20"/>
                <w:color w:val="auto"/>
                <w:vertAlign w:val="superscript"/>
              </w:rPr>
              <w:t>(9)</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616,576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3040" w:type="dxa"/>
            <w:vAlign w:val="bottom"/>
            <w:gridSpan w:val="2"/>
          </w:tcPr>
          <w:p>
            <w:pPr>
              <w:spacing w:after="0" w:line="176" w:lineRule="exact"/>
              <w:rPr>
                <w:sz w:val="20"/>
                <w:szCs w:val="20"/>
                <w:color w:val="auto"/>
              </w:rPr>
            </w:pPr>
            <w:r>
              <w:rPr>
                <w:rFonts w:ascii="Arial" w:cs="Arial" w:eastAsia="Arial" w:hAnsi="Arial"/>
                <w:sz w:val="14"/>
                <w:szCs w:val="14"/>
                <w:color w:val="auto"/>
              </w:rPr>
              <w:t>Peter Feinberg</w:t>
            </w:r>
            <w:r>
              <w:rPr>
                <w:rFonts w:ascii="Arial" w:cs="Arial" w:eastAsia="Arial" w:hAnsi="Arial"/>
                <w:sz w:val="20"/>
                <w:szCs w:val="20"/>
                <w:color w:val="auto"/>
                <w:vertAlign w:val="superscript"/>
              </w:rPr>
              <w:t>(10)</w:t>
            </w:r>
          </w:p>
        </w:tc>
        <w:tc>
          <w:tcPr>
            <w:tcW w:w="880" w:type="dxa"/>
            <w:vAlign w:val="bottom"/>
          </w:tcPr>
          <w:p>
            <w:pPr>
              <w:jc w:val="right"/>
              <w:ind w:right="70"/>
              <w:spacing w:after="0"/>
              <w:rPr>
                <w:sz w:val="20"/>
                <w:szCs w:val="20"/>
                <w:color w:val="auto"/>
              </w:rPr>
            </w:pPr>
            <w:r>
              <w:rPr>
                <w:rFonts w:ascii="Arial" w:cs="Arial" w:eastAsia="Arial" w:hAnsi="Arial"/>
                <w:sz w:val="15"/>
                <w:szCs w:val="15"/>
                <w:color w:val="auto"/>
              </w:rPr>
              <w:t>577,365</w:t>
            </w:r>
          </w:p>
        </w:tc>
        <w:tc>
          <w:tcPr>
            <w:tcW w:w="80" w:type="dxa"/>
            <w:vAlign w:val="bottom"/>
          </w:tcPr>
          <w:p>
            <w:pPr>
              <w:spacing w:after="0"/>
              <w:rPr>
                <w:sz w:val="15"/>
                <w:szCs w:val="15"/>
                <w:color w:val="auto"/>
              </w:rPr>
            </w:pPr>
          </w:p>
        </w:tc>
        <w:tc>
          <w:tcPr>
            <w:tcW w:w="840" w:type="dxa"/>
            <w:vAlign w:val="bottom"/>
          </w:tcPr>
          <w:p>
            <w:pPr>
              <w:jc w:val="right"/>
              <w:ind w:right="208"/>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5"/>
        </w:trPr>
        <w:tc>
          <w:tcPr>
            <w:tcW w:w="3040" w:type="dxa"/>
            <w:vAlign w:val="bottom"/>
            <w:gridSpan w:val="2"/>
            <w:shd w:val="clear" w:color="auto" w:fill="CCEEFF"/>
          </w:tcPr>
          <w:p>
            <w:pPr>
              <w:spacing w:after="0" w:line="165" w:lineRule="exact"/>
              <w:rPr>
                <w:sz w:val="20"/>
                <w:szCs w:val="20"/>
                <w:color w:val="auto"/>
              </w:rPr>
            </w:pPr>
            <w:r>
              <w:rPr>
                <w:rFonts w:ascii="Arial" w:cs="Arial" w:eastAsia="Arial" w:hAnsi="Arial"/>
                <w:sz w:val="15"/>
                <w:szCs w:val="15"/>
                <w:color w:val="auto"/>
              </w:rPr>
              <w:t>Laurie B. Keating</w:t>
            </w:r>
          </w:p>
        </w:tc>
        <w:tc>
          <w:tcPr>
            <w:tcW w:w="960" w:type="dxa"/>
            <w:vAlign w:val="bottom"/>
            <w:gridSpan w:val="2"/>
            <w:shd w:val="clear" w:color="auto" w:fill="CCEEFF"/>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360"/>
              <w:spacing w:after="0" w:line="165"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5"/>
        </w:trPr>
        <w:tc>
          <w:tcPr>
            <w:tcW w:w="3040" w:type="dxa"/>
            <w:vAlign w:val="bottom"/>
            <w:gridSpan w:val="2"/>
          </w:tcPr>
          <w:p>
            <w:pPr>
              <w:spacing w:after="0" w:line="165" w:lineRule="exact"/>
              <w:rPr>
                <w:sz w:val="20"/>
                <w:szCs w:val="20"/>
                <w:color w:val="auto"/>
              </w:rPr>
            </w:pPr>
            <w:r>
              <w:rPr>
                <w:rFonts w:ascii="Arial" w:cs="Arial" w:eastAsia="Arial" w:hAnsi="Arial"/>
                <w:sz w:val="15"/>
                <w:szCs w:val="15"/>
                <w:color w:val="auto"/>
              </w:rPr>
              <w:t>Andrew Phillips, Ph.D.</w:t>
            </w:r>
          </w:p>
        </w:tc>
        <w:tc>
          <w:tcPr>
            <w:tcW w:w="9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360"/>
              <w:spacing w:after="0" w:line="165" w:lineRule="exact"/>
              <w:rPr>
                <w:sz w:val="20"/>
                <w:szCs w:val="20"/>
                <w:color w:val="auto"/>
              </w:rPr>
            </w:pPr>
            <w:r>
              <w:rPr>
                <w:rFonts w:ascii="Arial" w:cs="Arial" w:eastAsia="Arial" w:hAnsi="Arial"/>
                <w:sz w:val="15"/>
                <w:szCs w:val="15"/>
                <w:color w:val="auto"/>
              </w:rPr>
              <w: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36"/>
        </w:trPr>
        <w:tc>
          <w:tcPr>
            <w:tcW w:w="304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auto"/>
                <w:w w:val="97"/>
              </w:rPr>
              <w:t>All current executive officers and directors as a</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7"/>
        </w:trPr>
        <w:tc>
          <w:tcPr>
            <w:tcW w:w="304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5"/>
                <w:szCs w:val="15"/>
                <w:color w:val="auto"/>
              </w:rPr>
              <w:t>group (8 persons)</w:t>
            </w:r>
            <w:r>
              <w:rPr>
                <w:rFonts w:ascii="Arial" w:cs="Arial" w:eastAsia="Arial" w:hAnsi="Arial"/>
                <w:sz w:val="21"/>
                <w:szCs w:val="21"/>
                <w:color w:val="auto"/>
                <w:vertAlign w:val="superscript"/>
              </w:rPr>
              <w:t>(11)</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3,878,753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27.1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-2301875</wp:posOffset>
            </wp:positionV>
            <wp:extent cx="5588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-2301875</wp:posOffset>
            </wp:positionV>
            <wp:extent cx="4889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-2301875</wp:posOffset>
            </wp:positionV>
            <wp:extent cx="5588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-2301875</wp:posOffset>
            </wp:positionV>
            <wp:extent cx="4191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97790</wp:posOffset>
            </wp:positionV>
            <wp:extent cx="44640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28" w:lineRule="exact"/>
        <w:rPr>
          <w:sz w:val="20"/>
          <w:szCs w:val="20"/>
          <w:color w:val="auto"/>
        </w:rPr>
      </w:pPr>
    </w:p>
    <w:p>
      <w:pPr>
        <w:ind w:left="1460" w:hanging="296"/>
        <w:spacing w:after="0"/>
        <w:tabs>
          <w:tab w:leader="none" w:pos="14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460" w:right="1179" w:hanging="296"/>
        <w:spacing w:after="0" w:line="253" w:lineRule="auto"/>
        <w:tabs>
          <w:tab w:leader="none" w:pos="1460" w:val="left"/>
        </w:tabs>
        <w:numPr>
          <w:ilvl w:val="0"/>
          <w:numId w:val="96"/>
        </w:numPr>
        <w:rPr>
          <w:rFonts w:ascii="Arial" w:cs="Arial" w:eastAsia="Arial" w:hAnsi="Arial"/>
          <w:sz w:val="11"/>
          <w:szCs w:val="11"/>
          <w:color w:val="auto"/>
        </w:rPr>
      </w:pPr>
      <w:r>
        <w:rPr>
          <w:rFonts w:ascii="Arial" w:cs="Arial" w:eastAsia="Arial" w:hAnsi="Arial"/>
          <w:sz w:val="11"/>
          <w:szCs w:val="11"/>
          <w:color w:val="auto"/>
        </w:rPr>
        <w:t>Consists of 1,216,165 shares of our Class A common stock issuable upon conversion of Series B Preferred Stock held of record by Citadel Multi-Strategy Equities Master Fund Ltd. (Citadel). In accordance with the preferred stock purchase agreement between Citadel and the Company and our Fourth Amended and Restated Certificate of Incorporation, the shares of Series B Preferred Stock owned by Citadel are convertible upon the our initial public offering into a combination of our Class A common stock and Class B common stock. The Class A common stock component issued upon the conversion of the Series B Preferred Stock in connection with our initial public offering cannot exceed 8.49% of the total Class A common stock outstanding (after taking into account any initial public offering allocation to Citadel) with any excess shares issued being issued to Citadel as Class B common stock. The Class B common stock is convertible into Class A common stock in Citadel’s discretion but subject to the limitations described below under “Description of Capital Stock.” Citadel Advisors LLC (Citadel Advisors) is the portfolio manager of Citadel. Citadel Advisors Holdings LP (CAH) is the sole member of Citadel Advisors. Citadel GP LLC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held by Citadel. The foregoing should not be construed as an admission that Mr. Griffin or any of the Citadel related entities is the beneficial owner of any of our securities other than the securities actually owned by such person (if any). The address for Citadel is 131 S Dearborn St, 32nd Floor, Chicago, IL 60603.</w:t>
      </w:r>
    </w:p>
    <w:p>
      <w:pPr>
        <w:spacing w:after="0" w:line="32" w:lineRule="exact"/>
        <w:rPr>
          <w:rFonts w:ascii="Arial" w:cs="Arial" w:eastAsia="Arial" w:hAnsi="Arial"/>
          <w:sz w:val="11"/>
          <w:szCs w:val="11"/>
          <w:color w:val="auto"/>
        </w:rPr>
      </w:pPr>
    </w:p>
    <w:p>
      <w:pPr>
        <w:jc w:val="both"/>
        <w:ind w:left="1460" w:right="1179" w:hanging="296"/>
        <w:spacing w:after="0" w:line="231"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276,920 shares of our Class A common stock issuable upon conversion of our Series B Preferred Stock directly held of record by Cormorant Global Healthcare Master Fund, LP, (ii) 927,495 shares of our Class A common stock issuable upon conversion of our Series B Preferred Stock directly held of record by Cormorant Private Healthcare Fund III, LP and (iii) 11,748 shares of our Class A common stock issuable upon conversion of our Series B Preferred Stock directly held of record by CRMA SPV, LP. Cormorant Asset Management, LP is the investment manager to Cormorant Private Healthcare Fund III, LP, Cormorant Global Healthcare Master Fund, LP and CRMA SPV, LP, and, in such capacity, exercises shared voting and dispositive power over the securities held of record by the entities affiliated with Cormorant Asset Management, LP and may be deemed to beneficially own such securities. Bihua Chen serves as the managing member of Cormorant Asset Management, LP and as such shares voting and dispositive power over the securities held by the entities affiliated with Cormorant Asset Management, LP. The principal address for the Cormorant Asset Management, LP entities is 200 Clarendon Street 52nd Floor, Boston, Massachusetts 02116.</w:t>
      </w:r>
    </w:p>
    <w:p>
      <w:pPr>
        <w:spacing w:after="0" w:line="44" w:lineRule="exact"/>
        <w:rPr>
          <w:rFonts w:ascii="Arial" w:cs="Arial" w:eastAsia="Arial" w:hAnsi="Arial"/>
          <w:sz w:val="12"/>
          <w:szCs w:val="12"/>
          <w:color w:val="auto"/>
        </w:rPr>
      </w:pPr>
    </w:p>
    <w:p>
      <w:pPr>
        <w:jc w:val="both"/>
        <w:ind w:left="1460" w:right="1179" w:hanging="296"/>
        <w:spacing w:after="0" w:line="218"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88,395 shares of our Class A common stock, (ii) 409,289 shares of our Class A common stock issuable upon conversion of the Series A Preferred Stock, and (iii) 291,878 shares of our Class A common stock issuable upon conversion of the Series B Preferred Stock. The address for this entity is c/o Block &amp; Anchin LLP, 1375 Broadway 16</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Floor, New York, New York 10018.</w:t>
      </w:r>
    </w:p>
    <w:p>
      <w:pPr>
        <w:spacing w:after="0" w:line="50" w:lineRule="exact"/>
        <w:rPr>
          <w:rFonts w:ascii="Arial" w:cs="Arial" w:eastAsia="Arial" w:hAnsi="Arial"/>
          <w:sz w:val="12"/>
          <w:szCs w:val="12"/>
          <w:color w:val="auto"/>
        </w:rPr>
      </w:pPr>
    </w:p>
    <w:p>
      <w:pPr>
        <w:jc w:val="both"/>
        <w:ind w:left="1460" w:right="1179" w:hanging="296"/>
        <w:spacing w:after="0" w:line="236"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145,940 shares of our Class A common stock issuable upon conversion of our Series B Preferred Stock directly held of record by Four Pines Master Fund LP, and (ii) 632,405 shares of our Class A common stock issuable upon conversion of our Series B Preferred Stock directly held of record by Rock Springs Capital Master Fund LP. The address for these entities is 650 South Exeter Street, Suite 1070, Baltimore, Maryland 21202.</w:t>
      </w:r>
    </w:p>
    <w:p>
      <w:pPr>
        <w:spacing w:after="0" w:line="39" w:lineRule="exact"/>
        <w:rPr>
          <w:rFonts w:ascii="Arial" w:cs="Arial" w:eastAsia="Arial" w:hAnsi="Arial"/>
          <w:sz w:val="12"/>
          <w:szCs w:val="12"/>
          <w:color w:val="auto"/>
        </w:rPr>
      </w:pPr>
    </w:p>
    <w:p>
      <w:pPr>
        <w:jc w:val="both"/>
        <w:ind w:left="1460" w:right="1179" w:hanging="296"/>
        <w:spacing w:after="0" w:line="231"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31,206 shares of our Class A common stock issuable upon conversion of the Series B Preferred Stock held of record by T. Rowe Price Health Sciences Portfolio, (ii) 696,164 shares of our Class A common stock issuable upon the conversion of the Series B Preferred Stock held of record by T. Rowe Price Health Sciences Fund, Inc., and (iii) 50,975 shares of our Class A common stock issuable upon conversion of the Series B Preferred Stock held of record by TD Mutual Funds—TD Health Sciences Fund. The foregoing accounts are advised or sub-advised by T. Rowe Price Associates, Inc. (T. Rowe Price) a registered investment advisor. T. Rowe Price serves as investment advisor or subadvisor,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advisor or subadvisor,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spacing w:after="0" w:line="39" w:lineRule="exact"/>
        <w:rPr>
          <w:rFonts w:ascii="Arial" w:cs="Arial" w:eastAsia="Arial" w:hAnsi="Arial"/>
          <w:sz w:val="12"/>
          <w:szCs w:val="12"/>
          <w:color w:val="auto"/>
        </w:rPr>
      </w:pPr>
    </w:p>
    <w:p>
      <w:pPr>
        <w:jc w:val="both"/>
        <w:ind w:left="1460" w:right="1179" w:hanging="296"/>
        <w:spacing w:after="0" w:line="258" w:lineRule="auto"/>
        <w:tabs>
          <w:tab w:leader="none" w:pos="1460" w:val="left"/>
        </w:tabs>
        <w:numPr>
          <w:ilvl w:val="0"/>
          <w:numId w:val="96"/>
        </w:numPr>
        <w:rPr>
          <w:rFonts w:ascii="Arial" w:cs="Arial" w:eastAsia="Arial" w:hAnsi="Arial"/>
          <w:sz w:val="11"/>
          <w:szCs w:val="11"/>
          <w:color w:val="auto"/>
        </w:rPr>
      </w:pPr>
      <w:r>
        <w:rPr>
          <w:rFonts w:ascii="Arial" w:cs="Arial" w:eastAsia="Arial" w:hAnsi="Arial"/>
          <w:sz w:val="11"/>
          <w:szCs w:val="11"/>
          <w:color w:val="auto"/>
        </w:rPr>
        <w:t>Consists of (i) 1,820,766 shares of our Class A common stock, (ii) 29,234 shares of our Class A common stock issuable upon conversion of the Series A Preferred Stock, (iii) 5,837 shares of our Class A common stock issuable upon conversion of the Series B Preferred Stock, (iv) 150,000 shares of our Class A common stock underlying options exercisable within 60 days from May 31, 2021, and (v) 389,234 shares of our Class A common stock held of record by the Benjamin J. Zeskind 2020 Family Trust, where Lisa Schwartz, Dr. Zeskind’s spouse, serves as sole trustee. Lisa Schwartz may be deemed to have sole voting and dispositive power with respect to the shares held of record by the Benjamin J. Zeskind 2020 Family Trust.</w:t>
      </w:r>
    </w:p>
    <w:p>
      <w:pPr>
        <w:spacing w:after="0" w:line="30" w:lineRule="exact"/>
        <w:rPr>
          <w:rFonts w:ascii="Arial" w:cs="Arial" w:eastAsia="Arial" w:hAnsi="Arial"/>
          <w:sz w:val="11"/>
          <w:szCs w:val="11"/>
          <w:color w:val="auto"/>
        </w:rPr>
      </w:pPr>
    </w:p>
    <w:p>
      <w:pPr>
        <w:jc w:val="both"/>
        <w:ind w:left="1460" w:right="1179" w:hanging="296"/>
        <w:spacing w:after="0" w:line="238"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2,338 shares of our Class A common stock issuable upon conversion of the Series A Preferred Stock, (ii) 1,945 shares of our Class A common stock issuable upon conversion of the Series B Preferred Stock, and (iii) 52,163 shares of our Class A common stock underlying options exercisable within 60 days from May 31, 2021.</w:t>
      </w:r>
    </w:p>
    <w:p>
      <w:pPr>
        <w:spacing w:after="0" w:line="50" w:lineRule="exact"/>
        <w:rPr>
          <w:rFonts w:ascii="Arial" w:cs="Arial" w:eastAsia="Arial" w:hAnsi="Arial"/>
          <w:sz w:val="12"/>
          <w:szCs w:val="12"/>
          <w:color w:val="auto"/>
        </w:rPr>
      </w:pPr>
    </w:p>
    <w:p>
      <w:pPr>
        <w:jc w:val="both"/>
        <w:ind w:left="1460" w:right="1179" w:hanging="296"/>
        <w:spacing w:after="0" w:line="238"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1,169 shares of our Class A common stock issuable upon conversion of the Series A Preferred Stock, (ii) 2,431 shares of our Class A common stock issuable upon conversion of the Series B Preferred Stock, and (iii) 102,750 shares of our Class A common stock underlying options exercisable within 60 days from May 31, 2021.</w:t>
      </w:r>
    </w:p>
    <w:p>
      <w:pPr>
        <w:spacing w:after="0" w:line="39" w:lineRule="exact"/>
        <w:rPr>
          <w:rFonts w:ascii="Arial" w:cs="Arial" w:eastAsia="Arial" w:hAnsi="Arial"/>
          <w:sz w:val="12"/>
          <w:szCs w:val="12"/>
          <w:color w:val="auto"/>
        </w:rPr>
      </w:pPr>
    </w:p>
    <w:p>
      <w:pPr>
        <w:jc w:val="both"/>
        <w:ind w:left="1460" w:right="1179" w:hanging="296"/>
        <w:spacing w:after="0" w:line="236"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433,333 shares of our Class A common stock, (ii) 67,561 shares of our Class A common stock issuable upon conversion of the Series A Preferred Stock, (iii) 87,563 shares of our Class A common stock issuable upon conversion of the Series B Preferred Stock, and (iv) 28,119 shares of our Class A common stock underlying options exercisable within 60 days from May 31, 2021.</w:t>
      </w:r>
    </w:p>
    <w:p>
      <w:pPr>
        <w:spacing w:after="0" w:line="39" w:lineRule="exact"/>
        <w:rPr>
          <w:rFonts w:ascii="Arial" w:cs="Arial" w:eastAsia="Arial" w:hAnsi="Arial"/>
          <w:sz w:val="12"/>
          <w:szCs w:val="12"/>
          <w:color w:val="auto"/>
        </w:rPr>
      </w:pPr>
    </w:p>
    <w:p>
      <w:pPr>
        <w:jc w:val="both"/>
        <w:ind w:left="1460" w:right="1179" w:hanging="296"/>
        <w:spacing w:after="0" w:line="234" w:lineRule="auto"/>
        <w:tabs>
          <w:tab w:leader="none" w:pos="1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36,759 shares of our Class A common stock issuable upon conversion of the Series A Preferred Stock held of record by Feinberg Investment Trust LLC, (ii) 21,890 shares of our Class A common stock issuable upon conversion of the Series B Preferred Stock held of record by Feinberg Investment Trust LLC, (iii) 88,396 shares of our Class A common stock held of record by PEF LLC, (iv) 66,078 shares of our Class A common stock issuable upon conversion of the Series A Preferred Stock held of record by PEF LLC, (v) 21,890 shares of our Class A common stock issuable upon conversion of the Series B Preferred Stock held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460" w:right="1179"/>
        <w:spacing w:after="0" w:line="259" w:lineRule="auto"/>
        <w:rPr>
          <w:sz w:val="20"/>
          <w:szCs w:val="20"/>
          <w:color w:val="auto"/>
        </w:rPr>
      </w:pPr>
      <w:r>
        <w:rPr>
          <w:rFonts w:ascii="Arial" w:cs="Arial" w:eastAsia="Arial" w:hAnsi="Arial"/>
          <w:sz w:val="11"/>
          <w:szCs w:val="11"/>
          <w:color w:val="auto"/>
        </w:rPr>
        <w:t>of record by PEF LLC, (vi) 88,395 shares of our Class A common stock held of record by PF Associates L.P., (vii) 73,519 shares of our Class A common stock issuable upon conversion of the Series A Preferred Stock held of record by PF Associates L.P.,</w:t>
      </w:r>
    </w:p>
    <w:p>
      <w:pPr>
        <w:spacing w:after="0" w:line="1" w:lineRule="exact"/>
        <w:rPr>
          <w:sz w:val="20"/>
          <w:szCs w:val="20"/>
          <w:color w:val="auto"/>
        </w:rPr>
      </w:pPr>
    </w:p>
    <w:p>
      <w:pPr>
        <w:jc w:val="both"/>
        <w:ind w:left="1460" w:right="1179"/>
        <w:spacing w:after="0" w:line="231" w:lineRule="auto"/>
        <w:rPr>
          <w:sz w:val="20"/>
          <w:szCs w:val="20"/>
          <w:color w:val="auto"/>
        </w:rPr>
      </w:pPr>
      <w:r>
        <w:rPr>
          <w:rFonts w:ascii="Arial" w:cs="Arial" w:eastAsia="Arial" w:hAnsi="Arial"/>
          <w:sz w:val="12"/>
          <w:szCs w:val="12"/>
          <w:color w:val="auto"/>
        </w:rPr>
        <w:t>(viii) 21,890 shares of our Class A common stock issuable upon conversion of our Series B Preferred Stock held of record by PF Associates L.P., (ix) 36,759 shares of our Class A common stock issuable upon conversion of the Series A Preferred Stock held of record by S4K Investments LLC, (x) 21,890 shares of our Class A common stock issuable upon conversion of the Series B Preferred Stock held of record by S4K Investments LLC, (xi) 71,780 shares of our Class A common stock issuable upon the exercise of underlying warrants, and (xii) 28,119 shares of our Class A common stock underlying options exercisable within 60 days from May 31, 2021.</w:t>
      </w:r>
    </w:p>
    <w:p>
      <w:pPr>
        <w:spacing w:after="0" w:line="39" w:lineRule="exact"/>
        <w:rPr>
          <w:sz w:val="20"/>
          <w:szCs w:val="20"/>
          <w:color w:val="auto"/>
        </w:rPr>
      </w:pPr>
    </w:p>
    <w:p>
      <w:pPr>
        <w:ind w:left="1460" w:hanging="296"/>
        <w:spacing w:after="0"/>
        <w:tabs>
          <w:tab w:leader="none" w:pos="14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Consists of 1,945 shares of our Class A common stock issuable upon conversion of the Series B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w:t>
      </w:r>
    </w:p>
    <w:p>
      <w:pPr>
        <w:spacing w:after="0" w:line="11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At or 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79" w:lineRule="exact"/>
        <w:rPr>
          <w:sz w:val="20"/>
          <w:szCs w:val="20"/>
          <w:color w:val="auto"/>
        </w:rPr>
      </w:pPr>
    </w:p>
    <w:p>
      <w:pPr>
        <w:ind w:left="1600" w:hanging="143"/>
        <w:spacing w:after="0"/>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shares of Class A common stock, $0.001 par value per share;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shares of Class B common stock, $0.001 par value per share;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shares of preferred stock, $0.001 par value per share.</w:t>
      </w:r>
    </w:p>
    <w:p>
      <w:pPr>
        <w:spacing w:after="0" w:line="124"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We are selling shares of Class A common stock in this offering ( shares if the underwriters exercise their option to purchase additional shares of our Class A common stock in full). All shares of our Class A common stock outstanding upon consummation of this offering will be fully paid and non-assessable.</w:t>
      </w:r>
    </w:p>
    <w:p>
      <w:pPr>
        <w:spacing w:after="0" w:line="91"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01"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Class A Common Stock</w:t>
      </w:r>
    </w:p>
    <w:p>
      <w:pPr>
        <w:spacing w:after="0" w:line="124"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The holders of our Class A common stock are entitled to one vote for each share held on all matters submitted to a vote of the stockholders. The holders of our Class A common stock do not have any cumulative voting rights. Holders of our Class A common stock are entitled to receive ratably any dividends declared by our board of directors out of funds legally available for that purpose, subject to any preferential dividend rights of any outstanding preferred stock. Our Class A common stock has no preemptive rights, conversion rights or other subscription rights or redemption or sinking fund provisions.</w:t>
      </w:r>
    </w:p>
    <w:p>
      <w:pPr>
        <w:spacing w:after="0" w:line="82"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In the event of our liquidation, dissolution or winding up, holders of our Class A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02"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to stockholders after the payment of all of our debts and other liabilities, subject to the prior rights of any preferred stock then outstanding.</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Class B Common Stock</w:t>
      </w:r>
    </w:p>
    <w:p>
      <w:pPr>
        <w:spacing w:after="0" w:line="124"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The Class B common stock is identical to our Class A common stock in all respects, except that the holders of our Class B common stock will not be entitled to vote on shareholder matters except as required by law. In addition, holders of our Class B common stock will have the right to convert each share of Class B common stock into one share of Class A common stock at the holder’s election, unless, as a result of such conversion, the holder and its affiliates would own more than 9.9% of the combined voting power of our outstanding share capital, and subject to certain additional restrictions as more particularly described in our amended and restated certificate of incorporation. Shares of Class B common stock, once converted to shares of Class A common stock, may not be converted back into shares of Class B common stock.</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Preferred Stock</w:t>
      </w:r>
    </w:p>
    <w:p>
      <w:pPr>
        <w:spacing w:after="0" w:line="117"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Upon the closing of this offering, (i) all outstanding shares of our Series A Preferred Stock and Series B Preferred Stock will be converted into shares of our Class A common stock, subject to certain beneficial ownership limitations, and (ii) all outstanding shares of our Series A Preferred Stock and Series B Preferred Stock will automatically be cancelled.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Upon the consummation of this offering, our board of directors will have the authority, without further</w:t>
      </w:r>
    </w:p>
    <w:p>
      <w:pPr>
        <w:spacing w:after="0" w:line="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Class A common stock. The issuance of our preferred stock could adversely affect the voting power of holders of Class A common stock and the likelihood that such holders will receive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28"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Under the IRA, following the consummation of this offering, certain holders of our common stock will be entitled to certain rights with respect to the registration of such shares for public resale under the Securities Act, until the rights otherwise terminate pursuant to the terms of the IRA. Pursuant to the IRA, beginning</w:t>
      </w:r>
    </w:p>
    <w:p>
      <w:pPr>
        <w:spacing w:after="0" w:line="1"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six months after the completion of this offering, the holders of up to shares of our Class A common stock, or certain transferees, will be entitled to certain rights with respect to the registration of the offer and sale of those shares under the Securities Act.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Form S-1 Registration Rights</w:t>
      </w:r>
    </w:p>
    <w:p>
      <w:pPr>
        <w:spacing w:after="0" w:line="113"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 xml:space="preserve">Pursuant to the IRA, certain holders of common stock are entitled to certain demand registration rights, including to demand registration of their registrable securities on a registration statement on Form S-1 at any time after the earlier of (i) five years after the date of the IRA, or (ii) 180 days following the completion of this offering. The holders holding more than a majority of the registrable securities have the right to require us to file a registration statement on Form S-1 under the Securities Act in order to register the resale of their shares of common stock; </w:t>
      </w:r>
      <w:r>
        <w:rPr>
          <w:rFonts w:ascii="Arial" w:cs="Arial" w:eastAsia="Arial" w:hAnsi="Arial"/>
          <w:sz w:val="14"/>
          <w:szCs w:val="14"/>
          <w:i w:val="1"/>
          <w:iCs w:val="1"/>
          <w:color w:val="auto"/>
        </w:rPr>
        <w:t>provided</w:t>
      </w:r>
      <w:r>
        <w:rPr>
          <w:rFonts w:ascii="Arial" w:cs="Arial" w:eastAsia="Arial" w:hAnsi="Arial"/>
          <w:sz w:val="14"/>
          <w:szCs w:val="14"/>
          <w:color w:val="auto"/>
        </w:rPr>
        <w:t>, that no such registration is required to be made (i) during the period that is 60 days before the Company’s good faith estimate of the date of filing of, and ending on a date that is 180 days after the effective date of, a Company-initiated registration, (ii) at such time as we have effected one registration statement, or (iii) if the holders who initiated the registration request propose to dispose of shares of registrable securities that may be immediately registered on Form S-3 pursuant to a request under the IRA. We may, in certain circumstances, defer such registrations, and the underwriters have the right, subject to certain limitations, to limit the number of shares included in such registrations.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Piggyback Registration Rights</w:t>
      </w:r>
    </w:p>
    <w:p>
      <w:pPr>
        <w:spacing w:after="0" w:line="124"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Form S-3 Registration Rights</w:t>
      </w:r>
    </w:p>
    <w:p>
      <w:pPr>
        <w:spacing w:after="0" w:line="124"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 xml:space="preserve">After we are qualified for registration on Form S-3, the holders, as holders of registrable securities, may make a written request that we register the offer and sale of their shares on a Form S-3 registration statement; </w:t>
      </w:r>
      <w:r>
        <w:rPr>
          <w:rFonts w:ascii="Arial" w:cs="Arial" w:eastAsia="Arial" w:hAnsi="Arial"/>
          <w:sz w:val="15"/>
          <w:szCs w:val="15"/>
          <w:i w:val="1"/>
          <w:iCs w:val="1"/>
          <w:color w:val="auto"/>
        </w:rPr>
        <w:t>provided</w:t>
      </w:r>
      <w:r>
        <w:rPr>
          <w:rFonts w:ascii="Arial" w:cs="Arial" w:eastAsia="Arial" w:hAnsi="Arial"/>
          <w:sz w:val="15"/>
          <w:szCs w:val="15"/>
          <w:color w:val="auto"/>
        </w:rPr>
        <w:t>, that no such registration is required to be made (i) during the period that is 30 days before the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Company’s good faith estimate of the date of filing of, and ending on a date that is 90 days after the effective date of, a Company-initiated registration, or (ii) at such time as we have effected two such registrations in the last 12 months. We may, in certain circumstances, defer such registrations, and the underwriters have the right, subject to certain limitations, to limit the number of shares included in such registrations.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Expenses and Indemnification</w:t>
      </w:r>
    </w:p>
    <w:p>
      <w:pPr>
        <w:spacing w:after="0" w:line="113"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 Additionally, we have agreed to indemnify selling stockholders for damages, and any legal or other expenses reasonably incurred, arising from or based upon any untrue statement of a material fact contained in any registration statement, an omission or alleged omission to state a material fact in any registration statement or necessary to make the statements therein not misleading, or any violation or alleged violation by the indemnifying party of securities laws, subject to certain exceptions.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Termination of Registration Rights</w:t>
      </w:r>
    </w:p>
    <w:p>
      <w:pPr>
        <w:spacing w:after="0" w:line="124"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The registration rights terminate upon the earliest of: (i) such date after the completion of this offering on which all shares of registrable securities may be sold during any three (3) month period pursuant to Rule 144 of the Securities Act, (ii) the first anniversary of the completion of this offering, or (iii) the occurrence of a deemed liquidation event.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Choice of Forum</w:t>
      </w:r>
    </w:p>
    <w:p>
      <w:pPr>
        <w:spacing w:after="0" w:line="128" w:lineRule="exact"/>
        <w:rPr>
          <w:sz w:val="20"/>
          <w:szCs w:val="20"/>
          <w:color w:val="auto"/>
        </w:rPr>
      </w:pPr>
    </w:p>
    <w:p>
      <w:pPr>
        <w:jc w:val="both"/>
        <w:ind w:left="1160" w:right="1179"/>
        <w:spacing w:after="0" w:line="263" w:lineRule="auto"/>
        <w:rPr>
          <w:sz w:val="20"/>
          <w:szCs w:val="20"/>
          <w:color w:val="auto"/>
        </w:rPr>
      </w:pPr>
      <w:r>
        <w:rPr>
          <w:rFonts w:ascii="Arial" w:cs="Arial" w:eastAsia="Arial" w:hAnsi="Arial"/>
          <w:sz w:val="14"/>
          <w:szCs w:val="14"/>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(i) any derivative action or proceeding brought on our behalf; (ii) any action asserting a claim of breach of fiduciary duty owed by any of our directors, officers or stockholders to us or to our stockholders; (iii) any action asserting a claim against us arising pursuant to the DGCL, our amended and restated certificate of incorporation or our amended and restated bylaws (as either may be amended from time to time); and (iv)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95"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described above, it is possible that a court could find that such a provision is inapplicable for a particular claim or action or that such provision is unenforceable.</w:t>
      </w:r>
    </w:p>
    <w:p>
      <w:pPr>
        <w:spacing w:after="0" w:line="83"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Dividends</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common stock in the foreseeable future. See “Dividend Policy” and “Risk Factors—Risks Related to this Offering and Ownership of our Common Stock—We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Anti-Takeover Provisions</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color w:val="auto"/>
        </w:rPr>
        <w:t>Our amended and restated certificate of incorporation and amended and restated bylaws, as they will be in effect immediately prior to the consummation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See “Risk Factors—Risks Related to This Offering and Ownership of Our Common Stock—Our charter documents and Delaware law could prevent a takeover that stockholders consider favorable and could also reduce the market price of our stock.”</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Authorized but Unissued Shares</w:t>
      </w:r>
    </w:p>
    <w:p>
      <w:pPr>
        <w:spacing w:after="0" w:line="113"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The authorized but unissued shares of our common stock and our preferred stock are available for future issuance without stockholder approval, subject to any limitations imposed by the listing standards of the Nasdaq Global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Classified Board of Directors</w:t>
      </w:r>
    </w:p>
    <w:p>
      <w:pPr>
        <w:spacing w:after="0" w:line="124"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Our amended and restated certificate of incorporation will provide that our board of directors will be divided into three classes, with the classes as nearly equal in number as possible and each class serving three- year staggered terms. In all other cases and at any other time, directors may only be removed from our board of directors for cause by the affirmative vote of a majority of the shares entitled to vote. See “Management—Composition of our Board of Directors.” These provisions may have the effect of deferring, delaying or discouraging hostile takeovers, or changes in control of us or our management.</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Stockholder Action; Special Meeting of Stockholders</w:t>
      </w:r>
    </w:p>
    <w:p>
      <w:pPr>
        <w:spacing w:after="0" w:line="124"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Our amended and restated certificate of incorporation will provide that our stockholders will not be able to take action by written consent for any matter and may only take action at annual or special meetings. As a</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of directors. Our amended and restated certificate of incorporation will further provide that special meetings of our stockholders may be called only by the chairman of our board of directors, our chief executive officer, our president or another officer selected by a majority of our board of directors,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Advance Notice Requirements for Stockholder Proposals and Director Nominations</w:t>
      </w:r>
    </w:p>
    <w:p>
      <w:pPr>
        <w:spacing w:after="0" w:line="113"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In addition, our amended and restated bylaws will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Amendment of Certificate of Incorporation or Bylaws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consummation of this offering, our bylaws may be amended or repealed by a majority vote of our board of directors or by the affirmative vote of the holders a majority of the votes which all our stockholders would be eligible to cast in an election of directors.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Section 203 of the DGCL</w:t>
      </w:r>
    </w:p>
    <w:p>
      <w:pPr>
        <w:spacing w:after="0" w:line="12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We are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Limitations on Liability and Indemnification of Officers and Directors</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consummation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this provision is to restrict our rights and the rights of our stockholders to recover monetary damages against a director for breach of fiduciary duties as a director.</w:t>
      </w:r>
    </w:p>
    <w:p>
      <w:pPr>
        <w:spacing w:after="0" w:line="82"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Dissenters’ Rights of Appraisal and Payment</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Under the DGCL, with certain exceptions, our stockholders will have appraisal rights in connection with a merger or consolidation of Immuneering Corporation. Pursuant to the DGCL, stockholders who properly demand and perfect appraisal rights in connection with such mergers or consolidations will have the right to receive payment of the fair value of their shares as determined by the Delaware Court of Chancery, subject to certain limitations.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Stockholders’ Derivative Actions</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in certain circumstances. Among other things, either the stockholder bringing any such action must be a holder of our shares at the time of the transaction to which the action relates or such stockholder’s stock must have thereafter devolved by operation of law, and such stockholder must continuously hold shares through the resolution of such action.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Transfer Agent and Registrar</w:t>
      </w:r>
    </w:p>
    <w:p>
      <w:pPr>
        <w:spacing w:after="0" w:line="11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transfer agent and registrar for our Class A common stock is American Stock Transfer and Trust Company, LLC.</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Trading Symbol and Market</w:t>
      </w:r>
    </w:p>
    <w:p>
      <w:pPr>
        <w:spacing w:after="0" w:line="12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We have applied to list our Class A common stock on the Nasdaq Global Market under the symbol “IMRX.” We do not intend to list the Class B common stock on any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the Nasdaq Global Market, we cannot assure you that there will be an active public market for our Class A common stock.</w:t>
      </w:r>
    </w:p>
    <w:p>
      <w:pPr>
        <w:spacing w:after="0" w:line="105"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5"/>
          <w:szCs w:val="15"/>
          <w:color w:val="auto"/>
        </w:rPr>
        <w:t>Upon the closing of this offering, we will have outstanding an aggregate of shares of common stock, assuming the issuance of shares of Class A common stock offered by us in this offering. Of</w:t>
      </w:r>
    </w:p>
    <w:p>
      <w:pPr>
        <w:jc w:val="both"/>
        <w:ind w:left="1160" w:right="1179"/>
        <w:spacing w:after="0" w:line="269" w:lineRule="auto"/>
        <w:rPr>
          <w:sz w:val="20"/>
          <w:szCs w:val="20"/>
          <w:color w:val="auto"/>
        </w:rPr>
      </w:pPr>
      <w:r>
        <w:rPr>
          <w:rFonts w:ascii="Arial" w:cs="Arial" w:eastAsia="Arial" w:hAnsi="Arial"/>
          <w:sz w:val="14"/>
          <w:szCs w:val="14"/>
          <w:color w:val="auto"/>
        </w:rPr>
        <w:t>these shares, all shares of Class A common stock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We, our officers and directors and holders of substantially all of our Class A common stock and securities convertible into or exchangeable for our Class A common stock will agree that, without the prior written consent of Morgan Stanley &amp; Co. LLC, Jefferies LLC and Cowen and Company, LLC, as representatives of the underwriters, we and they will not, subject to certain exceptions, during the period ending 180 days after the date of this prospectus:</w:t>
      </w:r>
    </w:p>
    <w:p>
      <w:pPr>
        <w:spacing w:after="0" w:line="72" w:lineRule="exact"/>
        <w:rPr>
          <w:sz w:val="20"/>
          <w:szCs w:val="20"/>
          <w:color w:val="auto"/>
        </w:rPr>
      </w:pPr>
    </w:p>
    <w:p>
      <w:pPr>
        <w:jc w:val="both"/>
        <w:ind w:left="1600" w:right="1179" w:hanging="143"/>
        <w:spacing w:after="0" w:line="271" w:lineRule="auto"/>
        <w:tabs>
          <w:tab w:leader="none" w:pos="1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transfer or dispose of, directly or indirectly or publicly disclose the intention to make any offer, sale, pledge or disposition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57" w:lineRule="exact"/>
        <w:rPr>
          <w:rFonts w:ascii="Arial" w:cs="Arial" w:eastAsia="Arial" w:hAnsi="Arial"/>
          <w:sz w:val="14"/>
          <w:szCs w:val="14"/>
          <w:color w:val="auto"/>
        </w:rPr>
      </w:pPr>
    </w:p>
    <w:p>
      <w:pPr>
        <w:jc w:val="both"/>
        <w:ind w:left="1600" w:right="1179" w:hanging="143"/>
        <w:spacing w:after="0" w:line="254" w:lineRule="auto"/>
        <w:tabs>
          <w:tab w:leader="none" w:pos="1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all or a portion of the economic consequences of ownership of our Class A common stock or any securities convertible into or exercisable or exchangeable for shares of our Class A common stock,</w:t>
      </w:r>
    </w:p>
    <w:p>
      <w:pPr>
        <w:spacing w:after="0" w:line="101"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whether any transaction described above is to be settled by delivery of our Class A common stock or such other securities, in cash or otherwise. Nothing in the lock-up agreements prevents the conversion of Class B common stock into Class A common stock.</w:t>
      </w:r>
    </w:p>
    <w:p>
      <w:pPr>
        <w:spacing w:after="0" w:line="90"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The representatives of the underwriters have advised us that they have no present intent or arrangement to release any shares subject to a lock-up, and will consider the release of any lock-up on a case-by-case basis. Upon a request to release any shares subject to a lock-up, the representatives of the underwriters would consider the particular 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9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Affiliate Resales of Restricted Securities</w:t>
      </w:r>
    </w:p>
    <w:p>
      <w:pPr>
        <w:spacing w:after="0" w:line="124"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58" w:lineRule="exact"/>
        <w:rPr>
          <w:sz w:val="20"/>
          <w:szCs w:val="20"/>
          <w:color w:val="auto"/>
        </w:rPr>
      </w:pPr>
    </w:p>
    <w:p>
      <w:pPr>
        <w:ind w:left="4380" w:right="2519" w:hanging="2923"/>
        <w:spacing w:after="0" w:line="737" w:lineRule="auto"/>
        <w:tabs>
          <w:tab w:leader="none" w:pos="1612" w:val="left"/>
        </w:tabs>
        <w:numPr>
          <w:ilvl w:val="0"/>
          <w:numId w:val="100"/>
        </w:numPr>
        <w:rPr>
          <w:rFonts w:ascii="Arial" w:cs="Arial" w:eastAsia="Arial" w:hAnsi="Arial"/>
          <w:sz w:val="15"/>
          <w:szCs w:val="15"/>
          <w:color w:val="auto"/>
        </w:rPr>
      </w:pPr>
      <w:r>
        <w:rPr>
          <w:rFonts w:ascii="Arial" w:cs="Arial" w:eastAsia="Arial" w:hAnsi="Arial"/>
          <w:sz w:val="15"/>
          <w:szCs w:val="15"/>
          <w:color w:val="auto"/>
        </w:rPr>
        <w:t>1% of the number of shares of our Class A common stock then outstanding; and 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-29210</wp:posOffset>
            </wp:positionV>
            <wp:extent cx="5564505"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0" w:right="1179" w:hanging="143"/>
        <w:spacing w:after="0" w:line="254" w:lineRule="auto"/>
        <w:tabs>
          <w:tab w:leader="none" w:pos="16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average weekly trading volume in our Class A common stock on the Nasdaq Global Market during the four calendar weeks preceding the filing of a notice on Form 144 with respect to such sale.</w:t>
      </w:r>
    </w:p>
    <w:p>
      <w:pPr>
        <w:spacing w:after="0" w:line="90"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Non-Affiliate Resales of Restricted Securities</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Under Rule 144, a person who is not an affiliate of ours at the time of sale, and has not been an affiliate at any time during the 90 days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0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701</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09"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28" w:lineRule="exact"/>
        <w:rPr>
          <w:sz w:val="20"/>
          <w:szCs w:val="20"/>
          <w:color w:val="auto"/>
        </w:rPr>
      </w:pPr>
    </w:p>
    <w:p>
      <w:pPr>
        <w:jc w:val="right"/>
        <w:ind w:left="1160" w:right="1179"/>
        <w:spacing w:after="0" w:line="267" w:lineRule="auto"/>
        <w:rPr>
          <w:sz w:val="20"/>
          <w:szCs w:val="20"/>
          <w:color w:val="auto"/>
        </w:rPr>
      </w:pPr>
      <w:r>
        <w:rPr>
          <w:rFonts w:ascii="Arial" w:cs="Arial" w:eastAsia="Arial" w:hAnsi="Arial"/>
          <w:sz w:val="14"/>
          <w:szCs w:val="14"/>
          <w:color w:val="auto"/>
        </w:rPr>
        <w:t>Pursuant to our IRA, beginning six months after the completion of this offering, the holders of up to shares of our Class A common stock, or certain transferees, will be entitled to certain rights with respect to the registration of the offer and sale of those shares under the Securities Act. See the section titled</w:t>
      </w:r>
    </w:p>
    <w:p>
      <w:pPr>
        <w:spacing w:after="0" w:line="1"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Statements on Form S-8</w:t>
      </w:r>
    </w:p>
    <w:p>
      <w:pPr>
        <w:spacing w:after="0" w:line="117"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We intend to file one or more registration statements on Form S-8 under the Securities Act to register all shares of Class A common stock subject to outstanding stock options, RSUs, warrants and Class A common stock issuable, under our equity incentive plans.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117"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or IRS, in effect as of the date of this offering.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regarding the tax consequences of the purchase, ownership and disposition of our Class A common stock.</w:t>
      </w:r>
    </w:p>
    <w:p>
      <w:pPr>
        <w:spacing w:after="0" w:line="9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This discussion is limited to non-U.S. holders that hold our Class A common stock as a “capital asset” within the meaning of Section 1221 of the Code (property held for investment). This discussion does not address all U.S. federal income tax consequences relevant to a non-U.S. holder’s particular circumstances, including the impact of the alternative minimum tax, the unearned income Medicare contribution tax, or any state, local or non-U.S. taxes. In addition, it does not address consequences relevant to holders subject to particular rules, including, without limitation:</w:t>
      </w:r>
    </w:p>
    <w:p>
      <w:pPr>
        <w:spacing w:after="0" w:line="73" w:lineRule="exact"/>
        <w:rPr>
          <w:sz w:val="20"/>
          <w:szCs w:val="20"/>
          <w:color w:val="auto"/>
        </w:rPr>
      </w:pPr>
    </w:p>
    <w:p>
      <w:pPr>
        <w:ind w:left="1600" w:hanging="143"/>
        <w:spacing w:after="0"/>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persons holding our Class A common stock as part of a hedge, straddle or other risk reduction strategy or as part of a conversion transaction or other integrated investment;</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60"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corporations organized outside of the United States, any state thereof or the District of Columbia that are nonetheless treated as U.S. taxpayers for U.S. federal income tax purposes;</w:t>
      </w:r>
    </w:p>
    <w:p>
      <w:pPr>
        <w:spacing w:after="0" w:line="36"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persons for whom our Class A common stock constitutes “qualified small business stock” within the meaning of Section 1202 of the Code;</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5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59"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our Class A common stock being taken into account in an applicable financial statement; and</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2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b w:val="1"/>
          <w:bCs w:val="1"/>
          <w:color w:val="auto"/>
        </w:rPr>
        <w:t>THIS DISCUSSION IS FOR INFORMATIONAL PURPOSES ONLY AND IS NOT LEGAL OR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Definition of a Non-U.S. Holder</w:t>
      </w:r>
    </w:p>
    <w:p>
      <w:pPr>
        <w:spacing w:after="0" w:line="113"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69" w:lineRule="exact"/>
        <w:rPr>
          <w:sz w:val="20"/>
          <w:szCs w:val="20"/>
          <w:color w:val="auto"/>
        </w:rPr>
      </w:pPr>
    </w:p>
    <w:p>
      <w:pPr>
        <w:ind w:left="1600" w:hanging="143"/>
        <w:spacing w:after="0"/>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 corporation created or organized under the laws of the United States, any state thereof, or the District of Columbia;</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02" w:lineRule="exact"/>
        <w:rPr>
          <w:rFonts w:ascii="Arial" w:cs="Arial" w:eastAsia="Arial" w:hAnsi="Arial"/>
          <w:sz w:val="14"/>
          <w:szCs w:val="14"/>
          <w:color w:val="auto"/>
        </w:rPr>
      </w:pPr>
    </w:p>
    <w:p>
      <w:pPr>
        <w:jc w:val="both"/>
        <w:ind w:left="1600" w:right="1179" w:hanging="143"/>
        <w:spacing w:after="0" w:line="251" w:lineRule="auto"/>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which has one or more U.S. persons (within the meaning of Section 7701(a)(30) of the Code) who have the authority to control all substantial decisions of the trust, or (2) has a valid election in effect under applicable Treasury Regulations to be treated as a U.S. person.</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Distributions</w:t>
      </w:r>
    </w:p>
    <w:p>
      <w:pPr>
        <w:spacing w:after="0" w:line="124"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As described in the section titled “Dividend Policy,” we do not anticipate declaring or paying dividends to holders of our Class A common stock in the foreseeable future. However, if we do make distributions on our Class A common stock, such distributions of cash or property on our Class A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 of Class A Common Stock.”</w:t>
      </w:r>
    </w:p>
    <w:p>
      <w:pPr>
        <w:spacing w:after="0" w:line="92"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Subject to the discussion below on backup withholding and foreign accounts, dividends paid to a non-U.S. holder of our Class A common stock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spacing w:after="0" w:line="88"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To claim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United States and the country in which the non-U.S. holder resides or is established, or (b) IRS Form W-8ECI stating that the dividends are not subject to withholding tax because they are effectively connected with the conduct by the non-U.S. holder of a trade or business within the United States, as may be applicable.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00"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If dividends paid to a non- 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certification, as described above), the non-U.S. holder will be subject to U.S. federal income tax on such dividends on a net income basis at the regular U.S. federal income tax rates. In addition, a non -U.S.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tax treaty.</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Sale or Other Taxable Disposition of Class A Common Stock</w:t>
      </w:r>
    </w:p>
    <w:p>
      <w:pPr>
        <w:spacing w:after="0" w:line="11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Subject to the discussions below on backup withholding and foreign accounts, a non-U.S. holder will not be subject to U.S. federal income tax on any gain realized upon the sale or other taxable disposition of our Class A common stock unless:</w:t>
      </w:r>
    </w:p>
    <w:p>
      <w:pPr>
        <w:spacing w:after="0" w:line="67" w:lineRule="exact"/>
        <w:rPr>
          <w:sz w:val="20"/>
          <w:szCs w:val="20"/>
          <w:color w:val="auto"/>
        </w:rPr>
      </w:pPr>
    </w:p>
    <w:p>
      <w:pPr>
        <w:jc w:val="both"/>
        <w:ind w:left="1600" w:right="1179" w:hanging="143"/>
        <w:spacing w:after="0" w:line="281" w:lineRule="auto"/>
        <w:tabs>
          <w:tab w:leader="none" w:pos="16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49"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60" w:lineRule="exact"/>
        <w:rPr>
          <w:rFonts w:ascii="Arial" w:cs="Arial" w:eastAsia="Arial" w:hAnsi="Arial"/>
          <w:sz w:val="15"/>
          <w:szCs w:val="15"/>
          <w:color w:val="auto"/>
        </w:rPr>
      </w:pPr>
    </w:p>
    <w:p>
      <w:pPr>
        <w:ind w:left="1600" w:right="1179" w:hanging="143"/>
        <w:spacing w:after="0" w:line="341" w:lineRule="auto"/>
        <w:tabs>
          <w:tab w:leader="none" w:pos="16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our Class A common stock constitutes U.S. a real property interest, or USRPI, by reason of our status as a U.S. real property holding corporation, or USRPHC, for U.S. federal income tax purposes.</w:t>
      </w:r>
    </w:p>
    <w:p>
      <w:pPr>
        <w:spacing w:after="0" w:line="48"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Gain described in the first bullet point above will generally be subject to U.S. federal income tax on a net income basis at the regular U.S. federal income tax rates. A non-U.S. holder that is a foreign corporation also may be subject to a branch profits tax at a rate of 30% (or such lower rate specified by an applicable income tax treaty) on its effectively connected earnings and profits, as adjusted for certain items.</w:t>
      </w:r>
    </w:p>
    <w:p>
      <w:pPr>
        <w:spacing w:after="0" w:line="78"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A non-U.S. holder described in the second bullet point above will be subject to U.S. federal income tax at a rate of 30% (or such lower rate specified by an applicable income tax treaty) on any gain realized upon the sale or other taxable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91"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9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13"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A non-U.S. holder will not be subject to backup withholding with respect to distributions on our Class A common stock we make to the non-U.S. holder, provided the applicable withholding agent does not have actual knowledge or reason to know such holder is a U.S. person and the holder certifies its non-U.S. status, such as by providing a valid IRS Form W-8BEN, W-8BEN-E or W-8ECI, or other applicable certification, or otherwise establishes an exemption. However, information returns generally will be filed with the IRS in connection with any distributions made on our Class A common stock to the non-U.S. holder, regardless of whether such distributions constitute dividends or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Information reporting and backup withholding may apply to the proceeds of a sale or other taxable disposition of our Class A common stock within the United States, and information reporting may (although backup withholding generally will not) apply to the proceeds of a sale or other taxable disposition of our Class A common stock outside the United States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our Class A common stock conducted through a non-U.S. office of a non-U.S. broker generally will not be subject to backup withholding or information reporting.</w:t>
      </w:r>
    </w:p>
    <w:p>
      <w:pPr>
        <w:spacing w:after="0" w:line="100"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Additional Withholding Tax on Payments Made to Foreign Accounts</w:t>
      </w:r>
    </w:p>
    <w:p>
      <w:pPr>
        <w:spacing w:after="0" w:line="12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paid on our Class A common stock, or (subject to the proposed Treasury Regulations discussed below) gross proceeds from the sale or other disposition of our Class A common stock paid to a “foreign financial institution” or a “non-financial foreign entity” (each as defined in the Code) (including, in some cases, when such foreign financial institution or non-financial foreign entity is acting as an intermediary),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6"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dividends paid on our Class A common stock. While withholding under FATCA would have applied also to payments of gross proceeds from the sale or other disposition of our Class A common stock, proposed Treasury Regulations eliminate FATCA withholding on payments of gross proceeds entirely. Taxpayers generally may rely on these proposed Treasury Regulations until final Treasury Regulations are issued. Prospective investors should consult their tax advisors regarding the potential application of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w:t>
      </w:r>
    </w:p>
    <w:p>
      <w:pPr>
        <w:spacing w:after="0" w:line="117"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Under the terms and subject to the conditions in an underwriting agreement dated the date of this prospectus, the underwriters named below, for whom Morgan Stanley &amp; Co. LLC, Jefferies LLC and Cowen and Company, LLC are acting as representatives, have severally agreed to purchase, and we have agreed to sell to them, severally, the number of shares of Class A common stock indicated below:</w:t>
      </w:r>
    </w:p>
    <w:p>
      <w:pPr>
        <w:sectPr>
          <w:pgSz w:w="11900" w:h="16838" w:orient="portrait"/>
          <w:cols w:equalWidth="0" w:num="1">
            <w:col w:w="9019"/>
          </w:cols>
          <w:pgMar w:left="1440" w:top="134" w:right="1440" w:bottom="1440" w:gutter="0" w:footer="0" w:header="0"/>
        </w:sectPr>
      </w:pPr>
    </w:p>
    <w:p>
      <w:pPr>
        <w:spacing w:after="0" w:line="246" w:lineRule="exact"/>
        <w:rPr>
          <w:sz w:val="20"/>
          <w:szCs w:val="20"/>
          <w:color w:val="auto"/>
        </w:rPr>
      </w:pPr>
    </w:p>
    <w:p>
      <w:pPr>
        <w:ind w:left="1160"/>
        <w:spacing w:after="0"/>
        <w:rPr>
          <w:sz w:val="20"/>
          <w:szCs w:val="20"/>
          <w:color w:val="auto"/>
        </w:rPr>
      </w:pPr>
      <w:r>
        <w:rPr>
          <w:rFonts w:ascii="Arial" w:cs="Arial" w:eastAsia="Arial" w:hAnsi="Arial"/>
          <w:sz w:val="9"/>
          <w:szCs w:val="9"/>
          <w:b w:val="1"/>
          <w:bCs w:val="1"/>
          <w:color w:val="auto"/>
        </w:rPr>
        <w:t>Name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Number of Shares of</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35560</wp:posOffset>
            </wp:positionV>
            <wp:extent cx="4241800" cy="1397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5960" w:space="720"/>
            <w:col w:w="2339"/>
          </w:cols>
          <w:pgMar w:left="1440" w:top="134" w:right="1440" w:bottom="1440" w:gutter="0" w:footer="0" w:header="0"/>
          <w:type w:val="continuous"/>
        </w:sectPr>
      </w:pPr>
    </w:p>
    <w:p>
      <w:pPr>
        <w:ind w:left="1160"/>
        <w:spacing w:after="0"/>
        <w:rPr>
          <w:sz w:val="20"/>
          <w:szCs w:val="20"/>
          <w:color w:val="auto"/>
        </w:rPr>
      </w:pPr>
      <w:r>
        <w:rPr>
          <w:rFonts w:ascii="Arial" w:cs="Arial" w:eastAsia="Arial" w:hAnsi="Arial"/>
          <w:sz w:val="15"/>
          <w:szCs w:val="15"/>
          <w:color w:val="auto"/>
        </w:rPr>
        <w:t>Morgan Stanley &amp; Co. LLC</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32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Cowen and Company, LLC</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15875</wp:posOffset>
            </wp:positionV>
            <wp:extent cx="4241800" cy="1536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Total:</w:t>
      </w:r>
    </w:p>
    <w:p>
      <w:pPr>
        <w:spacing w:after="0" w:line="212" w:lineRule="exact"/>
        <w:rPr>
          <w:sz w:val="20"/>
          <w:szCs w:val="20"/>
          <w:color w:val="auto"/>
        </w:rPr>
      </w:pPr>
    </w:p>
    <w:p>
      <w:pPr>
        <w:jc w:val="both"/>
        <w:ind w:left="1160" w:right="1179"/>
        <w:spacing w:after="0" w:line="273" w:lineRule="auto"/>
        <w:rPr>
          <w:sz w:val="20"/>
          <w:szCs w:val="20"/>
          <w:color w:val="auto"/>
        </w:rPr>
      </w:pPr>
      <w:r>
        <w:rPr>
          <w:rFonts w:ascii="Arial" w:cs="Arial" w:eastAsia="Arial" w:hAnsi="Arial"/>
          <w:sz w:val="13"/>
          <w:szCs w:val="13"/>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6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4"/>
          <w:szCs w:val="14"/>
          <w:color w:val="auto"/>
        </w:rPr>
        <w:t>The underwriters initially propose to offer part of the shares of Class A common stock directly to the public at the initial public offering price listed on the cover page of this prospectus and part to certain dealers at a</w:t>
      </w:r>
    </w:p>
    <w:p>
      <w:pPr>
        <w:spacing w:after="0" w:line="1"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price that represents a concession not in excess of $ per share under the public offering price. After the initial offering of the shares of Class A common stock, the offering price and other selling terms may from time to time be varied by the representatives.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We have granted to the underwriters an option, exercisable for 30 days from the date of this prospectus, to</w:t>
      </w:r>
    </w:p>
    <w:p>
      <w:pPr>
        <w:spacing w:after="0" w:line="1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 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96"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 us. These amounts are shown assuming both no exercise and</w:t>
      </w:r>
    </w:p>
    <w:p>
      <w:pPr>
        <w:jc w:val="both"/>
        <w:ind w:left="1160" w:right="1179"/>
        <w:spacing w:after="0" w:line="236" w:lineRule="auto"/>
        <w:rPr>
          <w:sz w:val="20"/>
          <w:szCs w:val="20"/>
          <w:color w:val="auto"/>
        </w:rPr>
      </w:pPr>
      <w:r>
        <w:rPr>
          <w:rFonts w:ascii="Arial" w:cs="Arial" w:eastAsia="Arial" w:hAnsi="Arial"/>
          <w:sz w:val="15"/>
          <w:szCs w:val="15"/>
          <w:color w:val="auto"/>
        </w:rPr>
        <w:t>full exercise of the underwriters’ option to purchase up to an additional shares of Class A common stock.</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20" w:type="dxa"/>
            <w:vAlign w:val="bottom"/>
          </w:tcPr>
          <w:p>
            <w:pPr>
              <w:spacing w:after="0"/>
              <w:rPr>
                <w:sz w:val="13"/>
                <w:szCs w:val="13"/>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Per</w:t>
            </w:r>
          </w:p>
        </w:tc>
        <w:tc>
          <w:tcPr>
            <w:tcW w:w="1400" w:type="dxa"/>
            <w:vAlign w:val="bottom"/>
            <w:gridSpan w:val="4"/>
          </w:tcPr>
          <w:p>
            <w:pPr>
              <w:ind w:left="5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Share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No Exercise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83"/>
              </w:rPr>
              <w:t>Full Exercise</w:t>
            </w:r>
          </w:p>
        </w:tc>
        <w:tc>
          <w:tcPr>
            <w:tcW w:w="0" w:type="dxa"/>
            <w:vAlign w:val="bottom"/>
          </w:tcPr>
          <w:p>
            <w:pPr>
              <w:spacing w:after="0"/>
              <w:rPr>
                <w:sz w:val="1"/>
                <w:szCs w:val="1"/>
                <w:color w:val="auto"/>
              </w:rPr>
            </w:pP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5"/>
                <w:szCs w:val="15"/>
                <w:color w:val="auto"/>
              </w:rPr>
              <w:t>Underwriting discounts and commissions: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-403860</wp:posOffset>
            </wp:positionV>
            <wp:extent cx="1397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-403860</wp:posOffset>
            </wp:positionV>
            <wp:extent cx="383032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30320" cy="6985"/>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estimated offering expenses payable by us, exclusive of the underwriting discounts and commissions,</w:t>
      </w:r>
    </w:p>
    <w:p>
      <w:pPr>
        <w:spacing w:after="0" w:line="16" w:lineRule="exact"/>
        <w:rPr>
          <w:sz w:val="20"/>
          <w:szCs w:val="20"/>
          <w:color w:val="auto"/>
        </w:rPr>
      </w:pPr>
    </w:p>
    <w:p>
      <w:pPr>
        <w:ind w:left="1160" w:right="1179"/>
        <w:spacing w:after="0" w:line="236" w:lineRule="auto"/>
        <w:rPr>
          <w:sz w:val="20"/>
          <w:szCs w:val="20"/>
          <w:color w:val="auto"/>
        </w:rPr>
      </w:pPr>
      <w:r>
        <w:rPr>
          <w:rFonts w:ascii="Arial" w:cs="Arial" w:eastAsia="Arial" w:hAnsi="Arial"/>
          <w:sz w:val="15"/>
          <w:szCs w:val="15"/>
          <w:color w:val="auto"/>
        </w:rPr>
        <w:t>are approximately $ . We have agreed to reimburse the underwriters for expenses relating to clearance of this offering with the Financial Industry Regulatory Authority up to $ .</w:t>
      </w:r>
    </w:p>
    <w:p>
      <w:pPr>
        <w:spacing w:after="0" w:line="99"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shares of Class A common stock offered by them.</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78" w:name="page179"/>
    <w:bookmarkEnd w:id="17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We have applied to list our Class A common stock on the Nasdaq Global Market under the symbol “IMRX.” We do not intend to list the Class B common stock on any securities exchange.</w:t>
      </w:r>
    </w:p>
    <w:p>
      <w:pPr>
        <w:spacing w:after="0" w:line="82"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We have agreed that, without the prior written consent of the representatives on behalf of the underwriters, we will not, and will not publicly disclose an intention to, during the period ending 180 days after the date of this prospectus, or the restricted period:</w:t>
      </w:r>
    </w:p>
    <w:p>
      <w:pPr>
        <w:spacing w:after="0" w:line="68" w:lineRule="exact"/>
        <w:rPr>
          <w:sz w:val="20"/>
          <w:szCs w:val="20"/>
          <w:color w:val="auto"/>
        </w:rPr>
      </w:pPr>
    </w:p>
    <w:p>
      <w:pPr>
        <w:jc w:val="both"/>
        <w:ind w:left="1600" w:right="1179" w:hanging="143"/>
        <w:spacing w:after="0" w:line="274" w:lineRule="auto"/>
        <w:tabs>
          <w:tab w:leader="none" w:pos="16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Class A common stock;</w:t>
      </w:r>
    </w:p>
    <w:p>
      <w:pPr>
        <w:spacing w:after="0" w:line="66" w:lineRule="exact"/>
        <w:rPr>
          <w:rFonts w:ascii="Arial" w:cs="Arial" w:eastAsia="Arial" w:hAnsi="Arial"/>
          <w:sz w:val="14"/>
          <w:szCs w:val="14"/>
          <w:color w:val="auto"/>
        </w:rPr>
      </w:pPr>
    </w:p>
    <w:p>
      <w:pPr>
        <w:jc w:val="both"/>
        <w:ind w:left="1600" w:right="1179" w:hanging="143"/>
        <w:spacing w:after="0" w:line="300" w:lineRule="auto"/>
        <w:tabs>
          <w:tab w:leader="none" w:pos="16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file any registration statement with the SEC relating to the offering of any shares of Class A common stock or any securities convertible into or exercisable or exchangeable for Class A common stock; or</w:t>
      </w:r>
    </w:p>
    <w:p>
      <w:pPr>
        <w:spacing w:after="0" w:line="36" w:lineRule="exact"/>
        <w:rPr>
          <w:rFonts w:ascii="Arial" w:cs="Arial" w:eastAsia="Arial" w:hAnsi="Arial"/>
          <w:sz w:val="14"/>
          <w:szCs w:val="14"/>
          <w:color w:val="auto"/>
        </w:rPr>
      </w:pPr>
    </w:p>
    <w:p>
      <w:pPr>
        <w:ind w:left="1600" w:right="1179" w:hanging="143"/>
        <w:spacing w:after="0" w:line="300" w:lineRule="auto"/>
        <w:tabs>
          <w:tab w:leader="none" w:pos="16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enter into any swap, hedge, option, derivative or other arrangement that transfers to another, in whole or in part, any of the economic consequences of ownership of our Class A common stock.</w:t>
      </w:r>
    </w:p>
    <w:p>
      <w:pPr>
        <w:spacing w:after="0" w:line="5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whether any such transaction described above is to be settled by delivery of our Class A common stock or such other securities, in cash or otherwise.</w:t>
      </w:r>
    </w:p>
    <w:p>
      <w:pPr>
        <w:spacing w:after="0" w:line="93"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5"/>
          <w:szCs w:val="15"/>
          <w:color w:val="auto"/>
        </w:rPr>
        <w:t>The restrictions described in the immediately preceding paragraph do not apply to us in certain circumstances, subject to certain limitations and conditions set forth in the underwriting agreement,</w:t>
      </w:r>
    </w:p>
    <w:p>
      <w:pPr>
        <w:ind w:left="1160"/>
        <w:spacing w:after="0"/>
        <w:tabs>
          <w:tab w:leader="none" w:pos="2560" w:val="left"/>
        </w:tabs>
        <w:rPr>
          <w:sz w:val="20"/>
          <w:szCs w:val="20"/>
          <w:color w:val="auto"/>
        </w:rPr>
      </w:pPr>
      <w:r>
        <w:rPr>
          <w:rFonts w:ascii="Arial" w:cs="Arial" w:eastAsia="Arial" w:hAnsi="Arial"/>
          <w:sz w:val="15"/>
          <w:szCs w:val="15"/>
          <w:color w:val="auto"/>
        </w:rPr>
        <w:t>including:</w:t>
      </w:r>
      <w:r>
        <w:rPr>
          <w:sz w:val="20"/>
          <w:szCs w:val="20"/>
          <w:color w:val="auto"/>
        </w:rPr>
        <w:tab/>
      </w:r>
      <w:r>
        <w:rPr>
          <w:rFonts w:ascii="Arial" w:cs="Arial" w:eastAsia="Arial" w:hAnsi="Arial"/>
          <w:sz w:val="15"/>
          <w:szCs w:val="15"/>
          <w:color w:val="auto"/>
        </w:rPr>
        <w:t>.</w:t>
      </w:r>
    </w:p>
    <w:p>
      <w:pPr>
        <w:spacing w:after="0" w:line="113" w:lineRule="exact"/>
        <w:rPr>
          <w:sz w:val="20"/>
          <w:szCs w:val="20"/>
          <w:color w:val="auto"/>
        </w:rPr>
      </w:pPr>
    </w:p>
    <w:p>
      <w:pPr>
        <w:jc w:val="both"/>
        <w:ind w:left="1160" w:right="1179"/>
        <w:spacing w:after="0" w:line="263" w:lineRule="auto"/>
        <w:rPr>
          <w:sz w:val="20"/>
          <w:szCs w:val="20"/>
          <w:color w:val="auto"/>
        </w:rPr>
      </w:pPr>
      <w:r>
        <w:rPr>
          <w:rFonts w:ascii="Arial" w:cs="Arial" w:eastAsia="Arial" w:hAnsi="Arial"/>
          <w:sz w:val="14"/>
          <w:szCs w:val="14"/>
          <w:color w:val="auto"/>
        </w:rPr>
        <w:t>Our directors and officers and the holders of substantially all of our outstanding stock have agreed that, without the prior written consent of the representatives on behalf of the underwriters, they will not, and will not publicly disclose an intention to, during the restricted period: (1) offer, pledge, sell, contract to sell, sell any option or contract to purchase, purchase any option or contract to sell, grant any option, right or warrant to purchase, lend, or otherwise transfer or dispose of, directly or indirectly, any common stock or any securities convertible into or exercisable or exchangeable for common stock, (2) enter into any swap or other arrangement that transfers to another, in whole or in part, any of the economic consequences of ownership of the common stock, or (3) make any demand for or exercise any right with respect to the registration of any common stock or any security convertible into or exercisable or exchangeable for common stock. These restrictions do not apply in certain circumstances, subject to certain limitations and</w:t>
      </w:r>
    </w:p>
    <w:p>
      <w:pPr>
        <w:spacing w:after="0" w:line="4" w:lineRule="exact"/>
        <w:rPr>
          <w:sz w:val="20"/>
          <w:szCs w:val="20"/>
          <w:color w:val="auto"/>
        </w:rPr>
      </w:pPr>
    </w:p>
    <w:p>
      <w:pPr>
        <w:ind w:left="1160"/>
        <w:spacing w:after="0"/>
        <w:tabs>
          <w:tab w:leader="none" w:pos="5460" w:val="left"/>
        </w:tabs>
        <w:rPr>
          <w:sz w:val="20"/>
          <w:szCs w:val="20"/>
          <w:color w:val="auto"/>
        </w:rPr>
      </w:pPr>
      <w:r>
        <w:rPr>
          <w:rFonts w:ascii="Arial" w:cs="Arial" w:eastAsia="Arial" w:hAnsi="Arial"/>
          <w:sz w:val="15"/>
          <w:szCs w:val="15"/>
          <w:color w:val="auto"/>
        </w:rPr>
        <w:t>conditions set forth in the lock-up agreements, including:</w:t>
      </w:r>
      <w:r>
        <w:rPr>
          <w:sz w:val="20"/>
          <w:szCs w:val="20"/>
          <w:color w:val="auto"/>
        </w:rPr>
        <w:tab/>
      </w:r>
      <w:r>
        <w:rPr>
          <w:rFonts w:ascii="Arial" w:cs="Arial" w:eastAsia="Arial" w:hAnsi="Arial"/>
          <w:sz w:val="14"/>
          <w:szCs w:val="14"/>
          <w:color w:val="auto"/>
        </w:rPr>
        <w:t>.</w:t>
      </w:r>
    </w:p>
    <w:p>
      <w:pPr>
        <w:spacing w:after="0" w:line="102"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representatives, in their sole discretion, may release the Class A common stock and other securities subject to the lock-up agreements described above in whole or in part at any time.</w:t>
      </w:r>
    </w:p>
    <w:p>
      <w:pPr>
        <w:spacing w:after="0" w:line="9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9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We and the underwriters have agreed to indemnify each other against certain liabilities, including liabilities under the Securities Act.</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Relationships</w:t>
      </w:r>
    </w:p>
    <w:p>
      <w:pPr>
        <w:spacing w:after="0" w:line="117"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91"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Pricing of the Offering</w:t>
      </w:r>
    </w:p>
    <w:p>
      <w:pPr>
        <w:spacing w:after="0" w:line="128"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Selling Restrictions</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Canada</w:t>
      </w:r>
    </w:p>
    <w:p>
      <w:pPr>
        <w:spacing w:after="0" w:line="113"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color w:val="auto"/>
        </w:rPr>
        <w:t>The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Class A common stock must be made in accordance with an exemption from, or in a transaction not subject to, the prospectus requirements of applicable securities laws.</w:t>
      </w:r>
    </w:p>
    <w:p>
      <w:pPr>
        <w:spacing w:after="0" w:line="91"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1"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13"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color w:val="auto"/>
        </w:rPr>
        <w:t>This prospectus and any other document or material in connection with the offer or sale, or invitation for subscription or purchase, of shares of our Class A common stock is not a prospectus for the purposes of the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4"/>
          <w:szCs w:val="14"/>
          <w:color w:val="auto"/>
        </w:rPr>
        <w:t>Prospectus Regulation (as defined below). This prospectus and any other document or material in connection with the offer or sale, or invitation for subscription or purchase, of shares of our Class A common stock and any offer if made subsequently is directed only at persons in any Member State of the European Economic Area (the “EEA” and each such member state, a “Member State”) who are “qualified investors” within the meaning of Article 2(e) of the Prospectus Regulation. This prospectus and any other document or material in connection with the offer or sale, or invitation for subscription or purchase, of shares of our Class A common stock has been prepared on the basis that any offer of Class A common stock in that Member State will be made pursuant to an exemption under the Prospectus Regulation from the requirement to publish a prospectus for offers of Class A common stock. Accordingly any person making or intending to make an offer in that Relevant State of Class A common stock which is the subject of the offering contemplated in this prospectus and any other document or material in connection with the offer or sale, or invitation for subscription or purchase, of shares of our Class A common stock may only do so in circumstances in which no obligation arises for us or any of the underwriters to publish a prospectus pursuant to Article 3 of the Prospectus Regulation in relation to such offer. Neither us nor the underwriters have authorized, nor do they authorize, the making of any offer of Class A common stock in circumstances in which an obligation arises for us or the underwriters to publish a prospectus for such offer.</w:t>
      </w:r>
    </w:p>
    <w:p>
      <w:pPr>
        <w:spacing w:after="0" w:line="85"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In relation to each Member State, no securities which are the subject of the offering contemplated by this prospectus and any other document or material in connection with the offer or sale, or invitation for subscription or purchase, of shares of our Class A common stock to the public may be made in that Member State other than:</w:t>
      </w:r>
    </w:p>
    <w:p>
      <w:pPr>
        <w:spacing w:after="0" w:line="102" w:lineRule="exact"/>
        <w:rPr>
          <w:sz w:val="20"/>
          <w:szCs w:val="20"/>
          <w:color w:val="auto"/>
        </w:rPr>
      </w:pPr>
    </w:p>
    <w:p>
      <w:pPr>
        <w:ind w:left="1760" w:hanging="303"/>
        <w:spacing w:after="0"/>
        <w:tabs>
          <w:tab w:leader="none" w:pos="17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Regulation;</w:t>
      </w:r>
    </w:p>
    <w:p>
      <w:pPr>
        <w:spacing w:after="0" w:line="113" w:lineRule="exact"/>
        <w:rPr>
          <w:rFonts w:ascii="Arial" w:cs="Arial" w:eastAsia="Arial" w:hAnsi="Arial"/>
          <w:sz w:val="15"/>
          <w:szCs w:val="15"/>
          <w:color w:val="auto"/>
        </w:rPr>
      </w:pPr>
    </w:p>
    <w:p>
      <w:pPr>
        <w:ind w:left="1760" w:right="1179" w:hanging="303"/>
        <w:spacing w:after="0" w:line="264" w:lineRule="auto"/>
        <w:tabs>
          <w:tab w:leader="none" w:pos="17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in the Prospectus Regulation), subject to obtaining the prior consent of the representatives; or</w:t>
      </w:r>
    </w:p>
    <w:p>
      <w:pPr>
        <w:spacing w:after="0" w:line="81" w:lineRule="exact"/>
        <w:rPr>
          <w:rFonts w:ascii="Arial" w:cs="Arial" w:eastAsia="Arial" w:hAnsi="Arial"/>
          <w:sz w:val="15"/>
          <w:szCs w:val="15"/>
          <w:color w:val="auto"/>
        </w:rPr>
      </w:pPr>
    </w:p>
    <w:p>
      <w:pPr>
        <w:ind w:left="1760" w:hanging="303"/>
        <w:spacing w:after="0"/>
        <w:tabs>
          <w:tab w:leader="none" w:pos="17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24"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90"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3"/>
          <w:szCs w:val="13"/>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in the Prospectus Regulation or in circumstances in which the prior consent of the representatives has been obtained to each such proposed offer or resale.</w:t>
      </w:r>
    </w:p>
    <w:p>
      <w:pPr>
        <w:spacing w:after="0" w:line="69"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and the expression “Prospectus Regulation” means Regulation (EU) 2017/1129 (as amended).</w:t>
      </w:r>
    </w:p>
    <w:p>
      <w:pPr>
        <w:spacing w:after="0" w:line="143"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United Kingdom</w:t>
      </w:r>
    </w:p>
    <w:p>
      <w:pPr>
        <w:spacing w:after="0" w:line="124"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3"/>
          <w:szCs w:val="13"/>
          <w:color w:val="auto"/>
        </w:rPr>
        <w:t>This prospectus and any other document or material in connection with the offer or sale, or invitation for subscription or purchase, of shares of our Class A common stock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and any other document or material in connection with the offer or sale, or invitation for subscription or purchase, of shares of our Class A common stock is directed only at relevant persons. Other persons should not act on this prospectus and any other document or material in connection with the offer or</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sale, or invitation for subscription or purchase, of shares of our Class A common stock. This prospectus and any other document or material in connection with the offer or sale, or invitation for subscription or purchase, of shares of our Class A common stock is confidential and is being supplied to you solely for your information and may not be reproduced, redistributed or passed on to any other person or published, in whole or in part, for any other purpose.</w:t>
      </w:r>
    </w:p>
    <w:p>
      <w:pPr>
        <w:spacing w:after="0" w:line="89"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Any invitation or inducement to engage in investment activity (within the meaning of Section 21 of the United Kingdom’s Financial Services and Markets Act 2000, as amended (the “FSMA”)) in connection with the issue or sale of the Class A common stock may only be communicated or caused to be communicated in circumstances in which Section 21(1) of the FSMA does not apply to us.</w:t>
      </w:r>
    </w:p>
    <w:p>
      <w:pPr>
        <w:spacing w:after="0" w:line="8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All applicable provisions of the FSMA must be complied with in respect to anything done by any person in relation to the Class A common stock in, from or otherwise involving the United Kingdom.</w:t>
      </w:r>
    </w:p>
    <w:p>
      <w:pPr>
        <w:spacing w:after="0" w:line="94"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In relation to the United Kingdom, no securities which are the subject of the offering contemplated by this prospectus and any other document or material in connection with the offer or sale, or invitation for subscription or purchase, of shares of our Class A common stock to the public may be made in the United Kingdom other than:</w:t>
      </w:r>
    </w:p>
    <w:p>
      <w:pPr>
        <w:spacing w:after="0" w:line="91" w:lineRule="exact"/>
        <w:rPr>
          <w:sz w:val="20"/>
          <w:szCs w:val="20"/>
          <w:color w:val="auto"/>
        </w:rPr>
      </w:pPr>
    </w:p>
    <w:p>
      <w:pPr>
        <w:jc w:val="both"/>
        <w:ind w:left="1760" w:right="1179" w:hanging="303"/>
        <w:spacing w:after="0" w:line="281" w:lineRule="auto"/>
        <w:tabs>
          <w:tab w:leader="none" w:pos="17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in Article 2 of Regulation (EU) 2017/1129 as it forms part of domestic law by virtue of the European Union (Withdrawal) Act 2018, as amended by the European Union (Withdrawal Agreement) Act 2020 (“EUWA”);</w:t>
      </w:r>
    </w:p>
    <w:p>
      <w:pPr>
        <w:spacing w:after="0" w:line="82" w:lineRule="exact"/>
        <w:rPr>
          <w:rFonts w:ascii="Arial" w:cs="Arial" w:eastAsia="Arial" w:hAnsi="Arial"/>
          <w:sz w:val="14"/>
          <w:szCs w:val="14"/>
          <w:color w:val="auto"/>
        </w:rPr>
      </w:pPr>
    </w:p>
    <w:p>
      <w:pPr>
        <w:jc w:val="both"/>
        <w:ind w:left="1760" w:right="1179" w:hanging="303"/>
        <w:spacing w:after="0" w:line="281" w:lineRule="auto"/>
        <w:tabs>
          <w:tab w:leader="none" w:pos="17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in Article 2 of Regulation (EU) 2017/1129 as it forms part of domestic law by virtue of the EUWA) in the United Kingdom subject to obtaining the prior consent of the representatives; or</w:t>
      </w:r>
    </w:p>
    <w:p>
      <w:pPr>
        <w:spacing w:after="0" w:line="71" w:lineRule="exact"/>
        <w:rPr>
          <w:rFonts w:ascii="Arial" w:cs="Arial" w:eastAsia="Arial" w:hAnsi="Arial"/>
          <w:sz w:val="14"/>
          <w:szCs w:val="14"/>
          <w:color w:val="auto"/>
        </w:rPr>
      </w:pPr>
    </w:p>
    <w:p>
      <w:pPr>
        <w:ind w:left="1760" w:hanging="303"/>
        <w:spacing w:after="0"/>
        <w:tabs>
          <w:tab w:leader="none" w:pos="17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24"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provided that no such offer of no such offer of shares shall require us or any of the representatives to publish a prospectus pursuant to Section 85 of the FSMA or supplement a prospectus pursuant to Article 23 of Regulation (EU) 2017/1129 as it forms part of domestic law by virtue of the EUWA.</w:t>
      </w:r>
    </w:p>
    <w:p>
      <w:pPr>
        <w:spacing w:after="0" w:line="100"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For the purposes of this provision, the expression “offer of shares to the public” in relation to any shares means the communication in any form and by any means of sufficient information on the terms of the offer and the shares to be offered so as to enable an investor to decide to purchase or subscribe for the shares.</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Hong Kong</w:t>
      </w:r>
    </w:p>
    <w:p>
      <w:pPr>
        <w:spacing w:after="0" w:line="113"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Our Class A common stock has not been and will not be offered or sold in Hong Kong by means of any document other than (i) in circumstances which do not constitute an offer to the public within the meaning of the Companies (Winding Up and Miscellaneous Provisions) Ordinance (Cap.32, Laws of Hong Kong),</w:t>
      </w:r>
    </w:p>
    <w:p>
      <w:pPr>
        <w:spacing w:after="0" w:line="1" w:lineRule="exact"/>
        <w:rPr>
          <w:sz w:val="20"/>
          <w:szCs w:val="20"/>
          <w:color w:val="auto"/>
        </w:rPr>
      </w:pPr>
    </w:p>
    <w:p>
      <w:pPr>
        <w:jc w:val="both"/>
        <w:ind w:left="1160" w:right="1179" w:firstLine="4"/>
        <w:spacing w:after="0" w:line="245" w:lineRule="auto"/>
        <w:tabs>
          <w:tab w:leader="none" w:pos="139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to “professional investors” within the meaning of the Securities and Futures Ordinance (Cap.571, Laws of Hong Kong) and any rules made thereunder or (iii) in other circumstances which do not result in the document being a “prospectus” within the meaning of the Companies (Winding Up and Miscellaneous Provisions) Ordinance (Cap.32, Laws of Hong Kong). No advertisement, invitation or document relating to our Class A common stock has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within the meaning of the Securities and Futures Ordinance (Cap.571, Laws of Hong Kong) and any rules made thereunder.</w:t>
      </w:r>
    </w:p>
    <w:p>
      <w:pPr>
        <w:spacing w:after="0" w:line="162"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Israel</w:t>
      </w:r>
    </w:p>
    <w:p>
      <w:pPr>
        <w:spacing w:after="0" w:line="12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In the State of Israel this prospectus shall not be regarded as an offer to the public to purchase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Class A common stock to any person within the State of Israel, other than to Qualified Investors and up to 35 Addressed Investors.</w:t>
      </w:r>
    </w:p>
    <w:p>
      <w:pPr>
        <w:spacing w:after="0" w:line="160"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Japan</w:t>
      </w:r>
    </w:p>
    <w:p>
      <w:pPr>
        <w:spacing w:after="0" w:line="113"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or the FIEL, has been made or will be made with respect to the solicitation of the application for the acquisition of the Class A common stock.</w:t>
      </w:r>
    </w:p>
    <w:p>
      <w:pPr>
        <w:spacing w:after="0" w:line="101"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Accordingly, the Class A common stock has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48"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Qualified Institutional Investors or QII</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Class A common stock. The Class A common stock may only be transferred to QIIs.</w:t>
      </w:r>
    </w:p>
    <w:p>
      <w:pPr>
        <w:spacing w:after="0" w:line="161"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Non-QII Investors</w:t>
      </w:r>
    </w:p>
    <w:p>
      <w:pPr>
        <w:spacing w:after="0" w:line="113"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Please note that the solicitation for newly-issued or secondary securities (each as described in Paragraph 2, Article 4 of the FIEL) in relation to the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Class A common stock. The Class A common stock may only be transferred en bloc without subdivision to a single investor.</w:t>
      </w:r>
    </w:p>
    <w:p>
      <w:pPr>
        <w:spacing w:after="0" w:line="148"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Singapore</w:t>
      </w:r>
    </w:p>
    <w:p>
      <w:pPr>
        <w:spacing w:after="0" w:line="124"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This prospectus has not been and will not be registered as a prospectus under the Securities and Futures Act, Chapter 289 of Singapore (the “SFA”) by the Monetary Authority of Singapore, and the offer of shares of our Class A common stock in Singapore is made primarily pursuant to the exemptions under Section 274 and 275 of the SFA. Accordingly, this prospectus and any other document or material in connection with the offer or sale, or invitation for subscription or purchase, of shares of our Class A common stock may not be circulated or distributed, nor may shares of our Class A common stock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179"/>
        <w:spacing w:after="0" w:line="300" w:lineRule="auto"/>
        <w:rPr>
          <w:sz w:val="20"/>
          <w:szCs w:val="20"/>
          <w:color w:val="auto"/>
        </w:rPr>
      </w:pPr>
      <w:r>
        <w:rPr>
          <w:rFonts w:ascii="Arial" w:cs="Arial" w:eastAsia="Arial" w:hAnsi="Arial"/>
          <w:sz w:val="14"/>
          <w:szCs w:val="14"/>
          <w:color w:val="auto"/>
        </w:rPr>
        <w:t>It is a condition of the offer that where shares of our Class A common stock are subscribed for or acquired pursuant to an offer made in reliance on Section 275 of the SFA by a Relevant Person which is:</w:t>
      </w:r>
    </w:p>
    <w:p>
      <w:pPr>
        <w:spacing w:after="0" w:line="59" w:lineRule="exact"/>
        <w:rPr>
          <w:sz w:val="20"/>
          <w:szCs w:val="20"/>
          <w:color w:val="auto"/>
        </w:rPr>
      </w:pPr>
    </w:p>
    <w:p>
      <w:pPr>
        <w:jc w:val="both"/>
        <w:ind w:left="1460" w:right="1179" w:hanging="3"/>
        <w:spacing w:after="0" w:line="254" w:lineRule="auto"/>
        <w:tabs>
          <w:tab w:leader="none" w:pos="171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5"/>
          <w:szCs w:val="15"/>
          <w:color w:val="auto"/>
        </w:rPr>
      </w:pPr>
    </w:p>
    <w:p>
      <w:pPr>
        <w:ind w:left="1460" w:right="1179" w:hanging="3"/>
        <w:spacing w:after="0" w:line="264" w:lineRule="auto"/>
        <w:tabs>
          <w:tab w:leader="none" w:pos="170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the sole purpose of which is to hold investments and each beneficiary of the trust is an individual who is an Accredited Investor,</w:t>
      </w:r>
    </w:p>
    <w:p>
      <w:pPr>
        <w:spacing w:after="0" w:line="9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shares of our Class A common stock except:</w:t>
      </w:r>
    </w:p>
    <w:p>
      <w:pPr>
        <w:spacing w:after="0" w:line="91" w:lineRule="exact"/>
        <w:rPr>
          <w:sz w:val="20"/>
          <w:szCs w:val="20"/>
          <w:color w:val="auto"/>
        </w:rPr>
      </w:pPr>
    </w:p>
    <w:p>
      <w:pPr>
        <w:jc w:val="both"/>
        <w:ind w:left="1460" w:right="1179" w:hanging="3"/>
        <w:spacing w:after="0" w:line="254" w:lineRule="auto"/>
        <w:tabs>
          <w:tab w:leader="none" w:pos="16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100" w:lineRule="exact"/>
        <w:rPr>
          <w:rFonts w:ascii="Arial" w:cs="Arial" w:eastAsia="Arial" w:hAnsi="Arial"/>
          <w:sz w:val="15"/>
          <w:szCs w:val="15"/>
          <w:color w:val="auto"/>
        </w:rPr>
      </w:pPr>
    </w:p>
    <w:p>
      <w:pPr>
        <w:ind w:left="1620" w:hanging="163"/>
        <w:spacing w:after="0"/>
        <w:tabs>
          <w:tab w:leader="none" w:pos="16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24" w:lineRule="exact"/>
        <w:rPr>
          <w:rFonts w:ascii="Arial" w:cs="Arial" w:eastAsia="Arial" w:hAnsi="Arial"/>
          <w:sz w:val="15"/>
          <w:szCs w:val="15"/>
          <w:color w:val="auto"/>
        </w:rPr>
      </w:pPr>
    </w:p>
    <w:p>
      <w:pPr>
        <w:ind w:left="1620" w:hanging="163"/>
        <w:spacing w:after="0"/>
        <w:tabs>
          <w:tab w:leader="none" w:pos="16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13" w:lineRule="exact"/>
        <w:rPr>
          <w:rFonts w:ascii="Arial" w:cs="Arial" w:eastAsia="Arial" w:hAnsi="Arial"/>
          <w:sz w:val="15"/>
          <w:szCs w:val="15"/>
          <w:color w:val="auto"/>
        </w:rPr>
      </w:pPr>
    </w:p>
    <w:p>
      <w:pPr>
        <w:ind w:left="1620" w:hanging="163"/>
        <w:spacing w:after="0"/>
        <w:tabs>
          <w:tab w:leader="none" w:pos="16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24" w:lineRule="exact"/>
        <w:rPr>
          <w:rFonts w:ascii="Arial" w:cs="Arial" w:eastAsia="Arial" w:hAnsi="Arial"/>
          <w:sz w:val="15"/>
          <w:szCs w:val="15"/>
          <w:color w:val="auto"/>
        </w:rPr>
      </w:pPr>
    </w:p>
    <w:p>
      <w:pPr>
        <w:ind w:left="1460" w:right="1179" w:hanging="3"/>
        <w:spacing w:after="0" w:line="264" w:lineRule="auto"/>
        <w:tabs>
          <w:tab w:leader="none" w:pos="162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as specified in Regulation 37A of the Securities and Futures (Offers of Investments) (Securities and Securities-based Derivatives Contracts) Regulations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validity of the shares of Class A common stock offered hereby will be passed upon for us by Latham &amp; Watkins LLP. Sidley Austin LLP, San Francisco, California has acted as counsel for the underwriters in connection with certain legal matters related to this offering.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The consolidated financial statements of Immuneering Corporation as of December 31, 2020 and 2019 and for each of the years then ended appearing in this prospectus have been audited by RSM US LLP, an independent registered public accounting firm, as stated in their report thereon, and included in this prospectus and registration statement in reliance upon such report and upon the authority of such firm as experts in accounting and auditing.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28"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 xml:space="preserve">We have filed with the SEC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website is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8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Upon the closing of this offering, we will be required to file periodic reports, proxy statements, and other information with the SEC pursuant to the Exchange Act. These reports, proxy statements, and other information will be available on the website of the SEC referred to above.</w:t>
      </w:r>
    </w:p>
    <w:p>
      <w:pPr>
        <w:spacing w:after="0" w:line="101"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 xml:space="preserve">We also maintain a website at </w:t>
      </w:r>
      <w:r>
        <w:rPr>
          <w:rFonts w:ascii="Arial" w:cs="Arial" w:eastAsia="Arial" w:hAnsi="Arial"/>
          <w:sz w:val="14"/>
          <w:szCs w:val="14"/>
          <w:i w:val="1"/>
          <w:iCs w:val="1"/>
          <w:color w:val="auto"/>
        </w:rPr>
        <w:t>www.immuneering.com</w:t>
      </w:r>
      <w:r>
        <w:rPr>
          <w:rFonts w:ascii="Arial" w:cs="Arial" w:eastAsia="Arial" w:hAnsi="Arial"/>
          <w:sz w:val="14"/>
          <w:szCs w:val="14"/>
          <w:color w:val="auto"/>
        </w:rPr>
        <w:t>, through which you may access these materials free of charge as soon as reasonably practicable after they are electronically filed with, or furnished to, the SEC. Information contained on or accessed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3"/>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4"/>
        </w:trPr>
        <w:tc>
          <w:tcPr>
            <w:tcW w:w="6440" w:type="dxa"/>
            <w:vAlign w:val="bottom"/>
            <w:tcBorders>
              <w:right w:val="single" w:sz="8" w:color="CCEEFF"/>
            </w:tcBorders>
            <w:gridSpan w:val="16"/>
            <w:shd w:val="clear" w:color="auto" w:fill="CCEEFF"/>
          </w:tcPr>
          <w:p>
            <w:pPr>
              <w:spacing w:after="0"/>
              <w:rPr>
                <w:sz w:val="20"/>
                <w:szCs w:val="20"/>
                <w:color w:val="auto"/>
              </w:rPr>
            </w:pPr>
            <w:r>
              <w:rPr>
                <w:rFonts w:ascii="Arial" w:cs="Arial" w:eastAsia="Arial" w:hAnsi="Arial"/>
                <w:sz w:val="15"/>
                <w:szCs w:val="15"/>
                <w:b w:val="1"/>
                <w:bCs w:val="1"/>
                <w:color w:val="auto"/>
              </w:rPr>
              <w:t>Immuneering Corporation and Subsidiary</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1"/>
        </w:trPr>
        <w:tc>
          <w:tcPr>
            <w:tcW w:w="6440" w:type="dxa"/>
            <w:vAlign w:val="bottom"/>
            <w:tcBorders>
              <w:right w:val="single" w:sz="8" w:color="CCEEFF"/>
            </w:tcBorders>
            <w:gridSpan w:val="16"/>
            <w:shd w:val="clear" w:color="auto" w:fill="CCEEFF"/>
          </w:tcPr>
          <w:p>
            <w:pPr>
              <w:ind w:left="160"/>
              <w:spacing w:after="0"/>
              <w:rPr>
                <w:sz w:val="20"/>
                <w:szCs w:val="20"/>
                <w:color w:val="auto"/>
              </w:rPr>
            </w:pPr>
            <w:r>
              <w:rPr>
                <w:rFonts w:ascii="Arial" w:cs="Arial" w:eastAsia="Arial" w:hAnsi="Arial"/>
                <w:sz w:val="15"/>
                <w:szCs w:val="15"/>
                <w:b w:val="1"/>
                <w:bCs w:val="1"/>
                <w:color w:val="auto"/>
                <w:w w:val="99"/>
              </w:rPr>
              <w:t>As of December 31, 2020 and 2019 and for the Years Ended December 31, 2020 and 2019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9"/>
        </w:trPr>
        <w:tc>
          <w:tcPr>
            <w:tcW w:w="6440" w:type="dxa"/>
            <w:vAlign w:val="bottom"/>
            <w:gridSpan w:val="16"/>
          </w:tcPr>
          <w:p>
            <w:pPr>
              <w:ind w:left="160"/>
              <w:spacing w:after="0"/>
              <w:rPr>
                <w:sz w:val="20"/>
                <w:szCs w:val="20"/>
                <w:color w:val="auto"/>
              </w:rPr>
            </w:pPr>
            <w:r>
              <w:rPr>
                <w:rFonts w:ascii="Arial" w:cs="Arial" w:eastAsia="Arial" w:hAnsi="Arial"/>
                <w:sz w:val="15"/>
                <w:szCs w:val="15"/>
                <w:color w:val="auto"/>
              </w:rPr>
              <w:t>Audited Consolidated Financial Statements: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6440" w:type="dxa"/>
            <w:vAlign w:val="bottom"/>
            <w:tcBorders>
              <w:right w:val="single" w:sz="8" w:color="CCEEFF"/>
            </w:tcBorders>
            <w:gridSpan w:val="16"/>
            <w:shd w:val="clear" w:color="auto" w:fill="CCEEFF"/>
          </w:tcPr>
          <w:p>
            <w:pPr>
              <w:ind w:left="160"/>
              <w:spacing w:after="0"/>
              <w:rPr>
                <w:rFonts w:ascii="Arial" w:cs="Arial" w:eastAsia="Arial" w:hAnsi="Arial"/>
                <w:sz w:val="15"/>
                <w:szCs w:val="15"/>
                <w:color w:val="0000EE"/>
              </w:rPr>
            </w:pPr>
            <w:hyperlink w:anchor="page186">
              <w:r>
                <w:rPr>
                  <w:rFonts w:ascii="Arial" w:cs="Arial" w:eastAsia="Arial" w:hAnsi="Arial"/>
                  <w:sz w:val="15"/>
                  <w:szCs w:val="15"/>
                  <w:color w:val="0000EE"/>
                </w:rPr>
                <w:t>Report of Independent Registered Public Accounting Firm</w:t>
              </w:r>
            </w:hyperlink>
          </w:p>
        </w:tc>
        <w:tc>
          <w:tcPr>
            <w:tcW w:w="240" w:type="dxa"/>
            <w:vAlign w:val="bottom"/>
            <w:gridSpan w:val="2"/>
            <w:shd w:val="clear" w:color="auto" w:fill="CCEEFF"/>
          </w:tcPr>
          <w:p>
            <w:pPr>
              <w:jc w:val="center"/>
              <w:spacing w:after="0"/>
              <w:rPr>
                <w:rFonts w:ascii="Arial" w:cs="Arial" w:eastAsia="Arial" w:hAnsi="Arial"/>
                <w:sz w:val="15"/>
                <w:szCs w:val="15"/>
                <w:color w:val="0000EE"/>
                <w:w w:val="88"/>
              </w:rPr>
            </w:pPr>
            <w:hyperlink w:anchor="page186">
              <w:r>
                <w:rPr>
                  <w:rFonts w:ascii="Arial" w:cs="Arial" w:eastAsia="Arial" w:hAnsi="Arial"/>
                  <w:sz w:val="15"/>
                  <w:szCs w:val="15"/>
                  <w:color w:val="0000EE"/>
                  <w:w w:val="88"/>
                </w:rPr>
                <w:t>F-2</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87"/>
        </w:trPr>
        <w:tc>
          <w:tcPr>
            <w:tcW w:w="6440" w:type="dxa"/>
            <w:vAlign w:val="bottom"/>
            <w:gridSpan w:val="16"/>
          </w:tcPr>
          <w:p>
            <w:pPr>
              <w:ind w:left="160"/>
              <w:spacing w:after="0"/>
              <w:rPr>
                <w:rFonts w:ascii="Arial" w:cs="Arial" w:eastAsia="Arial" w:hAnsi="Arial"/>
                <w:sz w:val="15"/>
                <w:szCs w:val="15"/>
                <w:color w:val="0000EE"/>
              </w:rPr>
            </w:pPr>
            <w:hyperlink w:anchor="page187">
              <w:r>
                <w:rPr>
                  <w:rFonts w:ascii="Arial" w:cs="Arial" w:eastAsia="Arial" w:hAnsi="Arial"/>
                  <w:sz w:val="15"/>
                  <w:szCs w:val="15"/>
                  <w:color w:val="0000EE"/>
                </w:rPr>
                <w:t>Consolidated Balance Sheets as of December 31, 2020 and 2019</w:t>
              </w:r>
            </w:hyperlink>
          </w:p>
        </w:tc>
        <w:tc>
          <w:tcPr>
            <w:tcW w:w="240" w:type="dxa"/>
            <w:vAlign w:val="bottom"/>
            <w:gridSpan w:val="2"/>
          </w:tcPr>
          <w:p>
            <w:pPr>
              <w:jc w:val="center"/>
              <w:spacing w:after="0"/>
              <w:rPr>
                <w:rFonts w:ascii="Arial" w:cs="Arial" w:eastAsia="Arial" w:hAnsi="Arial"/>
                <w:sz w:val="15"/>
                <w:szCs w:val="15"/>
                <w:color w:val="0000EE"/>
                <w:w w:val="88"/>
              </w:rPr>
            </w:pPr>
            <w:hyperlink w:anchor="page187">
              <w:r>
                <w:rPr>
                  <w:rFonts w:ascii="Arial" w:cs="Arial" w:eastAsia="Arial" w:hAnsi="Arial"/>
                  <w:sz w:val="15"/>
                  <w:szCs w:val="15"/>
                  <w:color w:val="0000EE"/>
                  <w:w w:val="88"/>
                </w:rPr>
                <w:t>F-3</w:t>
              </w:r>
            </w:hyperlink>
          </w:p>
        </w:tc>
      </w:tr>
      <w:tr>
        <w:trPr>
          <w:trHeight w:val="26"/>
        </w:trPr>
        <w:tc>
          <w:tcPr>
            <w:tcW w:w="16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6440" w:type="dxa"/>
            <w:vAlign w:val="bottom"/>
            <w:tcBorders>
              <w:right w:val="single" w:sz="8" w:color="CCEEFF"/>
            </w:tcBorders>
            <w:gridSpan w:val="16"/>
            <w:shd w:val="clear" w:color="auto" w:fill="CCEEFF"/>
          </w:tcPr>
          <w:p>
            <w:pPr>
              <w:ind w:left="160"/>
              <w:spacing w:after="0"/>
              <w:rPr>
                <w:rFonts w:ascii="Arial" w:cs="Arial" w:eastAsia="Arial" w:hAnsi="Arial"/>
                <w:sz w:val="15"/>
                <w:szCs w:val="15"/>
                <w:color w:val="0000EE"/>
              </w:rPr>
            </w:pPr>
            <w:hyperlink w:anchor="page188">
              <w:r>
                <w:rPr>
                  <w:rFonts w:ascii="Arial" w:cs="Arial" w:eastAsia="Arial" w:hAnsi="Arial"/>
                  <w:sz w:val="15"/>
                  <w:szCs w:val="15"/>
                  <w:color w:val="0000EE"/>
                </w:rPr>
                <w:t>Consolidated Statements of Operations for the Years Ended December 31, 2020 and 2019</w:t>
              </w:r>
            </w:hyperlink>
          </w:p>
        </w:tc>
        <w:tc>
          <w:tcPr>
            <w:tcW w:w="240" w:type="dxa"/>
            <w:vAlign w:val="bottom"/>
            <w:gridSpan w:val="2"/>
            <w:shd w:val="clear" w:color="auto" w:fill="CCEEFF"/>
          </w:tcPr>
          <w:p>
            <w:pPr>
              <w:jc w:val="center"/>
              <w:spacing w:after="0"/>
              <w:rPr>
                <w:rFonts w:ascii="Arial" w:cs="Arial" w:eastAsia="Arial" w:hAnsi="Arial"/>
                <w:sz w:val="15"/>
                <w:szCs w:val="15"/>
                <w:color w:val="0000EE"/>
                <w:w w:val="88"/>
              </w:rPr>
            </w:pPr>
            <w:hyperlink w:anchor="page188">
              <w:r>
                <w:rPr>
                  <w:rFonts w:ascii="Arial" w:cs="Arial" w:eastAsia="Arial" w:hAnsi="Arial"/>
                  <w:sz w:val="15"/>
                  <w:szCs w:val="15"/>
                  <w:color w:val="0000EE"/>
                  <w:w w:val="88"/>
                </w:rPr>
                <w:t>F-4</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40" w:type="dxa"/>
            <w:vAlign w:val="bottom"/>
            <w:tcBorders>
              <w:right w:val="single" w:sz="8" w:color="CCEEFF"/>
            </w:tcBorders>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76"/>
        </w:trPr>
        <w:tc>
          <w:tcPr>
            <w:tcW w:w="6440" w:type="dxa"/>
            <w:vAlign w:val="bottom"/>
            <w:gridSpan w:val="16"/>
          </w:tcPr>
          <w:p>
            <w:pPr>
              <w:ind w:left="160"/>
              <w:spacing w:after="0"/>
              <w:rPr>
                <w:rFonts w:ascii="Arial" w:cs="Arial" w:eastAsia="Arial" w:hAnsi="Arial"/>
                <w:sz w:val="15"/>
                <w:szCs w:val="15"/>
                <w:color w:val="0000EE"/>
                <w:w w:val="98"/>
              </w:rPr>
            </w:pPr>
            <w:hyperlink w:anchor="page189">
              <w:r>
                <w:rPr>
                  <w:rFonts w:ascii="Arial" w:cs="Arial" w:eastAsia="Arial" w:hAnsi="Arial"/>
                  <w:sz w:val="15"/>
                  <w:szCs w:val="15"/>
                  <w:color w:val="0000EE"/>
                  <w:w w:val="98"/>
                </w:rPr>
                <w:t>Consolidated Statements of Convertible Preferred Stock and Stockholders’ Deficit for the Years</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740" w:type="dxa"/>
            <w:vAlign w:val="bottom"/>
            <w:tcBorders>
              <w:top w:val="single" w:sz="8" w:color="0000EE"/>
            </w:tcBorders>
            <w:gridSpan w:val="12"/>
          </w:tcPr>
          <w:p>
            <w:pPr>
              <w:spacing w:after="0" w:line="156" w:lineRule="exact"/>
              <w:rPr>
                <w:rFonts w:ascii="Arial" w:cs="Arial" w:eastAsia="Arial" w:hAnsi="Arial"/>
                <w:sz w:val="15"/>
                <w:szCs w:val="15"/>
                <w:color w:val="0000EE"/>
              </w:rPr>
            </w:pPr>
            <w:hyperlink w:anchor="page189">
              <w:r>
                <w:rPr>
                  <w:rFonts w:ascii="Arial" w:cs="Arial" w:eastAsia="Arial" w:hAnsi="Arial"/>
                  <w:sz w:val="15"/>
                  <w:szCs w:val="15"/>
                  <w:color w:val="0000EE"/>
                </w:rPr>
                <w:t>Ended December 31, 2020 and 2019</w:t>
              </w:r>
            </w:hyperlink>
          </w:p>
        </w:tc>
        <w:tc>
          <w:tcPr>
            <w:tcW w:w="400" w:type="dxa"/>
            <w:vAlign w:val="bottom"/>
            <w:gridSpan w:val="2"/>
          </w:tcPr>
          <w:p>
            <w:pPr>
              <w:spacing w:after="0"/>
              <w:rPr>
                <w:sz w:val="13"/>
                <w:szCs w:val="13"/>
                <w:color w:val="auto"/>
              </w:rPr>
            </w:pPr>
          </w:p>
        </w:tc>
        <w:tc>
          <w:tcPr>
            <w:tcW w:w="240" w:type="dxa"/>
            <w:vAlign w:val="bottom"/>
            <w:gridSpan w:val="2"/>
          </w:tcPr>
          <w:p>
            <w:pPr>
              <w:jc w:val="center"/>
              <w:spacing w:after="0" w:line="156" w:lineRule="exact"/>
              <w:rPr>
                <w:rFonts w:ascii="Arial" w:cs="Arial" w:eastAsia="Arial" w:hAnsi="Arial"/>
                <w:sz w:val="15"/>
                <w:szCs w:val="15"/>
                <w:color w:val="0000EE"/>
                <w:w w:val="88"/>
              </w:rPr>
            </w:pPr>
            <w:hyperlink w:anchor="page189">
              <w:r>
                <w:rPr>
                  <w:rFonts w:ascii="Arial" w:cs="Arial" w:eastAsia="Arial" w:hAnsi="Arial"/>
                  <w:sz w:val="15"/>
                  <w:szCs w:val="15"/>
                  <w:color w:val="0000EE"/>
                  <w:w w:val="88"/>
                </w:rPr>
                <w:t>F-5</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6440" w:type="dxa"/>
            <w:vAlign w:val="bottom"/>
            <w:tcBorders>
              <w:right w:val="single" w:sz="8" w:color="CCEEFF"/>
            </w:tcBorders>
            <w:gridSpan w:val="16"/>
            <w:shd w:val="clear" w:color="auto" w:fill="CCEEFF"/>
          </w:tcPr>
          <w:p>
            <w:pPr>
              <w:ind w:left="160"/>
              <w:spacing w:after="0"/>
              <w:rPr>
                <w:rFonts w:ascii="Arial" w:cs="Arial" w:eastAsia="Arial" w:hAnsi="Arial"/>
                <w:sz w:val="15"/>
                <w:szCs w:val="15"/>
                <w:color w:val="0000EE"/>
              </w:rPr>
            </w:pPr>
            <w:hyperlink w:anchor="page190">
              <w:r>
                <w:rPr>
                  <w:rFonts w:ascii="Arial" w:cs="Arial" w:eastAsia="Arial" w:hAnsi="Arial"/>
                  <w:sz w:val="15"/>
                  <w:szCs w:val="15"/>
                  <w:color w:val="0000EE"/>
                </w:rPr>
                <w:t>Consolidated Statements of Cash Flows for the Years Ended December 31, 2020 and 2019</w:t>
              </w:r>
            </w:hyperlink>
          </w:p>
        </w:tc>
        <w:tc>
          <w:tcPr>
            <w:tcW w:w="240" w:type="dxa"/>
            <w:vAlign w:val="bottom"/>
            <w:gridSpan w:val="2"/>
            <w:shd w:val="clear" w:color="auto" w:fill="CCEEFF"/>
          </w:tcPr>
          <w:p>
            <w:pPr>
              <w:jc w:val="center"/>
              <w:spacing w:after="0"/>
              <w:rPr>
                <w:rFonts w:ascii="Arial" w:cs="Arial" w:eastAsia="Arial" w:hAnsi="Arial"/>
                <w:sz w:val="15"/>
                <w:szCs w:val="15"/>
                <w:color w:val="0000EE"/>
                <w:w w:val="88"/>
              </w:rPr>
            </w:pPr>
            <w:hyperlink w:anchor="page190">
              <w:r>
                <w:rPr>
                  <w:rFonts w:ascii="Arial" w:cs="Arial" w:eastAsia="Arial" w:hAnsi="Arial"/>
                  <w:sz w:val="15"/>
                  <w:szCs w:val="15"/>
                  <w:color w:val="0000EE"/>
                  <w:w w:val="88"/>
                </w:rPr>
                <w:t>F-6</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87"/>
        </w:trPr>
        <w:tc>
          <w:tcPr>
            <w:tcW w:w="6440" w:type="dxa"/>
            <w:vAlign w:val="bottom"/>
            <w:gridSpan w:val="16"/>
          </w:tcPr>
          <w:p>
            <w:pPr>
              <w:ind w:left="160"/>
              <w:spacing w:after="0"/>
              <w:rPr>
                <w:rFonts w:ascii="Arial" w:cs="Arial" w:eastAsia="Arial" w:hAnsi="Arial"/>
                <w:sz w:val="15"/>
                <w:szCs w:val="15"/>
                <w:color w:val="0000EE"/>
              </w:rPr>
            </w:pPr>
            <w:hyperlink w:anchor="page191">
              <w:r>
                <w:rPr>
                  <w:rFonts w:ascii="Arial" w:cs="Arial" w:eastAsia="Arial" w:hAnsi="Arial"/>
                  <w:sz w:val="15"/>
                  <w:szCs w:val="15"/>
                  <w:color w:val="0000EE"/>
                </w:rPr>
                <w:t>Notes to Consolidated Financial Statements</w:t>
              </w:r>
            </w:hyperlink>
          </w:p>
        </w:tc>
        <w:tc>
          <w:tcPr>
            <w:tcW w:w="240" w:type="dxa"/>
            <w:vAlign w:val="bottom"/>
            <w:gridSpan w:val="2"/>
          </w:tcPr>
          <w:p>
            <w:pPr>
              <w:jc w:val="center"/>
              <w:spacing w:after="0"/>
              <w:rPr>
                <w:rFonts w:ascii="Arial" w:cs="Arial" w:eastAsia="Arial" w:hAnsi="Arial"/>
                <w:sz w:val="15"/>
                <w:szCs w:val="15"/>
                <w:color w:val="0000EE"/>
                <w:w w:val="88"/>
              </w:rPr>
            </w:pPr>
            <w:hyperlink w:anchor="page191">
              <w:r>
                <w:rPr>
                  <w:rFonts w:ascii="Arial" w:cs="Arial" w:eastAsia="Arial" w:hAnsi="Arial"/>
                  <w:sz w:val="15"/>
                  <w:szCs w:val="15"/>
                  <w:color w:val="0000EE"/>
                  <w:w w:val="88"/>
                </w:rPr>
                <w:t>F-7</w:t>
              </w:r>
            </w:hyperlink>
          </w:p>
        </w:tc>
      </w:tr>
      <w:tr>
        <w:trPr>
          <w:trHeight w:val="20"/>
        </w:trPr>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76"/>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4"/>
        </w:trPr>
        <w:tc>
          <w:tcPr>
            <w:tcW w:w="6440" w:type="dxa"/>
            <w:vAlign w:val="bottom"/>
            <w:tcBorders>
              <w:right w:val="single" w:sz="8" w:color="CCEEFF"/>
            </w:tcBorders>
            <w:gridSpan w:val="16"/>
            <w:shd w:val="clear" w:color="auto" w:fill="CCEEFF"/>
          </w:tcPr>
          <w:p>
            <w:pPr>
              <w:spacing w:after="0"/>
              <w:rPr>
                <w:sz w:val="20"/>
                <w:szCs w:val="20"/>
                <w:color w:val="auto"/>
              </w:rPr>
            </w:pPr>
            <w:r>
              <w:rPr>
                <w:rFonts w:ascii="Arial" w:cs="Arial" w:eastAsia="Arial" w:hAnsi="Arial"/>
                <w:sz w:val="15"/>
                <w:szCs w:val="15"/>
                <w:b w:val="1"/>
                <w:bCs w:val="1"/>
                <w:color w:val="auto"/>
              </w:rPr>
              <w:t>Immuneering Corporation and Subsidiary</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1"/>
        </w:trPr>
        <w:tc>
          <w:tcPr>
            <w:tcW w:w="6440" w:type="dxa"/>
            <w:vAlign w:val="bottom"/>
            <w:tcBorders>
              <w:right w:val="single" w:sz="8" w:color="CCEEFF"/>
            </w:tcBorders>
            <w:gridSpan w:val="16"/>
            <w:shd w:val="clear" w:color="auto" w:fill="CCEEFF"/>
          </w:tcPr>
          <w:p>
            <w:pPr>
              <w:ind w:left="160"/>
              <w:spacing w:after="0"/>
              <w:rPr>
                <w:sz w:val="20"/>
                <w:szCs w:val="20"/>
                <w:color w:val="auto"/>
              </w:rPr>
            </w:pPr>
            <w:r>
              <w:rPr>
                <w:rFonts w:ascii="Arial" w:cs="Arial" w:eastAsia="Arial" w:hAnsi="Arial"/>
                <w:sz w:val="15"/>
                <w:szCs w:val="15"/>
                <w:b w:val="1"/>
                <w:bCs w:val="1"/>
                <w:color w:val="auto"/>
              </w:rPr>
              <w:t>As of March 31, 2021 and for the Three Months Ended March 31, 2021 and 2020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9"/>
        </w:trPr>
        <w:tc>
          <w:tcPr>
            <w:tcW w:w="6440" w:type="dxa"/>
            <w:vAlign w:val="bottom"/>
            <w:gridSpan w:val="16"/>
          </w:tcPr>
          <w:p>
            <w:pPr>
              <w:ind w:left="160"/>
              <w:spacing w:after="0"/>
              <w:rPr>
                <w:sz w:val="20"/>
                <w:szCs w:val="20"/>
                <w:color w:val="auto"/>
              </w:rPr>
            </w:pPr>
            <w:r>
              <w:rPr>
                <w:rFonts w:ascii="Arial" w:cs="Arial" w:eastAsia="Arial" w:hAnsi="Arial"/>
                <w:sz w:val="15"/>
                <w:szCs w:val="15"/>
                <w:color w:val="auto"/>
              </w:rPr>
              <w:t>Unaudited Interim Consolidated Financial Statements: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6440" w:type="dxa"/>
            <w:vAlign w:val="bottom"/>
            <w:tcBorders>
              <w:right w:val="single" w:sz="8" w:color="CCEEFF"/>
            </w:tcBorders>
            <w:gridSpan w:val="16"/>
            <w:shd w:val="clear" w:color="auto" w:fill="CCEEFF"/>
          </w:tcPr>
          <w:p>
            <w:pPr>
              <w:ind w:left="160"/>
              <w:spacing w:after="0"/>
              <w:rPr>
                <w:rFonts w:ascii="Arial" w:cs="Arial" w:eastAsia="Arial" w:hAnsi="Arial"/>
                <w:sz w:val="15"/>
                <w:szCs w:val="15"/>
                <w:color w:val="0000EE"/>
              </w:rPr>
            </w:pPr>
            <w:hyperlink w:anchor="page208">
              <w:r>
                <w:rPr>
                  <w:rFonts w:ascii="Arial" w:cs="Arial" w:eastAsia="Arial" w:hAnsi="Arial"/>
                  <w:sz w:val="15"/>
                  <w:szCs w:val="15"/>
                  <w:color w:val="0000EE"/>
                </w:rPr>
                <w:t>Consolidated Balance Sheets as of March 31, 2021 and December 31, 2020 (Unaudited)</w:t>
              </w:r>
            </w:hyperlink>
          </w:p>
        </w:tc>
        <w:tc>
          <w:tcPr>
            <w:tcW w:w="240" w:type="dxa"/>
            <w:vAlign w:val="bottom"/>
            <w:gridSpan w:val="2"/>
            <w:shd w:val="clear" w:color="auto" w:fill="CCEEFF"/>
          </w:tcPr>
          <w:p>
            <w:pPr>
              <w:jc w:val="center"/>
              <w:spacing w:after="0"/>
              <w:rPr>
                <w:rFonts w:ascii="Arial" w:cs="Arial" w:eastAsia="Arial" w:hAnsi="Arial"/>
                <w:sz w:val="15"/>
                <w:szCs w:val="15"/>
                <w:color w:val="0000EE"/>
                <w:w w:val="77"/>
              </w:rPr>
            </w:pPr>
            <w:hyperlink w:anchor="page208">
              <w:r>
                <w:rPr>
                  <w:rFonts w:ascii="Arial" w:cs="Arial" w:eastAsia="Arial" w:hAnsi="Arial"/>
                  <w:sz w:val="15"/>
                  <w:szCs w:val="15"/>
                  <w:color w:val="0000EE"/>
                  <w:w w:val="77"/>
                </w:rPr>
                <w:t>F-24</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tcBorders>
              <w:right w:val="single" w:sz="8" w:color="0000EE"/>
            </w:tcBorders>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r>
      <w:tr>
        <w:trPr>
          <w:trHeight w:val="176"/>
        </w:trPr>
        <w:tc>
          <w:tcPr>
            <w:tcW w:w="6440" w:type="dxa"/>
            <w:vAlign w:val="bottom"/>
            <w:gridSpan w:val="16"/>
          </w:tcPr>
          <w:p>
            <w:pPr>
              <w:ind w:left="160"/>
              <w:spacing w:after="0"/>
              <w:rPr>
                <w:rFonts w:ascii="Arial" w:cs="Arial" w:eastAsia="Arial" w:hAnsi="Arial"/>
                <w:sz w:val="15"/>
                <w:szCs w:val="15"/>
                <w:color w:val="0000EE"/>
                <w:w w:val="99"/>
              </w:rPr>
            </w:pPr>
            <w:hyperlink w:anchor="page209">
              <w:r>
                <w:rPr>
                  <w:rFonts w:ascii="Arial" w:cs="Arial" w:eastAsia="Arial" w:hAnsi="Arial"/>
                  <w:sz w:val="15"/>
                  <w:szCs w:val="15"/>
                  <w:color w:val="0000EE"/>
                  <w:w w:val="99"/>
                </w:rPr>
                <w:t>Consolidated Statements of Operations for the Three Months Ended March 31, 2021 and 2020</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640" w:type="dxa"/>
            <w:vAlign w:val="bottom"/>
            <w:tcBorders>
              <w:top w:val="single" w:sz="8" w:color="0000EE"/>
            </w:tcBorders>
            <w:gridSpan w:val="11"/>
          </w:tcPr>
          <w:p>
            <w:pPr>
              <w:spacing w:after="0" w:line="156" w:lineRule="exact"/>
              <w:rPr>
                <w:rFonts w:ascii="Arial" w:cs="Arial" w:eastAsia="Arial" w:hAnsi="Arial"/>
                <w:sz w:val="15"/>
                <w:szCs w:val="15"/>
                <w:color w:val="0000EE"/>
              </w:rPr>
            </w:pPr>
            <w:hyperlink w:anchor="page209">
              <w:r>
                <w:rPr>
                  <w:rFonts w:ascii="Arial" w:cs="Arial" w:eastAsia="Arial" w:hAnsi="Arial"/>
                  <w:sz w:val="15"/>
                  <w:szCs w:val="15"/>
                  <w:color w:val="0000EE"/>
                </w:rPr>
                <w:t>(Unaudited)</w:t>
              </w:r>
            </w:hyperlink>
          </w:p>
        </w:tc>
        <w:tc>
          <w:tcPr>
            <w:tcW w:w="500" w:type="dxa"/>
            <w:vAlign w:val="bottom"/>
            <w:gridSpan w:val="3"/>
          </w:tcPr>
          <w:p>
            <w:pPr>
              <w:spacing w:after="0"/>
              <w:rPr>
                <w:sz w:val="13"/>
                <w:szCs w:val="13"/>
                <w:color w:val="auto"/>
              </w:rPr>
            </w:pPr>
          </w:p>
        </w:tc>
        <w:tc>
          <w:tcPr>
            <w:tcW w:w="240" w:type="dxa"/>
            <w:vAlign w:val="bottom"/>
            <w:gridSpan w:val="2"/>
          </w:tcPr>
          <w:p>
            <w:pPr>
              <w:jc w:val="center"/>
              <w:spacing w:after="0" w:line="156" w:lineRule="exact"/>
              <w:rPr>
                <w:rFonts w:ascii="Arial" w:cs="Arial" w:eastAsia="Arial" w:hAnsi="Arial"/>
                <w:sz w:val="15"/>
                <w:szCs w:val="15"/>
                <w:color w:val="0000EE"/>
                <w:w w:val="77"/>
              </w:rPr>
            </w:pPr>
            <w:hyperlink w:anchor="page209">
              <w:r>
                <w:rPr>
                  <w:rFonts w:ascii="Arial" w:cs="Arial" w:eastAsia="Arial" w:hAnsi="Arial"/>
                  <w:sz w:val="15"/>
                  <w:szCs w:val="15"/>
                  <w:color w:val="0000EE"/>
                  <w:w w:val="77"/>
                </w:rPr>
                <w:t>F-25</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176"/>
        </w:trPr>
        <w:tc>
          <w:tcPr>
            <w:tcW w:w="6440" w:type="dxa"/>
            <w:vAlign w:val="bottom"/>
            <w:tcBorders>
              <w:right w:val="single" w:sz="8" w:color="CCEEFF"/>
            </w:tcBorders>
            <w:gridSpan w:val="16"/>
            <w:shd w:val="clear" w:color="auto" w:fill="CCEEFF"/>
          </w:tcPr>
          <w:p>
            <w:pPr>
              <w:ind w:left="160"/>
              <w:spacing w:after="0"/>
              <w:rPr>
                <w:rFonts w:ascii="Arial" w:cs="Arial" w:eastAsia="Arial" w:hAnsi="Arial"/>
                <w:sz w:val="15"/>
                <w:szCs w:val="15"/>
                <w:color w:val="0000EE"/>
                <w:w w:val="98"/>
              </w:rPr>
            </w:pPr>
            <w:hyperlink w:anchor="page210">
              <w:r>
                <w:rPr>
                  <w:rFonts w:ascii="Arial" w:cs="Arial" w:eastAsia="Arial" w:hAnsi="Arial"/>
                  <w:sz w:val="15"/>
                  <w:szCs w:val="15"/>
                  <w:color w:val="0000EE"/>
                  <w:w w:val="98"/>
                </w:rPr>
                <w:t>Consolidated Statements of Convertible Preferred Stock and Stockholders’ Deficit for the Three</w:t>
              </w:r>
            </w:hyperlink>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56"/>
        </w:trPr>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5760" w:type="dxa"/>
            <w:vAlign w:val="bottom"/>
            <w:tcBorders>
              <w:top w:val="single" w:sz="8" w:color="0000EE"/>
            </w:tcBorders>
            <w:gridSpan w:val="13"/>
            <w:shd w:val="clear" w:color="auto" w:fill="CCEEFF"/>
          </w:tcPr>
          <w:p>
            <w:pPr>
              <w:spacing w:after="0" w:line="156" w:lineRule="exact"/>
              <w:rPr>
                <w:rFonts w:ascii="Arial" w:cs="Arial" w:eastAsia="Arial" w:hAnsi="Arial"/>
                <w:sz w:val="15"/>
                <w:szCs w:val="15"/>
                <w:color w:val="0000EE"/>
              </w:rPr>
            </w:pPr>
            <w:hyperlink w:anchor="page210">
              <w:r>
                <w:rPr>
                  <w:rFonts w:ascii="Arial" w:cs="Arial" w:eastAsia="Arial" w:hAnsi="Arial"/>
                  <w:sz w:val="15"/>
                  <w:szCs w:val="15"/>
                  <w:color w:val="0000EE"/>
                </w:rPr>
                <w:t>Months Ended March 31, 2021 and 2020 (Unaudited)</w:t>
              </w:r>
            </w:hyperlink>
          </w:p>
        </w:tc>
        <w:tc>
          <w:tcPr>
            <w:tcW w:w="38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jc w:val="center"/>
              <w:spacing w:after="0" w:line="156" w:lineRule="exact"/>
              <w:rPr>
                <w:rFonts w:ascii="Arial" w:cs="Arial" w:eastAsia="Arial" w:hAnsi="Arial"/>
                <w:sz w:val="15"/>
                <w:szCs w:val="15"/>
                <w:color w:val="0000EE"/>
                <w:w w:val="77"/>
              </w:rPr>
            </w:pPr>
            <w:hyperlink w:anchor="page210">
              <w:r>
                <w:rPr>
                  <w:rFonts w:ascii="Arial" w:cs="Arial" w:eastAsia="Arial" w:hAnsi="Arial"/>
                  <w:sz w:val="15"/>
                  <w:szCs w:val="15"/>
                  <w:color w:val="0000EE"/>
                  <w:w w:val="77"/>
                </w:rPr>
                <w:t>F-26</w:t>
              </w:r>
            </w:hyperlink>
          </w:p>
        </w:tc>
      </w:tr>
      <w:tr>
        <w:trPr>
          <w:trHeight w:val="24"/>
        </w:trPr>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r>
      <w:tr>
        <w:trPr>
          <w:trHeight w:val="176"/>
        </w:trPr>
        <w:tc>
          <w:tcPr>
            <w:tcW w:w="6440" w:type="dxa"/>
            <w:vAlign w:val="bottom"/>
            <w:gridSpan w:val="16"/>
          </w:tcPr>
          <w:p>
            <w:pPr>
              <w:ind w:left="160"/>
              <w:spacing w:after="0"/>
              <w:rPr>
                <w:rFonts w:ascii="Arial" w:cs="Arial" w:eastAsia="Arial" w:hAnsi="Arial"/>
                <w:sz w:val="15"/>
                <w:szCs w:val="15"/>
                <w:color w:val="0000EE"/>
              </w:rPr>
            </w:pPr>
            <w:hyperlink w:anchor="page211">
              <w:r>
                <w:rPr>
                  <w:rFonts w:ascii="Arial" w:cs="Arial" w:eastAsia="Arial" w:hAnsi="Arial"/>
                  <w:sz w:val="15"/>
                  <w:szCs w:val="15"/>
                  <w:color w:val="0000EE"/>
                </w:rPr>
                <w:t>Consolidated Statements of Cash Flows for the Three Months Ended March 31, 2021 and</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400" w:type="dxa"/>
            <w:vAlign w:val="bottom"/>
            <w:tcBorders>
              <w:top w:val="single" w:sz="8" w:color="0000EE"/>
            </w:tcBorders>
            <w:gridSpan w:val="10"/>
          </w:tcPr>
          <w:p>
            <w:pPr>
              <w:spacing w:after="0" w:line="156" w:lineRule="exact"/>
              <w:rPr>
                <w:rFonts w:ascii="Arial" w:cs="Arial" w:eastAsia="Arial" w:hAnsi="Arial"/>
                <w:sz w:val="15"/>
                <w:szCs w:val="15"/>
                <w:color w:val="0000EE"/>
              </w:rPr>
            </w:pPr>
            <w:hyperlink w:anchor="page211">
              <w:r>
                <w:rPr>
                  <w:rFonts w:ascii="Arial" w:cs="Arial" w:eastAsia="Arial" w:hAnsi="Arial"/>
                  <w:sz w:val="15"/>
                  <w:szCs w:val="15"/>
                  <w:color w:val="0000EE"/>
                </w:rPr>
                <w:t>2020 (Unaudited)</w:t>
              </w:r>
            </w:hyperlink>
          </w:p>
        </w:tc>
        <w:tc>
          <w:tcPr>
            <w:tcW w:w="740" w:type="dxa"/>
            <w:vAlign w:val="bottom"/>
            <w:gridSpan w:val="4"/>
          </w:tcPr>
          <w:p>
            <w:pPr>
              <w:spacing w:after="0"/>
              <w:rPr>
                <w:sz w:val="13"/>
                <w:szCs w:val="13"/>
                <w:color w:val="auto"/>
              </w:rPr>
            </w:pPr>
          </w:p>
        </w:tc>
        <w:tc>
          <w:tcPr>
            <w:tcW w:w="240" w:type="dxa"/>
            <w:vAlign w:val="bottom"/>
            <w:gridSpan w:val="2"/>
          </w:tcPr>
          <w:p>
            <w:pPr>
              <w:jc w:val="center"/>
              <w:spacing w:after="0" w:line="156" w:lineRule="exact"/>
              <w:rPr>
                <w:rFonts w:ascii="Arial" w:cs="Arial" w:eastAsia="Arial" w:hAnsi="Arial"/>
                <w:sz w:val="15"/>
                <w:szCs w:val="15"/>
                <w:color w:val="0000EE"/>
                <w:w w:val="77"/>
              </w:rPr>
            </w:pPr>
            <w:hyperlink w:anchor="page211">
              <w:r>
                <w:rPr>
                  <w:rFonts w:ascii="Arial" w:cs="Arial" w:eastAsia="Arial" w:hAnsi="Arial"/>
                  <w:sz w:val="15"/>
                  <w:szCs w:val="15"/>
                  <w:color w:val="0000EE"/>
                  <w:w w:val="77"/>
                </w:rPr>
                <w:t>F-27</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187"/>
        </w:trPr>
        <w:tc>
          <w:tcPr>
            <w:tcW w:w="6440" w:type="dxa"/>
            <w:vAlign w:val="bottom"/>
            <w:tcBorders>
              <w:right w:val="single" w:sz="8" w:color="CCEEFF"/>
            </w:tcBorders>
            <w:gridSpan w:val="16"/>
            <w:shd w:val="clear" w:color="auto" w:fill="CCEEFF"/>
          </w:tcPr>
          <w:p>
            <w:pPr>
              <w:ind w:left="160"/>
              <w:spacing w:after="0"/>
              <w:rPr>
                <w:rFonts w:ascii="Arial" w:cs="Arial" w:eastAsia="Arial" w:hAnsi="Arial"/>
                <w:sz w:val="15"/>
                <w:szCs w:val="15"/>
                <w:color w:val="0000EE"/>
              </w:rPr>
            </w:pPr>
            <w:hyperlink w:anchor="page212">
              <w:r>
                <w:rPr>
                  <w:rFonts w:ascii="Arial" w:cs="Arial" w:eastAsia="Arial" w:hAnsi="Arial"/>
                  <w:sz w:val="15"/>
                  <w:szCs w:val="15"/>
                  <w:color w:val="0000EE"/>
                </w:rPr>
                <w:t>Notes to Unaudited Interim Consolidated Financial Statements</w:t>
              </w:r>
            </w:hyperlink>
          </w:p>
        </w:tc>
        <w:tc>
          <w:tcPr>
            <w:tcW w:w="240" w:type="dxa"/>
            <w:vAlign w:val="bottom"/>
            <w:gridSpan w:val="2"/>
            <w:shd w:val="clear" w:color="auto" w:fill="CCEEFF"/>
          </w:tcPr>
          <w:p>
            <w:pPr>
              <w:jc w:val="center"/>
              <w:spacing w:after="0"/>
              <w:rPr>
                <w:rFonts w:ascii="Arial" w:cs="Arial" w:eastAsia="Arial" w:hAnsi="Arial"/>
                <w:sz w:val="15"/>
                <w:szCs w:val="15"/>
                <w:color w:val="0000EE"/>
                <w:w w:val="77"/>
              </w:rPr>
            </w:pPr>
            <w:hyperlink w:anchor="page212">
              <w:r>
                <w:rPr>
                  <w:rFonts w:ascii="Arial" w:cs="Arial" w:eastAsia="Arial" w:hAnsi="Arial"/>
                  <w:sz w:val="15"/>
                  <w:szCs w:val="15"/>
                  <w:color w:val="0000EE"/>
                  <w:w w:val="77"/>
                </w:rPr>
                <w:t>F-28</w:t>
              </w:r>
            </w:hyperlink>
          </w:p>
        </w:tc>
      </w:tr>
      <w:tr>
        <w:trPr>
          <w:trHeight w:val="22"/>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-2943225</wp:posOffset>
            </wp:positionV>
            <wp:extent cx="407416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0741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-1408430</wp:posOffset>
            </wp:positionV>
            <wp:extent cx="424180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right="2759" w:firstLine="1588"/>
        <w:spacing w:after="0" w:line="511"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To the Stockholders and the Board of Directors of Immuneering Corporation</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have audited the accompanying consolidated balance sheets of Immuneering Corporation and its subsidiary (the Company) as of December 31, 2020 and 2019, the related consolidated statements of operations, convertible preferred stock and stockholders’ deficit, and cash flows for each of the years then ended, and the related notes to the consolidated financial statements (collectively, the financial statements). In our opinion, the financial statements present fairly, in all material respects, the financial position of the Company as of December 31, 2020 and 2019, and the results of their operations and their cash flows for each of the years then ended, in conformity with accounting principles generally accepted in the United States of America.</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for Opinion</w:t>
      </w:r>
    </w:p>
    <w:p>
      <w:pPr>
        <w:spacing w:after="0" w:line="128"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80"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RSM US LLP</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since 2020.</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Boston, Massachusetts</w:t>
      </w:r>
    </w:p>
    <w:p>
      <w:pPr>
        <w:ind w:left="1160"/>
        <w:spacing w:after="0"/>
        <w:rPr>
          <w:sz w:val="20"/>
          <w:szCs w:val="20"/>
          <w:color w:val="auto"/>
        </w:rPr>
      </w:pPr>
      <w:r>
        <w:rPr>
          <w:rFonts w:ascii="Arial" w:cs="Arial" w:eastAsia="Arial" w:hAnsi="Arial"/>
          <w:sz w:val="15"/>
          <w:szCs w:val="15"/>
          <w:color w:val="auto"/>
        </w:rPr>
        <w:t>May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91"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2020 and 2019</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0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80" w:type="dxa"/>
            <w:vAlign w:val="bottom"/>
          </w:tcPr>
          <w:p>
            <w:pPr>
              <w:spacing w:after="0"/>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37,090,151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13,782,175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60"/>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500,110</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209,940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Prepaids and other current assets</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140,958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37,731,219</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14,063,333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64,363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spacing w:after="0"/>
              <w:rPr>
                <w:sz w:val="20"/>
                <w:szCs w:val="20"/>
                <w:color w:val="auto"/>
              </w:rPr>
            </w:pPr>
            <w:r>
              <w:rPr>
                <w:rFonts w:ascii="Arial" w:cs="Arial" w:eastAsia="Arial" w:hAnsi="Arial"/>
                <w:sz w:val="15"/>
                <w:szCs w:val="15"/>
                <w:color w:val="auto"/>
              </w:rPr>
              <w:t>Right-of-use asset</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613,103</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14,333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80" w:type="dxa"/>
            <w:vAlign w:val="bottom"/>
          </w:tcPr>
          <w:p>
            <w:pPr>
              <w:ind w:left="300"/>
              <w:spacing w:after="0"/>
              <w:rPr>
                <w:sz w:val="20"/>
                <w:szCs w:val="20"/>
                <w:color w:val="auto"/>
              </w:rPr>
            </w:pPr>
            <w:r>
              <w:rPr>
                <w:rFonts w:ascii="Arial" w:cs="Arial" w:eastAsia="Arial" w:hAnsi="Arial"/>
                <w:sz w:val="15"/>
                <w:szCs w:val="15"/>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0"/>
              </w:rPr>
              <w:t>38,423,018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w w:val="85"/>
              </w:rPr>
              <w:t>14,098,609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CONVERTIBLE PREFERRED STOCK AND</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STOCKHOLDERS’ DEFICIT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tcPr>
          <w:p>
            <w:pPr>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1,480,537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60"/>
              <w:spacing w:after="0"/>
              <w:rPr>
                <w:sz w:val="20"/>
                <w:szCs w:val="20"/>
                <w:color w:val="auto"/>
              </w:rPr>
            </w:pPr>
            <w:r>
              <w:rPr>
                <w:rFonts w:ascii="Arial" w:cs="Arial" w:eastAsia="Arial" w:hAnsi="Arial"/>
                <w:sz w:val="15"/>
                <w:szCs w:val="15"/>
                <w:color w:val="auto"/>
              </w:rPr>
              <w:t>Accrued expenses</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698,992</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210,348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Lease liability, current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76,322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2,255,851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505,296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liabilities:</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Pr>
          <w:p>
            <w:pPr>
              <w:spacing w:after="0"/>
              <w:rPr>
                <w:sz w:val="20"/>
                <w:szCs w:val="20"/>
                <w:color w:val="auto"/>
              </w:rPr>
            </w:pPr>
            <w:r>
              <w:rPr>
                <w:rFonts w:ascii="Arial" w:cs="Arial" w:eastAsia="Arial" w:hAnsi="Arial"/>
                <w:sz w:val="15"/>
                <w:szCs w:val="15"/>
                <w:color w:val="auto"/>
              </w:rPr>
              <w:t>Lease liability, noncurrent</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544,767</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Liability for Series A preferred stock</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3,509,802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tcPr>
          <w:p>
            <w:pPr>
              <w:ind w:left="300"/>
              <w:spacing w:after="0"/>
              <w:rPr>
                <w:sz w:val="20"/>
                <w:szCs w:val="20"/>
                <w:color w:val="auto"/>
              </w:rPr>
            </w:pPr>
            <w:r>
              <w:rPr>
                <w:rFonts w:ascii="Arial" w:cs="Arial" w:eastAsia="Arial" w:hAnsi="Arial"/>
                <w:sz w:val="15"/>
                <w:szCs w:val="15"/>
                <w:color w:val="auto"/>
              </w:rPr>
              <w:t>Total liabilities</w:t>
            </w: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2,800,618</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4,015,098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9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Commitments and contingencies (Note 11)</w:t>
            </w:r>
          </w:p>
        </w:tc>
        <w:tc>
          <w:tcPr>
            <w:tcW w:w="8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5"/>
                <w:szCs w:val="15"/>
                <w:color w:val="auto"/>
              </w:rPr>
              <w:t>Convertible preferred stock:</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Series B preferred stock, $0.001 par value, 6,032,183 shares authorized,</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w w:val="96"/>
              </w:rPr>
              <w:t>3,619,292 and 0 shares issued and outstanding at December 31, 2020 and</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2019, respectively, net of issuance costs</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36,983,910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tcPr>
          <w:p>
            <w:pPr>
              <w:spacing w:after="0"/>
              <w:rPr>
                <w:sz w:val="20"/>
                <w:szCs w:val="20"/>
                <w:color w:val="auto"/>
              </w:rPr>
            </w:pPr>
            <w:r>
              <w:rPr>
                <w:rFonts w:ascii="Arial" w:cs="Arial" w:eastAsia="Arial" w:hAnsi="Arial"/>
                <w:sz w:val="15"/>
                <w:szCs w:val="15"/>
                <w:color w:val="auto"/>
              </w:rPr>
              <w:t>Series A preferred stock, $0.001 par value, 2,495,933 shares authorized,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160"/>
              <w:spacing w:after="0"/>
              <w:rPr>
                <w:sz w:val="20"/>
                <w:szCs w:val="20"/>
                <w:color w:val="auto"/>
              </w:rPr>
            </w:pPr>
            <w:r>
              <w:rPr>
                <w:rFonts w:ascii="Arial" w:cs="Arial" w:eastAsia="Arial" w:hAnsi="Arial"/>
                <w:sz w:val="15"/>
                <w:szCs w:val="15"/>
                <w:color w:val="auto"/>
                <w:w w:val="97"/>
              </w:rPr>
              <w:t>2,495,933 and 1,966,043 shares issued and outstanding at December 31,</w:t>
            </w:r>
          </w:p>
        </w:tc>
        <w:tc>
          <w:tcPr>
            <w:tcW w:w="8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w w:val="90"/>
              </w:rPr>
              <w:t>21,119,940</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w w:val="85"/>
              </w:rPr>
              <w:t>16,611,832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80" w:type="dxa"/>
            <w:vAlign w:val="bottom"/>
          </w:tcPr>
          <w:p>
            <w:pPr>
              <w:ind w:left="160"/>
              <w:spacing w:after="0"/>
              <w:rPr>
                <w:sz w:val="20"/>
                <w:szCs w:val="20"/>
                <w:color w:val="auto"/>
              </w:rPr>
            </w:pPr>
            <w:r>
              <w:rPr>
                <w:rFonts w:ascii="Arial" w:cs="Arial" w:eastAsia="Arial" w:hAnsi="Arial"/>
                <w:sz w:val="15"/>
                <w:szCs w:val="15"/>
                <w:color w:val="auto"/>
              </w:rPr>
              <w:t>2020 and 2019, respectively, net of issuance costs</w:t>
            </w: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convertible preferred stock</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58,103,850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16,611,832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98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Stockholders’ deficit:</w:t>
            </w: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Class A common stock, $0.001 par value, 15,733,000 shares authorized,</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w w:val="96"/>
              </w:rPr>
              <w:t>3,535,811 shares issued and outstanding at December 31, 2020 and 2019</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tcPr>
          <w:p>
            <w:pPr>
              <w:spacing w:after="0"/>
              <w:rPr>
                <w:sz w:val="20"/>
                <w:szCs w:val="20"/>
                <w:color w:val="auto"/>
              </w:rPr>
            </w:pPr>
            <w:r>
              <w:rPr>
                <w:rFonts w:ascii="Arial" w:cs="Arial" w:eastAsia="Arial" w:hAnsi="Arial"/>
                <w:sz w:val="15"/>
                <w:szCs w:val="15"/>
                <w:color w:val="auto"/>
              </w:rPr>
              <w:t>Class B common stock, $0.001 par value, 6,032,183 shares authorized,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980" w:type="dxa"/>
            <w:vAlign w:val="bottom"/>
          </w:tcPr>
          <w:p>
            <w:pPr>
              <w:ind w:left="160"/>
              <w:spacing w:after="0"/>
              <w:rPr>
                <w:sz w:val="20"/>
                <w:szCs w:val="20"/>
                <w:color w:val="auto"/>
              </w:rPr>
            </w:pPr>
            <w:r>
              <w:rPr>
                <w:rFonts w:ascii="Arial" w:cs="Arial" w:eastAsia="Arial" w:hAnsi="Arial"/>
                <w:sz w:val="15"/>
                <w:szCs w:val="15"/>
                <w:color w:val="auto"/>
              </w:rPr>
              <w:t>0 shares issued and outstanding at December 31, 2020 and 2019</w:t>
            </w: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3,252,654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2,165,885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86"/>
              </w:rPr>
              <w:t>(25,737,640)</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w w:val="91"/>
              </w:rPr>
              <w:t>(8,697,742)</w:t>
            </w: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stockholders’ deficit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6"/>
              </w:rPr>
              <w:t>(22,481,450)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(6,528,321)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80" w:type="dxa"/>
            <w:vAlign w:val="bottom"/>
          </w:tcPr>
          <w:p>
            <w:pPr>
              <w:ind w:left="300"/>
              <w:spacing w:after="0"/>
              <w:rPr>
                <w:sz w:val="20"/>
                <w:szCs w:val="20"/>
                <w:color w:val="auto"/>
              </w:rPr>
            </w:pPr>
            <w:r>
              <w:rPr>
                <w:rFonts w:ascii="Arial" w:cs="Arial" w:eastAsia="Arial" w:hAnsi="Arial"/>
                <w:sz w:val="15"/>
                <w:szCs w:val="15"/>
                <w:b w:val="1"/>
                <w:bCs w:val="1"/>
                <w:color w:val="auto"/>
                <w:w w:val="95"/>
              </w:rPr>
              <w:t>Total liabilities, convertible preferred stock and stockholders’ deficit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0"/>
              </w:rPr>
              <w:t>38,423,018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w w:val="85"/>
              </w:rPr>
              <w:t>14,098,609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-334010</wp:posOffset>
            </wp:positionV>
            <wp:extent cx="377444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-1436370</wp:posOffset>
            </wp:positionV>
            <wp:extent cx="377444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-2517775</wp:posOffset>
            </wp:positionV>
            <wp:extent cx="377444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-5420360</wp:posOffset>
            </wp:positionV>
            <wp:extent cx="376745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YEARS ENDED DECEMBER 31, 2020 and 2019</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08"/>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2,311,535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1,919,709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Cost of revenue</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1,280,325</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2"/>
              </w:rPr>
              <w:t>1,222,970</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Gross profit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1,031,210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00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Research and development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15,003,786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4,278,862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gridSpan w:val="2"/>
          </w:tcPr>
          <w:p>
            <w:pPr>
              <w:ind w:left="300"/>
              <w:spacing w:after="0"/>
              <w:rPr>
                <w:sz w:val="20"/>
                <w:szCs w:val="20"/>
                <w:color w:val="auto"/>
              </w:rPr>
            </w:pPr>
            <w:r>
              <w:rPr>
                <w:rFonts w:ascii="Arial" w:cs="Arial" w:eastAsia="Arial" w:hAnsi="Arial"/>
                <w:sz w:val="15"/>
                <w:szCs w:val="15"/>
                <w:color w:val="auto"/>
              </w:rPr>
              <w:t>General and administrative</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3,109,978</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2"/>
              </w:rPr>
              <w:t>2,708,891</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18,113,764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6,987,753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0" w:type="dxa"/>
            <w:vAlign w:val="bottom"/>
            <w:gridSpan w:val="2"/>
          </w:tcPr>
          <w:p>
            <w:pPr>
              <w:ind w:left="440"/>
              <w:spacing w:after="0"/>
              <w:rPr>
                <w:sz w:val="20"/>
                <w:szCs w:val="20"/>
                <w:color w:val="auto"/>
              </w:rPr>
            </w:pPr>
            <w:r>
              <w:rPr>
                <w:rFonts w:ascii="Arial" w:cs="Arial" w:eastAsia="Arial" w:hAnsi="Arial"/>
                <w:sz w:val="15"/>
                <w:szCs w:val="15"/>
                <w:b w:val="1"/>
                <w:bCs w:val="1"/>
                <w:color w:val="auto"/>
              </w:rPr>
              <w:t>Loss from operations</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86"/>
              </w:rPr>
              <w:t>(17,082,554)</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w w:val="88"/>
              </w:rPr>
              <w:t>(6,291,014)</w:t>
            </w:r>
          </w:p>
        </w:tc>
        <w:tc>
          <w:tcPr>
            <w:tcW w:w="0" w:type="dxa"/>
            <w:vAlign w:val="bottom"/>
          </w:tcPr>
          <w:p>
            <w:pPr>
              <w:spacing w:after="0"/>
              <w:rPr>
                <w:sz w:val="1"/>
                <w:szCs w:val="1"/>
                <w:color w:val="auto"/>
              </w:rPr>
            </w:pPr>
          </w:p>
        </w:tc>
      </w:tr>
      <w:tr>
        <w:trPr>
          <w:trHeight w:val="297"/>
        </w:trPr>
        <w:tc>
          <w:tcPr>
            <w:tcW w:w="5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Other income (expense)</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0" w:type="dxa"/>
            <w:vAlign w:val="bottom"/>
            <w:gridSpan w:val="2"/>
          </w:tcPr>
          <w:p>
            <w:pPr>
              <w:ind w:left="300"/>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42,656</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57,660</w:t>
            </w:r>
          </w:p>
        </w:tc>
        <w:tc>
          <w:tcPr>
            <w:tcW w:w="0" w:type="dxa"/>
            <w:vAlign w:val="bottom"/>
          </w:tcPr>
          <w:p>
            <w:pPr>
              <w:spacing w:after="0"/>
              <w:rPr>
                <w:sz w:val="1"/>
                <w:szCs w:val="1"/>
                <w:color w:val="auto"/>
              </w:rPr>
            </w:pPr>
          </w:p>
        </w:tc>
      </w:tr>
      <w:tr>
        <w:trPr>
          <w:trHeight w:val="209"/>
        </w:trPr>
        <w:tc>
          <w:tcPr>
            <w:tcW w:w="50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(351,302)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gridSpan w:val="2"/>
          </w:tcPr>
          <w:p>
            <w:pPr>
              <w:ind w:left="300"/>
              <w:spacing w:after="0"/>
              <w:rPr>
                <w:sz w:val="20"/>
                <w:szCs w:val="20"/>
                <w:color w:val="auto"/>
              </w:rPr>
            </w:pPr>
            <w:r>
              <w:rPr>
                <w:rFonts w:ascii="Arial" w:cs="Arial" w:eastAsia="Arial" w:hAnsi="Arial"/>
                <w:sz w:val="15"/>
                <w:szCs w:val="15"/>
                <w:color w:val="auto"/>
              </w:rPr>
              <w:t>Loss on conversion of convertible notes</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w w:val="88"/>
              </w:rPr>
              <w:t>(1,124,792)</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5"/>
                <w:szCs w:val="15"/>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86"/>
              </w:rPr>
              <w:t>(17,039,898)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0"/>
              </w:rPr>
              <w:t>(7,709,448)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00" w:type="dxa"/>
            <w:vAlign w:val="bottom"/>
            <w:gridSpan w:val="2"/>
          </w:tcPr>
          <w:p>
            <w:pPr>
              <w:spacing w:after="0"/>
              <w:rPr>
                <w:sz w:val="20"/>
                <w:szCs w:val="20"/>
                <w:color w:val="auto"/>
              </w:rPr>
            </w:pPr>
            <w:r>
              <w:rPr>
                <w:rFonts w:ascii="Arial" w:cs="Arial" w:eastAsia="Arial" w:hAnsi="Arial"/>
                <w:sz w:val="15"/>
                <w:szCs w:val="15"/>
                <w:color w:val="auto"/>
              </w:rPr>
              <w:t>Net loss per share attributable to common stockholders, basic and 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(4.82)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Weighted-average common shares outstanding, basic and diluted</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3,535,811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3,535,811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2"/>
            <w:vMerge w:val="restart"/>
          </w:tcPr>
          <w:p>
            <w:pPr>
              <w:spacing w:after="0" w:line="169" w:lineRule="exact"/>
              <w:rPr>
                <w:sz w:val="20"/>
                <w:szCs w:val="20"/>
                <w:color w:val="auto"/>
              </w:rPr>
            </w:pPr>
            <w:r>
              <w:rPr>
                <w:rFonts w:ascii="Arial" w:cs="Arial" w:eastAsia="Arial" w:hAnsi="Arial"/>
                <w:sz w:val="15"/>
                <w:szCs w:val="15"/>
                <w:color w:val="auto"/>
                <w:w w:val="97"/>
              </w:rPr>
              <w:t>Pro forma net loss per share attributable to common stockholders,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0" w:type="dxa"/>
            <w:vAlign w:val="bottom"/>
            <w:gridSpan w:val="2"/>
            <w:vMerge w:val="continue"/>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(2.78)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000" w:type="dxa"/>
            <w:vAlign w:val="bottom"/>
            <w:gridSpan w:val="2"/>
          </w:tcPr>
          <w:p>
            <w:pPr>
              <w:ind w:left="160"/>
              <w:spacing w:after="0"/>
              <w:rPr>
                <w:sz w:val="20"/>
                <w:szCs w:val="20"/>
                <w:color w:val="auto"/>
              </w:rPr>
            </w:pPr>
            <w:r>
              <w:rPr>
                <w:rFonts w:ascii="Arial" w:cs="Arial" w:eastAsia="Arial" w:hAnsi="Arial"/>
                <w:sz w:val="15"/>
                <w:szCs w:val="15"/>
                <w:color w:val="auto"/>
              </w:rPr>
              <w:t>diluted (unaudited)</w:t>
            </w:r>
          </w:p>
        </w:tc>
        <w:tc>
          <w:tcPr>
            <w:tcW w:w="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0" w:type="dxa"/>
            <w:vAlign w:val="bottom"/>
            <w:tcBorders>
              <w:right w:val="single" w:sz="8" w:color="CCEEFF"/>
            </w:tcBorders>
            <w:gridSpan w:val="2"/>
            <w:shd w:val="clear" w:color="auto" w:fill="CCEEFF"/>
          </w:tcPr>
          <w:p>
            <w:pPr>
              <w:spacing w:after="0" w:line="155" w:lineRule="exact"/>
              <w:rPr>
                <w:sz w:val="20"/>
                <w:szCs w:val="20"/>
                <w:color w:val="auto"/>
              </w:rPr>
            </w:pPr>
            <w:r>
              <w:rPr>
                <w:rFonts w:ascii="Arial" w:cs="Arial" w:eastAsia="Arial" w:hAnsi="Arial"/>
                <w:sz w:val="15"/>
                <w:szCs w:val="15"/>
                <w:color w:val="auto"/>
                <w:w w:val="98"/>
              </w:rPr>
              <w:t>Pro forma weighted-average common shares outstanding, basic and diluted</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6,127,858</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0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-1017905</wp:posOffset>
            </wp:positionV>
            <wp:extent cx="378841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378841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-2510790</wp:posOffset>
            </wp:positionV>
            <wp:extent cx="378841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-2790190</wp:posOffset>
            </wp:positionV>
            <wp:extent cx="378142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781425" cy="6985"/>
                    </a:xfrm>
                    <a:prstGeom prst="rect">
                      <a:avLst/>
                    </a:prstGeom>
                    <a:noFill/>
                  </pic:spPr>
                </pic:pic>
              </a:graphicData>
            </a:graphic>
          </wp:anchor>
        </w:drawing>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91"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CONSOLIDATED STATEMENTS OF CONVERTIBLE PREFERRED STOCK AND STOCKHOLDERS’ DEFICIT</w:t>
      </w:r>
    </w:p>
    <w:p>
      <w:pPr>
        <w:spacing w:after="0" w:line="18"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FOR THE YEARS ENDED DECEMBER 31, 2020 and 2019</w:t>
      </w:r>
    </w:p>
    <w:p>
      <w:pPr>
        <w:spacing w:after="0" w:line="129" w:lineRule="exact"/>
        <w:rPr>
          <w:sz w:val="20"/>
          <w:szCs w:val="20"/>
          <w:color w:val="auto"/>
        </w:rPr>
      </w:pPr>
    </w:p>
    <w:tbl>
      <w:tblPr>
        <w:tblLayout w:type="fixed"/>
        <w:tblInd w:w="680" w:type="dxa"/>
        <w:tblCellMar>
          <w:top w:w="0" w:type="dxa"/>
          <w:left w:w="0" w:type="dxa"/>
          <w:bottom w:w="0" w:type="dxa"/>
          <w:right w:w="0" w:type="dxa"/>
        </w:tblCellMar>
      </w:tblPr>
      <w:tr>
        <w:trPr>
          <w:trHeight w:val="28"/>
        </w:trPr>
        <w:tc>
          <w:tcPr>
            <w:tcW w:w="2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80" w:type="dxa"/>
            <w:vAlign w:val="bottom"/>
            <w:gridSpan w:val="7"/>
            <w:vMerge w:val="restart"/>
          </w:tcPr>
          <w:p>
            <w:pPr>
              <w:jc w:val="right"/>
              <w:ind w:right="380"/>
              <w:spacing w:after="0"/>
              <w:rPr>
                <w:sz w:val="20"/>
                <w:szCs w:val="20"/>
                <w:color w:val="auto"/>
              </w:rPr>
            </w:pPr>
            <w:r>
              <w:rPr>
                <w:rFonts w:ascii="Arial" w:cs="Arial" w:eastAsia="Arial" w:hAnsi="Arial"/>
                <w:sz w:val="12"/>
                <w:szCs w:val="12"/>
                <w:b w:val="1"/>
                <w:bCs w:val="1"/>
                <w:color w:val="auto"/>
              </w:rPr>
              <w:t>Convertible Preferred Stock</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7"/>
            <w:vMerge w:val="restart"/>
          </w:tcPr>
          <w:p>
            <w:pPr>
              <w:jc w:val="right"/>
              <w:ind w:right="200"/>
              <w:spacing w:after="0"/>
              <w:rPr>
                <w:sz w:val="20"/>
                <w:szCs w:val="20"/>
                <w:color w:val="auto"/>
              </w:rPr>
            </w:pPr>
            <w:r>
              <w:rPr>
                <w:rFonts w:ascii="Arial" w:cs="Arial" w:eastAsia="Arial" w:hAnsi="Arial"/>
                <w:sz w:val="12"/>
                <w:szCs w:val="12"/>
                <w:b w:val="1"/>
                <w:bCs w:val="1"/>
                <w:color w:val="auto"/>
                <w:w w:val="88"/>
              </w:rPr>
              <w:t>Stockholders’ Deficit</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80" w:type="dxa"/>
            <w:vAlign w:val="bottom"/>
          </w:tcPr>
          <w:p>
            <w:pPr>
              <w:spacing w:after="0"/>
              <w:rPr>
                <w:sz w:val="11"/>
                <w:szCs w:val="11"/>
                <w:color w:val="auto"/>
              </w:rPr>
            </w:pPr>
          </w:p>
        </w:tc>
        <w:tc>
          <w:tcPr>
            <w:tcW w:w="1360" w:type="dxa"/>
            <w:vAlign w:val="bottom"/>
            <w:gridSpan w:val="5"/>
            <w:vMerge w:val="restart"/>
          </w:tcPr>
          <w:p>
            <w:pPr>
              <w:jc w:val="center"/>
              <w:ind w:right="120"/>
              <w:spacing w:after="0"/>
              <w:rPr>
                <w:sz w:val="20"/>
                <w:szCs w:val="20"/>
                <w:color w:val="auto"/>
              </w:rPr>
            </w:pPr>
            <w:r>
              <w:rPr>
                <w:rFonts w:ascii="Arial" w:cs="Arial" w:eastAsia="Arial" w:hAnsi="Arial"/>
                <w:sz w:val="12"/>
                <w:szCs w:val="12"/>
                <w:b w:val="1"/>
                <w:bCs w:val="1"/>
                <w:color w:val="auto"/>
                <w:w w:val="83"/>
              </w:rPr>
              <w:t>Series B</w:t>
            </w:r>
          </w:p>
        </w:tc>
        <w:tc>
          <w:tcPr>
            <w:tcW w:w="1380" w:type="dxa"/>
            <w:vAlign w:val="bottom"/>
            <w:gridSpan w:val="5"/>
            <w:vMerge w:val="restart"/>
          </w:tcPr>
          <w:p>
            <w:pPr>
              <w:jc w:val="right"/>
              <w:ind w:right="540"/>
              <w:spacing w:after="0"/>
              <w:rPr>
                <w:sz w:val="20"/>
                <w:szCs w:val="20"/>
                <w:color w:val="auto"/>
              </w:rPr>
            </w:pPr>
            <w:r>
              <w:rPr>
                <w:rFonts w:ascii="Arial" w:cs="Arial" w:eastAsia="Arial" w:hAnsi="Arial"/>
                <w:sz w:val="12"/>
                <w:szCs w:val="12"/>
                <w:b w:val="1"/>
                <w:bCs w:val="1"/>
                <w:color w:val="auto"/>
              </w:rPr>
              <w:t>Series A</w:t>
            </w:r>
          </w:p>
        </w:tc>
        <w:tc>
          <w:tcPr>
            <w:tcW w:w="80" w:type="dxa"/>
            <w:vAlign w:val="bottom"/>
          </w:tcPr>
          <w:p>
            <w:pPr>
              <w:spacing w:after="0"/>
              <w:rPr>
                <w:sz w:val="11"/>
                <w:szCs w:val="11"/>
                <w:color w:val="auto"/>
              </w:rPr>
            </w:pPr>
          </w:p>
        </w:tc>
        <w:tc>
          <w:tcPr>
            <w:tcW w:w="660" w:type="dxa"/>
            <w:vAlign w:val="bottom"/>
            <w:tcBorders>
              <w:right w:val="single" w:sz="8" w:color="auto"/>
            </w:tcBorders>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83"/>
              </w:rPr>
              <w:t>Total</w:t>
            </w:r>
          </w:p>
        </w:tc>
        <w:tc>
          <w:tcPr>
            <w:tcW w:w="1200" w:type="dxa"/>
            <w:vAlign w:val="bottom"/>
            <w:gridSpan w:val="4"/>
          </w:tcPr>
          <w:p>
            <w:pPr>
              <w:jc w:val="center"/>
              <w:ind w:right="120"/>
              <w:spacing w:after="0" w:line="134" w:lineRule="exact"/>
              <w:rPr>
                <w:sz w:val="20"/>
                <w:szCs w:val="20"/>
                <w:color w:val="auto"/>
              </w:rPr>
            </w:pPr>
            <w:r>
              <w:rPr>
                <w:rFonts w:ascii="Arial" w:cs="Arial" w:eastAsia="Arial" w:hAnsi="Arial"/>
                <w:sz w:val="12"/>
                <w:szCs w:val="12"/>
                <w:b w:val="1"/>
                <w:bCs w:val="1"/>
                <w:color w:val="auto"/>
                <w:w w:val="81"/>
              </w:rPr>
              <w:t>Class 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6"/>
          </w:tcPr>
          <w:p>
            <w:pPr>
              <w:jc w:val="center"/>
              <w:ind w:right="360"/>
              <w:spacing w:after="0" w:line="134" w:lineRule="exact"/>
              <w:rPr>
                <w:sz w:val="20"/>
                <w:szCs w:val="20"/>
                <w:color w:val="auto"/>
              </w:rPr>
            </w:pPr>
            <w:r>
              <w:rPr>
                <w:rFonts w:ascii="Arial" w:cs="Arial" w:eastAsia="Arial" w:hAnsi="Arial"/>
                <w:sz w:val="12"/>
                <w:szCs w:val="12"/>
                <w:b w:val="1"/>
                <w:bCs w:val="1"/>
                <w:color w:val="auto"/>
                <w:w w:val="81"/>
              </w:rPr>
              <w:t>Class B</w:t>
            </w: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85"/>
              </w:rPr>
              <w:t>Additional</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740" w:type="dxa"/>
            <w:vAlign w:val="bottom"/>
            <w:tcBorders>
              <w:right w:val="single" w:sz="8" w:color="auto"/>
            </w:tcBorders>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84"/>
              </w:rPr>
              <w:t>Convertible</w:t>
            </w:r>
          </w:p>
        </w:tc>
        <w:tc>
          <w:tcPr>
            <w:tcW w:w="1200" w:type="dxa"/>
            <w:vAlign w:val="bottom"/>
            <w:gridSpan w:val="4"/>
          </w:tcPr>
          <w:p>
            <w:pPr>
              <w:jc w:val="center"/>
              <w:ind w:right="60"/>
              <w:spacing w:after="0" w:line="110" w:lineRule="exact"/>
              <w:rPr>
                <w:sz w:val="20"/>
                <w:szCs w:val="20"/>
                <w:color w:val="auto"/>
              </w:rPr>
            </w:pPr>
            <w:r>
              <w:rPr>
                <w:rFonts w:ascii="Arial" w:cs="Arial" w:eastAsia="Arial" w:hAnsi="Arial"/>
                <w:sz w:val="12"/>
                <w:szCs w:val="12"/>
                <w:b w:val="1"/>
                <w:bCs w:val="1"/>
                <w:color w:val="auto"/>
                <w:w w:val="84"/>
              </w:rPr>
              <w:t>Common Stock</w:t>
            </w:r>
          </w:p>
        </w:tc>
        <w:tc>
          <w:tcPr>
            <w:tcW w:w="1000" w:type="dxa"/>
            <w:vAlign w:val="bottom"/>
            <w:gridSpan w:val="8"/>
          </w:tcPr>
          <w:p>
            <w:pPr>
              <w:jc w:val="center"/>
              <w:ind w:right="60"/>
              <w:spacing w:after="0" w:line="110" w:lineRule="exact"/>
              <w:rPr>
                <w:sz w:val="20"/>
                <w:szCs w:val="20"/>
                <w:color w:val="auto"/>
              </w:rPr>
            </w:pPr>
            <w:r>
              <w:rPr>
                <w:rFonts w:ascii="Arial" w:cs="Arial" w:eastAsia="Arial" w:hAnsi="Arial"/>
                <w:sz w:val="12"/>
                <w:szCs w:val="12"/>
                <w:b w:val="1"/>
                <w:bCs w:val="1"/>
                <w:color w:val="auto"/>
                <w:w w:val="84"/>
              </w:rPr>
              <w:t>Common Stock</w:t>
            </w:r>
          </w:p>
        </w:tc>
        <w:tc>
          <w:tcPr>
            <w:tcW w:w="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right w:val="single" w:sz="8" w:color="auto"/>
            </w:tcBorders>
            <w:gridSpan w:val="2"/>
            <w:vMerge w:val="restart"/>
          </w:tcPr>
          <w:p>
            <w:pPr>
              <w:jc w:val="center"/>
              <w:ind w:right="180"/>
              <w:spacing w:after="0" w:line="99" w:lineRule="exact"/>
              <w:rPr>
                <w:sz w:val="20"/>
                <w:szCs w:val="20"/>
                <w:color w:val="auto"/>
              </w:rPr>
            </w:pPr>
            <w:r>
              <w:rPr>
                <w:rFonts w:ascii="Arial" w:cs="Arial" w:eastAsia="Arial" w:hAnsi="Arial"/>
                <w:sz w:val="11"/>
                <w:szCs w:val="11"/>
                <w:b w:val="1"/>
                <w:bCs w:val="1"/>
                <w:color w:val="auto"/>
                <w:w w:val="98"/>
              </w:rPr>
              <w:t>Preferred</w:t>
            </w: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jc w:val="center"/>
              <w:ind w:right="200"/>
              <w:spacing w:after="0" w:line="99" w:lineRule="exact"/>
              <w:rPr>
                <w:sz w:val="20"/>
                <w:szCs w:val="20"/>
                <w:color w:val="auto"/>
              </w:rPr>
            </w:pPr>
            <w:r>
              <w:rPr>
                <w:rFonts w:ascii="Arial" w:cs="Arial" w:eastAsia="Arial" w:hAnsi="Arial"/>
                <w:sz w:val="11"/>
                <w:szCs w:val="11"/>
                <w:b w:val="1"/>
                <w:bCs w:val="1"/>
                <w:color w:val="auto"/>
              </w:rPr>
              <w:t>Paid-In</w:t>
            </w:r>
          </w:p>
        </w:tc>
        <w:tc>
          <w:tcPr>
            <w:tcW w:w="800" w:type="dxa"/>
            <w:vAlign w:val="bottom"/>
            <w:gridSpan w:val="3"/>
            <w:vMerge w:val="restart"/>
          </w:tcPr>
          <w:p>
            <w:pPr>
              <w:ind w:left="20"/>
              <w:spacing w:after="0" w:line="99" w:lineRule="exact"/>
              <w:rPr>
                <w:sz w:val="20"/>
                <w:szCs w:val="20"/>
                <w:color w:val="auto"/>
              </w:rPr>
            </w:pPr>
            <w:r>
              <w:rPr>
                <w:rFonts w:ascii="Arial" w:cs="Arial" w:eastAsia="Arial" w:hAnsi="Arial"/>
                <w:sz w:val="11"/>
                <w:szCs w:val="11"/>
                <w:b w:val="1"/>
                <w:bCs w:val="1"/>
                <w:color w:val="auto"/>
              </w:rPr>
              <w:t>Accumulated</w:t>
            </w:r>
          </w:p>
        </w:tc>
        <w:tc>
          <w:tcPr>
            <w:tcW w:w="760" w:type="dxa"/>
            <w:vAlign w:val="bottom"/>
            <w:gridSpan w:val="3"/>
            <w:vMerge w:val="restart"/>
          </w:tcPr>
          <w:p>
            <w:pPr>
              <w:spacing w:after="0" w:line="99"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vMerge w:val="restart"/>
          </w:tcPr>
          <w:p>
            <w:pPr>
              <w:spacing w:after="0"/>
              <w:rPr>
                <w:sz w:val="2"/>
                <w:szCs w:val="2"/>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jc w:val="right"/>
              <w:ind w:right="55"/>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gridSpan w:val="2"/>
            <w:vMerge w:val="continue"/>
          </w:tcPr>
          <w:p>
            <w:pPr>
              <w:spacing w:after="0"/>
              <w:rPr>
                <w:sz w:val="2"/>
                <w:szCs w:val="2"/>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9"/>
              </w:rPr>
              <w:t>Shares</w:t>
            </w:r>
          </w:p>
        </w:tc>
        <w:tc>
          <w:tcPr>
            <w:tcW w:w="140" w:type="dxa"/>
            <w:vAlign w:val="bottom"/>
            <w:vMerge w:val="restart"/>
          </w:tcPr>
          <w:p>
            <w:pPr>
              <w:spacing w:after="0"/>
              <w:rPr>
                <w:sz w:val="2"/>
                <w:szCs w:val="2"/>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6"/>
              </w:rPr>
              <w:t>Par Value</w:t>
            </w:r>
          </w:p>
        </w:tc>
        <w:tc>
          <w:tcPr>
            <w:tcW w:w="140" w:type="dxa"/>
            <w:vAlign w:val="bottom"/>
            <w:vMerge w:val="restart"/>
          </w:tcPr>
          <w:p>
            <w:pPr>
              <w:spacing w:after="0"/>
              <w:rPr>
                <w:sz w:val="2"/>
                <w:szCs w:val="2"/>
                <w:color w:val="auto"/>
              </w:rPr>
            </w:pPr>
          </w:p>
        </w:tc>
        <w:tc>
          <w:tcPr>
            <w:tcW w:w="3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9"/>
              </w:rPr>
              <w:t>Shares</w:t>
            </w:r>
          </w:p>
        </w:tc>
        <w:tc>
          <w:tcPr>
            <w:tcW w:w="80" w:type="dxa"/>
            <w:vAlign w:val="bottom"/>
            <w:vMerge w:val="restart"/>
          </w:tcPr>
          <w:p>
            <w:pPr>
              <w:spacing w:after="0"/>
              <w:rPr>
                <w:sz w:val="2"/>
                <w:szCs w:val="2"/>
                <w:color w:val="auto"/>
              </w:rPr>
            </w:pPr>
          </w:p>
        </w:tc>
        <w:tc>
          <w:tcPr>
            <w:tcW w:w="58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w w:val="98"/>
              </w:rPr>
              <w:t>Par Value</w:t>
            </w:r>
          </w:p>
        </w:tc>
        <w:tc>
          <w:tcPr>
            <w:tcW w:w="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6"/>
              <w:spacing w:after="0"/>
              <w:rPr>
                <w:sz w:val="20"/>
                <w:szCs w:val="20"/>
                <w:color w:val="auto"/>
              </w:rPr>
            </w:pPr>
            <w:r>
              <w:rPr>
                <w:rFonts w:ascii="Arial" w:cs="Arial" w:eastAsia="Arial" w:hAnsi="Arial"/>
                <w:sz w:val="12"/>
                <w:szCs w:val="12"/>
                <w:b w:val="1"/>
                <w:bCs w:val="1"/>
                <w:color w:val="auto"/>
                <w:w w:val="79"/>
              </w:rPr>
              <w:t>Stock</w:t>
            </w:r>
          </w:p>
        </w:tc>
        <w:tc>
          <w:tcPr>
            <w:tcW w:w="80" w:type="dxa"/>
            <w:vAlign w:val="bottom"/>
            <w:tcBorders>
              <w:right w:val="single" w:sz="8" w:color="auto"/>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Capital</w:t>
            </w:r>
          </w:p>
        </w:tc>
        <w:tc>
          <w:tcPr>
            <w:tcW w:w="6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20"/>
        </w:trPr>
        <w:tc>
          <w:tcPr>
            <w:tcW w:w="20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3,535,811</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$3,536</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830,220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(988,294)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80" w:type="dxa"/>
            <w:vAlign w:val="bottom"/>
          </w:tcPr>
          <w:p>
            <w:pPr>
              <w:ind w:left="140"/>
              <w:spacing w:after="0"/>
              <w:rPr>
                <w:sz w:val="20"/>
                <w:szCs w:val="20"/>
                <w:color w:val="auto"/>
              </w:rPr>
            </w:pPr>
            <w:r>
              <w:rPr>
                <w:rFonts w:ascii="Arial" w:cs="Arial" w:eastAsia="Arial" w:hAnsi="Arial"/>
                <w:sz w:val="13"/>
                <w:szCs w:val="13"/>
                <w:color w:val="auto"/>
              </w:rPr>
              <w:t>Conversion of convertible notes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80" w:type="dxa"/>
            <w:vAlign w:val="bottom"/>
          </w:tcPr>
          <w:p>
            <w:pPr>
              <w:ind w:left="280"/>
              <w:spacing w:after="0" w:line="132" w:lineRule="exact"/>
              <w:rPr>
                <w:sz w:val="20"/>
                <w:szCs w:val="20"/>
                <w:color w:val="auto"/>
              </w:rPr>
            </w:pPr>
            <w:r>
              <w:rPr>
                <w:rFonts w:ascii="Arial" w:cs="Arial" w:eastAsia="Arial" w:hAnsi="Arial"/>
                <w:sz w:val="13"/>
                <w:szCs w:val="13"/>
                <w:color w:val="auto"/>
              </w:rPr>
              <w:t>and interest into Series A</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785,706</w:t>
            </w: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6"/>
              </w:rPr>
              <w:t>6,718,886</w:t>
            </w:r>
          </w:p>
        </w:tc>
        <w:tc>
          <w:tcPr>
            <w:tcW w:w="8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80"/>
              <w:spacing w:after="0"/>
              <w:rPr>
                <w:sz w:val="20"/>
                <w:szCs w:val="20"/>
                <w:color w:val="auto"/>
              </w:rPr>
            </w:pPr>
            <w:r>
              <w:rPr>
                <w:rFonts w:ascii="Arial" w:cs="Arial" w:eastAsia="Arial" w:hAnsi="Arial"/>
                <w:sz w:val="13"/>
                <w:szCs w:val="13"/>
                <w:color w:val="auto"/>
                <w:w w:val="96"/>
              </w:rPr>
              <w:t>6,718,886</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2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80" w:type="dxa"/>
            <w:vAlign w:val="bottom"/>
          </w:tcPr>
          <w:p>
            <w:pPr>
              <w:ind w:left="280"/>
              <w:spacing w:after="0"/>
              <w:rPr>
                <w:sz w:val="20"/>
                <w:szCs w:val="20"/>
                <w:color w:val="auto"/>
              </w:rPr>
            </w:pPr>
            <w:r>
              <w:rPr>
                <w:rFonts w:ascii="Arial" w:cs="Arial" w:eastAsia="Arial" w:hAnsi="Arial"/>
                <w:sz w:val="13"/>
                <w:szCs w:val="13"/>
                <w:color w:val="auto"/>
              </w:rPr>
              <w:t>convertible preferred stock</w:t>
            </w: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Issuance of Series A convertible</w:t>
            </w:r>
          </w:p>
        </w:tc>
        <w:tc>
          <w:tcPr>
            <w:tcW w:w="5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80" w:type="dxa"/>
            <w:vAlign w:val="bottom"/>
            <w:tcBorders>
              <w:right w:val="single" w:sz="8" w:color="CCEEFF"/>
            </w:tcBorders>
            <w:shd w:val="clear" w:color="auto" w:fill="CCEEFF"/>
          </w:tcPr>
          <w:p>
            <w:pPr>
              <w:ind w:left="280"/>
              <w:spacing w:after="0" w:line="132" w:lineRule="exact"/>
              <w:rPr>
                <w:sz w:val="20"/>
                <w:szCs w:val="20"/>
                <w:color w:val="auto"/>
              </w:rPr>
            </w:pPr>
            <w:r>
              <w:rPr>
                <w:rFonts w:ascii="Arial" w:cs="Arial" w:eastAsia="Arial" w:hAnsi="Arial"/>
                <w:sz w:val="13"/>
                <w:szCs w:val="13"/>
                <w:color w:val="auto"/>
              </w:rPr>
              <w:t>preferred stock, net of</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w w:val="86"/>
              </w:rPr>
              <w:t>1,180,337</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w w:val="96"/>
              </w:rPr>
              <w:t>9,892,946</w:t>
            </w:r>
          </w:p>
        </w:tc>
        <w:tc>
          <w:tcPr>
            <w:tcW w:w="8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96"/>
              </w:rPr>
              <w:t>9,892,946</w:t>
            </w:r>
          </w:p>
        </w:tc>
        <w:tc>
          <w:tcPr>
            <w:tcW w:w="6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issuance costs</w:t>
            </w: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vMerge w:val="continue"/>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80" w:type="dxa"/>
            <w:vAlign w:val="bottom"/>
          </w:tcPr>
          <w:p>
            <w:pPr>
              <w:ind w:left="140"/>
              <w:spacing w:after="0"/>
              <w:rPr>
                <w:sz w:val="20"/>
                <w:szCs w:val="20"/>
                <w:color w:val="auto"/>
              </w:rPr>
            </w:pPr>
            <w:r>
              <w:rPr>
                <w:rFonts w:ascii="Arial" w:cs="Arial" w:eastAsia="Arial" w:hAnsi="Arial"/>
                <w:sz w:val="13"/>
                <w:szCs w:val="13"/>
                <w:color w:val="auto"/>
              </w:rPr>
              <w:t>Issuance of common stock</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80" w:type="dxa"/>
            <w:vAlign w:val="bottom"/>
          </w:tcPr>
          <w:p>
            <w:pPr>
              <w:ind w:left="280"/>
              <w:spacing w:after="0" w:line="132" w:lineRule="exact"/>
              <w:rPr>
                <w:sz w:val="20"/>
                <w:szCs w:val="20"/>
                <w:color w:val="auto"/>
              </w:rPr>
            </w:pPr>
            <w:r>
              <w:rPr>
                <w:rFonts w:ascii="Arial" w:cs="Arial" w:eastAsia="Arial" w:hAnsi="Arial"/>
                <w:sz w:val="13"/>
                <w:szCs w:val="13"/>
                <w:color w:val="auto"/>
              </w:rPr>
              <w:t>warrants pursuant to advisory</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2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739,034</w:t>
            </w:r>
          </w:p>
        </w:tc>
        <w:tc>
          <w:tcPr>
            <w:tcW w:w="6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739,034</w:t>
            </w:r>
          </w:p>
        </w:tc>
        <w:tc>
          <w:tcPr>
            <w:tcW w:w="0" w:type="dxa"/>
            <w:vAlign w:val="bottom"/>
          </w:tcPr>
          <w:p>
            <w:pPr>
              <w:spacing w:after="0"/>
              <w:rPr>
                <w:sz w:val="1"/>
                <w:szCs w:val="1"/>
                <w:color w:val="auto"/>
              </w:rPr>
            </w:pPr>
          </w:p>
        </w:tc>
      </w:tr>
      <w:tr>
        <w:trPr>
          <w:trHeight w:val="168"/>
        </w:trPr>
        <w:tc>
          <w:tcPr>
            <w:tcW w:w="2080" w:type="dxa"/>
            <w:vAlign w:val="bottom"/>
          </w:tcPr>
          <w:p>
            <w:pPr>
              <w:ind w:left="280"/>
              <w:spacing w:after="0"/>
              <w:rPr>
                <w:sz w:val="20"/>
                <w:szCs w:val="20"/>
                <w:color w:val="auto"/>
              </w:rPr>
            </w:pPr>
            <w:r>
              <w:rPr>
                <w:rFonts w:ascii="Arial" w:cs="Arial" w:eastAsia="Arial" w:hAnsi="Arial"/>
                <w:sz w:val="13"/>
                <w:szCs w:val="13"/>
                <w:color w:val="auto"/>
              </w:rPr>
              <w:t>agreements</w:t>
            </w: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596,631</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596,631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expense</w:t>
            </w: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vMerge w:val="continue"/>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(7,709,448)</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99"/>
              </w:rPr>
              <w:t>(7,709,448)</w:t>
            </w:r>
          </w:p>
        </w:tc>
        <w:tc>
          <w:tcPr>
            <w:tcW w:w="0" w:type="dxa"/>
            <w:vAlign w:val="bottom"/>
          </w:tcPr>
          <w:p>
            <w:pPr>
              <w:spacing w:after="0"/>
              <w:rPr>
                <w:sz w:val="1"/>
                <w:szCs w:val="1"/>
                <w:color w:val="auto"/>
              </w:rPr>
            </w:pPr>
          </w:p>
        </w:tc>
      </w:tr>
      <w:tr>
        <w:trPr>
          <w:trHeight w:val="20"/>
        </w:trPr>
        <w:tc>
          <w:tcPr>
            <w:tcW w:w="208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tcBorders>
              <w:right w:val="single" w:sz="8" w:color="CCEEFF"/>
            </w:tcBorders>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1,966,043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16,611,832</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16,611,832</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3,535,811</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3,536</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2,165,885</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(8,697,742)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(6,528,321)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80" w:type="dxa"/>
            <w:vAlign w:val="bottom"/>
          </w:tcPr>
          <w:p>
            <w:pPr>
              <w:ind w:left="140"/>
              <w:spacing w:after="0"/>
              <w:rPr>
                <w:sz w:val="20"/>
                <w:szCs w:val="20"/>
                <w:color w:val="auto"/>
              </w:rPr>
            </w:pPr>
            <w:r>
              <w:rPr>
                <w:rFonts w:ascii="Arial" w:cs="Arial" w:eastAsia="Arial" w:hAnsi="Arial"/>
                <w:sz w:val="13"/>
                <w:szCs w:val="13"/>
                <w:color w:val="auto"/>
              </w:rPr>
              <w:t>Issuance of Series A convertible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80" w:type="dxa"/>
            <w:vAlign w:val="bottom"/>
          </w:tcPr>
          <w:p>
            <w:pPr>
              <w:ind w:left="280"/>
              <w:spacing w:after="0" w:line="132" w:lineRule="exact"/>
              <w:rPr>
                <w:sz w:val="20"/>
                <w:szCs w:val="20"/>
                <w:color w:val="auto"/>
              </w:rPr>
            </w:pPr>
            <w:r>
              <w:rPr>
                <w:rFonts w:ascii="Arial" w:cs="Arial" w:eastAsia="Arial" w:hAnsi="Arial"/>
                <w:sz w:val="13"/>
                <w:szCs w:val="13"/>
                <w:color w:val="auto"/>
              </w:rPr>
              <w:t>preferred stock, net of</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529,890</w:t>
            </w: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6"/>
              </w:rPr>
              <w:t>4,508,108</w:t>
            </w:r>
          </w:p>
        </w:tc>
        <w:tc>
          <w:tcPr>
            <w:tcW w:w="8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80"/>
              <w:spacing w:after="0"/>
              <w:rPr>
                <w:sz w:val="20"/>
                <w:szCs w:val="20"/>
                <w:color w:val="auto"/>
              </w:rPr>
            </w:pPr>
            <w:r>
              <w:rPr>
                <w:rFonts w:ascii="Arial" w:cs="Arial" w:eastAsia="Arial" w:hAnsi="Arial"/>
                <w:sz w:val="13"/>
                <w:szCs w:val="13"/>
                <w:color w:val="auto"/>
                <w:w w:val="96"/>
              </w:rPr>
              <w:t>4,508,108</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2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80" w:type="dxa"/>
            <w:vAlign w:val="bottom"/>
          </w:tcPr>
          <w:p>
            <w:pPr>
              <w:ind w:left="280"/>
              <w:spacing w:after="0"/>
              <w:rPr>
                <w:sz w:val="20"/>
                <w:szCs w:val="20"/>
                <w:color w:val="auto"/>
              </w:rPr>
            </w:pPr>
            <w:r>
              <w:rPr>
                <w:rFonts w:ascii="Arial" w:cs="Arial" w:eastAsia="Arial" w:hAnsi="Arial"/>
                <w:sz w:val="13"/>
                <w:szCs w:val="13"/>
                <w:color w:val="auto"/>
              </w:rPr>
              <w:t>issuance costs</w:t>
            </w: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Issuance of Series B convertible</w:t>
            </w:r>
          </w:p>
        </w:tc>
        <w:tc>
          <w:tcPr>
            <w:tcW w:w="5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80" w:type="dxa"/>
            <w:vAlign w:val="bottom"/>
            <w:tcBorders>
              <w:right w:val="single" w:sz="8" w:color="CCEEFF"/>
            </w:tcBorders>
            <w:shd w:val="clear" w:color="auto" w:fill="CCEEFF"/>
          </w:tcPr>
          <w:p>
            <w:pPr>
              <w:ind w:left="280"/>
              <w:spacing w:after="0" w:line="132" w:lineRule="exact"/>
              <w:rPr>
                <w:sz w:val="20"/>
                <w:szCs w:val="20"/>
                <w:color w:val="auto"/>
              </w:rPr>
            </w:pPr>
            <w:r>
              <w:rPr>
                <w:rFonts w:ascii="Arial" w:cs="Arial" w:eastAsia="Arial" w:hAnsi="Arial"/>
                <w:sz w:val="13"/>
                <w:szCs w:val="13"/>
                <w:color w:val="auto"/>
              </w:rPr>
              <w:t>preferred stock, net of</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3,619,292</w:t>
            </w:r>
          </w:p>
        </w:tc>
        <w:tc>
          <w:tcPr>
            <w:tcW w:w="8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w w:val="89"/>
              </w:rPr>
              <w:t>36,983,910</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86"/>
              </w:rPr>
              <w:t>36,983,910</w:t>
            </w:r>
          </w:p>
        </w:tc>
        <w:tc>
          <w:tcPr>
            <w:tcW w:w="6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issuance costs</w:t>
            </w:r>
          </w:p>
        </w:tc>
        <w:tc>
          <w:tcPr>
            <w:tcW w:w="52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vMerge w:val="continue"/>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4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1,086,769</w:t>
            </w:r>
          </w:p>
        </w:tc>
        <w:tc>
          <w:tcPr>
            <w:tcW w:w="6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1,086,769</w:t>
            </w:r>
          </w:p>
        </w:tc>
        <w:tc>
          <w:tcPr>
            <w:tcW w:w="0" w:type="dxa"/>
            <w:vAlign w:val="bottom"/>
          </w:tcPr>
          <w:p>
            <w:pPr>
              <w:spacing w:after="0"/>
              <w:rPr>
                <w:sz w:val="1"/>
                <w:szCs w:val="1"/>
                <w:color w:val="auto"/>
              </w:rPr>
            </w:pPr>
          </w:p>
        </w:tc>
      </w:tr>
      <w:tr>
        <w:trPr>
          <w:trHeight w:val="168"/>
        </w:trPr>
        <w:tc>
          <w:tcPr>
            <w:tcW w:w="2080" w:type="dxa"/>
            <w:vAlign w:val="bottom"/>
          </w:tcPr>
          <w:p>
            <w:pPr>
              <w:ind w:left="280"/>
              <w:spacing w:after="0"/>
              <w:rPr>
                <w:sz w:val="20"/>
                <w:szCs w:val="20"/>
                <w:color w:val="auto"/>
              </w:rPr>
            </w:pPr>
            <w:r>
              <w:rPr>
                <w:rFonts w:ascii="Arial" w:cs="Arial" w:eastAsia="Arial" w:hAnsi="Arial"/>
                <w:sz w:val="13"/>
                <w:szCs w:val="13"/>
                <w:color w:val="auto"/>
              </w:rPr>
              <w:t>expense</w:t>
            </w: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(17,039,898)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1"/>
              </w:rPr>
              <w:t>(17,039,898)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3,619,292</w:t>
            </w:r>
          </w:p>
        </w:tc>
        <w:tc>
          <w:tcPr>
            <w:tcW w:w="80" w:type="dxa"/>
            <w:vAlign w:val="bottom"/>
          </w:tcPr>
          <w:p>
            <w:pPr>
              <w:spacing w:after="0"/>
              <w:rPr>
                <w:sz w:val="17"/>
                <w:szCs w:val="17"/>
                <w:color w:val="auto"/>
              </w:rPr>
            </w:pPr>
          </w:p>
        </w:tc>
        <w:tc>
          <w:tcPr>
            <w:tcW w:w="6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36,983,910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2,495,933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21,119,940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86"/>
              </w:rPr>
              <w:t>58,103,850</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3,535,811</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$3,536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3,252,654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(25,737,640)</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89"/>
              </w:rPr>
              <w:t>(22,481,450)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-146050</wp:posOffset>
            </wp:positionV>
            <wp:extent cx="5588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-1206500</wp:posOffset>
            </wp:positionV>
            <wp:extent cx="6286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-1206500</wp:posOffset>
            </wp:positionV>
            <wp:extent cx="6286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-1206500</wp:posOffset>
            </wp:positionV>
            <wp:extent cx="492569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25695" cy="698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-2559685</wp:posOffset>
            </wp:positionV>
            <wp:extent cx="5588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-2559685</wp:posOffset>
            </wp:positionV>
            <wp:extent cx="5588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-2559685</wp:posOffset>
            </wp:positionV>
            <wp:extent cx="5588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-2559685</wp:posOffset>
            </wp:positionV>
            <wp:extent cx="586740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67400" cy="6985"/>
                    </a:xfrm>
                    <a:prstGeom prst="rect">
                      <a:avLst/>
                    </a:prstGeom>
                    <a:noFill/>
                  </pic:spPr>
                </pic:pic>
              </a:graphicData>
            </a:graphic>
          </wp:anchor>
        </w:drawing>
      </w:r>
    </w:p>
    <w:p>
      <w:pPr>
        <w:spacing w:after="0" w:line="156"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700"/>
          </w:cols>
          <w:pgMar w:left="300" w:top="134" w:right="899"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YEARS ENDED DECEMBER 31, 2020 and 2019</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0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60"/>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86"/>
              </w:rPr>
              <w:t>(17,039,898)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w w:val="91"/>
              </w:rPr>
              <w:t>(7,709,448)</w:t>
            </w:r>
          </w:p>
        </w:tc>
        <w:tc>
          <w:tcPr>
            <w:tcW w:w="0" w:type="dxa"/>
            <w:vAlign w:val="bottom"/>
          </w:tcPr>
          <w:p>
            <w:pPr>
              <w:spacing w:after="0"/>
              <w:rPr>
                <w:sz w:val="1"/>
                <w:szCs w:val="1"/>
                <w:color w:val="auto"/>
              </w:rPr>
            </w:pPr>
          </w:p>
        </w:tc>
      </w:tr>
      <w:tr>
        <w:trPr>
          <w:trHeight w:val="286"/>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w w:val="97"/>
              </w:rPr>
              <w:t>Adjustment to reconcile to net loss to net cash used in operating activities:</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300"/>
              <w:spacing w:after="0"/>
              <w:rPr>
                <w:sz w:val="20"/>
                <w:szCs w:val="20"/>
                <w:color w:val="auto"/>
              </w:rPr>
            </w:pPr>
            <w:r>
              <w:rPr>
                <w:rFonts w:ascii="Arial" w:cs="Arial" w:eastAsia="Arial" w:hAnsi="Arial"/>
                <w:sz w:val="15"/>
                <w:szCs w:val="15"/>
                <w:color w:val="auto"/>
              </w:rPr>
              <w:t>Depreciation</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24,328</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18,079</w:t>
            </w: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Right-of-use asset amortization</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54,977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300"/>
              <w:spacing w:after="0"/>
              <w:rPr>
                <w:sz w:val="20"/>
                <w:szCs w:val="20"/>
                <w:color w:val="auto"/>
              </w:rPr>
            </w:pPr>
            <w:r>
              <w:rPr>
                <w:rFonts w:ascii="Arial" w:cs="Arial" w:eastAsia="Arial" w:hAnsi="Arial"/>
                <w:sz w:val="15"/>
                <w:szCs w:val="15"/>
                <w:color w:val="auto"/>
              </w:rPr>
              <w:t>Non-cash interest expense</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351,302</w:t>
            </w: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Stock based compensation expense</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1,086,769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596,631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300"/>
              <w:spacing w:after="0"/>
              <w:rPr>
                <w:sz w:val="20"/>
                <w:szCs w:val="20"/>
                <w:color w:val="auto"/>
              </w:rPr>
            </w:pPr>
            <w:r>
              <w:rPr>
                <w:rFonts w:ascii="Arial" w:cs="Arial" w:eastAsia="Arial" w:hAnsi="Arial"/>
                <w:sz w:val="15"/>
                <w:szCs w:val="15"/>
                <w:color w:val="auto"/>
              </w:rPr>
              <w:t>Non-cash warrant expense</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739,034</w:t>
            </w: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Loss on conversion of notes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1,124,792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980" w:type="dxa"/>
            <w:vAlign w:val="bottom"/>
          </w:tcPr>
          <w:p>
            <w:pPr>
              <w:ind w:left="300"/>
              <w:spacing w:after="0"/>
              <w:rPr>
                <w:sz w:val="20"/>
                <w:szCs w:val="20"/>
                <w:color w:val="auto"/>
              </w:rPr>
            </w:pPr>
            <w:r>
              <w:rPr>
                <w:rFonts w:ascii="Arial" w:cs="Arial" w:eastAsia="Arial" w:hAnsi="Arial"/>
                <w:sz w:val="15"/>
                <w:szCs w:val="15"/>
                <w:color w:val="auto"/>
              </w:rPr>
              <w:t>Change in assets and liabilities: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(Increase) decrease in:</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600"/>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(290,170)</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614,105</w:t>
            </w: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Prepaid expenses and other current assets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(69,740)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600"/>
              <w:spacing w:after="0"/>
              <w:rPr>
                <w:sz w:val="20"/>
                <w:szCs w:val="20"/>
                <w:color w:val="auto"/>
              </w:rPr>
            </w:pPr>
            <w:r>
              <w:rPr>
                <w:rFonts w:ascii="Arial" w:cs="Arial" w:eastAsia="Arial" w:hAnsi="Arial"/>
                <w:sz w:val="15"/>
                <w:szCs w:val="15"/>
                <w:color w:val="auto"/>
              </w:rPr>
              <w:t>Other assets</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(14,333)</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6"/>
        </w:trPr>
        <w:tc>
          <w:tcPr>
            <w:tcW w:w="49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Increase (decrease) in:</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600"/>
              <w:spacing w:after="0"/>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1,185,589</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270,496</w:t>
            </w: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Accrued expenses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488,644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600"/>
              <w:spacing w:after="0"/>
              <w:rPr>
                <w:sz w:val="20"/>
                <w:szCs w:val="20"/>
                <w:color w:val="auto"/>
              </w:rPr>
            </w:pPr>
            <w:r>
              <w:rPr>
                <w:rFonts w:ascii="Arial" w:cs="Arial" w:eastAsia="Arial" w:hAnsi="Arial"/>
                <w:sz w:val="15"/>
                <w:szCs w:val="15"/>
                <w:color w:val="auto"/>
              </w:rPr>
              <w:t>Lease liability</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(46,991)</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49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Deferred revenue</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(465,000)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tcPr>
          <w:p>
            <w:pPr>
              <w:ind w:left="740"/>
              <w:spacing w:after="0"/>
              <w:rPr>
                <w:sz w:val="20"/>
                <w:szCs w:val="20"/>
                <w:color w:val="auto"/>
              </w:rPr>
            </w:pPr>
            <w:r>
              <w:rPr>
                <w:rFonts w:ascii="Arial" w:cs="Arial" w:eastAsia="Arial" w:hAnsi="Arial"/>
                <w:sz w:val="15"/>
                <w:szCs w:val="15"/>
                <w:color w:val="auto"/>
              </w:rPr>
              <w:t>Net cash used in operating activities</w:t>
            </w: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86"/>
              </w:rPr>
              <w:t>(14,620,825)</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w w:val="91"/>
              </w:rPr>
              <w:t>(4,442,485)</w:t>
            </w:r>
          </w:p>
        </w:tc>
        <w:tc>
          <w:tcPr>
            <w:tcW w:w="0" w:type="dxa"/>
            <w:vAlign w:val="bottom"/>
          </w:tcPr>
          <w:p>
            <w:pPr>
              <w:spacing w:after="0"/>
              <w:rPr>
                <w:sz w:val="1"/>
                <w:szCs w:val="1"/>
                <w:color w:val="auto"/>
              </w:rPr>
            </w:pPr>
          </w:p>
        </w:tc>
      </w:tr>
      <w:tr>
        <w:trPr>
          <w:trHeight w:val="282"/>
        </w:trPr>
        <w:tc>
          <w:tcPr>
            <w:tcW w:w="49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160"/>
              <w:spacing w:after="0"/>
              <w:rPr>
                <w:sz w:val="20"/>
                <w:szCs w:val="20"/>
                <w:color w:val="auto"/>
              </w:rPr>
            </w:pPr>
            <w:r>
              <w:rPr>
                <w:rFonts w:ascii="Arial" w:cs="Arial" w:eastAsia="Arial" w:hAnsi="Arial"/>
                <w:sz w:val="15"/>
                <w:szCs w:val="15"/>
                <w:color w:val="auto"/>
              </w:rPr>
              <w:t>Purchase of property and equipment</w:t>
            </w: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(53,415)</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(20,526)</w:t>
            </w: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Net cash used in investing activities</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(53,415)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9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issuance of Series A preferred stock, net of issuance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9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costs</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998,306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13,402,748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60"/>
              <w:spacing w:after="0"/>
              <w:rPr>
                <w:sz w:val="20"/>
                <w:szCs w:val="20"/>
                <w:color w:val="auto"/>
              </w:rPr>
            </w:pPr>
            <w:r>
              <w:rPr>
                <w:rFonts w:ascii="Arial" w:cs="Arial" w:eastAsia="Arial" w:hAnsi="Arial"/>
                <w:sz w:val="15"/>
                <w:szCs w:val="15"/>
                <w:color w:val="auto"/>
              </w:rPr>
              <w:t>Proceeds from the issuance of Series B preferred stock, net of issuance</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980" w:type="dxa"/>
            <w:vAlign w:val="bottom"/>
          </w:tcPr>
          <w:p>
            <w:pPr>
              <w:ind w:left="300"/>
              <w:spacing w:after="0"/>
              <w:rPr>
                <w:sz w:val="20"/>
                <w:szCs w:val="20"/>
                <w:color w:val="auto"/>
              </w:rPr>
            </w:pPr>
            <w:r>
              <w:rPr>
                <w:rFonts w:ascii="Arial" w:cs="Arial" w:eastAsia="Arial" w:hAnsi="Arial"/>
                <w:sz w:val="15"/>
                <w:szCs w:val="15"/>
                <w:color w:val="auto"/>
              </w:rPr>
              <w:t>costs</w:t>
            </w: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36,983,910</w:t>
            </w: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issuance of convertible notes payable</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3,825,000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160"/>
              <w:spacing w:after="0"/>
              <w:rPr>
                <w:sz w:val="20"/>
                <w:szCs w:val="20"/>
                <w:color w:val="auto"/>
              </w:rPr>
            </w:pPr>
            <w:r>
              <w:rPr>
                <w:rFonts w:ascii="Arial" w:cs="Arial" w:eastAsia="Arial" w:hAnsi="Arial"/>
                <w:sz w:val="15"/>
                <w:szCs w:val="15"/>
                <w:color w:val="auto"/>
              </w:rPr>
              <w:t>Payment of debt issuance costs</w:t>
            </w:r>
          </w:p>
        </w:tc>
        <w:tc>
          <w:tcPr>
            <w:tcW w:w="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(56,242)</w:t>
            </w: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Net cash provided by financing activities</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37,982,216</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17,171,506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80" w:type="dxa"/>
            <w:vAlign w:val="bottom"/>
          </w:tcPr>
          <w:p>
            <w:pPr>
              <w:spacing w:after="0"/>
              <w:rPr>
                <w:sz w:val="20"/>
                <w:szCs w:val="20"/>
                <w:color w:val="auto"/>
              </w:rPr>
            </w:pPr>
            <w:r>
              <w:rPr>
                <w:rFonts w:ascii="Arial" w:cs="Arial" w:eastAsia="Arial" w:hAnsi="Arial"/>
                <w:sz w:val="15"/>
                <w:szCs w:val="15"/>
                <w:b w:val="1"/>
                <w:bCs w:val="1"/>
                <w:color w:val="auto"/>
              </w:rPr>
              <w:t>Net increase in cash and cash equivalents</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23,307,976</w:t>
            </w: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12,708,495</w:t>
            </w:r>
          </w:p>
        </w:tc>
        <w:tc>
          <w:tcPr>
            <w:tcW w:w="0" w:type="dxa"/>
            <w:vAlign w:val="bottom"/>
          </w:tcPr>
          <w:p>
            <w:pPr>
              <w:spacing w:after="0"/>
              <w:rPr>
                <w:sz w:val="1"/>
                <w:szCs w:val="1"/>
                <w:color w:val="auto"/>
              </w:rPr>
            </w:pPr>
          </w:p>
        </w:tc>
      </w:tr>
      <w:tr>
        <w:trPr>
          <w:trHeight w:val="23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13,782,175</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1,073,680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8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37,090,151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13,782,175</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Supplemental disclosures of noncash information:</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160"/>
              <w:spacing w:after="0"/>
              <w:rPr>
                <w:sz w:val="20"/>
                <w:szCs w:val="20"/>
                <w:color w:val="auto"/>
              </w:rPr>
            </w:pPr>
            <w:r>
              <w:rPr>
                <w:rFonts w:ascii="Arial" w:cs="Arial" w:eastAsia="Arial" w:hAnsi="Arial"/>
                <w:sz w:val="15"/>
                <w:szCs w:val="15"/>
                <w:color w:val="auto"/>
              </w:rPr>
              <w:t>Conversion of convertible notes and interest into Series A preferred</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w w:val="95"/>
              </w:rPr>
              <w:t>6,718,886</w:t>
            </w:r>
          </w:p>
        </w:tc>
        <w:tc>
          <w:tcPr>
            <w:tcW w:w="0" w:type="dxa"/>
            <w:vAlign w:val="bottom"/>
          </w:tcPr>
          <w:p>
            <w:pPr>
              <w:spacing w:after="0"/>
              <w:rPr>
                <w:sz w:val="1"/>
                <w:szCs w:val="1"/>
                <w:color w:val="auto"/>
              </w:rPr>
            </w:pPr>
          </w:p>
        </w:tc>
      </w:tr>
      <w:tr>
        <w:trPr>
          <w:trHeight w:val="186"/>
        </w:trPr>
        <w:tc>
          <w:tcPr>
            <w:tcW w:w="4980" w:type="dxa"/>
            <w:vAlign w:val="bottom"/>
          </w:tcPr>
          <w:p>
            <w:pPr>
              <w:ind w:left="300"/>
              <w:spacing w:after="0"/>
              <w:rPr>
                <w:sz w:val="20"/>
                <w:szCs w:val="20"/>
                <w:color w:val="auto"/>
              </w:rPr>
            </w:pPr>
            <w:r>
              <w:rPr>
                <w:rFonts w:ascii="Arial" w:cs="Arial" w:eastAsia="Arial" w:hAnsi="Arial"/>
                <w:sz w:val="15"/>
                <w:szCs w:val="15"/>
                <w:color w:val="auto"/>
              </w:rPr>
              <w:t>stock</w:t>
            </w:r>
          </w:p>
        </w:tc>
        <w:tc>
          <w:tcPr>
            <w:tcW w:w="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Reclassification of liability for Series A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3,509,802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-1262380</wp:posOffset>
            </wp:positionV>
            <wp:extent cx="377444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-2371090</wp:posOffset>
            </wp:positionV>
            <wp:extent cx="377444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-2706370</wp:posOffset>
            </wp:positionV>
            <wp:extent cx="377444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-5441315</wp:posOffset>
            </wp:positionV>
            <wp:extent cx="376745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 — Organization and Nature of Business</w:t>
      </w:r>
    </w:p>
    <w:p>
      <w:pPr>
        <w:spacing w:after="0" w:line="128"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Immuneering Corporation, a Delaware corporation, (“Immuneering” or the “Company”) was incorporated in 2008. The Company leverages bioinformatics to develop new medicines unlikely to be found by traditional drug discovery methods. The Company’s current pipeline of drug candidates is focused on treating aspects of disease that have eluded conventional approaches. Utilizing its proprietary Disease Cancelling Technology, the Company’s objective is to discover and develop medicines that reverse a disease signal across many relevant genes. Concurrent with its internal programs, the Company provides computational biology services to pharmaceutical and biotechnology companies. On October 30, 2019, Immuneering formed a wholly owned subsidiary, Immuneering Securities Corporation (“ISC”), a Massachusetts securities corporation, for the sole purpose of buying, selling and holding securities on the Company’s behalf. Immuneering and ISC are collectively referred to as “the Company” throughout these consolidated financial statements.</w:t>
      </w:r>
    </w:p>
    <w:p>
      <w:pPr>
        <w:spacing w:after="0" w:line="8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Since inception, the Company has devoted substantially all of its efforts to business planning, service revenue generation, research and development, recruiting management and technical staff, and raising capital. The Company has financed its operations through service revenues, the issuance of convertible debt and the sale of convertible preferred stock and common stock.</w:t>
      </w:r>
    </w:p>
    <w:p>
      <w:pPr>
        <w:spacing w:after="0" w:line="102"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The Company is subject to risks associated with any biotechnology company that has substantial expenditures for research and development. There can be no assurance that the Company’s research and development program will be successful, that products developed will obtain necessary regulatory approval, and that any approved product will be commercially viable. In addition, the Company operates in an environment of rapid technological change and is largely dependent on the services of its employees, advisors, and consultants.</w:t>
      </w:r>
    </w:p>
    <w:p>
      <w:pPr>
        <w:spacing w:after="0" w:line="101" w:lineRule="exact"/>
        <w:rPr>
          <w:sz w:val="20"/>
          <w:szCs w:val="20"/>
          <w:color w:val="auto"/>
        </w:rPr>
      </w:pPr>
    </w:p>
    <w:p>
      <w:pPr>
        <w:jc w:val="both"/>
        <w:ind w:left="1160" w:right="1179"/>
        <w:spacing w:after="0" w:line="270" w:lineRule="auto"/>
        <w:rPr>
          <w:sz w:val="20"/>
          <w:szCs w:val="20"/>
          <w:color w:val="auto"/>
        </w:rPr>
      </w:pPr>
      <w:r>
        <w:rPr>
          <w:rFonts w:ascii="Arial" w:cs="Arial" w:eastAsia="Arial" w:hAnsi="Arial"/>
          <w:sz w:val="13"/>
          <w:szCs w:val="13"/>
          <w:color w:val="auto"/>
        </w:rPr>
        <w:t>The Company has funded its operations primarily with proceeds from the sale of its capital stock and convertible notes. The Company has incurred recurring losses over the past several years and as of December 31, 2020, the Company had an accumulated deficit of $25,737,640.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Management estimates that its cash and cash equivalents of $37,090,151 as of December 31, 2020, along with the gross proceeds of $24,799,786 from the issuance of shares in the second tranche of Series B Preferred in April and May 2021 (Note 6) will enable it to meet our current operating plans for at least the next twelve months after the date that the financial statements were issued.</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w:t>
      </w:r>
    </w:p>
    <w:p>
      <w:pPr>
        <w:spacing w:after="0" w:line="113"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The consolidated financial statements have been prepared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standards set by the Financial Accounting Standards Board (“FASB”). The FASB sets generally accepted accounting principles (“GAAP”) to ensure the consolidated financial statements are consistently reported. References to GAAP issued by the FASB in these footnotes are to the FASB Accounting Standards Codifications (“ASC”). The consolidated financial statements include the accounts of the Company and its wholly owned subsidiary. All intercompany balances and transactions have been eliminated in consolidation.</w:t>
      </w:r>
    </w:p>
    <w:p>
      <w:pPr>
        <w:spacing w:after="0" w:line="97" w:lineRule="exact"/>
        <w:rPr>
          <w:sz w:val="20"/>
          <w:szCs w:val="20"/>
          <w:color w:val="auto"/>
        </w:rPr>
      </w:pPr>
    </w:p>
    <w:p>
      <w:pPr>
        <w:jc w:val="both"/>
        <w:ind w:left="1160" w:right="1179"/>
        <w:spacing w:after="0" w:line="277" w:lineRule="auto"/>
        <w:rPr>
          <w:sz w:val="20"/>
          <w:szCs w:val="20"/>
          <w:color w:val="auto"/>
        </w:rPr>
      </w:pPr>
      <w:r>
        <w:rPr>
          <w:rFonts w:ascii="Arial" w:cs="Arial" w:eastAsia="Arial" w:hAnsi="Arial"/>
          <w:sz w:val="13"/>
          <w:szCs w:val="13"/>
          <w:b w:val="1"/>
          <w:bCs w:val="1"/>
          <w:color w:val="auto"/>
        </w:rPr>
        <w:t xml:space="preserve">Use of Estimates: </w:t>
      </w:r>
      <w:r>
        <w:rPr>
          <w:rFonts w:ascii="Arial" w:cs="Arial" w:eastAsia="Arial" w:hAnsi="Arial"/>
          <w:sz w:val="13"/>
          <w:szCs w:val="13"/>
          <w:color w:val="auto"/>
        </w:rPr>
        <w:t>The preparation of financial statements in conformity with GAAP requires management</w:t>
      </w:r>
      <w:r>
        <w:rPr>
          <w:rFonts w:ascii="Arial" w:cs="Arial" w:eastAsia="Arial" w:hAnsi="Arial"/>
          <w:sz w:val="13"/>
          <w:szCs w:val="13"/>
          <w:b w:val="1"/>
          <w:bCs w:val="1"/>
          <w:color w:val="auto"/>
        </w:rPr>
        <w:t xml:space="preserve"> </w:t>
      </w:r>
      <w:r>
        <w:rPr>
          <w:rFonts w:ascii="Arial" w:cs="Arial" w:eastAsia="Arial" w:hAnsi="Arial"/>
          <w:sz w:val="13"/>
          <w:szCs w:val="13"/>
          <w:color w:val="auto"/>
        </w:rPr>
        <w:t>to make estimates and assumptions that affect the reported amounts of assets, liabilities, revenues and expenses during the reporting periods. Actual results could differ from those estimates. Significant estimates reflected in these consolidated financial statements included but are not limited to, the research and development expenses, determination of fair value of stock-based awards, the valuation of common stock, and the right-to-use assets and operating lease liability. Actual results could differ from these estimates.</w:t>
      </w:r>
    </w:p>
    <w:p>
      <w:pPr>
        <w:spacing w:after="0" w:line="74" w:lineRule="exact"/>
        <w:rPr>
          <w:sz w:val="20"/>
          <w:szCs w:val="20"/>
          <w:color w:val="auto"/>
        </w:rPr>
      </w:pPr>
    </w:p>
    <w:p>
      <w:pPr>
        <w:jc w:val="both"/>
        <w:ind w:left="1160" w:right="1179"/>
        <w:spacing w:after="0" w:line="238" w:lineRule="auto"/>
        <w:rPr>
          <w:sz w:val="20"/>
          <w:szCs w:val="20"/>
          <w:color w:val="auto"/>
        </w:rPr>
      </w:pPr>
      <w:r>
        <w:rPr>
          <w:rFonts w:ascii="Arial" w:cs="Arial" w:eastAsia="Arial" w:hAnsi="Arial"/>
          <w:sz w:val="15"/>
          <w:szCs w:val="15"/>
          <w:b w:val="1"/>
          <w:bCs w:val="1"/>
          <w:color w:val="auto"/>
        </w:rPr>
        <w:t xml:space="preserve">Segments: </w:t>
      </w:r>
      <w:r>
        <w:rPr>
          <w:rFonts w:ascii="Arial" w:cs="Arial" w:eastAsia="Arial" w:hAnsi="Arial"/>
          <w:sz w:val="15"/>
          <w:szCs w:val="15"/>
          <w:color w:val="auto"/>
        </w:rPr>
        <w:t>Operating segments are identified as components of an enterprise about which separate discrete</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information is available for evaluation by the chief operating decision-maker (“CODM”) in making decisions regarding resource allocation and assessing performance. The Company’s chief executive officer is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CODM, and he uses consolidated financial information in determining how to allocate resources and assess performance. The Company has determined that it operates in one segment.</w:t>
      </w:r>
    </w:p>
    <w:p>
      <w:pPr>
        <w:spacing w:after="0" w:line="89" w:lineRule="exact"/>
        <w:rPr>
          <w:sz w:val="20"/>
          <w:szCs w:val="20"/>
          <w:color w:val="auto"/>
        </w:rPr>
      </w:pPr>
    </w:p>
    <w:p>
      <w:pPr>
        <w:jc w:val="both"/>
        <w:ind w:left="1160" w:right="1179"/>
        <w:spacing w:after="0" w:line="270" w:lineRule="auto"/>
        <w:rPr>
          <w:sz w:val="20"/>
          <w:szCs w:val="20"/>
          <w:color w:val="auto"/>
        </w:rPr>
      </w:pPr>
      <w:r>
        <w:rPr>
          <w:rFonts w:ascii="Arial" w:cs="Arial" w:eastAsia="Arial" w:hAnsi="Arial"/>
          <w:sz w:val="14"/>
          <w:szCs w:val="14"/>
          <w:b w:val="1"/>
          <w:bCs w:val="1"/>
          <w:color w:val="auto"/>
        </w:rPr>
        <w:t xml:space="preserve">Cash and Cash Equivalents: </w:t>
      </w:r>
      <w:r>
        <w:rPr>
          <w:rFonts w:ascii="Arial" w:cs="Arial" w:eastAsia="Arial" w:hAnsi="Arial"/>
          <w:sz w:val="14"/>
          <w:szCs w:val="14"/>
          <w:color w:val="auto"/>
        </w:rPr>
        <w:t>Cash and cash equivalents are comprised of deposits at major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banking institutions and highly liquid investments with an original maturity of three months or less at the date of purchase. Cash is maintained at Federal Deposit Insurance Company (“FDIC”) insured financial institutions. At times, the Company has maintained cash in excess of FDIC limits, however it has not experienced any losses with respect to its cash balances. The Company regularly monitors the financial condition of the institutions in which it has depository accounts and believes the risk of loss is minimal.</w:t>
      </w:r>
    </w:p>
    <w:p>
      <w:pPr>
        <w:spacing w:after="0" w:line="78" w:lineRule="exact"/>
        <w:rPr>
          <w:sz w:val="20"/>
          <w:szCs w:val="20"/>
          <w:color w:val="auto"/>
        </w:rPr>
      </w:pPr>
    </w:p>
    <w:p>
      <w:pPr>
        <w:jc w:val="both"/>
        <w:ind w:left="1160" w:right="1179"/>
        <w:spacing w:after="0" w:line="273" w:lineRule="auto"/>
        <w:rPr>
          <w:sz w:val="20"/>
          <w:szCs w:val="20"/>
          <w:color w:val="auto"/>
        </w:rPr>
      </w:pPr>
      <w:r>
        <w:rPr>
          <w:rFonts w:ascii="Arial" w:cs="Arial" w:eastAsia="Arial" w:hAnsi="Arial"/>
          <w:sz w:val="14"/>
          <w:szCs w:val="14"/>
          <w:b w:val="1"/>
          <w:bCs w:val="1"/>
          <w:color w:val="auto"/>
        </w:rPr>
        <w:t xml:space="preserve">Accounts Receivable: </w:t>
      </w:r>
      <w:r>
        <w:rPr>
          <w:rFonts w:ascii="Arial" w:cs="Arial" w:eastAsia="Arial" w:hAnsi="Arial"/>
          <w:sz w:val="14"/>
          <w:szCs w:val="14"/>
          <w:color w:val="auto"/>
        </w:rPr>
        <w:t>Accounts receivable are stated at the amount management expects to collect from</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balances. An allowance for doubtful accounts is estimated for those accounts receivable considered to be uncollectible based upon historical experience and management’s evaluation of outstanding accounts receivable. Bad debts are written off against the allowance when identified. At December 31, 2020 and 2019 there was no allowance for doubtful accounts.</w:t>
      </w:r>
    </w:p>
    <w:p>
      <w:pPr>
        <w:spacing w:after="0" w:line="84"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5"/>
          <w:szCs w:val="15"/>
          <w:b w:val="1"/>
          <w:bCs w:val="1"/>
          <w:color w:val="auto"/>
        </w:rPr>
        <w:t xml:space="preserve">Concentration of Credit Risk: </w:t>
      </w:r>
      <w:r>
        <w:rPr>
          <w:rFonts w:ascii="Arial" w:cs="Arial" w:eastAsia="Arial" w:hAnsi="Arial"/>
          <w:sz w:val="15"/>
          <w:szCs w:val="15"/>
          <w:color w:val="auto"/>
        </w:rPr>
        <w:t>Financial instruments that potentially subject the Company to significant</w:t>
      </w:r>
      <w:r>
        <w:rPr>
          <w:rFonts w:ascii="Arial" w:cs="Arial" w:eastAsia="Arial" w:hAnsi="Arial"/>
          <w:sz w:val="15"/>
          <w:szCs w:val="15"/>
          <w:b w:val="1"/>
          <w:bCs w:val="1"/>
          <w:color w:val="auto"/>
        </w:rPr>
        <w:t xml:space="preserve"> </w:t>
      </w:r>
      <w:r>
        <w:rPr>
          <w:rFonts w:ascii="Arial" w:cs="Arial" w:eastAsia="Arial" w:hAnsi="Arial"/>
          <w:sz w:val="15"/>
          <w:szCs w:val="15"/>
          <w:color w:val="auto"/>
        </w:rPr>
        <w:t>concentration of credit risk consist primarily of accounts receivable and revenue. To manage accounts receivable credit risk, the Company continuously evaluates the creditworthiness of its customers and the need for an allowance for potential credit losses. The Company has not experienced any losses in such accounts.</w:t>
      </w:r>
    </w:p>
    <w:p>
      <w:pPr>
        <w:spacing w:after="0" w:line="105" w:lineRule="exact"/>
        <w:rPr>
          <w:sz w:val="20"/>
          <w:szCs w:val="20"/>
          <w:color w:val="auto"/>
        </w:rPr>
      </w:pPr>
    </w:p>
    <w:p>
      <w:pPr>
        <w:jc w:val="both"/>
        <w:ind w:left="1160" w:right="1179"/>
        <w:spacing w:after="0" w:line="300" w:lineRule="auto"/>
        <w:rPr>
          <w:sz w:val="20"/>
          <w:szCs w:val="20"/>
          <w:color w:val="auto"/>
        </w:rPr>
      </w:pPr>
      <w:r>
        <w:rPr>
          <w:rFonts w:ascii="Arial" w:cs="Arial" w:eastAsia="Arial" w:hAnsi="Arial"/>
          <w:sz w:val="14"/>
          <w:szCs w:val="14"/>
          <w:color w:val="auto"/>
        </w:rPr>
        <w:t>The following customers comprised 10% or more of the Company’s total accounts receivable or revenues as of or for the period ended December 31, 2020 (customers with an asterisk are less than 10%):</w:t>
      </w:r>
    </w:p>
    <w:p>
      <w:pPr>
        <w:spacing w:after="0" w:line="7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w w:val="94"/>
              </w:rPr>
              <w:t>Year Ended December 31, 2020</w:t>
            </w:r>
          </w:p>
        </w:tc>
        <w:tc>
          <w:tcPr>
            <w:tcW w:w="1920" w:type="dxa"/>
            <w:vAlign w:val="bottom"/>
            <w:gridSpan w:val="5"/>
          </w:tcPr>
          <w:p>
            <w:pPr>
              <w:ind w:left="280"/>
              <w:spacing w:after="0"/>
              <w:rPr>
                <w:sz w:val="20"/>
                <w:szCs w:val="20"/>
                <w:color w:val="auto"/>
              </w:rPr>
            </w:pPr>
            <w:r>
              <w:rPr>
                <w:rFonts w:ascii="Arial" w:cs="Arial" w:eastAsia="Arial" w:hAnsi="Arial"/>
                <w:sz w:val="12"/>
                <w:szCs w:val="12"/>
                <w:b w:val="1"/>
                <w:bCs w:val="1"/>
                <w:color w:val="auto"/>
              </w:rPr>
              <w:t>As of December 31, 2020</w:t>
            </w:r>
          </w:p>
        </w:tc>
      </w:tr>
      <w:tr>
        <w:trPr>
          <w:trHeight w:val="21"/>
        </w:trPr>
        <w:tc>
          <w:tcPr>
            <w:tcW w:w="30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7"/>
        </w:trPr>
        <w:tc>
          <w:tcPr>
            <w:tcW w:w="302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Revenue</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 of Total</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w w:val="96"/>
              </w:rPr>
              <w:t>Accounts Receivable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 of Total</w:t>
            </w: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Customer #1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$676,710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29.3%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84"/>
              </w:rPr>
              <w:t>214,345</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200" w:type="dxa"/>
            <w:vAlign w:val="bottom"/>
            <w:shd w:val="clear" w:color="auto" w:fill="CCEEFF"/>
          </w:tcPr>
          <w:p>
            <w:pPr>
              <w:spacing w:after="0"/>
              <w:rPr>
                <w:sz w:val="17"/>
                <w:szCs w:val="17"/>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5"/>
                <w:szCs w:val="15"/>
                <w:color w:val="auto"/>
              </w:rPr>
              <w:t>Customer #2</w:t>
            </w:r>
          </w:p>
        </w:tc>
        <w:tc>
          <w:tcPr>
            <w:tcW w:w="700" w:type="dxa"/>
            <w:vAlign w:val="bottom"/>
          </w:tcPr>
          <w:p>
            <w:pPr>
              <w:jc w:val="right"/>
              <w:spacing w:after="0"/>
              <w:rPr>
                <w:sz w:val="20"/>
                <w:szCs w:val="20"/>
                <w:color w:val="auto"/>
              </w:rPr>
            </w:pPr>
            <w:r>
              <w:rPr>
                <w:rFonts w:ascii="Arial" w:cs="Arial" w:eastAsia="Arial" w:hAnsi="Arial"/>
                <w:sz w:val="15"/>
                <w:szCs w:val="15"/>
                <w:color w:val="auto"/>
                <w:w w:val="99"/>
              </w:rPr>
              <w:t>$570,000</w:t>
            </w:r>
          </w:p>
        </w:tc>
        <w:tc>
          <w:tcPr>
            <w:tcW w:w="180" w:type="dxa"/>
            <w:vAlign w:val="bottom"/>
          </w:tcPr>
          <w:p>
            <w:pPr>
              <w:spacing w:after="0"/>
              <w:rPr>
                <w:sz w:val="18"/>
                <w:szCs w:val="18"/>
                <w:color w:val="auto"/>
              </w:rPr>
            </w:pPr>
          </w:p>
        </w:tc>
        <w:tc>
          <w:tcPr>
            <w:tcW w:w="680" w:type="dxa"/>
            <w:vAlign w:val="bottom"/>
          </w:tcPr>
          <w:p>
            <w:pPr>
              <w:jc w:val="right"/>
              <w:ind w:right="9"/>
              <w:spacing w:after="0"/>
              <w:rPr>
                <w:sz w:val="20"/>
                <w:szCs w:val="20"/>
                <w:color w:val="auto"/>
              </w:rPr>
            </w:pPr>
            <w:r>
              <w:rPr>
                <w:rFonts w:ascii="Arial" w:cs="Arial" w:eastAsia="Arial" w:hAnsi="Arial"/>
                <w:sz w:val="15"/>
                <w:szCs w:val="15"/>
                <w:color w:val="auto"/>
              </w:rPr>
              <w:t>24.7%</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47"/>
              <w:spacing w:after="0"/>
              <w:rPr>
                <w:sz w:val="20"/>
                <w:szCs w:val="20"/>
                <w:color w:val="auto"/>
              </w:rPr>
            </w:pPr>
            <w:r>
              <w:rPr>
                <w:rFonts w:ascii="Arial" w:cs="Arial" w:eastAsia="Arial" w:hAnsi="Arial"/>
                <w:sz w:val="15"/>
                <w:szCs w:val="15"/>
                <w:color w:val="auto"/>
              </w:rPr>
              <w:t>71,250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14.2%</w:t>
            </w:r>
          </w:p>
        </w:tc>
        <w:tc>
          <w:tcPr>
            <w:tcW w:w="200" w:type="dxa"/>
            <w:vAlign w:val="bottom"/>
          </w:tcPr>
          <w:p>
            <w:pPr>
              <w:spacing w:after="0"/>
              <w:rPr>
                <w:sz w:val="18"/>
                <w:szCs w:val="18"/>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Customer #3</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$306,900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13.3%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5"/>
                <w:szCs w:val="15"/>
                <w:color w:val="auto"/>
              </w:rPr>
              <w:t>Customer #4</w:t>
            </w:r>
          </w:p>
        </w:tc>
        <w:tc>
          <w:tcPr>
            <w:tcW w:w="700" w:type="dxa"/>
            <w:vAlign w:val="bottom"/>
          </w:tcPr>
          <w:p>
            <w:pPr>
              <w:jc w:val="right"/>
              <w:spacing w:after="0"/>
              <w:rPr>
                <w:sz w:val="20"/>
                <w:szCs w:val="20"/>
                <w:color w:val="auto"/>
              </w:rPr>
            </w:pPr>
            <w:r>
              <w:rPr>
                <w:rFonts w:ascii="Arial" w:cs="Arial" w:eastAsia="Arial" w:hAnsi="Arial"/>
                <w:sz w:val="15"/>
                <w:szCs w:val="15"/>
                <w:color w:val="auto"/>
                <w:w w:val="99"/>
              </w:rPr>
              <w:t>$250,880</w:t>
            </w:r>
          </w:p>
        </w:tc>
        <w:tc>
          <w:tcPr>
            <w:tcW w:w="180" w:type="dxa"/>
            <w:vAlign w:val="bottom"/>
          </w:tcPr>
          <w:p>
            <w:pPr>
              <w:spacing w:after="0"/>
              <w:rPr>
                <w:sz w:val="19"/>
                <w:szCs w:val="19"/>
                <w:color w:val="auto"/>
              </w:rPr>
            </w:pPr>
          </w:p>
        </w:tc>
        <w:tc>
          <w:tcPr>
            <w:tcW w:w="680" w:type="dxa"/>
            <w:vAlign w:val="bottom"/>
          </w:tcPr>
          <w:p>
            <w:pPr>
              <w:jc w:val="right"/>
              <w:ind w:right="9"/>
              <w:spacing w:after="0"/>
              <w:rPr>
                <w:sz w:val="20"/>
                <w:szCs w:val="20"/>
                <w:color w:val="auto"/>
              </w:rPr>
            </w:pPr>
            <w:r>
              <w:rPr>
                <w:rFonts w:ascii="Arial" w:cs="Arial" w:eastAsia="Arial" w:hAnsi="Arial"/>
                <w:sz w:val="15"/>
                <w:szCs w:val="15"/>
                <w:color w:val="auto"/>
              </w:rPr>
              <w:t>10.9%</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47"/>
              <w:spacing w:after="0"/>
              <w:rPr>
                <w:sz w:val="20"/>
                <w:szCs w:val="20"/>
                <w:color w:val="auto"/>
              </w:rPr>
            </w:pPr>
            <w:r>
              <w:rPr>
                <w:rFonts w:ascii="Arial" w:cs="Arial" w:eastAsia="Arial" w:hAnsi="Arial"/>
                <w:sz w:val="15"/>
                <w:szCs w:val="15"/>
                <w:color w:val="auto"/>
              </w:rPr>
              <w:t>63,000</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12.6%</w:t>
            </w:r>
          </w:p>
        </w:tc>
        <w:tc>
          <w:tcPr>
            <w:tcW w:w="200" w:type="dxa"/>
            <w:vAlign w:val="bottom"/>
          </w:tcPr>
          <w:p>
            <w:pPr>
              <w:spacing w:after="0"/>
              <w:rPr>
                <w:sz w:val="19"/>
                <w:szCs w:val="19"/>
                <w:color w:val="auto"/>
              </w:rPr>
            </w:pPr>
          </w:p>
        </w:tc>
      </w:tr>
      <w:tr>
        <w:trPr>
          <w:trHeight w:val="22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Customer #5</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91,975</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2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-683260</wp:posOffset>
            </wp:positionV>
            <wp:extent cx="5588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-683260</wp:posOffset>
            </wp:positionV>
            <wp:extent cx="11176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-683260</wp:posOffset>
            </wp:positionV>
            <wp:extent cx="11176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-683260</wp:posOffset>
            </wp:positionV>
            <wp:extent cx="247650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476500" cy="6985"/>
                    </a:xfrm>
                    <a:prstGeom prst="rect">
                      <a:avLst/>
                    </a:prstGeom>
                    <a:noFill/>
                  </pic:spPr>
                </pic:pic>
              </a:graphicData>
            </a:graphic>
          </wp:anchor>
        </w:drawing>
      </w:r>
    </w:p>
    <w:p>
      <w:pPr>
        <w:spacing w:after="0" w:line="90" w:lineRule="exact"/>
        <w:rPr>
          <w:sz w:val="20"/>
          <w:szCs w:val="20"/>
          <w:color w:val="auto"/>
        </w:rPr>
      </w:pPr>
    </w:p>
    <w:p>
      <w:pPr>
        <w:jc w:val="both"/>
        <w:ind w:left="1160" w:right="1179"/>
        <w:spacing w:after="0" w:line="300" w:lineRule="auto"/>
        <w:rPr>
          <w:sz w:val="20"/>
          <w:szCs w:val="20"/>
          <w:color w:val="auto"/>
        </w:rPr>
      </w:pPr>
      <w:r>
        <w:rPr>
          <w:rFonts w:ascii="Arial" w:cs="Arial" w:eastAsia="Arial" w:hAnsi="Arial"/>
          <w:sz w:val="14"/>
          <w:szCs w:val="14"/>
          <w:color w:val="auto"/>
        </w:rPr>
        <w:t>The following customers comprised 10% or more of the Company’s total accounts receivable or revenues as of or for the period ended December 31, 2019 (customers with an asterisk are less than 10%):</w:t>
      </w:r>
    </w:p>
    <w:p>
      <w:pPr>
        <w:spacing w:after="0" w:line="7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w w:val="94"/>
              </w:rPr>
              <w:t>Year Ended December 31, 2019</w:t>
            </w:r>
          </w:p>
        </w:tc>
        <w:tc>
          <w:tcPr>
            <w:tcW w:w="1920" w:type="dxa"/>
            <w:vAlign w:val="bottom"/>
            <w:gridSpan w:val="5"/>
          </w:tcPr>
          <w:p>
            <w:pPr>
              <w:ind w:left="280"/>
              <w:spacing w:after="0"/>
              <w:rPr>
                <w:sz w:val="20"/>
                <w:szCs w:val="20"/>
                <w:color w:val="auto"/>
              </w:rPr>
            </w:pPr>
            <w:r>
              <w:rPr>
                <w:rFonts w:ascii="Arial" w:cs="Arial" w:eastAsia="Arial" w:hAnsi="Arial"/>
                <w:sz w:val="12"/>
                <w:szCs w:val="12"/>
                <w:b w:val="1"/>
                <w:bCs w:val="1"/>
                <w:color w:val="auto"/>
              </w:rPr>
              <w:t>As of December 31, 2019</w:t>
            </w:r>
          </w:p>
        </w:tc>
      </w:tr>
      <w:tr>
        <w:trPr>
          <w:trHeight w:val="21"/>
        </w:trPr>
        <w:tc>
          <w:tcPr>
            <w:tcW w:w="30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7"/>
        </w:trPr>
        <w:tc>
          <w:tcPr>
            <w:tcW w:w="302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Revenue</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 of Total</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w w:val="96"/>
              </w:rPr>
              <w:t>Accounts Receivable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 of Total</w:t>
            </w: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Customer #1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$630,000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32.8%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5"/>
                <w:szCs w:val="15"/>
                <w:color w:val="auto"/>
              </w:rPr>
              <w:t>Customer #2</w:t>
            </w:r>
          </w:p>
        </w:tc>
        <w:tc>
          <w:tcPr>
            <w:tcW w:w="700" w:type="dxa"/>
            <w:vAlign w:val="bottom"/>
          </w:tcPr>
          <w:p>
            <w:pPr>
              <w:jc w:val="right"/>
              <w:spacing w:after="0"/>
              <w:rPr>
                <w:sz w:val="20"/>
                <w:szCs w:val="20"/>
                <w:color w:val="auto"/>
              </w:rPr>
            </w:pPr>
            <w:r>
              <w:rPr>
                <w:rFonts w:ascii="Arial" w:cs="Arial" w:eastAsia="Arial" w:hAnsi="Arial"/>
                <w:sz w:val="15"/>
                <w:szCs w:val="15"/>
                <w:color w:val="auto"/>
                <w:w w:val="99"/>
              </w:rPr>
              <w:t>$559,140</w:t>
            </w:r>
          </w:p>
        </w:tc>
        <w:tc>
          <w:tcPr>
            <w:tcW w:w="180" w:type="dxa"/>
            <w:vAlign w:val="bottom"/>
          </w:tcPr>
          <w:p>
            <w:pPr>
              <w:spacing w:after="0"/>
              <w:rPr>
                <w:sz w:val="18"/>
                <w:szCs w:val="18"/>
                <w:color w:val="auto"/>
              </w:rPr>
            </w:pPr>
          </w:p>
        </w:tc>
        <w:tc>
          <w:tcPr>
            <w:tcW w:w="680" w:type="dxa"/>
            <w:vAlign w:val="bottom"/>
          </w:tcPr>
          <w:p>
            <w:pPr>
              <w:jc w:val="right"/>
              <w:ind w:right="9"/>
              <w:spacing w:after="0"/>
              <w:rPr>
                <w:sz w:val="20"/>
                <w:szCs w:val="20"/>
                <w:color w:val="auto"/>
              </w:rPr>
            </w:pPr>
            <w:r>
              <w:rPr>
                <w:rFonts w:ascii="Arial" w:cs="Arial" w:eastAsia="Arial" w:hAnsi="Arial"/>
                <w:sz w:val="15"/>
                <w:szCs w:val="15"/>
                <w:color w:val="auto"/>
              </w:rPr>
              <w:t>29.1%</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47"/>
              <w:spacing w:after="0"/>
              <w:rPr>
                <w:sz w:val="20"/>
                <w:szCs w:val="20"/>
                <w:color w:val="auto"/>
              </w:rPr>
            </w:pPr>
            <w:r>
              <w:rPr>
                <w:rFonts w:ascii="Arial" w:cs="Arial" w:eastAsia="Arial" w:hAnsi="Arial"/>
                <w:sz w:val="15"/>
                <w:szCs w:val="15"/>
                <w:color w:val="auto"/>
                <w:w w:val="84"/>
              </w:rPr>
              <w:t>102,240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48.7%</w:t>
            </w:r>
          </w:p>
        </w:tc>
        <w:tc>
          <w:tcPr>
            <w:tcW w:w="200" w:type="dxa"/>
            <w:vAlign w:val="bottom"/>
          </w:tcPr>
          <w:p>
            <w:pPr>
              <w:spacing w:after="0"/>
              <w:rPr>
                <w:sz w:val="18"/>
                <w:szCs w:val="18"/>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Customer #3</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$224,400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11.7%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5"/>
                <w:szCs w:val="15"/>
                <w:color w:val="auto"/>
              </w:rPr>
              <w:t>Customer #4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68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47"/>
              <w:spacing w:after="0"/>
              <w:rPr>
                <w:sz w:val="20"/>
                <w:szCs w:val="20"/>
                <w:color w:val="auto"/>
              </w:rPr>
            </w:pPr>
            <w:r>
              <w:rPr>
                <w:rFonts w:ascii="Arial" w:cs="Arial" w:eastAsia="Arial" w:hAnsi="Arial"/>
                <w:sz w:val="15"/>
                <w:szCs w:val="15"/>
                <w:color w:val="auto"/>
              </w:rPr>
              <w:t>54,300</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25.9%</w:t>
            </w:r>
          </w:p>
        </w:tc>
        <w:tc>
          <w:tcPr>
            <w:tcW w:w="200" w:type="dxa"/>
            <w:vAlign w:val="bottom"/>
          </w:tcPr>
          <w:p>
            <w:pPr>
              <w:spacing w:after="0"/>
              <w:rPr>
                <w:sz w:val="19"/>
                <w:szCs w:val="19"/>
                <w:color w:val="auto"/>
              </w:rPr>
            </w:pPr>
          </w:p>
        </w:tc>
      </w:tr>
      <w:tr>
        <w:trPr>
          <w:trHeight w:val="22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Customer #5</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21,300</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2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-683260</wp:posOffset>
            </wp:positionV>
            <wp:extent cx="5588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-683260</wp:posOffset>
            </wp:positionV>
            <wp:extent cx="11176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-683260</wp:posOffset>
            </wp:positionV>
            <wp:extent cx="11176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-683260</wp:posOffset>
            </wp:positionV>
            <wp:extent cx="247650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765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79" w:lineRule="exact"/>
        <w:rPr>
          <w:sz w:val="20"/>
          <w:szCs w:val="20"/>
          <w:color w:val="auto"/>
        </w:rPr>
      </w:pPr>
    </w:p>
    <w:p>
      <w:pPr>
        <w:jc w:val="both"/>
        <w:ind w:left="1160" w:right="1179"/>
        <w:spacing w:after="0" w:line="270" w:lineRule="auto"/>
        <w:rPr>
          <w:sz w:val="20"/>
          <w:szCs w:val="20"/>
          <w:color w:val="auto"/>
        </w:rPr>
      </w:pPr>
      <w:r>
        <w:rPr>
          <w:rFonts w:ascii="Arial" w:cs="Arial" w:eastAsia="Arial" w:hAnsi="Arial"/>
          <w:sz w:val="14"/>
          <w:szCs w:val="14"/>
          <w:b w:val="1"/>
          <w:bCs w:val="1"/>
          <w:color w:val="auto"/>
        </w:rPr>
        <w:t xml:space="preserve">Property and Equipment: </w:t>
      </w:r>
      <w:r>
        <w:rPr>
          <w:rFonts w:ascii="Arial" w:cs="Arial" w:eastAsia="Arial" w:hAnsi="Arial"/>
          <w:sz w:val="14"/>
          <w:szCs w:val="14"/>
          <w:color w:val="auto"/>
        </w:rPr>
        <w:t>Property and equipment are recorded at cost, net of accumulated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Expenditures for major replacements and improvements are capitalized, while expenditures for general repairs and maintenance are expensed as incurred. Upon retirements or disposition of property and equipment, the related cost and accumulated depreciation are removed from the consolidated balance sheet and any resulting gain or loss is recorded in the consolidated statement of operations. Depreciation is calculated using the straight-line method once assets are placed in service.</w:t>
      </w:r>
    </w:p>
    <w:p>
      <w:pPr>
        <w:spacing w:after="0" w:line="10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w w:val="94"/>
              </w:rPr>
              <w:t>Estimated</w:t>
            </w:r>
          </w:p>
        </w:tc>
      </w:tr>
      <w:tr>
        <w:trPr>
          <w:trHeight w:val="155"/>
        </w:trPr>
        <w:tc>
          <w:tcPr>
            <w:tcW w:w="560" w:type="dxa"/>
            <w:vAlign w:val="bottom"/>
          </w:tcPr>
          <w:p>
            <w:pPr>
              <w:spacing w:after="0"/>
              <w:rPr>
                <w:sz w:val="20"/>
                <w:szCs w:val="20"/>
                <w:color w:val="auto"/>
              </w:rPr>
            </w:pPr>
            <w:r>
              <w:rPr>
                <w:rFonts w:ascii="Arial" w:cs="Arial" w:eastAsia="Arial" w:hAnsi="Arial"/>
                <w:sz w:val="12"/>
                <w:szCs w:val="12"/>
                <w:b w:val="1"/>
                <w:bCs w:val="1"/>
                <w:color w:val="auto"/>
                <w:w w:val="79"/>
              </w:rPr>
              <w:t>Asset Class</w:t>
            </w:r>
          </w:p>
        </w:tc>
        <w:tc>
          <w:tcPr>
            <w:tcW w:w="2860" w:type="dxa"/>
            <w:vAlign w:val="bottom"/>
          </w:tcPr>
          <w:p>
            <w:pPr>
              <w:spacing w:after="0"/>
              <w:rPr>
                <w:sz w:val="13"/>
                <w:szCs w:val="13"/>
                <w:color w:val="auto"/>
              </w:rPr>
            </w:pPr>
          </w:p>
        </w:tc>
        <w:tc>
          <w:tcPr>
            <w:tcW w:w="2660" w:type="dxa"/>
            <w:vAlign w:val="bottom"/>
            <w:gridSpan w:val="2"/>
          </w:tcPr>
          <w:p>
            <w:pPr>
              <w:ind w:left="2080"/>
              <w:spacing w:after="0"/>
              <w:rPr>
                <w:sz w:val="20"/>
                <w:szCs w:val="20"/>
                <w:color w:val="auto"/>
              </w:rPr>
            </w:pPr>
            <w:r>
              <w:rPr>
                <w:rFonts w:ascii="Arial" w:cs="Arial" w:eastAsia="Arial" w:hAnsi="Arial"/>
                <w:sz w:val="12"/>
                <w:szCs w:val="12"/>
                <w:b w:val="1"/>
                <w:bCs w:val="1"/>
                <w:color w:val="auto"/>
                <w:w w:val="79"/>
              </w:rPr>
              <w:t>Useful Lives</w:t>
            </w:r>
          </w:p>
        </w:tc>
      </w:tr>
      <w:tr>
        <w:trPr>
          <w:trHeight w:val="20"/>
        </w:trPr>
        <w:tc>
          <w:tcPr>
            <w:tcW w:w="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5"/>
        </w:trPr>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2660" w:type="dxa"/>
            <w:vAlign w:val="bottom"/>
            <w:gridSpan w:val="2"/>
            <w:shd w:val="clear" w:color="auto" w:fill="CCEEFF"/>
          </w:tcPr>
          <w:p>
            <w:pPr>
              <w:ind w:left="2080"/>
              <w:spacing w:after="0"/>
              <w:rPr>
                <w:sz w:val="20"/>
                <w:szCs w:val="20"/>
                <w:color w:val="auto"/>
              </w:rPr>
            </w:pPr>
            <w:r>
              <w:rPr>
                <w:rFonts w:ascii="Arial" w:cs="Arial" w:eastAsia="Arial" w:hAnsi="Arial"/>
                <w:sz w:val="15"/>
                <w:szCs w:val="15"/>
                <w:color w:val="auto"/>
              </w:rPr>
              <w:t>3 years</w:t>
            </w:r>
          </w:p>
        </w:tc>
      </w:tr>
      <w:tr>
        <w:trPr>
          <w:trHeight w:val="209"/>
        </w:trPr>
        <w:tc>
          <w:tcPr>
            <w:tcW w:w="3420" w:type="dxa"/>
            <w:vAlign w:val="bottom"/>
            <w:gridSpan w:val="2"/>
          </w:tcPr>
          <w:p>
            <w:pPr>
              <w:spacing w:after="0"/>
              <w:rPr>
                <w:sz w:val="20"/>
                <w:szCs w:val="20"/>
                <w:color w:val="auto"/>
              </w:rPr>
            </w:pPr>
            <w:r>
              <w:rPr>
                <w:rFonts w:ascii="Arial" w:cs="Arial" w:eastAsia="Arial" w:hAnsi="Arial"/>
                <w:sz w:val="15"/>
                <w:szCs w:val="15"/>
                <w:color w:val="auto"/>
              </w:rPr>
              <w:t>Furniture and fixtures</w:t>
            </w:r>
          </w:p>
        </w:tc>
        <w:tc>
          <w:tcPr>
            <w:tcW w:w="2660" w:type="dxa"/>
            <w:vAlign w:val="bottom"/>
            <w:gridSpan w:val="2"/>
          </w:tcPr>
          <w:p>
            <w:pPr>
              <w:ind w:left="2080"/>
              <w:spacing w:after="0"/>
              <w:rPr>
                <w:sz w:val="20"/>
                <w:szCs w:val="20"/>
                <w:color w:val="auto"/>
              </w:rPr>
            </w:pPr>
            <w:r>
              <w:rPr>
                <w:rFonts w:ascii="Arial" w:cs="Arial" w:eastAsia="Arial" w:hAnsi="Arial"/>
                <w:sz w:val="15"/>
                <w:szCs w:val="15"/>
                <w:color w:val="auto"/>
              </w:rPr>
              <w:t>5 years</w:t>
            </w:r>
          </w:p>
        </w:tc>
      </w:tr>
    </w:tbl>
    <w:p>
      <w:pPr>
        <w:spacing w:after="0" w:line="106"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b w:val="1"/>
          <w:bCs w:val="1"/>
          <w:color w:val="auto"/>
        </w:rPr>
        <w:t xml:space="preserve">Impairment of Long-lived Assets: </w:t>
      </w:r>
      <w:r>
        <w:rPr>
          <w:rFonts w:ascii="Arial" w:cs="Arial" w:eastAsia="Arial" w:hAnsi="Arial"/>
          <w:sz w:val="14"/>
          <w:szCs w:val="14"/>
          <w:color w:val="auto"/>
        </w:rPr>
        <w:t>Periodically, the Company evaluates its long-lived assets, which consist</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88"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color w:val="auto"/>
        </w:rPr>
        <w:t xml:space="preserve">Leases: </w:t>
      </w:r>
      <w:r>
        <w:rPr>
          <w:rFonts w:ascii="Arial" w:cs="Arial" w:eastAsia="Arial" w:hAnsi="Arial"/>
          <w:sz w:val="15"/>
          <w:szCs w:val="15"/>
          <w:color w:val="auto"/>
        </w:rPr>
        <w:t>In February 2016 the FASB issued Accounting Standards Update (“ASU”) No. 2016-02, Leases</w:t>
      </w:r>
      <w:r>
        <w:rPr>
          <w:rFonts w:ascii="Arial" w:cs="Arial" w:eastAsia="Arial" w:hAnsi="Arial"/>
          <w:sz w:val="15"/>
          <w:szCs w:val="15"/>
          <w:b w:val="1"/>
          <w:bCs w:val="1"/>
          <w:color w:val="auto"/>
        </w:rPr>
        <w:t xml:space="preserve"> </w:t>
      </w:r>
      <w:r>
        <w:rPr>
          <w:rFonts w:ascii="Arial" w:cs="Arial" w:eastAsia="Arial" w:hAnsi="Arial"/>
          <w:sz w:val="15"/>
          <w:szCs w:val="15"/>
          <w:color w:val="auto"/>
        </w:rPr>
        <w:t>(Topic 842) (“ASC 842”), a standard issued to increase transparency and comparability among organizations related to their leasing activities. This standard established a right-of-use model that requires the recognition of right-of-use assets and lease liabilities for most leases as well as provides disclosure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08"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The Company adopted the leasing standard using the modified retrospective transition approach as of January 1, 2020, with no restatement of prior periods or cumulative adjustment to retained earnings. 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 The Company also made an accounting policy election to not recognize leases with an initial term of 12 months or less within its consolidated balance sheets, and to recognize those lease payments on a straight-line basis in its consolidated statements of operations over the lease term. The adoption of the leasing standard did not have an impact on the consolidated statement of operations.</w:t>
      </w:r>
    </w:p>
    <w:p>
      <w:pPr>
        <w:spacing w:after="0" w:line="86"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The Company determines if an arrangement is a lease at contract inception. Right-of-use assets represent the Company’s right to use an underlying asset for the lease term and lease liabilities represent its obligation to make lease payments arising from the lease. Right-of-use assets and lease liabilities are recognized at the commencement date of the lease based upon the present value of future lease payments over the expected lease term. When determining the lease term, the Company includes options to extend or terminate the lease when it is reasonably certain that the Company will exercise that option. As most of the Company’s leases do not provide an implicit interest rate, the Company uses its incremental borrowing rate, which is based on rates that would be incurred to borrow on a collateralized basis over a term equal to the lease payments in a similar economic environment, in determining the present value of lease payments.</w:t>
      </w:r>
    </w:p>
    <w:p>
      <w:pPr>
        <w:spacing w:after="0" w:line="97"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The Company has elected not to separate lease and non-lease components as a single lease component. The Company’s lease is reflected in right-of-use asset and lease liabilities (current and non-current) in the consolidated balance sheets. The right-of-use assets and lease liabilities were $61,822 upon adoption on</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January 1, 2020. Fixed rents are included in the calculation of the lease balances while variable costs paid for certain operating and pass-through costs are excluded. Lease expense is recognized on a straight-line basis over the lease term.</w:t>
      </w:r>
    </w:p>
    <w:p>
      <w:pPr>
        <w:spacing w:after="0" w:line="96" w:lineRule="exact"/>
        <w:rPr>
          <w:sz w:val="20"/>
          <w:szCs w:val="20"/>
          <w:color w:val="auto"/>
        </w:rPr>
      </w:pPr>
    </w:p>
    <w:p>
      <w:pPr>
        <w:jc w:val="both"/>
        <w:ind w:left="1160" w:right="1179"/>
        <w:spacing w:after="0" w:line="275" w:lineRule="auto"/>
        <w:rPr>
          <w:sz w:val="20"/>
          <w:szCs w:val="20"/>
          <w:color w:val="auto"/>
        </w:rPr>
      </w:pPr>
      <w:r>
        <w:rPr>
          <w:rFonts w:ascii="Arial" w:cs="Arial" w:eastAsia="Arial" w:hAnsi="Arial"/>
          <w:sz w:val="13"/>
          <w:szCs w:val="13"/>
          <w:b w:val="1"/>
          <w:bCs w:val="1"/>
          <w:color w:val="auto"/>
        </w:rPr>
        <w:t xml:space="preserve">Convertible preferred stock: </w:t>
      </w:r>
      <w:r>
        <w:rPr>
          <w:rFonts w:ascii="Arial" w:cs="Arial" w:eastAsia="Arial" w:hAnsi="Arial"/>
          <w:sz w:val="13"/>
          <w:szCs w:val="13"/>
          <w:color w:val="auto"/>
        </w:rPr>
        <w:t>The Company has classified convertible preferred stock (“Preferred Stock”) as</w:t>
      </w:r>
      <w:r>
        <w:rPr>
          <w:rFonts w:ascii="Arial" w:cs="Arial" w:eastAsia="Arial" w:hAnsi="Arial"/>
          <w:sz w:val="13"/>
          <w:szCs w:val="13"/>
          <w:b w:val="1"/>
          <w:bCs w:val="1"/>
          <w:color w:val="auto"/>
        </w:rPr>
        <w:t xml:space="preserve"> </w:t>
      </w:r>
      <w:r>
        <w:rPr>
          <w:rFonts w:ascii="Arial" w:cs="Arial" w:eastAsia="Arial" w:hAnsi="Arial"/>
          <w:sz w:val="13"/>
          <w:szCs w:val="13"/>
          <w:color w:val="auto"/>
        </w:rPr>
        <w:t>temporary equity in the accompanying consolidated balance sheets due to certain changes in control events that are outside of the Company’s control, including transfer of control of the Company, where holders of the Preferred Stock could cause redemption of the shares in these situations. The Company does not accrete the carrying values of the Preferred Stock to the redemption values since a liquidation event was not considered probable as of December 31, 2020 and 2019. Subsequent adjustments of the carrying values to the redemption values will be made only if it becomes probable that such a liquidation event will occur.</w:t>
      </w:r>
    </w:p>
    <w:p>
      <w:pPr>
        <w:spacing w:after="0" w:line="64" w:lineRule="exact"/>
        <w:rPr>
          <w:sz w:val="20"/>
          <w:szCs w:val="20"/>
          <w:color w:val="auto"/>
        </w:rPr>
      </w:pPr>
    </w:p>
    <w:p>
      <w:pPr>
        <w:jc w:val="both"/>
        <w:ind w:left="1160" w:right="1179"/>
        <w:spacing w:after="0" w:line="238" w:lineRule="auto"/>
        <w:rPr>
          <w:sz w:val="20"/>
          <w:szCs w:val="20"/>
          <w:color w:val="auto"/>
        </w:rPr>
      </w:pPr>
      <w:r>
        <w:rPr>
          <w:rFonts w:ascii="Arial" w:cs="Arial" w:eastAsia="Arial" w:hAnsi="Arial"/>
          <w:sz w:val="15"/>
          <w:szCs w:val="15"/>
          <w:b w:val="1"/>
          <w:bCs w:val="1"/>
          <w:color w:val="auto"/>
        </w:rPr>
        <w:t xml:space="preserve">Revenue Recognition: </w:t>
      </w:r>
      <w:r>
        <w:rPr>
          <w:rFonts w:ascii="Arial" w:cs="Arial" w:eastAsia="Arial" w:hAnsi="Arial"/>
          <w:sz w:val="15"/>
          <w:szCs w:val="15"/>
          <w:color w:val="auto"/>
        </w:rPr>
        <w:t>Effective January 1, 2019, the Company adopted ASC 606, Revenue from Contracts</w:t>
      </w:r>
      <w:r>
        <w:rPr>
          <w:rFonts w:ascii="Arial" w:cs="Arial" w:eastAsia="Arial" w:hAnsi="Arial"/>
          <w:sz w:val="15"/>
          <w:szCs w:val="15"/>
          <w:b w:val="1"/>
          <w:bCs w:val="1"/>
          <w:color w:val="auto"/>
        </w:rPr>
        <w:t xml:space="preserve"> </w:t>
      </w:r>
      <w:r>
        <w:rPr>
          <w:rFonts w:ascii="Arial" w:cs="Arial" w:eastAsia="Arial" w:hAnsi="Arial"/>
          <w:sz w:val="15"/>
          <w:szCs w:val="15"/>
          <w:color w:val="auto"/>
        </w:rPr>
        <w:t>with Customers (“ASC 606”) using the modified retrospective transition method applied to those contracts that were not completed as of that effective date and all contracts thereafter. The adoption did not have an impact on the financial statements.</w:t>
      </w:r>
    </w:p>
    <w:p>
      <w:pPr>
        <w:spacing w:after="0" w:line="100"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In accordance with ASC 606, revenue is recognized when a customer obtains control of promised goods and services. The core principle of the standard is to recognize revenue to depict the transfer of promised goods or services to customers in an amount that reflects the consideration to which the Company expects to be entitled in exchange for those goods or services. To achieve that core principle, the Company applies the following five-step model:</w:t>
      </w:r>
    </w:p>
    <w:p>
      <w:pPr>
        <w:spacing w:after="0" w:line="67" w:lineRule="exact"/>
        <w:rPr>
          <w:sz w:val="20"/>
          <w:szCs w:val="20"/>
          <w:color w:val="auto"/>
        </w:rPr>
      </w:pPr>
    </w:p>
    <w:p>
      <w:pPr>
        <w:ind w:left="1600" w:hanging="143"/>
        <w:spacing w:after="0"/>
        <w:tabs>
          <w:tab w:leader="none" w:pos="16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Identify the contract with a customer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Identify the performance obligations in the contract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Determine the transaction price</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Allocate the transaction price to the performance obligations in the contract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Recognize revenue when or as performance obligations are satisfied</w:t>
      </w:r>
    </w:p>
    <w:p>
      <w:pPr>
        <w:spacing w:after="0" w:line="12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The Company’s contracts generally consist of the promise to provide computational biology professional services to pharmaceutical and biotechnology companies, which the Company has concluded constitutes one performance obligation that is delivered over time. The transaction price is the amount of consideration to which the Company expects to be entitled in exchange for transferring the services to the customer. The Company’s contracts provide for either agreed upon rates per hour based on the level of the professional working on the project or a fixed fee for a defined scope of work. The Company recognizes revenue over time by measuring the progress toward complete satisfaction of the performance obligation using a single method of measuring progress, which depicts the performance in transferring control of the associated services to the customer. The Company uses input methods to measure the progress toward the complete satisfaction of performance obligations and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95"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Company’s contract terms do not allow for a right of return or refund and do not contain significant financing components. Receivables associated with the contract will generally be collected within thirty to sixty days, in accordance with the underlying payment terms.</w:t>
      </w:r>
    </w:p>
    <w:p>
      <w:pPr>
        <w:spacing w:after="0" w:line="86" w:lineRule="exact"/>
        <w:rPr>
          <w:sz w:val="20"/>
          <w:szCs w:val="20"/>
          <w:color w:val="auto"/>
        </w:rPr>
      </w:pPr>
    </w:p>
    <w:p>
      <w:pPr>
        <w:jc w:val="both"/>
        <w:ind w:left="1160" w:right="1179"/>
        <w:spacing w:after="0" w:line="298" w:lineRule="auto"/>
        <w:rPr>
          <w:sz w:val="20"/>
          <w:szCs w:val="20"/>
          <w:color w:val="auto"/>
        </w:rPr>
      </w:pPr>
      <w:r>
        <w:rPr>
          <w:rFonts w:ascii="Arial" w:cs="Arial" w:eastAsia="Arial" w:hAnsi="Arial"/>
          <w:sz w:val="13"/>
          <w:szCs w:val="13"/>
          <w:b w:val="1"/>
          <w:bCs w:val="1"/>
          <w:color w:val="auto"/>
        </w:rPr>
        <w:t xml:space="preserve">Income Taxes: </w:t>
      </w:r>
      <w:r>
        <w:rPr>
          <w:rFonts w:ascii="Arial" w:cs="Arial" w:eastAsia="Arial" w:hAnsi="Arial"/>
          <w:sz w:val="13"/>
          <w:szCs w:val="13"/>
          <w:color w:val="auto"/>
        </w:rPr>
        <w:t>The Company provides for income taxes in accordance with ASC Topic 740, Income Taxes.</w:t>
      </w:r>
      <w:r>
        <w:rPr>
          <w:rFonts w:ascii="Arial" w:cs="Arial" w:eastAsia="Arial" w:hAnsi="Arial"/>
          <w:sz w:val="13"/>
          <w:szCs w:val="13"/>
          <w:b w:val="1"/>
          <w:bCs w:val="1"/>
          <w:color w:val="auto"/>
        </w:rPr>
        <w:t xml:space="preserve"> </w:t>
      </w:r>
      <w:r>
        <w:rPr>
          <w:rFonts w:ascii="Arial" w:cs="Arial" w:eastAsia="Arial" w:hAnsi="Arial"/>
          <w:sz w:val="13"/>
          <w:szCs w:val="13"/>
          <w:color w:val="auto"/>
        </w:rPr>
        <w:t>Deferred tax assets and liabilities are determined based on the difference between the financial reporting and tax bases of assets and liabilities using enacted tax rates and laws in effect in the years in which the differences are expected to reverse. A valuation allowance is provided if, based upon the weighted available evidence, it is more likely than not that some or all of the deferred tax assets will not be realized.</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The Company provides reserves for potential payments of tax to various tax authorities related to uncertain tax positions when management determines that it is probable that a loss will be incurred related to these matters and the amount of the loss is reasonably determinable. The Company has not identified any significant uncertain tax positions as of December 31, 2020 or 2019.</w:t>
      </w:r>
    </w:p>
    <w:p>
      <w:pPr>
        <w:spacing w:after="0" w:line="98"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Research and development costs are expensed as incurred. Research and</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costs consist of expenses incurred in performing research and development activities, including salaries and benefits, materials and supplies, preclinical expenses, stock -based compensation expense, depreciation of equipment, contract services, and other outside expenses. The Company also incurs costs to develop software programs for internal use in identifying potential human drug targets which may then lead to the development of human drug candidates. To date the software programs have primarily been used for internal research and development activities and the costs incurred have been expensed as research and development.</w:t>
      </w:r>
    </w:p>
    <w:p>
      <w:pPr>
        <w:spacing w:after="0" w:line="89" w:lineRule="exact"/>
        <w:rPr>
          <w:sz w:val="20"/>
          <w:szCs w:val="20"/>
          <w:color w:val="auto"/>
        </w:rPr>
      </w:pPr>
    </w:p>
    <w:p>
      <w:pPr>
        <w:jc w:val="both"/>
        <w:ind w:left="1160" w:right="1179"/>
        <w:spacing w:after="0" w:line="273" w:lineRule="auto"/>
        <w:rPr>
          <w:sz w:val="20"/>
          <w:szCs w:val="20"/>
          <w:color w:val="auto"/>
        </w:rPr>
      </w:pPr>
      <w:r>
        <w:rPr>
          <w:rFonts w:ascii="Arial" w:cs="Arial" w:eastAsia="Arial" w:hAnsi="Arial"/>
          <w:sz w:val="14"/>
          <w:szCs w:val="14"/>
          <w:b w:val="1"/>
          <w:bCs w:val="1"/>
          <w:color w:val="auto"/>
        </w:rPr>
        <w:t xml:space="preserve">Stock-based Compensation: </w:t>
      </w:r>
      <w:r>
        <w:rPr>
          <w:rFonts w:ascii="Arial" w:cs="Arial" w:eastAsia="Arial" w:hAnsi="Arial"/>
          <w:sz w:val="14"/>
          <w:szCs w:val="14"/>
          <w:color w:val="auto"/>
        </w:rPr>
        <w:t>The Company issues stock-based awards to employees and nonemployees in</w:t>
      </w:r>
      <w:r>
        <w:rPr>
          <w:rFonts w:ascii="Arial" w:cs="Arial" w:eastAsia="Arial" w:hAnsi="Arial"/>
          <w:sz w:val="14"/>
          <w:szCs w:val="14"/>
          <w:b w:val="1"/>
          <w:bCs w:val="1"/>
          <w:color w:val="auto"/>
        </w:rPr>
        <w:t xml:space="preserve"> </w:t>
      </w:r>
      <w:r>
        <w:rPr>
          <w:rFonts w:ascii="Arial" w:cs="Arial" w:eastAsia="Arial" w:hAnsi="Arial"/>
          <w:sz w:val="14"/>
          <w:szCs w:val="14"/>
          <w:color w:val="auto"/>
        </w:rPr>
        <w:t>the form of stock options. The Company accounts for stock-based awards in accordance with ASC 718, Compensation — Stock Compensation (“ASC 718”), which requires all stock-based payments to employees and nonemployees, including grants of employee stock options and modifications to existing stock options, to be recognized in the consolidated statement of operations based on their fair values.</w:t>
      </w:r>
    </w:p>
    <w:p>
      <w:pPr>
        <w:spacing w:after="0" w:line="88" w:lineRule="exact"/>
        <w:rPr>
          <w:sz w:val="20"/>
          <w:szCs w:val="20"/>
          <w:color w:val="auto"/>
        </w:rPr>
      </w:pPr>
    </w:p>
    <w:p>
      <w:pPr>
        <w:jc w:val="both"/>
        <w:ind w:left="1160" w:right="1179"/>
        <w:spacing w:after="0" w:line="288" w:lineRule="auto"/>
        <w:rPr>
          <w:sz w:val="20"/>
          <w:szCs w:val="20"/>
          <w:color w:val="auto"/>
        </w:rPr>
      </w:pPr>
      <w:r>
        <w:rPr>
          <w:rFonts w:ascii="Arial" w:cs="Arial" w:eastAsia="Arial" w:hAnsi="Arial"/>
          <w:sz w:val="13"/>
          <w:szCs w:val="13"/>
          <w:color w:val="auto"/>
        </w:rPr>
        <w:t>The fair value of options is estimated on the grant date using the Black-Scholes option-pricing model (“Black-Scholes”). Black-Scholes requires the Company to make assumptions and judgments about the variables used in the calculation including the expected term of its stock option, the volatility of the Company’s common stock, and an assumed risk-free interest rate. The Company uses the simplified calculation of expected life and volatility is based on an average of the historical volatility of a group of publicly traded companies in a similar industry that the Company believes would be considered a peer group had it been a publicly held company. The risk-free rate is based on the U.S. Treasury yield curve in effect at the time of grant for periods corresponding with the expected life of the option. Forfeitures are recognized as they occur. No dividend yield was assumed as the Company does not pay, and does not expect to pay, dividends on its common stock. The assumptions underlying these valuations represent management’s best estimates, which involve inherent uncertainties and the application of management’s judgement.</w:t>
      </w:r>
    </w:p>
    <w:p>
      <w:pPr>
        <w:spacing w:after="0" w:line="81"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In accordance with ASU No. 2018-07, Compensation-Stock Compensation (Topic 718): Improvements to Nonemployee Share-Based Payment Accounting, compensation expense for stock-based awards granted to nonemployees is recognized over the period during which services are rendered by such nonemployees. The new standard largely aligns the accounting for share-based payment awards issued to employees and nonemployees by expanding the scope of ASC 718 to apply to nonemployee share-based transactions, as long as the transaction is not effectively a form of financing. There was no adjustment to the financial statements upon adoption of this standard as of January 1, 2020.</w:t>
      </w:r>
    </w:p>
    <w:p>
      <w:pPr>
        <w:spacing w:after="0" w:line="82"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As there has been no public market for the Company’s common stock to date, the estimated fair value of its common stock has been determined by its board of directors as of the date of each option grant, with input from management, considering the Company’s most recently available third-party valuations of common stock and its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Each valuation methodology includes estimates and assumptions that require the Company’s judgment. These estimates and assumptions include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The assumptions underlying these valuations represent management’s best estimates, which involve inherent uncertainties and the application of management’s judgment. As a result, if the Company had used different assumptions or estimates, the fair value of its common stock and its stock-based compensation expense could be materially different.</w:t>
      </w:r>
    </w:p>
    <w:p>
      <w:pPr>
        <w:spacing w:after="0" w:line="98" w:lineRule="exact"/>
        <w:rPr>
          <w:sz w:val="20"/>
          <w:szCs w:val="20"/>
          <w:color w:val="auto"/>
        </w:rPr>
      </w:pPr>
    </w:p>
    <w:p>
      <w:pPr>
        <w:jc w:val="both"/>
        <w:ind w:left="1160" w:right="1179"/>
        <w:spacing w:after="0" w:line="253" w:lineRule="auto"/>
        <w:rPr>
          <w:sz w:val="20"/>
          <w:szCs w:val="20"/>
          <w:color w:val="auto"/>
        </w:rPr>
      </w:pPr>
      <w:r>
        <w:rPr>
          <w:rFonts w:ascii="Arial" w:cs="Arial" w:eastAsia="Arial" w:hAnsi="Arial"/>
          <w:sz w:val="14"/>
          <w:szCs w:val="14"/>
          <w:b w:val="1"/>
          <w:bCs w:val="1"/>
          <w:color w:val="auto"/>
        </w:rPr>
        <w:t xml:space="preserve">Fair Value of Financial Instruments: </w:t>
      </w:r>
      <w:r>
        <w:rPr>
          <w:rFonts w:ascii="Arial" w:cs="Arial" w:eastAsia="Arial" w:hAnsi="Arial"/>
          <w:sz w:val="14"/>
          <w:szCs w:val="14"/>
          <w:color w:val="auto"/>
        </w:rPr>
        <w:t>The Company follows the guidance prescribed by ASC Topic 820,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Measurements (“ASC 820”), which establishes a framework for measuring fair value, and expands disclosures about fair value measurements. The standard provides a consistent definition of fair value which focuses on an exit price which is the price that would be received to sell an asset or paid to transfer a liability in an orderly transaction between market participants at the measurement date. The standard establishes a three-level hierarchy for fair value measurements based on the nature of inputs used in the valuation of an asset or liability as of the measurement date.</w:t>
      </w:r>
    </w:p>
    <w:p>
      <w:pPr>
        <w:spacing w:after="0" w:line="75" w:lineRule="exact"/>
        <w:rPr>
          <w:sz w:val="20"/>
          <w:szCs w:val="20"/>
          <w:color w:val="auto"/>
        </w:rPr>
      </w:pPr>
    </w:p>
    <w:p>
      <w:pPr>
        <w:jc w:val="both"/>
        <w:ind w:left="1860" w:right="1179" w:hanging="702"/>
        <w:spacing w:after="0" w:line="264" w:lineRule="auto"/>
        <w:tabs>
          <w:tab w:leader="none" w:pos="1840" w:val="left"/>
        </w:tabs>
        <w:rPr>
          <w:sz w:val="20"/>
          <w:szCs w:val="20"/>
          <w:color w:val="auto"/>
        </w:rPr>
      </w:pPr>
      <w:r>
        <w:rPr>
          <w:rFonts w:ascii="Arial" w:cs="Arial" w:eastAsia="Arial" w:hAnsi="Arial"/>
          <w:sz w:val="15"/>
          <w:szCs w:val="15"/>
          <w:b w:val="1"/>
          <w:bCs w:val="1"/>
          <w:color w:val="auto"/>
        </w:rPr>
        <w:t>Level 1:</w:t>
      </w:r>
      <w:r>
        <w:rPr>
          <w:sz w:val="20"/>
          <w:szCs w:val="20"/>
          <w:color w:val="auto"/>
        </w:rPr>
        <w:tab/>
      </w:r>
      <w:r>
        <w:rPr>
          <w:rFonts w:ascii="Arial" w:cs="Arial" w:eastAsia="Arial" w:hAnsi="Arial"/>
          <w:sz w:val="15"/>
          <w:szCs w:val="15"/>
          <w:color w:val="auto"/>
        </w:rPr>
        <w:t>Pricing inputs are quoted prices available in active markets for identical investments as of the reporting date.</w:t>
      </w:r>
    </w:p>
    <w:p>
      <w:pPr>
        <w:spacing w:after="0" w:line="93" w:lineRule="exact"/>
        <w:rPr>
          <w:sz w:val="20"/>
          <w:szCs w:val="20"/>
          <w:color w:val="auto"/>
        </w:rPr>
      </w:pPr>
    </w:p>
    <w:p>
      <w:pPr>
        <w:jc w:val="both"/>
        <w:ind w:left="1860" w:right="1179" w:hanging="702"/>
        <w:spacing w:after="0" w:line="281" w:lineRule="auto"/>
        <w:tabs>
          <w:tab w:leader="none" w:pos="1840" w:val="left"/>
        </w:tabs>
        <w:rPr>
          <w:sz w:val="20"/>
          <w:szCs w:val="20"/>
          <w:color w:val="auto"/>
        </w:rPr>
      </w:pPr>
      <w:r>
        <w:rPr>
          <w:rFonts w:ascii="Arial" w:cs="Arial" w:eastAsia="Arial" w:hAnsi="Arial"/>
          <w:sz w:val="15"/>
          <w:szCs w:val="15"/>
          <w:b w:val="1"/>
          <w:bCs w:val="1"/>
          <w:color w:val="auto"/>
        </w:rPr>
        <w:t>Level 2:</w:t>
      </w:r>
      <w:r>
        <w:rPr>
          <w:sz w:val="20"/>
          <w:szCs w:val="20"/>
          <w:color w:val="auto"/>
        </w:rPr>
        <w:tab/>
      </w:r>
      <w:r>
        <w:rPr>
          <w:rFonts w:ascii="Arial" w:cs="Arial" w:eastAsia="Arial" w:hAnsi="Arial"/>
          <w:sz w:val="14"/>
          <w:szCs w:val="14"/>
          <w:color w:val="auto"/>
        </w:rPr>
        <w:t>Pricing inputs are quoted prices for similar investments, or inputs that are observable, either directly or indirectly, for substantially the full term through corroboration with observable market data. The Company does not have any instruments meeting the criteria of Level 2 inputs.</w:t>
      </w:r>
    </w:p>
    <w:p>
      <w:pPr>
        <w:spacing w:after="0" w:line="83" w:lineRule="exact"/>
        <w:rPr>
          <w:sz w:val="20"/>
          <w:szCs w:val="20"/>
          <w:color w:val="auto"/>
        </w:rPr>
      </w:pPr>
    </w:p>
    <w:p>
      <w:pPr>
        <w:jc w:val="both"/>
        <w:ind w:left="1860" w:right="1179" w:hanging="702"/>
        <w:spacing w:after="0" w:line="251" w:lineRule="auto"/>
        <w:tabs>
          <w:tab w:leader="none" w:pos="1840" w:val="left"/>
        </w:tabs>
        <w:rPr>
          <w:sz w:val="20"/>
          <w:szCs w:val="20"/>
          <w:color w:val="auto"/>
        </w:rPr>
      </w:pPr>
      <w:r>
        <w:rPr>
          <w:rFonts w:ascii="Arial" w:cs="Arial" w:eastAsia="Arial" w:hAnsi="Arial"/>
          <w:sz w:val="15"/>
          <w:szCs w:val="15"/>
          <w:b w:val="1"/>
          <w:bCs w:val="1"/>
          <w:color w:val="auto"/>
        </w:rPr>
        <w:t>Level 3:</w:t>
      </w:r>
      <w:r>
        <w:rPr>
          <w:sz w:val="20"/>
          <w:szCs w:val="20"/>
          <w:color w:val="auto"/>
        </w:rPr>
        <w:tab/>
      </w:r>
      <w:r>
        <w:rPr>
          <w:rFonts w:ascii="Arial" w:cs="Arial" w:eastAsia="Arial" w:hAnsi="Arial"/>
          <w:sz w:val="15"/>
          <w:szCs w:val="15"/>
          <w:color w:val="auto"/>
        </w:rPr>
        <w:t>Pricing inputs include unobservable inputs that reflect the reporting entity’s own assumptions about the assumptions market participants would use in pricing the asset or liability, which are developed based on the best information available. The Company does not have any instruments meeting the criteria of Level 3 inputs.</w:t>
      </w:r>
    </w:p>
    <w:p>
      <w:pPr>
        <w:spacing w:after="0" w:line="95"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05"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The carrying amounts reflected in the consolidated balance sheets for cash, accounts payable and accrued expenses approximate their respective fair values because of the short-term maturity of those financial instruments. As of December 31, 2020 and 2019, the Company only holds Level 1 cash equivalents, which consist of money market funds of $36,842,373 and $13,375,975, respectively.</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Accounting Pronouncements</w:t>
      </w:r>
    </w:p>
    <w:p>
      <w:pPr>
        <w:spacing w:after="0" w:line="128"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8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In June 2016, the FASB issued ASU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97" w:lineRule="auto"/>
        <w:rPr>
          <w:sz w:val="20"/>
          <w:szCs w:val="20"/>
          <w:color w:val="auto"/>
        </w:rPr>
      </w:pPr>
      <w:r>
        <w:rPr>
          <w:rFonts w:ascii="Arial" w:cs="Arial" w:eastAsia="Arial" w:hAnsi="Arial"/>
          <w:sz w:val="13"/>
          <w:szCs w:val="13"/>
          <w:color w:val="auto"/>
        </w:rPr>
        <w:t>also requires the reversal of previously recognized credit losses if fair value increases. The targeted transition relief standard allows filers an option to irrevocably elect the fair value option of ASC 825-10, Financial Instruments-Overall, applied on an instrument-by-instrument basis for eligible instruments. ASU No. 2016-13, Financial Instruments — Credit Losses (Topic 326) will become effective for the Company on January 1, 2023. The Company is currently evaluating the impact of adopting this new accounting guidance.</w:t>
      </w:r>
    </w:p>
    <w:p>
      <w:pPr>
        <w:spacing w:after="0" w:line="7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Company is currently evaluating the impact of adopting this new accounting guidance.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3 — Property and Equipment</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Property and equipment consisted of the following at December 31, 2020 and 2019:</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4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174,317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139,700</w:t>
            </w:r>
          </w:p>
        </w:tc>
        <w:tc>
          <w:tcPr>
            <w:tcW w:w="60" w:type="dxa"/>
            <w:vAlign w:val="bottom"/>
          </w:tcPr>
          <w:p>
            <w:pPr>
              <w:spacing w:after="0"/>
              <w:rPr>
                <w:sz w:val="17"/>
                <w:szCs w:val="17"/>
                <w:color w:val="auto"/>
              </w:rPr>
            </w:pPr>
          </w:p>
        </w:tc>
      </w:tr>
      <w:tr>
        <w:trPr>
          <w:trHeight w:val="214"/>
        </w:trPr>
        <w:tc>
          <w:tcPr>
            <w:tcW w:w="4700" w:type="dxa"/>
            <w:vAlign w:val="bottom"/>
            <w:gridSpan w:val="2"/>
          </w:tcPr>
          <w:p>
            <w:pPr>
              <w:spacing w:after="0"/>
              <w:rPr>
                <w:sz w:val="20"/>
                <w:szCs w:val="20"/>
                <w:color w:val="auto"/>
              </w:rPr>
            </w:pPr>
            <w:r>
              <w:rPr>
                <w:rFonts w:ascii="Arial" w:cs="Arial" w:eastAsia="Arial" w:hAnsi="Arial"/>
                <w:sz w:val="15"/>
                <w:szCs w:val="15"/>
                <w:color w:val="auto"/>
              </w:rPr>
              <w:t>Furniture and fixtures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18,798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5"/>
        </w:trPr>
        <w:tc>
          <w:tcPr>
            <w:tcW w:w="47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193,115</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139,700</w:t>
            </w:r>
          </w:p>
        </w:tc>
        <w:tc>
          <w:tcPr>
            <w:tcW w:w="60" w:type="dxa"/>
            <w:vAlign w:val="bottom"/>
          </w:tcPr>
          <w:p>
            <w:pPr>
              <w:spacing w:after="0"/>
              <w:rPr>
                <w:sz w:val="17"/>
                <w:szCs w:val="17"/>
                <w:color w:val="auto"/>
              </w:rPr>
            </w:pPr>
          </w:p>
        </w:tc>
      </w:tr>
      <w:tr>
        <w:trPr>
          <w:trHeight w:val="214"/>
        </w:trPr>
        <w:tc>
          <w:tcPr>
            <w:tcW w:w="4700" w:type="dxa"/>
            <w:vAlign w:val="bottom"/>
            <w:gridSpan w:val="2"/>
          </w:tcPr>
          <w:p>
            <w:pPr>
              <w:spacing w:after="0"/>
              <w:rPr>
                <w:sz w:val="20"/>
                <w:szCs w:val="20"/>
                <w:color w:val="auto"/>
              </w:rPr>
            </w:pPr>
            <w:r>
              <w:rPr>
                <w:rFonts w:ascii="Arial" w:cs="Arial" w:eastAsia="Arial" w:hAnsi="Arial"/>
                <w:sz w:val="15"/>
                <w:szCs w:val="15"/>
                <w:color w:val="auto"/>
              </w:rPr>
              <w:t>Accumulated depreciation</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(128,752)</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87"/>
              </w:rPr>
              <w:t>(104,424)</w:t>
            </w:r>
          </w:p>
        </w:tc>
      </w:tr>
      <w:tr>
        <w:trPr>
          <w:trHeight w:val="241"/>
        </w:trPr>
        <w:tc>
          <w:tcPr>
            <w:tcW w:w="47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Property and equipment, net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64,363</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35,276</w:t>
            </w:r>
          </w:p>
        </w:tc>
        <w:tc>
          <w:tcPr>
            <w:tcW w:w="60" w:type="dxa"/>
            <w:vAlign w:val="bottom"/>
          </w:tcPr>
          <w:p>
            <w:pPr>
              <w:spacing w:after="0"/>
              <w:rPr>
                <w:sz w:val="20"/>
                <w:szCs w:val="20"/>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48107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48107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-732155</wp:posOffset>
            </wp:positionV>
            <wp:extent cx="347408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spacing w:after="0" w:line="16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Depreciation expense totaled $24,328 and $18,079 for the years ended December 31, 2020 and 2019, respectively.</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4 — Accrued Expenses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expenses consisted of the following at December 31, 2020 and 2019:</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professional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$269,302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91,632</w:t>
            </w:r>
          </w:p>
        </w:tc>
      </w:tr>
      <w:tr>
        <w:trPr>
          <w:trHeight w:val="209"/>
        </w:trPr>
        <w:tc>
          <w:tcPr>
            <w:tcW w:w="4780" w:type="dxa"/>
            <w:vAlign w:val="bottom"/>
            <w:gridSpan w:val="2"/>
          </w:tcPr>
          <w:p>
            <w:pPr>
              <w:spacing w:after="0"/>
              <w:rPr>
                <w:sz w:val="20"/>
                <w:szCs w:val="20"/>
                <w:color w:val="auto"/>
              </w:rPr>
            </w:pPr>
            <w:r>
              <w:rPr>
                <w:rFonts w:ascii="Arial" w:cs="Arial" w:eastAsia="Arial" w:hAnsi="Arial"/>
                <w:sz w:val="15"/>
                <w:szCs w:val="15"/>
                <w:color w:val="auto"/>
              </w:rPr>
              <w:t>Accrued employee expenses</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163,668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118,716</w:t>
            </w:r>
          </w:p>
        </w:tc>
      </w:tr>
      <w:tr>
        <w:trPr>
          <w:trHeight w:val="21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Accrued contract research expenses</w:t>
            </w: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266,022</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1"/>
        </w:trPr>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$698,992</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210,348</w:t>
            </w: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-585470</wp:posOffset>
            </wp:positionV>
            <wp:extent cx="350202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5 — Convertible Notes Payable</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During the years ended December 31, 2018 and 2019, the Company entered into convertible promissory note agreements (“Convertible Notes”) for an aggregate amount of $1,450,000 and $3,825,000, respectively. The Convertible Notes accrued interest at 6% per annum and became payable upon demand any time on or after September 30, 2019. All repayments must first have been applied to accrued interest and then to the outstanding principal balance, and required prior written consent from the noteholders for advanced repayment.</w:t>
      </w:r>
    </w:p>
    <w:p>
      <w:pPr>
        <w:spacing w:after="0" w:line="106"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The Convertible Notes contained multiple conversion features including qualified financing, non-qualified financing, liquidation event and voluntary conversion. All of the Convertible Notes contained a provision whereby the notes were automatically convertible upon a qualified financing with gross proceeds in excess of $4,000,000 at a conversion rate of 80% of the per share price paid by investors in the financing.</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5 — Convertible Notes Payable (Continued)</w:t>
      </w:r>
    </w:p>
    <w:p>
      <w:pPr>
        <w:spacing w:after="0" w:line="183"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Upon the occurrence of a non-qualified financing, all of the Convertible Notes were convertible at the option of the holders, at a conversion rate of 80% of the per share price paid by investors in the financing. Upon the occurrence of a liquidation event, the Convertible Notes would be settled with a cash repayment equal to two times the principal balance. Lastly, at any time on or after the second anniversary of the demand date, the Convertible Notes were eligible for voluntary conversion into common stock at a conversion rate of 80% of the per share fair market value.</w:t>
      </w:r>
    </w:p>
    <w:p>
      <w:pPr>
        <w:spacing w:after="0" w:line="101"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The Company evaluated all the settlement features included within the convertible note agreements, noting that none of the features was considered to be predominant. The Company also evaluated all features under ASC Topic 815, Derivatives and Hedging (“ASC 815”), and determined all features met the definition of a derivative and required bifurcation. The derivative was recorded at fair value based on the occurrence of a triggering event taking place during the term of the notes.</w:t>
      </w:r>
    </w:p>
    <w:p>
      <w:pPr>
        <w:spacing w:after="0" w:line="8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For the year ended December 31, 2019 non-cash interest expense was $351,302 and issuance costs totaled $56,242.</w:t>
      </w:r>
    </w:p>
    <w:p>
      <w:pPr>
        <w:spacing w:after="0" w:line="94"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In conjunction with the issuance of Series A Preferred in September 2019 (Note 6) the Convertible Notes with embedded derivatives and accrued interest totaling $5,375,167 were converted at a price of 80% of the Series A Preferred per share price, or $6.84 for total conversion value of $6,718,886. In connection with the conversion of the Convertible Notes and related interest, the Company also recorded extinguishment costs of $53,201 related to the unamortized issuance costs and a final fair value adjustment to the related derivative liability by recording a gain of $21,280. Upon extinguishment of the Convertible Notes, accrued interest and derivative liability, the Company recorded a loss of $1,124,792.</w:t>
      </w:r>
    </w:p>
    <w:p>
      <w:pPr>
        <w:spacing w:after="0" w:line="9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As of December 31, 2020 and 2019, there was no outstanding balance for Convertible Notes nor related derivatives since the Convertible Notes were converted prior to December 31, 2019.</w:t>
      </w:r>
    </w:p>
    <w:p>
      <w:pPr>
        <w:spacing w:after="0" w:line="83"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following table shows changes to the carrying values of the Convertible Notes and associated embedded derivatives for the year ended December 31, 2019:</w:t>
      </w:r>
    </w:p>
    <w:p>
      <w:pPr>
        <w:spacing w:after="0" w:line="11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4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2"/>
                <w:szCs w:val="12"/>
                <w:b w:val="1"/>
                <w:bCs w:val="1"/>
                <w:color w:val="auto"/>
              </w:rPr>
              <w:t>Convertible</w:t>
            </w: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Embedded</w:t>
            </w:r>
          </w:p>
        </w:tc>
      </w:tr>
      <w:tr>
        <w:trPr>
          <w:trHeight w:val="150"/>
        </w:trPr>
        <w:tc>
          <w:tcPr>
            <w:tcW w:w="44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Notes Payable</w:t>
            </w:r>
          </w:p>
        </w:tc>
        <w:tc>
          <w:tcPr>
            <w:tcW w:w="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Derivatives</w:t>
            </w: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4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December 31, 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1,098,867</w:t>
            </w: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378,351</w:t>
            </w:r>
          </w:p>
        </w:tc>
        <w:tc>
          <w:tcPr>
            <w:tcW w:w="60" w:type="dxa"/>
            <w:vAlign w:val="bottom"/>
          </w:tcPr>
          <w:p>
            <w:pPr>
              <w:spacing w:after="0"/>
              <w:rPr>
                <w:sz w:val="17"/>
                <w:szCs w:val="17"/>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5"/>
                <w:szCs w:val="15"/>
                <w:color w:val="auto"/>
              </w:rPr>
              <w:t>Issuance of additional convertible notes payable</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2"/>
              </w:rPr>
              <w:t>2,838,279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986,721</w:t>
            </w:r>
          </w:p>
        </w:tc>
        <w:tc>
          <w:tcPr>
            <w:tcW w:w="60" w:type="dxa"/>
            <w:vAlign w:val="bottom"/>
          </w:tcPr>
          <w:p>
            <w:pPr>
              <w:spacing w:after="0"/>
              <w:rPr>
                <w:sz w:val="18"/>
                <w:szCs w:val="18"/>
                <w:color w:val="auto"/>
              </w:rPr>
            </w:pPr>
          </w:p>
        </w:tc>
      </w:tr>
      <w:tr>
        <w:trPr>
          <w:trHeight w:val="209"/>
        </w:trPr>
        <w:tc>
          <w:tcPr>
            <w:tcW w:w="4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Accretion of debt discount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345,077</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5"/>
                <w:szCs w:val="15"/>
                <w:color w:val="auto"/>
              </w:rPr>
              <w:t>Change in fair value</w:t>
            </w:r>
          </w:p>
        </w:tc>
        <w:tc>
          <w:tcPr>
            <w:tcW w:w="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(21,280)</w:t>
            </w:r>
          </w:p>
        </w:tc>
      </w:tr>
      <w:tr>
        <w:trPr>
          <w:trHeight w:val="214"/>
        </w:trPr>
        <w:tc>
          <w:tcPr>
            <w:tcW w:w="4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Extinguishment</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8"/>
              </w:rPr>
              <w:t>(4,282,223)</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0"/>
              </w:rPr>
              <w:t>(1,343,792)</w:t>
            </w:r>
          </w:p>
        </w:tc>
        <w:tc>
          <w:tcPr>
            <w:tcW w:w="60" w:type="dxa"/>
            <w:vAlign w:val="bottom"/>
          </w:tcPr>
          <w:p>
            <w:pPr>
              <w:spacing w:after="0"/>
              <w:rPr>
                <w:sz w:val="18"/>
                <w:szCs w:val="18"/>
                <w:color w:val="auto"/>
              </w:rPr>
            </w:pP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5"/>
                <w:szCs w:val="15"/>
                <w:color w:val="auto"/>
              </w:rPr>
              <w:t>Balance at December 31, 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4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-850265</wp:posOffset>
            </wp:positionV>
            <wp:extent cx="340423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6 — Convertible Preferred Stock</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Series A Preferred Stock</w:t>
      </w:r>
    </w:p>
    <w:p>
      <w:pPr>
        <w:spacing w:after="0" w:line="128"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In September 2019, the Company authorized the sale and issuance of up to 1,987,979 shares of Series A Preferred Stock, $0.001 par value per share, at an original issuance price of $8.5514 per share. In January 2020, the number of shares authorized for the Series A Preferred Stock was increased to 2,495,933 shares. The Series A Preferred Stock financing was structured to be issued in rolling closes during 2019 and 2020.</w:t>
      </w:r>
    </w:p>
    <w:p>
      <w:pPr>
        <w:spacing w:after="0" w:line="89"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On September 20, 2019, the Company issued an additional 1,122,458 shares of Series A Preferred Stock for gross cash proceeds of $9,598,847 and issued 785,706 shares of Series A Preferred Stock in conjunction with the conversion of the outstanding amount of the Convertible Notes (Note 5). In 2019, the Company incurred issuance costs of $200,587 in connection with this offering.</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6 — Convertible Preferred Stock (Continued)</w:t>
      </w:r>
    </w:p>
    <w:p>
      <w:pPr>
        <w:spacing w:after="0" w:line="183"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The Company received funds for issuance of an additional 468,315 shares of Series A Preferred Stock for gross cash proceeds of $4,004,975 through December 31, 2019. Of these shares, 410,436 shares of Series A Preferred Stock for gross cash proceeds of $3,509,802 exceeded the authorized amount allowed by the articles of incorporation, resulting in a liability of $3,509,802 and a total of 1,966,043 shares of Series A Preferred Stock outstanding at December 31, 2019. In January 2020, the shares that were previously classified as a liability as of December 31, 2019 were reclassified to temporary equity upon the approved increase to authorized shares of Series A Preferred Stock.</w:t>
      </w:r>
    </w:p>
    <w:p>
      <w:pPr>
        <w:spacing w:after="0" w:line="102"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In January 2020, the Company issued 119,454 additional shares of Series A Preferred Stock for gross cash proceeds of $1,021,413. The Company incurred issuance costs of $23,610 in connection with the financing in January 2020.</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Series B Preferred Stock</w:t>
      </w:r>
    </w:p>
    <w:p>
      <w:pPr>
        <w:spacing w:after="0" w:line="117"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In December 2020, the Company authorized the sale and issuance of up to 6,032,183 shares of Series B Preferred Stock, $0.001 par value per share, at an original issuance price of $10.2782 per share. The Series B Preferred Stock financing was structured to close in two tranches. The first tranche closed in December 2020 and the Company issued 3,619,292 shares of Series B Preferred Stock for gross cash proceeds of $37,199,929. The Company incurred issuance costs of $216,019 in connection with the financing in December 2020.</w:t>
      </w:r>
    </w:p>
    <w:p>
      <w:pPr>
        <w:spacing w:after="0" w:line="101"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The Company determined the right of the investors to purchase 2,412,853 shares of Series B Preferred Stock in the second tranche does not meet the definition of a freestanding financial instrument as it is not separable from the Series B Preferred Stock issued in the first tranche. The issuance of the second tranche is subject to the Company meeting certain development milestones or at the election of the holders of at least a majority of the then outstanding shares of Series B Preferred Stock which must include one specific shareholder (the “Requisite Holders”). Each holder of Series B Preferred Stock may elect to purchase their requisite shares of the second tranche at any time. As of December 31, 2020, the Company has not met these development milestones nor did the Requisite Holders elect to purchase the second tranche prior to meeting these milestones and therefore no shares of the second tranche were issued.</w:t>
      </w:r>
    </w:p>
    <w:p>
      <w:pPr>
        <w:spacing w:after="0" w:line="95"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In April and May 2021, all 2,412,853 shares of the second tranche of Series B Preferred Stock were issued based on the voluntary election of substantially all of the holders of Series B Preferred Stock. The Company received gross proceeds of $24,799,786.</w:t>
      </w:r>
    </w:p>
    <w:p>
      <w:pPr>
        <w:spacing w:after="0" w:line="8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As of December 31, 2020, the rights and preferences of the Series A Preferred Stock and Series B Preferred Stock (“Preferred Stock”) are as follows:</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Conversion</w:t>
      </w:r>
    </w:p>
    <w:p>
      <w:pPr>
        <w:spacing w:after="0" w:line="124"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Each share of Preferred Stock may be converted at any time, at the option of the holder, into shares of Class A common stock, subject to the applicable conversion rate as determined by dividing the original issue price by the conversion price. The conversion price for the Series A Preferred Stock and Series B Preferred Stock (as may be adjusted for certain customary dilutive events) is $8.5514 and $ 10.2782, respectively. The Preferred Stock automatically convert into shares of Class A common stock at the then effective conversion rate upon the closing of a public offering of the Company’s securities with gross proceeds to the Company of at least $75,000,000 and a share price of at least $10.2782 or at the election of the holders of the Requisite Holders.</w:t>
      </w:r>
    </w:p>
    <w:p>
      <w:pPr>
        <w:spacing w:after="0" w:line="8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Holders of Series B Preferred Stock that would beneficially own at least 9.9% of any then outstanding class of equity securities may elect to receive a portion of their converted Series B Preferred Stock as Class B common stock upon conversion.</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Dividends</w:t>
      </w:r>
    </w:p>
    <w:p>
      <w:pPr>
        <w:spacing w:after="0" w:line="124"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Preferred Stockholders are entitled to receive per annum dividends of 7% of the original issue price share, payable only when, as and if declared by the Board of Directors. The right to receive these dividends is not</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6 — Convertible Preferred Stock (Continued)</w:t>
      </w:r>
    </w:p>
    <w:p>
      <w:pPr>
        <w:spacing w:after="0" w:line="183"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cumulative, and therefore, if not declared in any year, the right to receive such dividends shall terminate and not carry forward into the next year. As of December 31, 2020 and 2019, no dividends had been declared.</w:t>
      </w:r>
    </w:p>
    <w:p>
      <w:pPr>
        <w:spacing w:after="0" w:line="71"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Voting Rights</w:t>
      </w:r>
    </w:p>
    <w:p>
      <w:pPr>
        <w:spacing w:after="0" w:line="113"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Preferred Stock and common stock vote together as one class on an as converted basis. Common stock voting rights on certain matters are subject to the powers, preferences, and rights of the Preferred Stock. Preferred Stockholders are entitled to vote on all matters and shall have the number of votes equal to the number of shares of common stock into which the shares of Preferred Stock held by such holder are then convertible. As long as 2,132,029 shares of Preferred Stock are outstanding, certain actions such as mergers, acquisition, liquidation, dissolution, wind up of business, and deemed liquidation events, must be approved by the holders of at least a majority of the then-outstanding shares of Preferred Stock.</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Liquidation Preference</w:t>
      </w:r>
    </w:p>
    <w:p>
      <w:pPr>
        <w:spacing w:after="0" w:line="124"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Upon liquidation, dissolution, or winding up of business, holders of Preferred Stock are entitled to receive a liquidation preference in priority to holders of common stock at the original respective Preferred Stock issue price for such series. If assets available for distribution are insufficient to satisfy the liquidation payment to holders of Preferred Stock in full, assets available for distribution will be allocated among holders Preferred Stock on a pari passu basis at an amount per share equal to the greater of the respective original Preferred Stock issue price for such series plus any declared but unpaid dividends or such amount had all shares been converted to common stock.</w:t>
      </w:r>
    </w:p>
    <w:p>
      <w:pPr>
        <w:spacing w:after="0" w:line="91"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When holders of Preferred Stock are satisfied in full, any excess assets available for distribution will be allocated ratably among common stock holders based on their pro rata shareholdings. Upon a deemed liquidation event, as defined in the articles of incorporation, holders have the option to redeem their shares at the liquidation payment amounts summarized above.</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Redemption</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 than described above, the shares of Preferred Stock are not redeemable.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7 — Common Stock</w:t>
      </w:r>
    </w:p>
    <w:p>
      <w:pPr>
        <w:spacing w:after="0" w:line="117"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As of December 31, 2020, the Company has 15,733,000 authorized shares of Class A common stock, $ 0.001 par value per share, of which 3,535,811 are issued and outstanding. The holders of Class A common stock are entitled one vote for each share of common stock. Dividends may be paid when, and if declared by the Board of Directors, subject to the limitations, powers and preferences granted to the Series Preferred stockholders and on a proportionate basis with holders of Class B common stock.</w:t>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As of December 31, 2020, the following number of shares of Class A common stock have been reserved:</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2,495,933</w:t>
            </w:r>
          </w:p>
        </w:tc>
      </w:tr>
      <w:tr>
        <w:trPr>
          <w:trHeight w:val="209"/>
        </w:trPr>
        <w:tc>
          <w:tcPr>
            <w:tcW w:w="550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3,619,292</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stock 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220,220</w:t>
            </w:r>
          </w:p>
        </w:tc>
      </w:tr>
      <w:tr>
        <w:trPr>
          <w:trHeight w:val="214"/>
        </w:trPr>
        <w:tc>
          <w:tcPr>
            <w:tcW w:w="55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Exercise of common stock options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3"/>
              </w:rPr>
              <w:t>1,286,618</w:t>
            </w:r>
          </w:p>
        </w:tc>
      </w:tr>
      <w:tr>
        <w:trPr>
          <w:trHeight w:val="241"/>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7,622,063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48805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156"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As of December 31, 2020, the Company has 6,032,183 authorized shares of Class B common stock, $0.001 par value per share,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7 — Common Stock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 Warrants</w:t>
      </w:r>
    </w:p>
    <w:p>
      <w:pPr>
        <w:spacing w:after="0" w:line="128"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color w:val="auto"/>
        </w:rPr>
        <w:t>During 2019, the Company issued warrants to purchase an aggregate of 220,220 shares of common stock at an exercise price of $4.21 per share to several advisors, including 143,560 shares to entities related to members of the Board of Directors of the Company, in lieu of cash payments. These warrants vested immediately upon issuance, become exercisable on January 9, 2021 and have a 10 year term set to expire on January 9, 2030. The fair value of these warrants, totaling $739,034, was recorded in the consolidated statements of operations as general and administrative expense during the year ended December 31, 2019. The Company evaluated the terms of these warrants and determined that equity classification was appropriate. As of December 31, 2020, no warrants have been exercised.</w:t>
      </w:r>
    </w:p>
    <w:p>
      <w:pPr>
        <w:spacing w:after="0" w:line="8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fair value of these warrants was estimated using a Black-Scholes model with the following assumptions: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2620" w:type="dxa"/>
            <w:vAlign w:val="bottom"/>
            <w:gridSpan w:val="2"/>
          </w:tcPr>
          <w:p>
            <w:pPr>
              <w:jc w:val="center"/>
              <w:ind w:left="1930"/>
              <w:spacing w:after="0"/>
              <w:rPr>
                <w:sz w:val="20"/>
                <w:szCs w:val="20"/>
                <w:color w:val="auto"/>
              </w:rPr>
            </w:pPr>
            <w:r>
              <w:rPr>
                <w:rFonts w:ascii="Arial" w:cs="Arial" w:eastAsia="Arial" w:hAnsi="Arial"/>
                <w:sz w:val="12"/>
                <w:szCs w:val="12"/>
                <w:b w:val="1"/>
                <w:bCs w:val="1"/>
                <w:color w:val="auto"/>
                <w:w w:val="82"/>
              </w:rPr>
              <w:t>2019</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620" w:type="dxa"/>
            <w:vAlign w:val="bottom"/>
            <w:gridSpan w:val="2"/>
            <w:shd w:val="clear" w:color="auto" w:fill="CCEEFF"/>
          </w:tcPr>
          <w:p>
            <w:pPr>
              <w:jc w:val="center"/>
              <w:ind w:left="1910"/>
              <w:spacing w:after="0"/>
              <w:rPr>
                <w:sz w:val="20"/>
                <w:szCs w:val="20"/>
                <w:color w:val="auto"/>
              </w:rPr>
            </w:pPr>
            <w:r>
              <w:rPr>
                <w:rFonts w:ascii="Arial" w:cs="Arial" w:eastAsia="Arial" w:hAnsi="Arial"/>
                <w:sz w:val="15"/>
                <w:szCs w:val="15"/>
                <w:color w:val="auto"/>
                <w:w w:val="93"/>
              </w:rPr>
              <w:t>1.89%</w:t>
            </w: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620" w:type="dxa"/>
            <w:vAlign w:val="bottom"/>
            <w:gridSpan w:val="2"/>
          </w:tcPr>
          <w:p>
            <w:pPr>
              <w:jc w:val="center"/>
              <w:ind w:left="1910"/>
              <w:spacing w:after="0"/>
              <w:rPr>
                <w:sz w:val="20"/>
                <w:szCs w:val="20"/>
                <w:color w:val="auto"/>
              </w:rPr>
            </w:pPr>
            <w:r>
              <w:rPr>
                <w:rFonts w:ascii="Arial" w:cs="Arial" w:eastAsia="Arial" w:hAnsi="Arial"/>
                <w:sz w:val="15"/>
                <w:szCs w:val="15"/>
                <w:color w:val="auto"/>
                <w:w w:val="92"/>
              </w:rPr>
              <w:t>0%</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Volatility</w:t>
            </w:r>
          </w:p>
        </w:tc>
        <w:tc>
          <w:tcPr>
            <w:tcW w:w="2620" w:type="dxa"/>
            <w:vAlign w:val="bottom"/>
            <w:gridSpan w:val="2"/>
            <w:shd w:val="clear" w:color="auto" w:fill="CCEEFF"/>
          </w:tcPr>
          <w:p>
            <w:pPr>
              <w:jc w:val="center"/>
              <w:ind w:left="1930"/>
              <w:spacing w:after="0"/>
              <w:rPr>
                <w:sz w:val="20"/>
                <w:szCs w:val="20"/>
                <w:color w:val="auto"/>
              </w:rPr>
            </w:pPr>
            <w:r>
              <w:rPr>
                <w:rFonts w:ascii="Arial" w:cs="Arial" w:eastAsia="Arial" w:hAnsi="Arial"/>
                <w:sz w:val="15"/>
                <w:szCs w:val="15"/>
                <w:color w:val="auto"/>
                <w:w w:val="90"/>
              </w:rPr>
              <w:t>77.03%</w:t>
            </w:r>
          </w:p>
        </w:tc>
      </w:tr>
      <w:tr>
        <w:trPr>
          <w:trHeight w:val="220"/>
        </w:trPr>
        <w:tc>
          <w:tcPr>
            <w:tcW w:w="3460" w:type="dxa"/>
            <w:vAlign w:val="bottom"/>
          </w:tcPr>
          <w:p>
            <w:pPr>
              <w:spacing w:after="0"/>
              <w:rPr>
                <w:sz w:val="20"/>
                <w:szCs w:val="20"/>
                <w:color w:val="auto"/>
              </w:rPr>
            </w:pPr>
            <w:r>
              <w:rPr>
                <w:rFonts w:ascii="Arial" w:cs="Arial" w:eastAsia="Arial" w:hAnsi="Arial"/>
                <w:sz w:val="15"/>
                <w:szCs w:val="15"/>
                <w:color w:val="auto"/>
              </w:rPr>
              <w:t>Expected term</w:t>
            </w:r>
          </w:p>
        </w:tc>
        <w:tc>
          <w:tcPr>
            <w:tcW w:w="2620" w:type="dxa"/>
            <w:vAlign w:val="bottom"/>
            <w:gridSpan w:val="2"/>
          </w:tcPr>
          <w:p>
            <w:pPr>
              <w:ind w:left="1980"/>
              <w:spacing w:after="0"/>
              <w:rPr>
                <w:sz w:val="20"/>
                <w:szCs w:val="20"/>
                <w:color w:val="auto"/>
              </w:rPr>
            </w:pPr>
            <w:r>
              <w:rPr>
                <w:rFonts w:ascii="Arial" w:cs="Arial" w:eastAsia="Arial" w:hAnsi="Arial"/>
                <w:sz w:val="15"/>
                <w:szCs w:val="15"/>
                <w:color w:val="auto"/>
                <w:w w:val="88"/>
              </w:rPr>
              <w:t>10.0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-543560</wp:posOffset>
            </wp:positionV>
            <wp:extent cx="346011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60115"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8 — Net Loss Per Share Attributable to Common Stockholders</w:t>
      </w:r>
    </w:p>
    <w:p>
      <w:pPr>
        <w:spacing w:after="0" w:line="117"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93"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The Company’s participating securities include the Company’s Preferred Stock, as the holders are entitled to receive noncumulative dividends in the event that a dividend is paid on common stock. The holders of Preferred Stock do not have a contractual obligation to share in losses of the Company, and therefore during periods of loss there is no allocation required under the two-class method.</w:t>
      </w:r>
    </w:p>
    <w:p>
      <w:pPr>
        <w:spacing w:after="0" w:line="8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9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8 — Net Loss Per Share Attributable to Common Stockholders (Continued)</w:t>
      </w:r>
    </w:p>
    <w:p>
      <w:pPr>
        <w:spacing w:after="0" w:line="18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Basic and diluted net loss per share attributable to common stockholders was calculated at December 31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4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Numerator:</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4400" w:type="dxa"/>
            <w:vAlign w:val="bottom"/>
            <w:gridSpan w:val="2"/>
          </w:tcPr>
          <w:p>
            <w:pPr>
              <w:ind w:left="140"/>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86"/>
              </w:rPr>
              <w:t>(17,039,898)</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w w:val="88"/>
              </w:rPr>
              <w:t>(7,709,448)</w:t>
            </w:r>
          </w:p>
        </w:tc>
      </w:tr>
      <w:tr>
        <w:trPr>
          <w:trHeight w:val="209"/>
        </w:trPr>
        <w:tc>
          <w:tcPr>
            <w:tcW w:w="4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Denominator – basic and diluted: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4400" w:type="dxa"/>
            <w:vAlign w:val="bottom"/>
            <w:gridSpan w:val="2"/>
          </w:tcPr>
          <w:p>
            <w:pPr>
              <w:ind w:left="140"/>
              <w:spacing w:after="0"/>
              <w:rPr>
                <w:sz w:val="20"/>
                <w:szCs w:val="20"/>
                <w:color w:val="auto"/>
              </w:rPr>
            </w:pPr>
            <w:r>
              <w:rPr>
                <w:rFonts w:ascii="Arial" w:cs="Arial" w:eastAsia="Arial" w:hAnsi="Arial"/>
                <w:sz w:val="15"/>
                <w:szCs w:val="15"/>
                <w:color w:val="auto"/>
              </w:rPr>
              <w:t>Weighted-average common shares outstanding, basic and</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4400" w:type="dxa"/>
            <w:vAlign w:val="bottom"/>
            <w:gridSpan w:val="2"/>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3,535,811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2"/>
              </w:rPr>
              <w:t>3,535,811</w:t>
            </w:r>
          </w:p>
        </w:tc>
        <w:tc>
          <w:tcPr>
            <w:tcW w:w="60" w:type="dxa"/>
            <w:vAlign w:val="bottom"/>
          </w:tcPr>
          <w:p>
            <w:pPr>
              <w:spacing w:after="0"/>
              <w:rPr>
                <w:sz w:val="16"/>
                <w:szCs w:val="16"/>
                <w:color w:val="auto"/>
              </w:rPr>
            </w:pPr>
          </w:p>
        </w:tc>
      </w:tr>
      <w:tr>
        <w:trPr>
          <w:trHeight w:val="22"/>
        </w:trPr>
        <w:tc>
          <w:tcPr>
            <w:tcW w:w="4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60" w:type="dxa"/>
            <w:vAlign w:val="bottom"/>
          </w:tcPr>
          <w:p>
            <w:pPr>
              <w:spacing w:after="0"/>
              <w:rPr>
                <w:sz w:val="20"/>
                <w:szCs w:val="20"/>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41122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-829310</wp:posOffset>
            </wp:positionV>
            <wp:extent cx="340423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16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following table sets forth the potentially dilutive securities that have been excluded from the calculation of diluted net loss per share because to include them would be anti-dilutive (in common stock equivalent shares) at December 31:</w:t>
      </w:r>
    </w:p>
    <w:p>
      <w:pPr>
        <w:spacing w:after="0" w:line="105"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ind w:right="109"/>
              <w:spacing w:after="0"/>
              <w:rPr>
                <w:sz w:val="20"/>
                <w:szCs w:val="20"/>
                <w:color w:val="auto"/>
              </w:rPr>
            </w:pPr>
            <w:r>
              <w:rPr>
                <w:rFonts w:ascii="Arial" w:cs="Arial" w:eastAsia="Arial" w:hAnsi="Arial"/>
                <w:sz w:val="12"/>
                <w:szCs w:val="12"/>
                <w:b w:val="1"/>
                <w:bCs w:val="1"/>
                <w:color w:val="auto"/>
              </w:rPr>
              <w:t>2019</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4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A Preferred</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2,495,933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1,966,043</w:t>
            </w:r>
          </w:p>
        </w:tc>
      </w:tr>
      <w:tr>
        <w:trPr>
          <w:trHeight w:val="209"/>
        </w:trPr>
        <w:tc>
          <w:tcPr>
            <w:tcW w:w="4720" w:type="dxa"/>
            <w:vAlign w:val="bottom"/>
            <w:gridSpan w:val="2"/>
          </w:tcPr>
          <w:p>
            <w:pPr>
              <w:spacing w:after="0"/>
              <w:rPr>
                <w:sz w:val="20"/>
                <w:szCs w:val="20"/>
                <w:color w:val="auto"/>
              </w:rPr>
            </w:pPr>
            <w:r>
              <w:rPr>
                <w:rFonts w:ascii="Arial" w:cs="Arial" w:eastAsia="Arial" w:hAnsi="Arial"/>
                <w:sz w:val="15"/>
                <w:szCs w:val="15"/>
                <w:color w:val="auto"/>
              </w:rPr>
              <w:t>Series B Preferred</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3,619,292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Warrants to purchase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220,220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220,220</w:t>
            </w:r>
          </w:p>
        </w:tc>
      </w:tr>
      <w:tr>
        <w:trPr>
          <w:trHeight w:val="214"/>
        </w:trPr>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Options to purchase common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3"/>
              </w:rPr>
              <w:t>1,286,618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3"/>
              </w:rPr>
              <w:t>1,124,996</w:t>
            </w:r>
          </w:p>
        </w:tc>
      </w:tr>
      <w:tr>
        <w:trPr>
          <w:trHeight w:val="241"/>
        </w:trPr>
        <w:tc>
          <w:tcPr>
            <w:tcW w:w="4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 shares of common stock equivalents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7,622,063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3,311,259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48805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8805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-718185</wp:posOffset>
            </wp:positionV>
            <wp:extent cx="348107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81070" cy="6985"/>
                    </a:xfrm>
                    <a:prstGeom prst="rect">
                      <a:avLst/>
                    </a:prstGeom>
                    <a:noFill/>
                  </pic:spPr>
                </pic:pic>
              </a:graphicData>
            </a:graphic>
          </wp:anchor>
        </w:drawing>
      </w:r>
    </w:p>
    <w:p>
      <w:pPr>
        <w:spacing w:after="0" w:line="167"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Unaudited pro forma net loss per share attributable to common stockholders is computed using the weighted-average number of common shares outstanding after giving effect to the conversion of all the convertible preferred stock into shares of common stock as if such conversion had occurred at the beginning of the period presented or the date of original issuance, if later.</w:t>
      </w:r>
    </w:p>
    <w:p>
      <w:pPr>
        <w:spacing w:after="0" w:line="9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following table summarizes the Company’s unaudited pro forma net loss per share attributable to common stockholders for the year ending December 31, 2020:</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09"/>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Numerator:</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300" w:type="dxa"/>
            <w:vAlign w:val="bottom"/>
            <w:gridSpan w:val="2"/>
          </w:tcPr>
          <w:p>
            <w:pPr>
              <w:ind w:left="140"/>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86"/>
              </w:rPr>
              <w:t>(17,039,898)</w:t>
            </w:r>
          </w:p>
        </w:tc>
      </w:tr>
      <w:tr>
        <w:trPr>
          <w:trHeight w:val="209"/>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Denominator:</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00" w:type="dxa"/>
            <w:vAlign w:val="bottom"/>
            <w:gridSpan w:val="2"/>
          </w:tcPr>
          <w:p>
            <w:pPr>
              <w:ind w:left="140"/>
              <w:spacing w:after="0"/>
              <w:rPr>
                <w:sz w:val="20"/>
                <w:szCs w:val="20"/>
                <w:color w:val="auto"/>
              </w:rPr>
            </w:pPr>
            <w:r>
              <w:rPr>
                <w:rFonts w:ascii="Arial" w:cs="Arial" w:eastAsia="Arial" w:hAnsi="Arial"/>
                <w:sz w:val="15"/>
                <w:szCs w:val="15"/>
                <w:color w:val="auto"/>
              </w:rPr>
              <w:t>Weighted-average common shares outstanding, basic and diluted</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3,535,811</w:t>
            </w:r>
          </w:p>
        </w:tc>
        <w:tc>
          <w:tcPr>
            <w:tcW w:w="60" w:type="dxa"/>
            <w:vAlign w:val="bottom"/>
          </w:tcPr>
          <w:p>
            <w:pPr>
              <w:spacing w:after="0"/>
              <w:rPr>
                <w:sz w:val="18"/>
                <w:szCs w:val="18"/>
                <w:color w:val="auto"/>
              </w:rPr>
            </w:pPr>
          </w:p>
        </w:tc>
      </w:tr>
      <w:tr>
        <w:trPr>
          <w:trHeight w:val="214"/>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Assumed conversion Series A Preferred and Series B Preferred</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2,592,047</w:t>
            </w:r>
          </w:p>
        </w:tc>
        <w:tc>
          <w:tcPr>
            <w:tcW w:w="60" w:type="dxa"/>
            <w:vAlign w:val="bottom"/>
          </w:tcPr>
          <w:p>
            <w:pPr>
              <w:spacing w:after="0"/>
              <w:rPr>
                <w:sz w:val="18"/>
                <w:szCs w:val="18"/>
                <w:color w:val="auto"/>
              </w:rPr>
            </w:pPr>
          </w:p>
        </w:tc>
      </w:tr>
      <w:tr>
        <w:trPr>
          <w:trHeight w:val="211"/>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Denominator for pro forma basic and diluted loss</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6,127,858</w:t>
            </w:r>
          </w:p>
        </w:tc>
        <w:tc>
          <w:tcPr>
            <w:tcW w:w="60" w:type="dxa"/>
            <w:vAlign w:val="bottom"/>
          </w:tcPr>
          <w:p>
            <w:pPr>
              <w:spacing w:after="0"/>
              <w:rPr>
                <w:sz w:val="18"/>
                <w:szCs w:val="18"/>
                <w:color w:val="auto"/>
              </w:rPr>
            </w:pPr>
          </w:p>
        </w:tc>
      </w:tr>
      <w:tr>
        <w:trPr>
          <w:trHeight w:val="241"/>
        </w:trPr>
        <w:tc>
          <w:tcPr>
            <w:tcW w:w="5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Net loss per share – basic and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60" w:type="dxa"/>
            <w:vAlign w:val="bottom"/>
          </w:tcPr>
          <w:p>
            <w:pPr>
              <w:spacing w:after="0"/>
              <w:rPr>
                <w:sz w:val="20"/>
                <w:szCs w:val="20"/>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36296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629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-996950</wp:posOffset>
            </wp:positionV>
            <wp:extent cx="335597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55975"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9 — Stock-Based Compensation</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During 2015, the Company established the 2015 Stock Incentive Plan (“Incentive Plan”), under which incentive stock options, nonqualified stock options and common stock may be awarded to employees, directors or consultants of the Company. The options typically vest over a four-year period. At December 31, 2020, the maximum number of shares available for issuance under the Incentive Plan was 2,017,981 shares. At December 31, 2020, the number of shares available for future grants under the Incentive Plan was 730,363 shares. During the years ended December 31, 2020 and 2019, the Company recognized stock-based</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9 — Stock-Based Compensation (Continued)</w:t>
      </w:r>
    </w:p>
    <w:p>
      <w:pPr>
        <w:spacing w:after="0" w:line="183"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compensation expense of $1,086,769 and $596,631, respectively. At December 31, 2020, compensation expense remaining to be recognized for outstanding stock options was $1,655,822 and to be recognized over a weighted-average period of 2.0 years.</w:t>
      </w:r>
    </w:p>
    <w:p>
      <w:pPr>
        <w:spacing w:after="0" w:line="10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Company used the following assumptions in its application of the Black-Scholes option pricing model for grants in 2020 and 2019:</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760" w:type="dxa"/>
            <w:vAlign w:val="bottom"/>
          </w:tcPr>
          <w:p>
            <w:pPr>
              <w:spacing w:after="0"/>
              <w:rPr>
                <w:sz w:val="13"/>
                <w:szCs w:val="13"/>
                <w:color w:val="auto"/>
              </w:rPr>
            </w:pPr>
          </w:p>
        </w:tc>
        <w:tc>
          <w:tcPr>
            <w:tcW w:w="1080" w:type="dxa"/>
            <w:vAlign w:val="bottom"/>
            <w:gridSpan w:val="2"/>
          </w:tcPr>
          <w:p>
            <w:pPr>
              <w:jc w:val="right"/>
              <w:ind w:right="36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060" w:type="dxa"/>
            <w:vAlign w:val="bottom"/>
            <w:gridSpan w:val="2"/>
          </w:tcPr>
          <w:p>
            <w:pPr>
              <w:jc w:val="right"/>
              <w:ind w:right="347"/>
              <w:spacing w:after="0"/>
              <w:rPr>
                <w:sz w:val="20"/>
                <w:szCs w:val="20"/>
                <w:color w:val="auto"/>
              </w:rPr>
            </w:pPr>
            <w:r>
              <w:rPr>
                <w:rFonts w:ascii="Arial" w:cs="Arial" w:eastAsia="Arial" w:hAnsi="Arial"/>
                <w:sz w:val="12"/>
                <w:szCs w:val="12"/>
                <w:b w:val="1"/>
                <w:bCs w:val="1"/>
                <w:color w:val="auto"/>
              </w:rPr>
              <w:t>2019</w:t>
            </w:r>
          </w:p>
        </w:tc>
      </w:tr>
      <w:tr>
        <w:trPr>
          <w:trHeight w:val="21"/>
        </w:trPr>
        <w:tc>
          <w:tcPr>
            <w:tcW w:w="3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- 1.45%</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- 2.20%</w:t>
            </w:r>
          </w:p>
        </w:tc>
      </w:tr>
      <w:tr>
        <w:trPr>
          <w:trHeight w:val="209"/>
        </w:trPr>
        <w:tc>
          <w:tcPr>
            <w:tcW w:w="37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080" w:type="dxa"/>
            <w:vAlign w:val="bottom"/>
            <w:gridSpan w:val="2"/>
          </w:tcPr>
          <w:p>
            <w:pPr>
              <w:jc w:val="right"/>
              <w:ind w:right="367"/>
              <w:spacing w:after="0"/>
              <w:rPr>
                <w:sz w:val="20"/>
                <w:szCs w:val="20"/>
                <w:color w:val="auto"/>
              </w:rPr>
            </w:pPr>
            <w:r>
              <w:rPr>
                <w:rFonts w:ascii="Arial" w:cs="Arial" w:eastAsia="Arial" w:hAnsi="Arial"/>
                <w:sz w:val="15"/>
                <w:szCs w:val="15"/>
                <w:color w:val="auto"/>
              </w:rPr>
              <w:t>0%</w:t>
            </w:r>
          </w:p>
        </w:tc>
        <w:tc>
          <w:tcPr>
            <w:tcW w:w="180" w:type="dxa"/>
            <w:vAlign w:val="bottom"/>
          </w:tcPr>
          <w:p>
            <w:pPr>
              <w:spacing w:after="0"/>
              <w:rPr>
                <w:sz w:val="18"/>
                <w:szCs w:val="18"/>
                <w:color w:val="auto"/>
              </w:rPr>
            </w:pPr>
          </w:p>
        </w:tc>
        <w:tc>
          <w:tcPr>
            <w:tcW w:w="1060" w:type="dxa"/>
            <w:vAlign w:val="bottom"/>
            <w:gridSpan w:val="2"/>
          </w:tcPr>
          <w:p>
            <w:pPr>
              <w:jc w:val="right"/>
              <w:ind w:right="367"/>
              <w:spacing w:after="0"/>
              <w:rPr>
                <w:sz w:val="20"/>
                <w:szCs w:val="20"/>
                <w:color w:val="auto"/>
              </w:rPr>
            </w:pPr>
            <w:r>
              <w:rPr>
                <w:rFonts w:ascii="Arial" w:cs="Arial" w:eastAsia="Arial" w:hAnsi="Arial"/>
                <w:sz w:val="15"/>
                <w:szCs w:val="15"/>
                <w:color w:val="auto"/>
              </w:rPr>
              <w:t>0%</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Volatility</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67.30%</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- 80.85%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66.99%</w:t>
            </w:r>
          </w:p>
        </w:tc>
        <w:tc>
          <w:tcPr>
            <w:tcW w:w="58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- 70.44%</w:t>
            </w:r>
          </w:p>
        </w:tc>
      </w:tr>
      <w:tr>
        <w:trPr>
          <w:trHeight w:val="220"/>
        </w:trPr>
        <w:tc>
          <w:tcPr>
            <w:tcW w:w="3760" w:type="dxa"/>
            <w:vAlign w:val="bottom"/>
          </w:tcPr>
          <w:p>
            <w:pPr>
              <w:spacing w:after="0"/>
              <w:rPr>
                <w:sz w:val="20"/>
                <w:szCs w:val="20"/>
                <w:color w:val="auto"/>
              </w:rPr>
            </w:pPr>
            <w:r>
              <w:rPr>
                <w:rFonts w:ascii="Arial" w:cs="Arial" w:eastAsia="Arial" w:hAnsi="Arial"/>
                <w:sz w:val="15"/>
                <w:szCs w:val="15"/>
                <w:color w:val="auto"/>
              </w:rPr>
              <w:t>Expected term</w:t>
            </w:r>
          </w:p>
        </w:tc>
        <w:tc>
          <w:tcPr>
            <w:tcW w:w="1260" w:type="dxa"/>
            <w:vAlign w:val="bottom"/>
            <w:gridSpan w:val="3"/>
          </w:tcPr>
          <w:p>
            <w:pPr>
              <w:ind w:left="80"/>
              <w:spacing w:after="0"/>
              <w:rPr>
                <w:sz w:val="20"/>
                <w:szCs w:val="20"/>
                <w:color w:val="auto"/>
              </w:rPr>
            </w:pPr>
            <w:r>
              <w:rPr>
                <w:rFonts w:ascii="Arial" w:cs="Arial" w:eastAsia="Arial" w:hAnsi="Arial"/>
                <w:sz w:val="15"/>
                <w:szCs w:val="15"/>
                <w:color w:val="auto"/>
              </w:rPr>
              <w:t>5.92 - 10 years</w:t>
            </w:r>
          </w:p>
        </w:tc>
        <w:tc>
          <w:tcPr>
            <w:tcW w:w="1060" w:type="dxa"/>
            <w:vAlign w:val="bottom"/>
            <w:gridSpan w:val="2"/>
          </w:tcPr>
          <w:p>
            <w:pPr>
              <w:ind w:left="200"/>
              <w:spacing w:after="0"/>
              <w:rPr>
                <w:sz w:val="20"/>
                <w:szCs w:val="20"/>
                <w:color w:val="auto"/>
              </w:rPr>
            </w:pPr>
            <w:r>
              <w:rPr>
                <w:rFonts w:ascii="Arial" w:cs="Arial" w:eastAsia="Arial" w:hAnsi="Arial"/>
                <w:sz w:val="15"/>
                <w:szCs w:val="15"/>
                <w:color w:val="auto"/>
              </w:rPr>
              <w:t>6.08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-543560</wp:posOffset>
            </wp:positionV>
            <wp:extent cx="318135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181350" cy="6985"/>
                    </a:xfrm>
                    <a:prstGeom prst="rect">
                      <a:avLst/>
                    </a:prstGeom>
                    <a:noFill/>
                  </pic:spPr>
                </pic:pic>
              </a:graphicData>
            </a:graphic>
          </wp:anchor>
        </w:drawing>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following table summarizes the stock option activity under the Plan:</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Weighted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2"/>
        </w:trPr>
        <w:tc>
          <w:tcPr>
            <w:tcW w:w="3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Weighted</w:t>
            </w: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Average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2"/>
        </w:trPr>
        <w:tc>
          <w:tcPr>
            <w:tcW w:w="3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Average</w:t>
            </w:r>
          </w:p>
        </w:tc>
        <w:tc>
          <w:tcPr>
            <w:tcW w:w="78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Remaining</w:t>
            </w:r>
          </w:p>
        </w:tc>
        <w:tc>
          <w:tcPr>
            <w:tcW w:w="68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84"/>
              </w:rPr>
              <w:t>Aggregate</w:t>
            </w:r>
          </w:p>
        </w:tc>
      </w:tr>
      <w:tr>
        <w:trPr>
          <w:trHeight w:val="132"/>
        </w:trPr>
        <w:tc>
          <w:tcPr>
            <w:tcW w:w="3780" w:type="dxa"/>
            <w:vAlign w:val="bottom"/>
          </w:tcPr>
          <w:p>
            <w:pPr>
              <w:spacing w:after="0"/>
              <w:rPr>
                <w:sz w:val="11"/>
                <w:szCs w:val="11"/>
                <w:color w:val="auto"/>
              </w:rPr>
            </w:pPr>
          </w:p>
        </w:tc>
        <w:tc>
          <w:tcPr>
            <w:tcW w:w="760" w:type="dxa"/>
            <w:vAlign w:val="bottom"/>
            <w:gridSpan w:val="2"/>
          </w:tcPr>
          <w:p>
            <w:pPr>
              <w:jc w:val="right"/>
              <w:ind w:right="220"/>
              <w:spacing w:after="0" w:line="132" w:lineRule="exact"/>
              <w:rPr>
                <w:sz w:val="20"/>
                <w:szCs w:val="20"/>
                <w:color w:val="auto"/>
              </w:rPr>
            </w:pPr>
            <w:r>
              <w:rPr>
                <w:rFonts w:ascii="Arial" w:cs="Arial" w:eastAsia="Arial" w:hAnsi="Arial"/>
                <w:sz w:val="12"/>
                <w:szCs w:val="12"/>
                <w:b w:val="1"/>
                <w:bCs w:val="1"/>
                <w:color w:val="auto"/>
                <w:w w:val="86"/>
              </w:rPr>
              <w:t>Number of</w:t>
            </w:r>
          </w:p>
        </w:tc>
        <w:tc>
          <w:tcPr>
            <w:tcW w:w="68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0"/>
              </w:rPr>
              <w:t>Exercise</w:t>
            </w:r>
          </w:p>
        </w:tc>
        <w:tc>
          <w:tcPr>
            <w:tcW w:w="78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Contractual</w:t>
            </w:r>
          </w:p>
        </w:tc>
        <w:tc>
          <w:tcPr>
            <w:tcW w:w="100" w:type="dxa"/>
            <w:vAlign w:val="bottom"/>
          </w:tcPr>
          <w:p>
            <w:pPr>
              <w:spacing w:after="0"/>
              <w:rPr>
                <w:sz w:val="11"/>
                <w:szCs w:val="11"/>
                <w:color w:val="auto"/>
              </w:rPr>
            </w:pPr>
          </w:p>
        </w:tc>
        <w:tc>
          <w:tcPr>
            <w:tcW w:w="580" w:type="dxa"/>
            <w:vAlign w:val="bottom"/>
          </w:tcPr>
          <w:p>
            <w:pPr>
              <w:jc w:val="center"/>
              <w:ind w:right="51"/>
              <w:spacing w:after="0" w:line="132" w:lineRule="exact"/>
              <w:rPr>
                <w:sz w:val="20"/>
                <w:szCs w:val="20"/>
                <w:color w:val="auto"/>
              </w:rPr>
            </w:pPr>
            <w:r>
              <w:rPr>
                <w:rFonts w:ascii="Arial" w:cs="Arial" w:eastAsia="Arial" w:hAnsi="Arial"/>
                <w:sz w:val="12"/>
                <w:szCs w:val="12"/>
                <w:b w:val="1"/>
                <w:bCs w:val="1"/>
                <w:color w:val="auto"/>
                <w:w w:val="89"/>
              </w:rPr>
              <w:t>Intrinsic</w:t>
            </w:r>
          </w:p>
        </w:tc>
      </w:tr>
      <w:tr>
        <w:trPr>
          <w:trHeight w:val="150"/>
        </w:trPr>
        <w:tc>
          <w:tcPr>
            <w:tcW w:w="37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Price</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Term</w:t>
            </w:r>
          </w:p>
        </w:tc>
        <w:tc>
          <w:tcPr>
            <w:tcW w:w="100" w:type="dxa"/>
            <w:vAlign w:val="bottom"/>
          </w:tcPr>
          <w:p>
            <w:pPr>
              <w:spacing w:after="0"/>
              <w:rPr>
                <w:sz w:val="13"/>
                <w:szCs w:val="13"/>
                <w:color w:val="auto"/>
              </w:rPr>
            </w:pPr>
          </w:p>
        </w:tc>
        <w:tc>
          <w:tcPr>
            <w:tcW w:w="580" w:type="dxa"/>
            <w:vAlign w:val="bottom"/>
          </w:tcPr>
          <w:p>
            <w:pPr>
              <w:jc w:val="center"/>
              <w:ind w:right="31"/>
              <w:spacing w:after="0"/>
              <w:rPr>
                <w:sz w:val="20"/>
                <w:szCs w:val="20"/>
                <w:color w:val="auto"/>
              </w:rPr>
            </w:pPr>
            <w:r>
              <w:rPr>
                <w:rFonts w:ascii="Arial" w:cs="Arial" w:eastAsia="Arial" w:hAnsi="Arial"/>
                <w:sz w:val="12"/>
                <w:szCs w:val="12"/>
                <w:b w:val="1"/>
                <w:bCs w:val="1"/>
                <w:color w:val="auto"/>
                <w:w w:val="87"/>
              </w:rPr>
              <w:t>Value</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December 31, 2018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521,500</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$ 4.72</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8.77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780" w:type="dxa"/>
            <w:vAlign w:val="bottom"/>
          </w:tcPr>
          <w:p>
            <w:pPr>
              <w:ind w:left="160"/>
              <w:spacing w:after="0"/>
              <w:rPr>
                <w:sz w:val="20"/>
                <w:szCs w:val="20"/>
                <w:color w:val="auto"/>
              </w:rPr>
            </w:pPr>
            <w:r>
              <w:rPr>
                <w:rFonts w:ascii="Arial" w:cs="Arial" w:eastAsia="Arial" w:hAnsi="Arial"/>
                <w:sz w:val="15"/>
                <w:szCs w:val="15"/>
                <w:color w:val="auto"/>
              </w:rPr>
              <w:t>Granted</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714,496</w:t>
            </w:r>
          </w:p>
        </w:tc>
        <w:tc>
          <w:tcPr>
            <w:tcW w:w="500" w:type="dxa"/>
            <w:vAlign w:val="bottom"/>
          </w:tcPr>
          <w:p>
            <w:pPr>
              <w:jc w:val="center"/>
              <w:spacing w:after="0"/>
              <w:rPr>
                <w:sz w:val="20"/>
                <w:szCs w:val="20"/>
                <w:color w:val="auto"/>
              </w:rPr>
            </w:pPr>
            <w:r>
              <w:rPr>
                <w:rFonts w:ascii="Arial" w:cs="Arial" w:eastAsia="Arial" w:hAnsi="Arial"/>
                <w:sz w:val="15"/>
                <w:szCs w:val="15"/>
                <w:color w:val="auto"/>
                <w:w w:val="81"/>
              </w:rPr>
              <w:t>$ 4.22</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3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Cancelled</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(111,000)</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$ 4.72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
        </w:trPr>
        <w:tc>
          <w:tcPr>
            <w:tcW w:w="37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r>
      <w:tr>
        <w:trPr>
          <w:trHeight w:val="205"/>
        </w:trPr>
        <w:tc>
          <w:tcPr>
            <w:tcW w:w="3780" w:type="dxa"/>
            <w:vAlign w:val="bottom"/>
          </w:tcPr>
          <w:p>
            <w:pPr>
              <w:spacing w:after="0"/>
              <w:rPr>
                <w:sz w:val="20"/>
                <w:szCs w:val="20"/>
                <w:color w:val="auto"/>
              </w:rPr>
            </w:pPr>
            <w:r>
              <w:rPr>
                <w:rFonts w:ascii="Arial" w:cs="Arial" w:eastAsia="Arial" w:hAnsi="Arial"/>
                <w:sz w:val="15"/>
                <w:szCs w:val="15"/>
                <w:color w:val="auto"/>
              </w:rPr>
              <w:t>Outstanding, December 31, 2019</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1,124,996</w:t>
            </w:r>
          </w:p>
        </w:tc>
        <w:tc>
          <w:tcPr>
            <w:tcW w:w="500" w:type="dxa"/>
            <w:vAlign w:val="bottom"/>
          </w:tcPr>
          <w:p>
            <w:pPr>
              <w:jc w:val="center"/>
              <w:spacing w:after="0"/>
              <w:rPr>
                <w:sz w:val="20"/>
                <w:szCs w:val="20"/>
                <w:color w:val="auto"/>
              </w:rPr>
            </w:pPr>
            <w:r>
              <w:rPr>
                <w:rFonts w:ascii="Arial" w:cs="Arial" w:eastAsia="Arial" w:hAnsi="Arial"/>
                <w:sz w:val="15"/>
                <w:szCs w:val="15"/>
                <w:color w:val="auto"/>
                <w:w w:val="81"/>
              </w:rPr>
              <w:t>$ 4.21</w:t>
            </w:r>
          </w:p>
        </w:tc>
        <w:tc>
          <w:tcPr>
            <w:tcW w:w="1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8"/>
              </w:rPr>
              <w:t>9.13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245,122</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$ 4.26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4"/>
        </w:trPr>
        <w:tc>
          <w:tcPr>
            <w:tcW w:w="3780" w:type="dxa"/>
            <w:vAlign w:val="bottom"/>
          </w:tcPr>
          <w:p>
            <w:pPr>
              <w:ind w:left="160"/>
              <w:spacing w:after="0"/>
              <w:rPr>
                <w:sz w:val="20"/>
                <w:szCs w:val="20"/>
                <w:color w:val="auto"/>
              </w:rPr>
            </w:pPr>
            <w:r>
              <w:rPr>
                <w:rFonts w:ascii="Arial" w:cs="Arial" w:eastAsia="Arial" w:hAnsi="Arial"/>
                <w:sz w:val="15"/>
                <w:szCs w:val="15"/>
                <w:color w:val="auto"/>
              </w:rPr>
              <w:t>Cancelled</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(83,500)</w:t>
            </w:r>
          </w:p>
        </w:tc>
        <w:tc>
          <w:tcPr>
            <w:tcW w:w="500" w:type="dxa"/>
            <w:vAlign w:val="bottom"/>
          </w:tcPr>
          <w:p>
            <w:pPr>
              <w:jc w:val="center"/>
              <w:spacing w:after="0"/>
              <w:rPr>
                <w:sz w:val="20"/>
                <w:szCs w:val="20"/>
                <w:color w:val="auto"/>
              </w:rPr>
            </w:pPr>
            <w:r>
              <w:rPr>
                <w:rFonts w:ascii="Arial" w:cs="Arial" w:eastAsia="Arial" w:hAnsi="Arial"/>
                <w:sz w:val="15"/>
                <w:szCs w:val="15"/>
                <w:color w:val="auto"/>
                <w:w w:val="81"/>
              </w:rPr>
              <w:t>$ 4.21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37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r>
      <w:tr>
        <w:trPr>
          <w:trHeight w:val="23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December 31, 2020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1,286,618</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$ 4.22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8.37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1,994,744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r>
        <w:trPr>
          <w:trHeight w:val="184"/>
        </w:trPr>
        <w:tc>
          <w:tcPr>
            <w:tcW w:w="3780" w:type="dxa"/>
            <w:vAlign w:val="bottom"/>
          </w:tcPr>
          <w:p>
            <w:pPr>
              <w:spacing w:after="0"/>
              <w:rPr>
                <w:sz w:val="20"/>
                <w:szCs w:val="20"/>
                <w:color w:val="auto"/>
              </w:rPr>
            </w:pPr>
            <w:r>
              <w:rPr>
                <w:rFonts w:ascii="Arial" w:cs="Arial" w:eastAsia="Arial" w:hAnsi="Arial"/>
                <w:sz w:val="15"/>
                <w:szCs w:val="15"/>
                <w:color w:val="auto"/>
              </w:rPr>
              <w:t>Vested and exercisable at December 31, 2020</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617,741</w:t>
            </w:r>
          </w:p>
        </w:tc>
        <w:tc>
          <w:tcPr>
            <w:tcW w:w="500" w:type="dxa"/>
            <w:vAlign w:val="bottom"/>
          </w:tcPr>
          <w:p>
            <w:pPr>
              <w:jc w:val="center"/>
              <w:spacing w:after="0"/>
              <w:rPr>
                <w:sz w:val="20"/>
                <w:szCs w:val="20"/>
                <w:color w:val="auto"/>
              </w:rPr>
            </w:pPr>
            <w:r>
              <w:rPr>
                <w:rFonts w:ascii="Arial" w:cs="Arial" w:eastAsia="Arial" w:hAnsi="Arial"/>
                <w:sz w:val="15"/>
                <w:szCs w:val="15"/>
                <w:color w:val="auto"/>
                <w:w w:val="81"/>
              </w:rPr>
              <w:t>$ 4.21</w:t>
            </w:r>
          </w:p>
        </w:tc>
        <w:tc>
          <w:tcPr>
            <w:tcW w:w="1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8"/>
              </w:rPr>
              <w:t>7.74</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963,675</w:t>
            </w:r>
          </w:p>
        </w:tc>
      </w:tr>
      <w:tr>
        <w:trPr>
          <w:trHeight w:val="209"/>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and expected to vest at December 31, 2020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1,286,618</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$ 4.22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1,994,744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-445770</wp:posOffset>
            </wp:positionV>
            <wp:extent cx="424180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-1269365</wp:posOffset>
            </wp:positionV>
            <wp:extent cx="11176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-1269365</wp:posOffset>
            </wp:positionV>
            <wp:extent cx="330708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07080" cy="6985"/>
                    </a:xfrm>
                    <a:prstGeom prst="rect">
                      <a:avLst/>
                    </a:prstGeom>
                    <a:noFill/>
                  </pic:spPr>
                </pic:pic>
              </a:graphicData>
            </a:graphic>
          </wp:anchor>
        </w:drawing>
      </w:r>
    </w:p>
    <w:p>
      <w:pPr>
        <w:spacing w:after="0" w:line="90"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During December 2019, the Company modified the exercise price of options to purchase 418,000 shares of common stock to $4.21 and the related incremental expense of $34,525 was recognized during the year ended December 31, 2019 and was included as a component of share-based compensation expense.</w:t>
      </w:r>
    </w:p>
    <w:p>
      <w:pPr>
        <w:spacing w:after="0" w:line="72" w:lineRule="exact"/>
        <w:rPr>
          <w:sz w:val="20"/>
          <w:szCs w:val="20"/>
          <w:color w:val="auto"/>
        </w:rPr>
      </w:pPr>
    </w:p>
    <w:p>
      <w:pPr>
        <w:jc w:val="both"/>
        <w:ind w:left="1160" w:right="1179"/>
        <w:spacing w:after="0" w:line="300" w:lineRule="auto"/>
        <w:rPr>
          <w:sz w:val="20"/>
          <w:szCs w:val="20"/>
          <w:color w:val="auto"/>
        </w:rPr>
      </w:pPr>
      <w:r>
        <w:rPr>
          <w:rFonts w:ascii="Arial" w:cs="Arial" w:eastAsia="Arial" w:hAnsi="Arial"/>
          <w:sz w:val="14"/>
          <w:szCs w:val="14"/>
          <w:color w:val="auto"/>
        </w:rPr>
        <w:t>For the years ended December 31, 2020 and 2019, the Company recognized share-based compensation expense recognized on the accompanying consolidated statements of operations as follows:</w:t>
      </w:r>
    </w:p>
    <w:p>
      <w:pPr>
        <w:spacing w:after="0" w:line="85"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3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15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3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0"/>
        </w:trPr>
        <w:tc>
          <w:tcPr>
            <w:tcW w:w="13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108,027</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$166,674</w:t>
            </w:r>
          </w:p>
        </w:tc>
        <w:tc>
          <w:tcPr>
            <w:tcW w:w="1320" w:type="dxa"/>
            <w:vAlign w:val="bottom"/>
          </w:tcPr>
          <w:p>
            <w:pPr>
              <w:spacing w:after="0"/>
              <w:rPr>
                <w:sz w:val="17"/>
                <w:szCs w:val="17"/>
                <w:color w:val="auto"/>
              </w:rPr>
            </w:pPr>
          </w:p>
        </w:tc>
      </w:tr>
      <w:tr>
        <w:trPr>
          <w:trHeight w:val="209"/>
        </w:trPr>
        <w:tc>
          <w:tcPr>
            <w:tcW w:w="3580" w:type="dxa"/>
            <w:vAlign w:val="bottom"/>
            <w:gridSpan w:val="2"/>
          </w:tcPr>
          <w:p>
            <w:pPr>
              <w:ind w:left="1320"/>
              <w:spacing w:after="0"/>
              <w:rPr>
                <w:sz w:val="20"/>
                <w:szCs w:val="20"/>
                <w:color w:val="auto"/>
              </w:rPr>
            </w:pPr>
            <w:r>
              <w:rPr>
                <w:rFonts w:ascii="Arial" w:cs="Arial" w:eastAsia="Arial" w:hAnsi="Arial"/>
                <w:sz w:val="15"/>
                <w:szCs w:val="15"/>
                <w:color w:val="auto"/>
              </w:rPr>
              <w:t>Research and development</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503,111</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305,729</w:t>
            </w:r>
          </w:p>
        </w:tc>
        <w:tc>
          <w:tcPr>
            <w:tcW w:w="1320" w:type="dxa"/>
            <w:vAlign w:val="bottom"/>
          </w:tcPr>
          <w:p>
            <w:pPr>
              <w:spacing w:after="0"/>
              <w:rPr>
                <w:sz w:val="18"/>
                <w:szCs w:val="18"/>
                <w:color w:val="auto"/>
              </w:rPr>
            </w:pPr>
          </w:p>
        </w:tc>
      </w:tr>
      <w:tr>
        <w:trPr>
          <w:trHeight w:val="214"/>
        </w:trPr>
        <w:tc>
          <w:tcPr>
            <w:tcW w:w="13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475,631</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124,228</w:t>
            </w:r>
          </w:p>
        </w:tc>
        <w:tc>
          <w:tcPr>
            <w:tcW w:w="13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5"/>
                <w:szCs w:val="15"/>
                <w:color w:val="auto"/>
              </w:rPr>
              <w:t>Total</w:t>
            </w:r>
          </w:p>
        </w:tc>
        <w:tc>
          <w:tcPr>
            <w:tcW w:w="24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1,086,769</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86"/>
              </w:rPr>
              <w:t>$596,631</w:t>
            </w:r>
          </w:p>
        </w:tc>
        <w:tc>
          <w:tcPr>
            <w:tcW w:w="132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30"/>
        </w:trPr>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gridSpan w:val="3"/>
          </w:tcPr>
          <w:p>
            <w:pPr>
              <w:jc w:val="right"/>
              <w:ind w:right="1580"/>
              <w:spacing w:after="0"/>
              <w:rPr>
                <w:sz w:val="20"/>
                <w:szCs w:val="20"/>
                <w:color w:val="auto"/>
              </w:rPr>
            </w:pPr>
            <w:r>
              <w:rPr>
                <w:rFonts w:ascii="Arial" w:cs="Arial" w:eastAsia="Arial" w:hAnsi="Arial"/>
                <w:sz w:val="15"/>
                <w:szCs w:val="15"/>
                <w:color w:val="auto"/>
              </w:rPr>
              <w:t>F-19</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-1338580</wp:posOffset>
            </wp:positionV>
            <wp:extent cx="350202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50202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10 — Income Taxes</w:t>
      </w:r>
    </w:p>
    <w:p>
      <w:pPr>
        <w:spacing w:after="0" w:line="12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A reconciliation of the effect of applying the federal statutory rate to the net loss and the effective income tax rate are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5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3"/>
                <w:szCs w:val="13"/>
                <w:color w:val="auto"/>
              </w:rPr>
            </w:pPr>
          </w:p>
        </w:tc>
      </w:tr>
      <w:tr>
        <w:trPr>
          <w:trHeight w:val="21"/>
        </w:trPr>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5"/>
                <w:szCs w:val="15"/>
                <w:color w:val="auto"/>
              </w:rPr>
              <w:t>Statutory federal income tax rate</w:t>
            </w:r>
          </w:p>
        </w:tc>
        <w:tc>
          <w:tcPr>
            <w:tcW w:w="680" w:type="dxa"/>
            <w:vAlign w:val="bottom"/>
            <w:gridSpan w:val="3"/>
          </w:tcPr>
          <w:p>
            <w:pPr>
              <w:jc w:val="right"/>
              <w:ind w:right="60"/>
              <w:spacing w:after="0"/>
              <w:rPr>
                <w:sz w:val="20"/>
                <w:szCs w:val="20"/>
                <w:color w:val="auto"/>
              </w:rPr>
            </w:pPr>
            <w:r>
              <w:rPr>
                <w:rFonts w:ascii="Arial" w:cs="Arial" w:eastAsia="Arial" w:hAnsi="Arial"/>
                <w:sz w:val="15"/>
                <w:szCs w:val="15"/>
                <w:color w:val="auto"/>
              </w:rPr>
              <w:t>21.0%</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21.0%</w:t>
            </w:r>
          </w:p>
        </w:tc>
      </w:tr>
      <w:tr>
        <w:trPr>
          <w:trHeight w:val="209"/>
        </w:trPr>
        <w:tc>
          <w:tcPr>
            <w:tcW w:w="5100" w:type="dxa"/>
            <w:vAlign w:val="bottom"/>
          </w:tcPr>
          <w:p>
            <w:pPr>
              <w:spacing w:after="0"/>
              <w:rPr>
                <w:sz w:val="20"/>
                <w:szCs w:val="20"/>
                <w:color w:val="auto"/>
              </w:rPr>
            </w:pPr>
            <w:r>
              <w:rPr>
                <w:rFonts w:ascii="Arial" w:cs="Arial" w:eastAsia="Arial" w:hAnsi="Arial"/>
                <w:sz w:val="15"/>
                <w:szCs w:val="15"/>
                <w:color w:val="auto"/>
              </w:rPr>
              <w:t>State tax, net of federal benefit</w:t>
            </w:r>
          </w:p>
        </w:tc>
        <w:tc>
          <w:tcPr>
            <w:tcW w:w="680" w:type="dxa"/>
            <w:vAlign w:val="bottom"/>
            <w:gridSpan w:val="3"/>
          </w:tcPr>
          <w:p>
            <w:pPr>
              <w:jc w:val="right"/>
              <w:ind w:right="60"/>
              <w:spacing w:after="0"/>
              <w:rPr>
                <w:sz w:val="20"/>
                <w:szCs w:val="20"/>
                <w:color w:val="auto"/>
              </w:rPr>
            </w:pPr>
            <w:r>
              <w:rPr>
                <w:rFonts w:ascii="Arial" w:cs="Arial" w:eastAsia="Arial" w:hAnsi="Arial"/>
                <w:sz w:val="15"/>
                <w:szCs w:val="15"/>
                <w:color w:val="auto"/>
              </w:rPr>
              <w:t>6.3%</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6.3%</w:t>
            </w:r>
          </w:p>
        </w:tc>
      </w:tr>
      <w:tr>
        <w:trPr>
          <w:trHeight w:val="209"/>
        </w:trPr>
        <w:tc>
          <w:tcPr>
            <w:tcW w:w="5100" w:type="dxa"/>
            <w:vAlign w:val="bottom"/>
          </w:tcPr>
          <w:p>
            <w:pPr>
              <w:spacing w:after="0"/>
              <w:rPr>
                <w:sz w:val="20"/>
                <w:szCs w:val="20"/>
                <w:color w:val="auto"/>
              </w:rPr>
            </w:pPr>
            <w:r>
              <w:rPr>
                <w:rFonts w:ascii="Arial" w:cs="Arial" w:eastAsia="Arial" w:hAnsi="Arial"/>
                <w:sz w:val="15"/>
                <w:szCs w:val="15"/>
                <w:color w:val="auto"/>
              </w:rPr>
              <w:t>Permanent differences</w:t>
            </w: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(1.5)%</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209"/>
        </w:trPr>
        <w:tc>
          <w:tcPr>
            <w:tcW w:w="5100" w:type="dxa"/>
            <w:vAlign w:val="bottom"/>
          </w:tcPr>
          <w:p>
            <w:pPr>
              <w:spacing w:after="0"/>
              <w:rPr>
                <w:sz w:val="20"/>
                <w:szCs w:val="20"/>
                <w:color w:val="auto"/>
              </w:rPr>
            </w:pPr>
            <w:r>
              <w:rPr>
                <w:rFonts w:ascii="Arial" w:cs="Arial" w:eastAsia="Arial" w:hAnsi="Arial"/>
                <w:sz w:val="15"/>
                <w:szCs w:val="15"/>
                <w:color w:val="auto"/>
              </w:rPr>
              <w:t>Federal research and development credits</w:t>
            </w:r>
          </w:p>
        </w:tc>
        <w:tc>
          <w:tcPr>
            <w:tcW w:w="680" w:type="dxa"/>
            <w:vAlign w:val="bottom"/>
            <w:gridSpan w:val="3"/>
          </w:tcPr>
          <w:p>
            <w:pPr>
              <w:jc w:val="right"/>
              <w:ind w:right="60"/>
              <w:spacing w:after="0"/>
              <w:rPr>
                <w:sz w:val="20"/>
                <w:szCs w:val="20"/>
                <w:color w:val="auto"/>
              </w:rPr>
            </w:pPr>
            <w:r>
              <w:rPr>
                <w:rFonts w:ascii="Arial" w:cs="Arial" w:eastAsia="Arial" w:hAnsi="Arial"/>
                <w:sz w:val="15"/>
                <w:szCs w:val="15"/>
                <w:color w:val="auto"/>
              </w:rPr>
              <w:t>4.5%</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r>
      <w:tr>
        <w:trPr>
          <w:trHeight w:val="209"/>
        </w:trPr>
        <w:tc>
          <w:tcPr>
            <w:tcW w:w="5100" w:type="dxa"/>
            <w:vAlign w:val="bottom"/>
          </w:tcPr>
          <w:p>
            <w:pPr>
              <w:spacing w:after="0"/>
              <w:rPr>
                <w:sz w:val="20"/>
                <w:szCs w:val="20"/>
                <w:color w:val="auto"/>
              </w:rPr>
            </w:pPr>
            <w:r>
              <w:rPr>
                <w:rFonts w:ascii="Arial" w:cs="Arial" w:eastAsia="Arial" w:hAnsi="Arial"/>
                <w:sz w:val="15"/>
                <w:szCs w:val="15"/>
                <w:color w:val="auto"/>
              </w:rPr>
              <w:t>State research and development credits</w:t>
            </w:r>
          </w:p>
        </w:tc>
        <w:tc>
          <w:tcPr>
            <w:tcW w:w="680" w:type="dxa"/>
            <w:vAlign w:val="bottom"/>
            <w:gridSpan w:val="3"/>
          </w:tcPr>
          <w:p>
            <w:pPr>
              <w:jc w:val="right"/>
              <w:ind w:right="60"/>
              <w:spacing w:after="0"/>
              <w:rPr>
                <w:sz w:val="20"/>
                <w:szCs w:val="20"/>
                <w:color w:val="auto"/>
              </w:rPr>
            </w:pPr>
            <w:r>
              <w:rPr>
                <w:rFonts w:ascii="Arial" w:cs="Arial" w:eastAsia="Arial" w:hAnsi="Arial"/>
                <w:sz w:val="15"/>
                <w:szCs w:val="15"/>
                <w:color w:val="auto"/>
              </w:rPr>
              <w:t>0.7%</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0.4%</w:t>
            </w:r>
          </w:p>
        </w:tc>
      </w:tr>
      <w:tr>
        <w:trPr>
          <w:trHeight w:val="209"/>
        </w:trPr>
        <w:tc>
          <w:tcPr>
            <w:tcW w:w="5100" w:type="dxa"/>
            <w:vAlign w:val="bottom"/>
          </w:tcPr>
          <w:p>
            <w:pPr>
              <w:spacing w:after="0"/>
              <w:rPr>
                <w:sz w:val="20"/>
                <w:szCs w:val="20"/>
                <w:color w:val="auto"/>
              </w:rPr>
            </w:pPr>
            <w:r>
              <w:rPr>
                <w:rFonts w:ascii="Arial" w:cs="Arial" w:eastAsia="Arial" w:hAnsi="Arial"/>
                <w:sz w:val="15"/>
                <w:szCs w:val="15"/>
                <w:color w:val="auto"/>
              </w:rPr>
              <w:t>Other differences</w:t>
            </w: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(3.7)%</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(5.4)%</w:t>
            </w:r>
          </w:p>
        </w:tc>
      </w:tr>
      <w:tr>
        <w:trPr>
          <w:trHeight w:val="214"/>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1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5"/>
                <w:szCs w:val="15"/>
                <w:color w:val="auto"/>
                <w:w w:val="87"/>
              </w:rPr>
              <w:t>(27.3)% (23.4)%</w:t>
            </w:r>
          </w:p>
        </w:tc>
      </w:tr>
      <w:tr>
        <w:trPr>
          <w:trHeight w:val="20"/>
        </w:trPr>
        <w:tc>
          <w:tcPr>
            <w:tcW w:w="5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100" w:type="dxa"/>
            <w:vAlign w:val="bottom"/>
          </w:tcPr>
          <w:p>
            <w:pPr>
              <w:ind w:left="140"/>
              <w:spacing w:after="0"/>
              <w:rPr>
                <w:sz w:val="20"/>
                <w:szCs w:val="20"/>
                <w:color w:val="auto"/>
              </w:rPr>
            </w:pPr>
            <w:r>
              <w:rPr>
                <w:rFonts w:ascii="Arial" w:cs="Arial" w:eastAsia="Arial" w:hAnsi="Arial"/>
                <w:sz w:val="15"/>
                <w:szCs w:val="15"/>
                <w:color w:val="auto"/>
              </w:rPr>
              <w:t>Effective income tax rate</w:t>
            </w:r>
          </w:p>
        </w:tc>
        <w:tc>
          <w:tcPr>
            <w:tcW w:w="1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0.0%</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0.0%</w:t>
            </w:r>
          </w:p>
        </w:tc>
      </w:tr>
      <w:tr>
        <w:trPr>
          <w:trHeight w:val="20"/>
        </w:trPr>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-843280</wp:posOffset>
            </wp:positionV>
            <wp:extent cx="3865245" cy="132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65245" cy="13271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-578485</wp:posOffset>
            </wp:positionV>
            <wp:extent cx="3865245" cy="132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65245" cy="13271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-313055</wp:posOffset>
            </wp:positionV>
            <wp:extent cx="3865245" cy="1397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65245" cy="13970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-1115695</wp:posOffset>
            </wp:positionV>
            <wp:extent cx="3865245" cy="1397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15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As of December 31, 2020 and 2019, the components and tax effects of each type of item that gave rise to the net deferred tax assets were as follows: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6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6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4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448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73,984</w:t>
            </w:r>
          </w:p>
        </w:tc>
        <w:tc>
          <w:tcPr>
            <w:tcW w:w="2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27,521</w:t>
            </w:r>
          </w:p>
        </w:tc>
        <w:tc>
          <w:tcPr>
            <w:tcW w:w="60" w:type="dxa"/>
            <w:vAlign w:val="bottom"/>
          </w:tcPr>
          <w:p>
            <w:pPr>
              <w:spacing w:after="0"/>
              <w:rPr>
                <w:sz w:val="18"/>
                <w:szCs w:val="18"/>
                <w:color w:val="auto"/>
              </w:rPr>
            </w:pPr>
          </w:p>
        </w:tc>
      </w:tr>
      <w:tr>
        <w:trPr>
          <w:trHeight w:val="209"/>
        </w:trPr>
        <w:tc>
          <w:tcPr>
            <w:tcW w:w="44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R&amp;D credit carryforward</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1,574,596</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675,646</w:t>
            </w:r>
          </w:p>
        </w:tc>
        <w:tc>
          <w:tcPr>
            <w:tcW w:w="60" w:type="dxa"/>
            <w:vAlign w:val="bottom"/>
          </w:tcPr>
          <w:p>
            <w:pPr>
              <w:spacing w:after="0"/>
              <w:rPr>
                <w:sz w:val="18"/>
                <w:szCs w:val="18"/>
                <w:color w:val="auto"/>
              </w:rPr>
            </w:pPr>
          </w:p>
        </w:tc>
      </w:tr>
      <w:tr>
        <w:trPr>
          <w:trHeight w:val="214"/>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NOL carryforward</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5,525,123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1,797,847</w:t>
            </w:r>
          </w:p>
        </w:tc>
        <w:tc>
          <w:tcPr>
            <w:tcW w:w="60" w:type="dxa"/>
            <w:vAlign w:val="bottom"/>
          </w:tcPr>
          <w:p>
            <w:pPr>
              <w:spacing w:after="0"/>
              <w:rPr>
                <w:sz w:val="18"/>
                <w:szCs w:val="18"/>
                <w:color w:val="auto"/>
              </w:rPr>
            </w:pPr>
          </w:p>
        </w:tc>
      </w:tr>
      <w:tr>
        <w:trPr>
          <w:trHeight w:val="205"/>
        </w:trPr>
        <w:tc>
          <w:tcPr>
            <w:tcW w:w="44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Gross deferred tax assets</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7,173,703</w:t>
            </w: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2,501,014</w:t>
            </w:r>
          </w:p>
        </w:tc>
        <w:tc>
          <w:tcPr>
            <w:tcW w:w="60" w:type="dxa"/>
            <w:vAlign w:val="bottom"/>
          </w:tcPr>
          <w:p>
            <w:pPr>
              <w:spacing w:after="0"/>
              <w:rPr>
                <w:sz w:val="17"/>
                <w:szCs w:val="17"/>
                <w:color w:val="auto"/>
              </w:rPr>
            </w:pPr>
          </w:p>
        </w:tc>
      </w:tr>
      <w:tr>
        <w:trPr>
          <w:trHeight w:val="214"/>
        </w:trPr>
        <w:tc>
          <w:tcPr>
            <w:tcW w:w="4480" w:type="dxa"/>
            <w:vAlign w:val="bottom"/>
          </w:tcPr>
          <w:p>
            <w:pPr>
              <w:ind w:left="140"/>
              <w:spacing w:after="0"/>
              <w:rPr>
                <w:sz w:val="20"/>
                <w:szCs w:val="20"/>
                <w:color w:val="auto"/>
              </w:rPr>
            </w:pPr>
            <w:r>
              <w:rPr>
                <w:rFonts w:ascii="Arial" w:cs="Arial" w:eastAsia="Arial" w:hAnsi="Arial"/>
                <w:sz w:val="15"/>
                <w:szCs w:val="15"/>
                <w:color w:val="auto"/>
              </w:rPr>
              <w:t>Valuation allowance</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(7,127,448)</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w w:val="88"/>
              </w:rPr>
              <w:t>(2,479,213)</w:t>
            </w:r>
          </w:p>
        </w:tc>
      </w:tr>
      <w:tr>
        <w:trPr>
          <w:trHeight w:val="205"/>
        </w:trPr>
        <w:tc>
          <w:tcPr>
            <w:tcW w:w="4480" w:type="dxa"/>
            <w:vAlign w:val="bottom"/>
            <w:tcBorders>
              <w:top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Net deferred tax assets</w:t>
            </w: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46,255</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21,801</w:t>
            </w:r>
          </w:p>
        </w:tc>
        <w:tc>
          <w:tcPr>
            <w:tcW w:w="60" w:type="dxa"/>
            <w:vAlign w:val="bottom"/>
          </w:tcPr>
          <w:p>
            <w:pPr>
              <w:spacing w:after="0"/>
              <w:rPr>
                <w:sz w:val="17"/>
                <w:szCs w:val="17"/>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5"/>
                <w:szCs w:val="15"/>
                <w:color w:val="auto"/>
              </w:rPr>
              <w:t>Net deferred tax liabilities: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4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Prepaid expenses deducted for tax</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(28,671)</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(12,163)</w:t>
            </w:r>
          </w:p>
        </w:tc>
        <w:tc>
          <w:tcPr>
            <w:tcW w:w="60" w:type="dxa"/>
            <w:vAlign w:val="bottom"/>
          </w:tcPr>
          <w:p>
            <w:pPr>
              <w:spacing w:after="0"/>
              <w:rPr>
                <w:sz w:val="18"/>
                <w:szCs w:val="18"/>
                <w:color w:val="auto"/>
              </w:rPr>
            </w:pPr>
          </w:p>
        </w:tc>
      </w:tr>
      <w:tr>
        <w:trPr>
          <w:trHeight w:val="214"/>
        </w:trPr>
        <w:tc>
          <w:tcPr>
            <w:tcW w:w="4480" w:type="dxa"/>
            <w:vAlign w:val="bottom"/>
          </w:tcPr>
          <w:p>
            <w:pPr>
              <w:ind w:left="140"/>
              <w:spacing w:after="0"/>
              <w:rPr>
                <w:sz w:val="20"/>
                <w:szCs w:val="20"/>
                <w:color w:val="auto"/>
              </w:rPr>
            </w:pPr>
            <w:r>
              <w:rPr>
                <w:rFonts w:ascii="Arial" w:cs="Arial" w:eastAsia="Arial" w:hAnsi="Arial"/>
                <w:sz w:val="15"/>
                <w:szCs w:val="15"/>
                <w:color w:val="auto"/>
              </w:rPr>
              <w:t>Tax depreciation in excess of book</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(17,584)</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(9,638)</w:t>
            </w: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4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deferred tax liabilities</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(46,255)</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(21,801)</w:t>
            </w:r>
          </w:p>
        </w:tc>
        <w:tc>
          <w:tcPr>
            <w:tcW w:w="60" w:type="dxa"/>
            <w:vAlign w:val="bottom"/>
          </w:tcPr>
          <w:p>
            <w:pPr>
              <w:spacing w:after="0"/>
              <w:rPr>
                <w:sz w:val="18"/>
                <w:szCs w:val="18"/>
                <w:color w:val="auto"/>
              </w:rPr>
            </w:pP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480" w:type="dxa"/>
            <w:vAlign w:val="bottom"/>
          </w:tcPr>
          <w:p>
            <w:pPr>
              <w:ind w:left="300"/>
              <w:spacing w:after="0"/>
              <w:rPr>
                <w:sz w:val="20"/>
                <w:szCs w:val="20"/>
                <w:color w:val="auto"/>
              </w:rPr>
            </w:pPr>
            <w:r>
              <w:rPr>
                <w:rFonts w:ascii="Arial" w:cs="Arial" w:eastAsia="Arial" w:hAnsi="Arial"/>
                <w:sz w:val="15"/>
                <w:szCs w:val="15"/>
                <w:color w:val="auto"/>
              </w:rPr>
              <w:t>Net deferred taxes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4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-320040</wp:posOffset>
            </wp:positionV>
            <wp:extent cx="341122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-864235</wp:posOffset>
            </wp:positionV>
            <wp:extent cx="341122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-1143635</wp:posOffset>
            </wp:positionV>
            <wp:extent cx="341122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-1687830</wp:posOffset>
            </wp:positionV>
            <wp:extent cx="340423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156"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Federal net operating losses (“NOL”) generated in tax years ended after December 31, 2017 are limited to 80% of taxable income, only carried forward and carried forward indefinitely under the Internal Revenue Code (“IRC”). The Company has no income tax expense due to operating losses incurred for the years ended December 31, 2020 and 2019. The Company has provided a valuation allowance for the full amount of the net deferred tax assets as, based on all available evidence, it is considered more likely than not that all the recorded deferred tax assets will not be realized in a future period. At December 31, 2020, the Company has federal and state NOLs of $22,012,360 and $14,280,490, respectively all generated after the tax year ended December 31, 2017. At December 31, 2020, the Company has federal and state research and development credit carryforwards, $1,347,372 and $227,225, respectively, that start to expire beginning in 2025.</w:t>
      </w:r>
    </w:p>
    <w:p>
      <w:pPr>
        <w:spacing w:after="0" w:line="111"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As the Company has not yet achieved profitable operations, management believes the tax benefits as of December 31, 2020 did not satisfy the realization criteria set forth in ASC Topic 740, Income Taxes and, therefore, has recorded a full valuation allowance for the entire deferred tax asset. The valuation allowance increased in 2020 by $4,648,234 due to the increase in the deferred tax assets by the same amount, primarily due to NOL and research and development credit carryforwards.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10 — Income Taxes (Continued)</w:t>
      </w:r>
    </w:p>
    <w:p>
      <w:pPr>
        <w:spacing w:after="0" w:line="183"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The Company has generated significant net operating loss carryforwards and research and development tax credits, as a result of incurred losses due to research activities since inception. The Company is generally able to carry NOLs and R&amp;D credits forward to reduce our tax liability in future years. However, our ability to utilize the NOLs and R&amp;D credits is subject to the rules of Sections 382 and 383 of the Internal Revenue Code of 1986. Those sections generally restrict the use of NOLs and R&amp;D credits after an “ownership change.” We may have experienced an “ownership change” within the meaning of Section 382 in the past and there can be no assurance that we will not experience additional ownership changes in the future. As a result, our NOLs and business credits (including the R&amp;D credit) may be subject to limitations and we may be required to pay taxes earlier and in larger amounts than would be the case if our NOLs or R&amp;D credits were freely usable.</w:t>
      </w:r>
    </w:p>
    <w:p>
      <w:pPr>
        <w:spacing w:after="0" w:line="11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Company files tax returns in the United States including California, New York and Massachusetts. All tax years from 2016 to 2020 remain open to examination by the major taxing jurisdictions to which the Company is subject, as carryforward attributes generated in years past may still be adjusted upon examination by the Internal Revenue Service (“IRS”) or other authorities if they have or will be used in a future period. The Company is not currently under examination by the IRS or any other jurisdictions for any tax years.</w:t>
      </w:r>
    </w:p>
    <w:p>
      <w:pPr>
        <w:spacing w:after="0" w:line="95"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On March 27, 2020, the Coronavirus Aid, Relief, and Economic Security Act (the “CARES Act”) was enacted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enactment of the CARES Act resulted in increased federal and state research and development carryforwards from 2013 through 2018 of $142,764 and $55,901, respectively, and decreased federal NOL of $759,794 from 2018.</w:t>
      </w:r>
    </w:p>
    <w:p>
      <w:pPr>
        <w:spacing w:after="0" w:line="93"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As of December 31, 2020, the Company had no uncertain tax positions. The Company has elected to recognize interest and penalties related to income tax matters as a component of income tax expense, of which no interest or penalties were recorded for the years ended December 31, 2020 and 2019.</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11 — Commitments and Contingencies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Operating Leases</w:t>
      </w:r>
    </w:p>
    <w:p>
      <w:pPr>
        <w:spacing w:after="0" w:line="113"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Company leases office space in Cambridge, Massachusetts and New York, New York pursuant to short-term arrangements. The Cambridge lease is on a month-to-month basis, requiring one month’s notice before termination. The New York lease is renewable on a quarterly basis and the last renewal was on March 8, 2021 which extended the lease term until June 30, 2021. These lease agreements include payments for lease and non-lease components and the Company has elected to not separate such components and these payments were recognized as rent expense.</w:t>
      </w:r>
    </w:p>
    <w:p>
      <w:pPr>
        <w:spacing w:after="0" w:line="10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As of December 31, 2020, total future minimum lease payments for its short-term leases in Cambridge, Massachusetts and New York, New York, was $12,000 all due in 2021. The Company leases storage space for its electronic data equipment in Somerville, Massachusetts. This lease is renewable on an annual basis effective every March 1st. Prior to December 31, 2020, the Company renewed the lease through March 31, 2022. As of December 31, 2020, total future minimum lease payments for this lease were $21,416 due in 2021 and $3,569 due in 2022.</w:t>
      </w:r>
    </w:p>
    <w:p>
      <w:pPr>
        <w:spacing w:after="0" w:line="106"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In July 2019, the Company entered into an office lease in San Diego, California (“2019 San Diego Lease”) with a lease term of 24 months with no escalations and variable costs based on additional number of employees using the facility. This lease was cancelable upon a 30-day notice period. Upon adoption of ASC 842 on January 1, 2020, a right-to-use asset and lease liability based on the fixed costs was recognized by the Company for $61,822. Effective September 20, 2020, the lease was terminated and the remaining right-of-use asset and lease liability were derecognized. No gain or loss was recognized for the termination of this lease.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11 — Commitments and Contingencies (Continued)</w:t>
      </w:r>
    </w:p>
    <w:p>
      <w:pPr>
        <w:spacing w:after="0" w:line="183"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In October 2020, the Company entered into an office lease in San Diego, California (“2020 San Diego Lease”) with a lease term of 67 months. At the lease commencement date, a right-to-use asset and lease liability was recognized by the Company for $637,863.</w:t>
      </w:r>
    </w:p>
    <w:p>
      <w:pPr>
        <w:spacing w:after="0" w:line="10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Maturities of the lease liabilities due under the Company’s 2020 San Diego Lease as of December 31, 2020 are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8"/>
              </w:rPr>
              <w:t>Amount</w:t>
            </w:r>
          </w:p>
        </w:tc>
      </w:tr>
      <w:tr>
        <w:trPr>
          <w:trHeight w:val="21"/>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111,527</w:t>
            </w:r>
          </w:p>
        </w:tc>
        <w:tc>
          <w:tcPr>
            <w:tcW w:w="60" w:type="dxa"/>
            <w:vAlign w:val="bottom"/>
          </w:tcPr>
          <w:p>
            <w:pPr>
              <w:spacing w:after="0"/>
              <w:rPr>
                <w:sz w:val="17"/>
                <w:szCs w:val="17"/>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115,430</w:t>
            </w:r>
          </w:p>
        </w:tc>
        <w:tc>
          <w:tcPr>
            <w:tcW w:w="60" w:type="dxa"/>
            <w:vAlign w:val="bottom"/>
          </w:tcPr>
          <w:p>
            <w:pPr>
              <w:spacing w:after="0"/>
              <w:rPr>
                <w:sz w:val="18"/>
                <w:szCs w:val="18"/>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125,741</w:t>
            </w:r>
          </w:p>
        </w:tc>
        <w:tc>
          <w:tcPr>
            <w:tcW w:w="60" w:type="dxa"/>
            <w:vAlign w:val="bottom"/>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161,498</w:t>
            </w:r>
          </w:p>
        </w:tc>
        <w:tc>
          <w:tcPr>
            <w:tcW w:w="60" w:type="dxa"/>
            <w:vAlign w:val="bottom"/>
          </w:tcPr>
          <w:p>
            <w:pPr>
              <w:spacing w:after="0"/>
              <w:rPr>
                <w:sz w:val="18"/>
                <w:szCs w:val="18"/>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167,150</w:t>
            </w:r>
          </w:p>
        </w:tc>
        <w:tc>
          <w:tcPr>
            <w:tcW w:w="60" w:type="dxa"/>
            <w:vAlign w:val="bottom"/>
          </w:tcPr>
          <w:p>
            <w:pPr>
              <w:spacing w:after="0"/>
              <w:rPr>
                <w:sz w:val="18"/>
                <w:szCs w:val="18"/>
                <w:color w:val="auto"/>
              </w:rPr>
            </w:pPr>
          </w:p>
        </w:tc>
      </w:tr>
      <w:tr>
        <w:trPr>
          <w:trHeight w:val="214"/>
        </w:trPr>
        <w:tc>
          <w:tcPr>
            <w:tcW w:w="54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2026</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57,332</w:t>
            </w:r>
          </w:p>
        </w:tc>
        <w:tc>
          <w:tcPr>
            <w:tcW w:w="60" w:type="dxa"/>
            <w:vAlign w:val="bottom"/>
          </w:tcPr>
          <w:p>
            <w:pPr>
              <w:spacing w:after="0"/>
              <w:rPr>
                <w:sz w:val="18"/>
                <w:szCs w:val="18"/>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Total future lease payments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738,678</w:t>
            </w:r>
          </w:p>
        </w:tc>
        <w:tc>
          <w:tcPr>
            <w:tcW w:w="60" w:type="dxa"/>
            <w:vAlign w:val="bottom"/>
          </w:tcPr>
          <w:p>
            <w:pPr>
              <w:spacing w:after="0"/>
              <w:rPr>
                <w:sz w:val="17"/>
                <w:szCs w:val="17"/>
                <w:color w:val="auto"/>
              </w:rPr>
            </w:pPr>
          </w:p>
        </w:tc>
      </w:tr>
      <w:tr>
        <w:trPr>
          <w:trHeight w:val="214"/>
        </w:trPr>
        <w:tc>
          <w:tcPr>
            <w:tcW w:w="5480" w:type="dxa"/>
            <w:vAlign w:val="bottom"/>
          </w:tcPr>
          <w:p>
            <w:pPr>
              <w:spacing w:after="0"/>
              <w:rPr>
                <w:sz w:val="20"/>
                <w:szCs w:val="20"/>
                <w:color w:val="auto"/>
              </w:rPr>
            </w:pPr>
            <w:r>
              <w:rPr>
                <w:rFonts w:ascii="Arial" w:cs="Arial" w:eastAsia="Arial" w:hAnsi="Arial"/>
                <w:sz w:val="15"/>
                <w:szCs w:val="15"/>
                <w:color w:val="auto"/>
              </w:rPr>
              <w:t>Less: Imputed interest</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87"/>
              </w:rPr>
              <w:t>(117,589)</w:t>
            </w:r>
          </w:p>
        </w:tc>
      </w:tr>
      <w:tr>
        <w:trPr>
          <w:trHeight w:val="241"/>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621,089</w:t>
            </w:r>
          </w:p>
        </w:tc>
        <w:tc>
          <w:tcPr>
            <w:tcW w:w="60" w:type="dxa"/>
            <w:vAlign w:val="bottom"/>
          </w:tcPr>
          <w:p>
            <w:pPr>
              <w:spacing w:after="0"/>
              <w:rPr>
                <w:sz w:val="20"/>
                <w:szCs w:val="20"/>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5480" w:type="dxa"/>
            <w:vAlign w:val="bottom"/>
          </w:tcPr>
          <w:p>
            <w:pPr>
              <w:spacing w:after="0" w:line="162" w:lineRule="exact"/>
              <w:rPr>
                <w:sz w:val="20"/>
                <w:szCs w:val="20"/>
                <w:color w:val="auto"/>
              </w:rPr>
            </w:pPr>
            <w:r>
              <w:rPr>
                <w:rFonts w:ascii="Arial" w:cs="Arial" w:eastAsia="Arial" w:hAnsi="Arial"/>
                <w:sz w:val="15"/>
                <w:szCs w:val="15"/>
                <w:color w:val="auto"/>
              </w:rPr>
              <w:t>Current portion lease liability</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76,322</w:t>
            </w:r>
          </w:p>
        </w:tc>
        <w:tc>
          <w:tcPr>
            <w:tcW w:w="60" w:type="dxa"/>
            <w:vAlign w:val="bottom"/>
          </w:tcPr>
          <w:p>
            <w:pPr>
              <w:spacing w:after="0"/>
              <w:rPr>
                <w:sz w:val="14"/>
                <w:szCs w:val="14"/>
                <w:color w:val="auto"/>
              </w:rPr>
            </w:pPr>
          </w:p>
        </w:tc>
      </w:tr>
      <w:tr>
        <w:trPr>
          <w:trHeight w:val="21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Lease liability, noncurrent</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544,767</w:t>
            </w:r>
          </w:p>
        </w:tc>
        <w:tc>
          <w:tcPr>
            <w:tcW w:w="60" w:type="dxa"/>
            <w:vAlign w:val="bottom"/>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Arial" w:cs="Arial" w:eastAsia="Arial" w:hAnsi="Arial"/>
                <w:sz w:val="15"/>
                <w:szCs w:val="15"/>
                <w:color w:val="auto"/>
              </w:rPr>
              <w:t>Total lease liability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621,089</w:t>
            </w:r>
          </w:p>
        </w:tc>
        <w:tc>
          <w:tcPr>
            <w:tcW w:w="60" w:type="dxa"/>
            <w:vAlign w:val="bottom"/>
          </w:tcPr>
          <w:p>
            <w:pPr>
              <w:spacing w:after="0"/>
              <w:rPr>
                <w:sz w:val="18"/>
                <w:szCs w:val="18"/>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6"/>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-767080</wp:posOffset>
            </wp:positionV>
            <wp:extent cx="348107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-1045845</wp:posOffset>
            </wp:positionV>
            <wp:extent cx="348107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-1854835</wp:posOffset>
            </wp:positionV>
            <wp:extent cx="347408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spacing w:after="0" w:line="90"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Quantitative information regarding the Company’s leases for the year ended December 31, 2020 is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1"/>
        </w:trPr>
        <w:tc>
          <w:tcPr>
            <w:tcW w:w="4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Lease costs: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5"/>
                <w:szCs w:val="15"/>
                <w:color w:val="auto"/>
              </w:rPr>
              <w:t>Operating lease cost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66,652</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Short-term lease cost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252,796</w:t>
            </w: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Variable lease cost</w:t>
            </w:r>
          </w:p>
        </w:tc>
        <w:tc>
          <w:tcPr>
            <w:tcW w:w="6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14,700</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lease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334,148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9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Operating cash flows from operating leases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58,666</w:t>
            </w: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Operating cash flows from short-term leases</w:t>
            </w:r>
          </w:p>
        </w:tc>
        <w:tc>
          <w:tcPr>
            <w:tcW w:w="6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252,796</w:t>
            </w:r>
          </w:p>
        </w:tc>
        <w:tc>
          <w:tcPr>
            <w:tcW w:w="0" w:type="dxa"/>
            <w:vAlign w:val="bottom"/>
          </w:tcPr>
          <w:p>
            <w:pPr>
              <w:spacing w:after="0"/>
              <w:rPr>
                <w:sz w:val="1"/>
                <w:szCs w:val="1"/>
                <w:color w:val="auto"/>
              </w:rPr>
            </w:pPr>
          </w:p>
        </w:tc>
      </w:tr>
      <w:tr>
        <w:trPr>
          <w:trHeight w:val="231"/>
        </w:trPr>
        <w:tc>
          <w:tcPr>
            <w:tcW w:w="49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311,462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900" w:type="dxa"/>
            <w:vAlign w:val="bottom"/>
          </w:tcPr>
          <w:p>
            <w:pPr>
              <w:spacing w:after="0"/>
              <w:rPr>
                <w:sz w:val="24"/>
                <w:szCs w:val="24"/>
                <w:color w:val="auto"/>
              </w:rPr>
            </w:pPr>
          </w:p>
        </w:tc>
        <w:tc>
          <w:tcPr>
            <w:tcW w:w="1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remaining lease term – operating leases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5.33 years</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5"/>
                <w:szCs w:val="15"/>
                <w:color w:val="auto"/>
              </w:rPr>
              <w:t>Weighted average discount rate – operating leases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88"/>
              <w:spacing w:after="0"/>
              <w:rPr>
                <w:sz w:val="20"/>
                <w:szCs w:val="20"/>
                <w:color w:val="auto"/>
              </w:rPr>
            </w:pPr>
            <w:r>
              <w:rPr>
                <w:rFonts w:ascii="Arial" w:cs="Arial" w:eastAsia="Arial" w:hAnsi="Arial"/>
                <w:sz w:val="15"/>
                <w:szCs w:val="15"/>
                <w:color w:val="auto"/>
                <w:w w:val="87"/>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-662305</wp:posOffset>
            </wp:positionV>
            <wp:extent cx="350901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-1220470</wp:posOffset>
            </wp:positionV>
            <wp:extent cx="350901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-1764665</wp:posOffset>
            </wp:positionV>
            <wp:extent cx="350202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90"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11 — Commitments and Contingencies (Continued)</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Litigation</w:t>
      </w:r>
    </w:p>
    <w:p>
      <w:pPr>
        <w:spacing w:after="0" w:line="124"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The Company may be exposed to litigation in connection with its products and operations. The Company’s policy is to assess the likelihood of any adverse judgments or outcomes related to legal matters, as well as ranges of probable losses. The Company is not aware of any material legal matters.</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Clinical Research Contracts</w:t>
      </w:r>
    </w:p>
    <w:p>
      <w:pPr>
        <w:spacing w:after="0" w:line="124"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COVID-19</w:t>
      </w:r>
    </w:p>
    <w:p>
      <w:pPr>
        <w:spacing w:after="0" w:line="113"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In March 2020, the World Health Organization declared the outbreak of a novel coronavirus disease (“COVID 19”) a pandemic, which continues to spread throughout the United States and worldwide. As of the date of the consolidated financial statements were issued, the Company’s operations have not been significantly impacted by the COVID-19 outbreak. However, the Company cannot at this time predict the specific extent, duration, or full impact that the COVID-19 outbreak will have on its financial condition and operations, including planned clinical trials. The Company believes that there may be an impact on the clinical development of its product candidates, including potential delays, halts or modifications to its planned trials.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12 — Related Party Transactions</w:t>
      </w:r>
    </w:p>
    <w:p>
      <w:pPr>
        <w:spacing w:after="0" w:line="128" w:lineRule="exact"/>
        <w:rPr>
          <w:sz w:val="20"/>
          <w:szCs w:val="20"/>
          <w:color w:val="auto"/>
        </w:rPr>
      </w:pPr>
    </w:p>
    <w:p>
      <w:pPr>
        <w:jc w:val="both"/>
        <w:ind w:left="1160" w:right="1179"/>
        <w:spacing w:after="0" w:line="294" w:lineRule="auto"/>
        <w:rPr>
          <w:sz w:val="20"/>
          <w:szCs w:val="20"/>
          <w:color w:val="auto"/>
        </w:rPr>
      </w:pPr>
      <w:r>
        <w:rPr>
          <w:rFonts w:ascii="Arial" w:cs="Arial" w:eastAsia="Arial" w:hAnsi="Arial"/>
          <w:sz w:val="13"/>
          <w:szCs w:val="13"/>
          <w:color w:val="auto"/>
        </w:rPr>
        <w:t>An officer of the Company is a board member of a contract research organization (“CRO”) that provides contract services to the Company. Research and development expenses in the accompanying consolidated statement of operations include the cost of services provided by the CRO to the Company which amounted to $2,744,051 and $400,504 for the years ended December 31, 2020 and 2019, respectively. Of this amount, $279,153 and $95,878 was owed to the CRO at December 31, 2020 and 2019, respectively, and is included in accounts payable or accrued contract research expenses in the accompanying consolidated balance sheets.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13 — Subsequent Events</w:t>
      </w:r>
    </w:p>
    <w:p>
      <w:pPr>
        <w:spacing w:after="0" w:line="128"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Management has evaluated subsequent events through May 13, 2021, the date the consolidated financial statements were issued, and determined that no additional subsequent events had occurred that would require recognition in these consolidated financial statements except as disclosed in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69"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auto"/>
        </w:rPr>
        <w:t>CONSOLIDATED BALANCE SHEETS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March 31, 2021 and December 31, 2020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860" w:type="dxa"/>
            <w:vAlign w:val="bottom"/>
            <w:gridSpan w:val="2"/>
          </w:tcPr>
          <w:p>
            <w:pPr>
              <w:jc w:val="right"/>
              <w:ind w:right="71"/>
              <w:spacing w:after="0"/>
              <w:rPr>
                <w:sz w:val="20"/>
                <w:szCs w:val="20"/>
                <w:color w:val="auto"/>
              </w:rPr>
            </w:pPr>
            <w:r>
              <w:rPr>
                <w:rFonts w:ascii="Arial" w:cs="Arial" w:eastAsia="Arial" w:hAnsi="Arial"/>
                <w:sz w:val="12"/>
                <w:szCs w:val="12"/>
                <w:b w:val="1"/>
                <w:bCs w:val="1"/>
                <w:color w:val="auto"/>
                <w:w w:val="89"/>
              </w:rPr>
              <w:t>December 31,</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March 31,</w:t>
            </w:r>
          </w:p>
        </w:tc>
        <w:tc>
          <w:tcPr>
            <w:tcW w:w="8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Arial" w:cs="Arial" w:eastAsia="Arial" w:hAnsi="Arial"/>
                <w:sz w:val="12"/>
                <w:szCs w:val="12"/>
                <w:b w:val="1"/>
                <w:bCs w:val="1"/>
                <w:color w:val="auto"/>
                <w:w w:val="86"/>
              </w:rPr>
              <w:t>Pro Forma</w:t>
            </w: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6"/>
              </w:rPr>
              <w:t>March 31, 2021</w:t>
            </w:r>
          </w:p>
        </w:tc>
        <w:tc>
          <w:tcPr>
            <w:tcW w:w="0" w:type="dxa"/>
            <w:vAlign w:val="bottom"/>
          </w:tcPr>
          <w:p>
            <w:pPr>
              <w:spacing w:after="0"/>
              <w:rPr>
                <w:sz w:val="1"/>
                <w:szCs w:val="1"/>
                <w:color w:val="auto"/>
              </w:rPr>
            </w:pPr>
          </w:p>
        </w:tc>
      </w:tr>
      <w:tr>
        <w:trPr>
          <w:trHeight w:val="198"/>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lef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140" w:type="dxa"/>
            <w:vAlign w:val="bottom"/>
            <w:tcBorders>
              <w:lef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37,090,151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30,933,747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30,933,747</w:t>
            </w: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140" w:type="dxa"/>
            <w:vAlign w:val="bottom"/>
            <w:tcBorders>
              <w:lef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500,110</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492,405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492,405</w:t>
            </w:r>
          </w:p>
        </w:tc>
        <w:tc>
          <w:tcPr>
            <w:tcW w:w="0" w:type="dxa"/>
            <w:vAlign w:val="bottom"/>
          </w:tcPr>
          <w:p>
            <w:pPr>
              <w:spacing w:after="0"/>
              <w:rPr>
                <w:sz w:val="1"/>
                <w:szCs w:val="1"/>
                <w:color w:val="auto"/>
              </w:rPr>
            </w:pPr>
          </w:p>
        </w:tc>
      </w:tr>
      <w:tr>
        <w:trPr>
          <w:trHeight w:val="176"/>
        </w:trPr>
        <w:tc>
          <w:tcPr>
            <w:tcW w:w="4200" w:type="dxa"/>
            <w:vAlign w:val="bottom"/>
          </w:tcPr>
          <w:p>
            <w:pPr>
              <w:ind w:left="140"/>
              <w:spacing w:after="0"/>
              <w:rPr>
                <w:sz w:val="20"/>
                <w:szCs w:val="20"/>
                <w:color w:val="auto"/>
              </w:rPr>
            </w:pPr>
            <w:r>
              <w:rPr>
                <w:rFonts w:ascii="Arial" w:cs="Arial" w:eastAsia="Arial" w:hAnsi="Arial"/>
                <w:sz w:val="14"/>
                <w:szCs w:val="14"/>
                <w:color w:val="auto"/>
              </w:rPr>
              <w:t>Prepaids and other current assets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140,958</w:t>
            </w: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756,603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756,603</w:t>
            </w: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Total current assets</w:t>
            </w:r>
          </w:p>
        </w:tc>
        <w:tc>
          <w:tcPr>
            <w:tcW w:w="140" w:type="dxa"/>
            <w:vAlign w:val="bottom"/>
            <w:tcBorders>
              <w:lef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1"/>
              </w:rPr>
              <w:t>37,731,219</w:t>
            </w:r>
          </w:p>
        </w:tc>
        <w:tc>
          <w:tcPr>
            <w:tcW w:w="10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w w:val="91"/>
              </w:rPr>
              <w:t>32,182,755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32,182,755</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64,363</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72,060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72,060</w:t>
            </w: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 net</w:t>
            </w:r>
          </w:p>
        </w:tc>
        <w:tc>
          <w:tcPr>
            <w:tcW w:w="140" w:type="dxa"/>
            <w:vAlign w:val="bottom"/>
            <w:tcBorders>
              <w:lef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613,103</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588,076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588,076</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14,333</w:t>
            </w: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14,333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14,333</w:t>
            </w: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38,423,018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32,857,224</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32,857,224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00" w:type="dxa"/>
            <w:vAlign w:val="bottom"/>
          </w:tcPr>
          <w:p>
            <w:pPr>
              <w:ind w:left="140"/>
              <w:spacing w:after="0" w:line="154" w:lineRule="exact"/>
              <w:rPr>
                <w:sz w:val="20"/>
                <w:szCs w:val="20"/>
                <w:color w:val="auto"/>
              </w:rPr>
            </w:pPr>
            <w:r>
              <w:rPr>
                <w:rFonts w:ascii="Arial" w:cs="Arial" w:eastAsia="Arial" w:hAnsi="Arial"/>
                <w:sz w:val="14"/>
                <w:szCs w:val="14"/>
                <w:b w:val="1"/>
                <w:bCs w:val="1"/>
                <w:color w:val="auto"/>
              </w:rPr>
              <w:t>STOCKHOLDERS’ EQUITY (DEFICIT)</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Borders>
              <w:lef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1,480,537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1,368,795</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1,368,795</w:t>
            </w: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140" w:type="dxa"/>
            <w:vAlign w:val="bottom"/>
            <w:tcBorders>
              <w:lef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698,992</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1,310,863</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1,310,863</w:t>
            </w:r>
          </w:p>
        </w:tc>
        <w:tc>
          <w:tcPr>
            <w:tcW w:w="0" w:type="dxa"/>
            <w:vAlign w:val="bottom"/>
          </w:tcPr>
          <w:p>
            <w:pPr>
              <w:spacing w:after="0"/>
              <w:rPr>
                <w:sz w:val="1"/>
                <w:szCs w:val="1"/>
                <w:color w:val="auto"/>
              </w:rPr>
            </w:pPr>
          </w:p>
        </w:tc>
      </w:tr>
      <w:tr>
        <w:trPr>
          <w:trHeight w:val="176"/>
        </w:trPr>
        <w:tc>
          <w:tcPr>
            <w:tcW w:w="4200" w:type="dxa"/>
            <w:vAlign w:val="bottom"/>
          </w:tcPr>
          <w:p>
            <w:pPr>
              <w:ind w:left="140"/>
              <w:spacing w:after="0"/>
              <w:rPr>
                <w:sz w:val="20"/>
                <w:szCs w:val="20"/>
                <w:color w:val="auto"/>
              </w:rPr>
            </w:pPr>
            <w:r>
              <w:rPr>
                <w:rFonts w:ascii="Arial" w:cs="Arial" w:eastAsia="Arial" w:hAnsi="Arial"/>
                <w:sz w:val="14"/>
                <w:szCs w:val="14"/>
                <w:color w:val="auto"/>
              </w:rPr>
              <w:t>Lease liability, current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76,322</w:t>
            </w: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78,447</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78,447</w:t>
            </w: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Total current liabilities</w:t>
            </w:r>
          </w:p>
        </w:tc>
        <w:tc>
          <w:tcPr>
            <w:tcW w:w="140" w:type="dxa"/>
            <w:vAlign w:val="bottom"/>
            <w:tcBorders>
              <w:lef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2,255,851</w:t>
            </w:r>
          </w:p>
        </w:tc>
        <w:tc>
          <w:tcPr>
            <w:tcW w:w="10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2,758,105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2,758,105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-111125</wp:posOffset>
            </wp:positionV>
            <wp:extent cx="698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-111125</wp:posOffset>
            </wp:positionV>
            <wp:extent cx="5588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-111125</wp:posOffset>
            </wp:positionV>
            <wp:extent cx="321627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-906145</wp:posOffset>
            </wp:positionV>
            <wp:extent cx="698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-906145</wp:posOffset>
            </wp:positionV>
            <wp:extent cx="5588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-906145</wp:posOffset>
            </wp:positionV>
            <wp:extent cx="321627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-1338580</wp:posOffset>
            </wp:positionV>
            <wp:extent cx="698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-1338580</wp:posOffset>
            </wp:positionV>
            <wp:extent cx="5588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-1338580</wp:posOffset>
            </wp:positionV>
            <wp:extent cx="321627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-2001520</wp:posOffset>
            </wp:positionV>
            <wp:extent cx="107442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74420"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-2001520</wp:posOffset>
            </wp:positionV>
            <wp:extent cx="1397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7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wp:posOffset>
            </wp:positionV>
            <wp:extent cx="4241800" cy="1187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Lease liability, noncurrent</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wp:posOffset>
            </wp:positionV>
            <wp:extent cx="4241800" cy="167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241800" cy="167640"/>
                    </a:xfrm>
                    <a:prstGeom prst="rect">
                      <a:avLst/>
                    </a:prstGeom>
                    <a:noFill/>
                  </pic:spPr>
                </pic:pic>
              </a:graphicData>
            </a:graphic>
          </wp:anchor>
        </w:drawing>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Commitments and contingencies (Note 9)</w:t>
      </w:r>
    </w:p>
    <w:p>
      <w:pPr>
        <w:spacing w:after="0" w:line="9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wp:posOffset>
            </wp:positionV>
            <wp:extent cx="4241800" cy="3556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241800" cy="355600"/>
                    </a:xfrm>
                    <a:prstGeom prst="rect">
                      <a:avLst/>
                    </a:prstGeom>
                    <a:noFill/>
                  </pic:spPr>
                </pic:pic>
              </a:graphicData>
            </a:graphic>
          </wp:anchor>
        </w:drawing>
      </w:r>
    </w:p>
    <w:p>
      <w:pPr>
        <w:ind w:left="1300" w:hanging="138"/>
        <w:spacing w:after="0" w:line="224" w:lineRule="auto"/>
        <w:rPr>
          <w:sz w:val="20"/>
          <w:szCs w:val="20"/>
          <w:color w:val="auto"/>
        </w:rPr>
      </w:pPr>
      <w:r>
        <w:rPr>
          <w:rFonts w:ascii="Arial" w:cs="Arial" w:eastAsia="Arial" w:hAnsi="Arial"/>
          <w:sz w:val="13"/>
          <w:szCs w:val="13"/>
          <w:color w:val="auto"/>
        </w:rPr>
        <w:t>Series B preferred stock, $0.001 par value, 6,032,183 shares authorized, 3,619,292 shares issued and outstanding at December 31, 2020 and March 31, 2021, 0 shares issued and outstanding at March 31, 2021 pro forma, respectively net of issuance costs</w:t>
      </w:r>
    </w:p>
    <w:p>
      <w:pPr>
        <w:spacing w:after="0" w:line="2" w:lineRule="exact"/>
        <w:rPr>
          <w:sz w:val="20"/>
          <w:szCs w:val="20"/>
          <w:color w:val="auto"/>
        </w:rPr>
      </w:pPr>
    </w:p>
    <w:p>
      <w:pPr>
        <w:ind w:left="1300" w:hanging="138"/>
        <w:spacing w:after="0" w:line="225" w:lineRule="auto"/>
        <w:rPr>
          <w:sz w:val="20"/>
          <w:szCs w:val="20"/>
          <w:color w:val="auto"/>
        </w:rPr>
      </w:pPr>
      <w:r>
        <w:rPr>
          <w:rFonts w:ascii="Arial" w:cs="Arial" w:eastAsia="Arial" w:hAnsi="Arial"/>
          <w:sz w:val="13"/>
          <w:szCs w:val="13"/>
          <w:color w:val="auto"/>
        </w:rPr>
        <w:t>Series A preferred stock, $0.001 par value, 2,495,933 shares authorized, 2,495,933 shares issued and outstanding at December 31, 2020 and March 31, 2021, 0 shares issued and outstanding at March 31, 2021 pro forma, respectively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257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color w:val="auto"/>
        </w:rPr>
        <w:t>Total convertible preferred stock</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wp:posOffset>
            </wp:positionV>
            <wp:extent cx="4241800" cy="3556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241800" cy="355600"/>
                    </a:xfrm>
                    <a:prstGeom prst="rect">
                      <a:avLst/>
                    </a:prstGeom>
                    <a:noFill/>
                  </pic:spPr>
                </pic:pic>
              </a:graphicData>
            </a:graphic>
          </wp:anchor>
        </w:drawing>
      </w:r>
    </w:p>
    <w:p>
      <w:pPr>
        <w:ind w:left="1300" w:right="20" w:hanging="138"/>
        <w:spacing w:after="0" w:line="224" w:lineRule="auto"/>
        <w:rPr>
          <w:sz w:val="20"/>
          <w:szCs w:val="20"/>
          <w:color w:val="auto"/>
        </w:rPr>
      </w:pPr>
      <w:r>
        <w:rPr>
          <w:rFonts w:ascii="Arial" w:cs="Arial" w:eastAsia="Arial" w:hAnsi="Arial"/>
          <w:sz w:val="13"/>
          <w:szCs w:val="13"/>
          <w:color w:val="auto"/>
        </w:rPr>
        <w:t>Class A common stock, $0.001 par value, 15,733,000 shares authorized, 3,535,811 shares issued and outstanding at December 31, 2020 and March 31, 2021, 9,651,036 shares issued and outstanding at March 31, 2021 pro forma, respectively</w:t>
      </w:r>
    </w:p>
    <w:p>
      <w:pPr>
        <w:spacing w:after="0" w:line="2" w:lineRule="exact"/>
        <w:rPr>
          <w:sz w:val="20"/>
          <w:szCs w:val="20"/>
          <w:color w:val="auto"/>
        </w:rPr>
      </w:pPr>
    </w:p>
    <w:p>
      <w:pPr>
        <w:ind w:left="1300" w:right="40" w:hanging="138"/>
        <w:spacing w:after="0" w:line="212" w:lineRule="auto"/>
        <w:rPr>
          <w:sz w:val="20"/>
          <w:szCs w:val="20"/>
          <w:color w:val="auto"/>
        </w:rPr>
      </w:pPr>
      <w:r>
        <w:rPr>
          <w:rFonts w:ascii="Arial" w:cs="Arial" w:eastAsia="Arial" w:hAnsi="Arial"/>
          <w:sz w:val="14"/>
          <w:szCs w:val="14"/>
          <w:color w:val="auto"/>
        </w:rPr>
        <w:t>Class B common stock, $0.001 par value, 6,032,183 shares authorized, 0 shares issued and outstanding at March 31, 2021 and December 31, 2020 and March 31, 2021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-10160</wp:posOffset>
            </wp:positionV>
            <wp:extent cx="4241800" cy="1047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241800" cy="10477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color w:val="auto"/>
        </w:rPr>
        <w:t>Additional paid-in capital</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-2540</wp:posOffset>
            </wp:positionV>
            <wp:extent cx="4241800" cy="1257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Total stockholders’ equity (deficit)</w:t>
      </w:r>
    </w:p>
    <w:p>
      <w:pPr>
        <w:spacing w:after="0" w:line="17" w:lineRule="exact"/>
        <w:rPr>
          <w:sz w:val="20"/>
          <w:szCs w:val="20"/>
          <w:color w:val="auto"/>
        </w:rPr>
      </w:pPr>
    </w:p>
    <w:p>
      <w:pPr>
        <w:ind w:left="1580" w:right="40" w:hanging="138"/>
        <w:spacing w:after="0" w:line="229" w:lineRule="auto"/>
        <w:rPr>
          <w:sz w:val="20"/>
          <w:szCs w:val="20"/>
          <w:color w:val="auto"/>
        </w:rPr>
      </w:pPr>
      <w:r>
        <w:rPr>
          <w:rFonts w:ascii="Arial" w:cs="Arial" w:eastAsia="Arial" w:hAnsi="Arial"/>
          <w:sz w:val="14"/>
          <w:szCs w:val="14"/>
          <w:b w:val="1"/>
          <w:bCs w:val="1"/>
          <w:color w:val="auto"/>
        </w:rPr>
        <w:t>Total liabilities, convertible preferred stock and stockholders’ equity (deficit)</w:t>
      </w:r>
    </w:p>
    <w:p>
      <w:pPr>
        <w:spacing w:after="0" w:line="20" w:lineRule="exact"/>
        <w:rPr>
          <w:sz w:val="20"/>
          <w:szCs w:val="20"/>
          <w:color w:val="auto"/>
        </w:rPr>
      </w:pPr>
      <w:r>
        <w:rPr>
          <w:sz w:val="20"/>
          <w:szCs w:val="20"/>
          <w:color w:val="auto"/>
        </w:rPr>
        <w:br w:type="column"/>
      </w:r>
    </w:p>
    <w:p>
      <w:pPr>
        <w:ind w:left="300"/>
        <w:spacing w:after="0"/>
        <w:tabs>
          <w:tab w:leader="none" w:pos="1120" w:val="left"/>
          <w:tab w:leader="none" w:pos="1960" w:val="left"/>
        </w:tabs>
        <w:rPr>
          <w:sz w:val="20"/>
          <w:szCs w:val="20"/>
          <w:color w:val="auto"/>
        </w:rPr>
      </w:pPr>
      <w:r>
        <w:rPr>
          <w:rFonts w:ascii="Arial" w:cs="Arial" w:eastAsia="Arial" w:hAnsi="Arial"/>
          <w:sz w:val="14"/>
          <w:szCs w:val="14"/>
          <w:color w:val="auto"/>
        </w:rPr>
        <w:t>544,767</w:t>
      </w:r>
      <w:r>
        <w:rPr>
          <w:sz w:val="20"/>
          <w:szCs w:val="20"/>
          <w:color w:val="auto"/>
        </w:rPr>
        <w:tab/>
      </w:r>
      <w:r>
        <w:rPr>
          <w:rFonts w:ascii="Arial" w:cs="Arial" w:eastAsia="Arial" w:hAnsi="Arial"/>
          <w:sz w:val="14"/>
          <w:szCs w:val="14"/>
          <w:color w:val="auto"/>
        </w:rPr>
        <w:t>524,145</w:t>
      </w:r>
      <w:r>
        <w:rPr>
          <w:sz w:val="20"/>
          <w:szCs w:val="20"/>
          <w:color w:val="auto"/>
        </w:rPr>
        <w:tab/>
      </w:r>
      <w:r>
        <w:rPr>
          <w:rFonts w:ascii="Arial" w:cs="Arial" w:eastAsia="Arial" w:hAnsi="Arial"/>
          <w:sz w:val="12"/>
          <w:szCs w:val="12"/>
          <w:color w:val="auto"/>
        </w:rPr>
        <w:t>524,145</w:t>
      </w:r>
    </w:p>
    <w:p>
      <w:pPr>
        <w:spacing w:after="0" w:line="14" w:lineRule="exact"/>
        <w:rPr>
          <w:sz w:val="20"/>
          <w:szCs w:val="20"/>
          <w:color w:val="auto"/>
        </w:rPr>
      </w:pPr>
    </w:p>
    <w:p>
      <w:pPr>
        <w:ind w:left="200"/>
        <w:spacing w:after="0"/>
        <w:tabs>
          <w:tab w:leader="none" w:pos="1020" w:val="left"/>
          <w:tab w:leader="none" w:pos="1860" w:val="left"/>
        </w:tabs>
        <w:rPr>
          <w:sz w:val="20"/>
          <w:szCs w:val="20"/>
          <w:color w:val="auto"/>
        </w:rPr>
      </w:pPr>
      <w:r>
        <w:rPr>
          <w:rFonts w:ascii="Arial" w:cs="Arial" w:eastAsia="Arial" w:hAnsi="Arial"/>
          <w:sz w:val="14"/>
          <w:szCs w:val="14"/>
          <w:color w:val="auto"/>
        </w:rPr>
        <w:t>2,800,618</w:t>
      </w:r>
      <w:r>
        <w:rPr>
          <w:sz w:val="20"/>
          <w:szCs w:val="20"/>
          <w:color w:val="auto"/>
        </w:rPr>
        <w:tab/>
      </w:r>
      <w:r>
        <w:rPr>
          <w:rFonts w:ascii="Arial" w:cs="Arial" w:eastAsia="Arial" w:hAnsi="Arial"/>
          <w:sz w:val="14"/>
          <w:szCs w:val="14"/>
          <w:color w:val="auto"/>
        </w:rPr>
        <w:t>3,282,250</w:t>
      </w:r>
      <w:r>
        <w:rPr>
          <w:sz w:val="20"/>
          <w:szCs w:val="20"/>
          <w:color w:val="auto"/>
        </w:rPr>
        <w:tab/>
      </w:r>
      <w:r>
        <w:rPr>
          <w:rFonts w:ascii="Arial" w:cs="Arial" w:eastAsia="Arial" w:hAnsi="Arial"/>
          <w:sz w:val="12"/>
          <w:szCs w:val="12"/>
          <w:color w:val="auto"/>
        </w:rPr>
        <w:t>3,282,250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tabs>
          <w:tab w:leader="none" w:pos="940" w:val="left"/>
          <w:tab w:leader="none" w:pos="2280" w:val="left"/>
        </w:tabs>
        <w:rPr>
          <w:sz w:val="20"/>
          <w:szCs w:val="20"/>
          <w:color w:val="auto"/>
        </w:rPr>
      </w:pPr>
      <w:r>
        <w:rPr>
          <w:rFonts w:ascii="Arial" w:cs="Arial" w:eastAsia="Arial" w:hAnsi="Arial"/>
          <w:sz w:val="14"/>
          <w:szCs w:val="14"/>
          <w:color w:val="auto"/>
        </w:rPr>
        <w:t>36,983,910</w:t>
        <w:tab/>
        <w:t>36,983,910</w:t>
      </w:r>
      <w:r>
        <w:rPr>
          <w:sz w:val="20"/>
          <w:szCs w:val="20"/>
          <w:color w:val="auto"/>
        </w:rPr>
        <w:tab/>
      </w:r>
      <w:r>
        <w:rPr>
          <w:rFonts w:ascii="Arial" w:cs="Arial" w:eastAsia="Arial" w:hAnsi="Arial"/>
          <w:sz w:val="14"/>
          <w:szCs w:val="14"/>
          <w:color w:val="auto"/>
        </w:rPr>
        <w:t>—</w:t>
      </w:r>
    </w:p>
    <w:p>
      <w:pPr>
        <w:spacing w:after="0" w:line="388" w:lineRule="exact"/>
        <w:rPr>
          <w:sz w:val="20"/>
          <w:szCs w:val="20"/>
          <w:color w:val="auto"/>
        </w:rPr>
      </w:pPr>
    </w:p>
    <w:p>
      <w:pPr>
        <w:ind w:left="140"/>
        <w:spacing w:after="0"/>
        <w:tabs>
          <w:tab w:leader="none" w:pos="940" w:val="left"/>
          <w:tab w:leader="none" w:pos="2280" w:val="left"/>
        </w:tabs>
        <w:rPr>
          <w:sz w:val="20"/>
          <w:szCs w:val="20"/>
          <w:color w:val="auto"/>
        </w:rPr>
      </w:pPr>
      <w:r>
        <w:rPr>
          <w:rFonts w:ascii="Arial" w:cs="Arial" w:eastAsia="Arial" w:hAnsi="Arial"/>
          <w:sz w:val="14"/>
          <w:szCs w:val="14"/>
          <w:color w:val="auto"/>
        </w:rPr>
        <w:t>21,119,940</w:t>
        <w:tab/>
        <w:t>21,119,940</w:t>
      </w:r>
      <w:r>
        <w:rPr>
          <w:sz w:val="20"/>
          <w:szCs w:val="20"/>
          <w:color w:val="auto"/>
        </w:rPr>
        <w:tab/>
      </w:r>
      <w:r>
        <w:rPr>
          <w:rFonts w:ascii="Arial" w:cs="Arial" w:eastAsia="Arial" w:hAnsi="Arial"/>
          <w:sz w:val="14"/>
          <w:szCs w:val="14"/>
          <w:color w:val="auto"/>
        </w:rPr>
        <w:t>—</w:t>
      </w:r>
    </w:p>
    <w:p>
      <w:pPr>
        <w:spacing w:after="0" w:line="26" w:lineRule="exact"/>
        <w:rPr>
          <w:sz w:val="20"/>
          <w:szCs w:val="20"/>
          <w:color w:val="auto"/>
        </w:rPr>
      </w:pPr>
    </w:p>
    <w:p>
      <w:pPr>
        <w:ind w:left="120"/>
        <w:spacing w:after="0"/>
        <w:tabs>
          <w:tab w:leader="none" w:pos="940" w:val="left"/>
          <w:tab w:leader="none" w:pos="2280" w:val="left"/>
        </w:tabs>
        <w:rPr>
          <w:sz w:val="20"/>
          <w:szCs w:val="20"/>
          <w:color w:val="auto"/>
        </w:rPr>
      </w:pPr>
      <w:r>
        <w:rPr>
          <w:rFonts w:ascii="Arial" w:cs="Arial" w:eastAsia="Arial" w:hAnsi="Arial"/>
          <w:sz w:val="14"/>
          <w:szCs w:val="14"/>
          <w:color w:val="auto"/>
        </w:rPr>
        <w:t>58,103,850</w:t>
        <w:tab/>
        <w:t>58,103,850</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tabs>
          <w:tab w:leader="none" w:pos="1260" w:val="left"/>
          <w:tab w:leader="none" w:pos="2100" w:val="left"/>
        </w:tabs>
        <w:rPr>
          <w:sz w:val="20"/>
          <w:szCs w:val="20"/>
          <w:color w:val="auto"/>
        </w:rPr>
      </w:pPr>
      <w:r>
        <w:rPr>
          <w:rFonts w:ascii="Arial" w:cs="Arial" w:eastAsia="Arial" w:hAnsi="Arial"/>
          <w:sz w:val="14"/>
          <w:szCs w:val="14"/>
          <w:color w:val="auto"/>
        </w:rPr>
        <w:t>3,536</w:t>
      </w:r>
      <w:r>
        <w:rPr>
          <w:sz w:val="20"/>
          <w:szCs w:val="20"/>
          <w:color w:val="auto"/>
        </w:rPr>
        <w:tab/>
      </w:r>
      <w:r>
        <w:rPr>
          <w:rFonts w:ascii="Arial" w:cs="Arial" w:eastAsia="Arial" w:hAnsi="Arial"/>
          <w:sz w:val="14"/>
          <w:szCs w:val="14"/>
          <w:color w:val="auto"/>
        </w:rPr>
        <w:t>3,536</w:t>
      </w:r>
      <w:r>
        <w:rPr>
          <w:sz w:val="20"/>
          <w:szCs w:val="20"/>
          <w:color w:val="auto"/>
        </w:rPr>
        <w:tab/>
      </w:r>
      <w:r>
        <w:rPr>
          <w:rFonts w:ascii="Arial" w:cs="Arial" w:eastAsia="Arial" w:hAnsi="Arial"/>
          <w:sz w:val="12"/>
          <w:szCs w:val="12"/>
          <w:color w:val="auto"/>
        </w:rPr>
        <w:t>9,651</w:t>
      </w:r>
    </w:p>
    <w:p>
      <w:pPr>
        <w:spacing w:after="0" w:line="267" w:lineRule="exact"/>
        <w:rPr>
          <w:sz w:val="20"/>
          <w:szCs w:val="20"/>
          <w:color w:val="auto"/>
        </w:rPr>
      </w:pPr>
    </w:p>
    <w:p>
      <w:pPr>
        <w:ind w:left="620"/>
        <w:spacing w:after="0"/>
        <w:tabs>
          <w:tab w:leader="none" w:pos="1420" w:val="left"/>
          <w:tab w:leader="none" w:pos="2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6" w:lineRule="exact"/>
        <w:rPr>
          <w:sz w:val="20"/>
          <w:szCs w:val="20"/>
          <w:color w:val="auto"/>
        </w:rPr>
      </w:pPr>
    </w:p>
    <w:p>
      <w:pPr>
        <w:ind w:left="200"/>
        <w:spacing w:after="0"/>
        <w:tabs>
          <w:tab w:leader="none" w:pos="1020" w:val="left"/>
          <w:tab w:leader="none" w:pos="1780" w:val="left"/>
        </w:tabs>
        <w:rPr>
          <w:sz w:val="20"/>
          <w:szCs w:val="20"/>
          <w:color w:val="auto"/>
        </w:rPr>
      </w:pPr>
      <w:r>
        <w:rPr>
          <w:rFonts w:ascii="Arial" w:cs="Arial" w:eastAsia="Arial" w:hAnsi="Arial"/>
          <w:sz w:val="14"/>
          <w:szCs w:val="14"/>
          <w:color w:val="auto"/>
        </w:rPr>
        <w:t>3,252,654</w:t>
      </w:r>
      <w:r>
        <w:rPr>
          <w:sz w:val="20"/>
          <w:szCs w:val="20"/>
          <w:color w:val="auto"/>
        </w:rPr>
        <w:tab/>
      </w:r>
      <w:r>
        <w:rPr>
          <w:rFonts w:ascii="Arial" w:cs="Arial" w:eastAsia="Arial" w:hAnsi="Arial"/>
          <w:sz w:val="14"/>
          <w:szCs w:val="14"/>
          <w:color w:val="auto"/>
        </w:rPr>
        <w:t>3,434,879</w:t>
      </w:r>
      <w:r>
        <w:rPr>
          <w:sz w:val="20"/>
          <w:szCs w:val="20"/>
          <w:color w:val="auto"/>
        </w:rPr>
        <w:tab/>
      </w:r>
      <w:r>
        <w:rPr>
          <w:rFonts w:ascii="Arial" w:cs="Arial" w:eastAsia="Arial" w:hAnsi="Arial"/>
          <w:sz w:val="12"/>
          <w:szCs w:val="12"/>
          <w:color w:val="auto"/>
        </w:rPr>
        <w:t>61,532,614</w:t>
      </w:r>
    </w:p>
    <w:p>
      <w:pPr>
        <w:spacing w:after="0" w:line="4" w:lineRule="exact"/>
        <w:rPr>
          <w:sz w:val="20"/>
          <w:szCs w:val="20"/>
          <w:color w:val="auto"/>
        </w:rPr>
      </w:pPr>
    </w:p>
    <w:p>
      <w:pPr>
        <w:ind w:left="80"/>
        <w:spacing w:after="0"/>
        <w:tabs>
          <w:tab w:leader="none" w:pos="900" w:val="left"/>
          <w:tab w:leader="none" w:pos="1740" w:val="left"/>
        </w:tabs>
        <w:rPr>
          <w:sz w:val="20"/>
          <w:szCs w:val="20"/>
          <w:color w:val="auto"/>
        </w:rPr>
      </w:pPr>
      <w:r>
        <w:rPr>
          <w:rFonts w:ascii="Arial" w:cs="Arial" w:eastAsia="Arial" w:hAnsi="Arial"/>
          <w:sz w:val="14"/>
          <w:szCs w:val="14"/>
          <w:u w:val="single" w:color="auto"/>
          <w:color w:val="auto"/>
        </w:rPr>
        <w:t>(25,737,640</w:t>
      </w:r>
      <w:r>
        <w:rPr>
          <w:rFonts w:ascii="Arial" w:cs="Arial" w:eastAsia="Arial" w:hAnsi="Arial"/>
          <w:sz w:val="14"/>
          <w:szCs w:val="14"/>
          <w:color w:val="auto"/>
        </w:rPr>
        <w:t>)</w:t>
      </w:r>
      <w:r>
        <w:rPr>
          <w:sz w:val="20"/>
          <w:szCs w:val="20"/>
          <w:color w:val="auto"/>
        </w:rPr>
        <w:tab/>
      </w:r>
      <w:r>
        <w:rPr>
          <w:rFonts w:ascii="Arial" w:cs="Arial" w:eastAsia="Arial" w:hAnsi="Arial"/>
          <w:sz w:val="14"/>
          <w:szCs w:val="14"/>
          <w:u w:val="single" w:color="auto"/>
          <w:color w:val="auto"/>
        </w:rPr>
        <w:t>(31,967,291</w:t>
      </w:r>
      <w:r>
        <w:rPr>
          <w:rFonts w:ascii="Arial" w:cs="Arial" w:eastAsia="Arial" w:hAnsi="Arial"/>
          <w:sz w:val="14"/>
          <w:szCs w:val="14"/>
          <w:color w:val="auto"/>
        </w:rPr>
        <w:t>)</w:t>
      </w:r>
      <w:r>
        <w:rPr>
          <w:sz w:val="20"/>
          <w:szCs w:val="20"/>
          <w:color w:val="auto"/>
        </w:rPr>
        <w:tab/>
      </w:r>
      <w:r>
        <w:rPr>
          <w:rFonts w:ascii="Arial" w:cs="Arial" w:eastAsia="Arial" w:hAnsi="Arial"/>
          <w:sz w:val="12"/>
          <w:szCs w:val="12"/>
          <w:u w:val="single" w:color="auto"/>
          <w:color w:val="auto"/>
        </w:rPr>
        <w:t>(31,967,291</w:t>
      </w:r>
      <w:r>
        <w:rPr>
          <w:rFonts w:ascii="Arial" w:cs="Arial" w:eastAsia="Arial" w:hAnsi="Arial"/>
          <w:sz w:val="12"/>
          <w:szCs w:val="12"/>
          <w:color w:val="auto"/>
        </w:rPr>
        <w:t>)</w:t>
      </w:r>
    </w:p>
    <w:p>
      <w:pPr>
        <w:spacing w:after="0" w:line="14" w:lineRule="exact"/>
        <w:rPr>
          <w:sz w:val="20"/>
          <w:szCs w:val="20"/>
          <w:color w:val="auto"/>
        </w:rPr>
      </w:pPr>
    </w:p>
    <w:p>
      <w:pPr>
        <w:ind w:left="80"/>
        <w:spacing w:after="0"/>
        <w:tabs>
          <w:tab w:leader="none" w:pos="900" w:val="left"/>
          <w:tab w:leader="none" w:pos="1780" w:val="left"/>
        </w:tabs>
        <w:rPr>
          <w:sz w:val="20"/>
          <w:szCs w:val="20"/>
          <w:color w:val="auto"/>
        </w:rPr>
      </w:pPr>
      <w:r>
        <w:rPr>
          <w:rFonts w:ascii="Arial" w:cs="Arial" w:eastAsia="Arial" w:hAnsi="Arial"/>
          <w:sz w:val="14"/>
          <w:szCs w:val="14"/>
          <w:u w:val="single" w:color="auto"/>
          <w:color w:val="auto"/>
        </w:rPr>
        <w:t>(22,481,450</w:t>
      </w:r>
      <w:r>
        <w:rPr>
          <w:rFonts w:ascii="Arial" w:cs="Arial" w:eastAsia="Arial" w:hAnsi="Arial"/>
          <w:sz w:val="14"/>
          <w:szCs w:val="14"/>
          <w:color w:val="auto"/>
        </w:rPr>
        <w:t>)</w:t>
      </w:r>
      <w:r>
        <w:rPr>
          <w:sz w:val="20"/>
          <w:szCs w:val="20"/>
          <w:color w:val="auto"/>
        </w:rPr>
        <w:tab/>
      </w:r>
      <w:r>
        <w:rPr>
          <w:rFonts w:ascii="Arial" w:cs="Arial" w:eastAsia="Arial" w:hAnsi="Arial"/>
          <w:sz w:val="14"/>
          <w:szCs w:val="14"/>
          <w:u w:val="single" w:color="auto"/>
          <w:color w:val="auto"/>
        </w:rPr>
        <w:t>(28,528,876</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29,574,974</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$ 38,423,018 $ 32,857,224 $ 32,857,224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1548765"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48765" cy="69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340" w:space="60"/>
            <w:col w:w="3619"/>
          </w:cols>
          <w:pgMar w:left="1440" w:top="134" w:right="1440" w:bottom="1440" w:gutter="0" w:footer="0" w:header="0"/>
          <w:type w:val="continuous"/>
        </w:sectPr>
      </w:pPr>
    </w:p>
    <w:p>
      <w:pPr>
        <w:jc w:val="center"/>
        <w:ind w:right="3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9" w:name="page210"/>
    <w:bookmarkEnd w:id="209"/>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 THE THREE MONTHS ENDED MARCH 31, 2021 and 2020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68"/>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8"/>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748,200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483,050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80" w:type="dxa"/>
            <w:vAlign w:val="bottom"/>
            <w:gridSpan w:val="2"/>
          </w:tcPr>
          <w:p>
            <w:pPr>
              <w:spacing w:after="0"/>
              <w:rPr>
                <w:sz w:val="20"/>
                <w:szCs w:val="20"/>
                <w:color w:val="auto"/>
              </w:rPr>
            </w:pPr>
            <w:r>
              <w:rPr>
                <w:rFonts w:ascii="Arial" w:cs="Arial" w:eastAsia="Arial" w:hAnsi="Arial"/>
                <w:sz w:val="15"/>
                <w:szCs w:val="15"/>
                <w:b w:val="1"/>
                <w:bCs w:val="1"/>
                <w:color w:val="auto"/>
              </w:rPr>
              <w:t>Cost of revenue</w:t>
            </w:r>
          </w:p>
        </w:tc>
        <w:tc>
          <w:tcPr>
            <w:tcW w:w="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409,163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255,026</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Gross profit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339,037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08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8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Research and development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5,391,020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2,823,254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80" w:type="dxa"/>
            <w:vAlign w:val="bottom"/>
            <w:gridSpan w:val="2"/>
          </w:tcPr>
          <w:p>
            <w:pPr>
              <w:ind w:left="300"/>
              <w:spacing w:after="0"/>
              <w:rPr>
                <w:sz w:val="20"/>
                <w:szCs w:val="20"/>
                <w:color w:val="auto"/>
              </w:rPr>
            </w:pPr>
            <w:r>
              <w:rPr>
                <w:rFonts w:ascii="Arial" w:cs="Arial" w:eastAsia="Arial" w:hAnsi="Arial"/>
                <w:sz w:val="15"/>
                <w:szCs w:val="15"/>
                <w:color w:val="auto"/>
              </w:rPr>
              <w:t>General and administrative</w:t>
            </w:r>
          </w:p>
        </w:tc>
        <w:tc>
          <w:tcPr>
            <w:tcW w:w="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1,184,023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643,984</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6,575,043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3,467,238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80" w:type="dxa"/>
            <w:vAlign w:val="bottom"/>
            <w:gridSpan w:val="2"/>
          </w:tcPr>
          <w:p>
            <w:pPr>
              <w:ind w:left="440"/>
              <w:spacing w:after="0"/>
              <w:rPr>
                <w:sz w:val="20"/>
                <w:szCs w:val="20"/>
                <w:color w:val="auto"/>
              </w:rPr>
            </w:pPr>
            <w:r>
              <w:rPr>
                <w:rFonts w:ascii="Arial" w:cs="Arial" w:eastAsia="Arial" w:hAnsi="Arial"/>
                <w:sz w:val="15"/>
                <w:szCs w:val="15"/>
                <w:b w:val="1"/>
                <w:bCs w:val="1"/>
                <w:color w:val="auto"/>
              </w:rPr>
              <w:t>Loss from operations</w:t>
            </w:r>
          </w:p>
        </w:tc>
        <w:tc>
          <w:tcPr>
            <w:tcW w:w="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(6,236,006)</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w w:val="88"/>
              </w:rPr>
              <w:t>(3,239,214)</w:t>
            </w:r>
          </w:p>
        </w:tc>
        <w:tc>
          <w:tcPr>
            <w:tcW w:w="0" w:type="dxa"/>
            <w:vAlign w:val="bottom"/>
          </w:tcPr>
          <w:p>
            <w:pPr>
              <w:spacing w:after="0"/>
              <w:rPr>
                <w:sz w:val="1"/>
                <w:szCs w:val="1"/>
                <w:color w:val="auto"/>
              </w:rPr>
            </w:pPr>
          </w:p>
        </w:tc>
      </w:tr>
      <w:tr>
        <w:trPr>
          <w:trHeight w:val="297"/>
        </w:trPr>
        <w:tc>
          <w:tcPr>
            <w:tcW w:w="5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Other income</w:t>
            </w: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080" w:type="dxa"/>
            <w:vAlign w:val="bottom"/>
            <w:gridSpan w:val="2"/>
          </w:tcPr>
          <w:p>
            <w:pPr>
              <w:ind w:left="30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6,355</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38,494</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5"/>
                <w:szCs w:val="15"/>
                <w:b w:val="1"/>
                <w:bCs w:val="1"/>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88"/>
              </w:rPr>
              <w:t>(6,229,651)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0"/>
              </w:rPr>
              <w:t>(3,200,720)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gridSpan w:val="2"/>
          </w:tcPr>
          <w:p>
            <w:pPr>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line="167" w:lineRule="exact"/>
              <w:rPr>
                <w:sz w:val="20"/>
                <w:szCs w:val="20"/>
                <w:color w:val="auto"/>
              </w:rPr>
            </w:pPr>
            <w:r>
              <w:rPr>
                <w:rFonts w:ascii="Arial" w:cs="Arial" w:eastAsia="Arial" w:hAnsi="Arial"/>
                <w:sz w:val="15"/>
                <w:szCs w:val="15"/>
                <w:color w:val="auto"/>
              </w:rPr>
              <w:t>(1.76)</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(0.91)</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Weighted-average common shares outstanding, basic and diluted</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3,535,811</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3,535,811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spacing w:after="0" w:line="158" w:lineRule="exact"/>
              <w:rPr>
                <w:sz w:val="20"/>
                <w:szCs w:val="20"/>
                <w:color w:val="auto"/>
              </w:rPr>
            </w:pPr>
            <w:r>
              <w:rPr>
                <w:rFonts w:ascii="Arial" w:cs="Arial" w:eastAsia="Arial" w:hAnsi="Arial"/>
                <w:sz w:val="15"/>
                <w:szCs w:val="15"/>
                <w:color w:val="auto"/>
                <w:w w:val="99"/>
              </w:rPr>
              <w:t>Pro forma net loss per share attributable to common stockholders, basic and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080" w:type="dxa"/>
            <w:vAlign w:val="bottom"/>
            <w:gridSpan w:val="2"/>
            <w:vMerge w:val="continue"/>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(0.65)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5080" w:type="dxa"/>
            <w:vAlign w:val="bottom"/>
            <w:gridSpan w:val="2"/>
          </w:tcPr>
          <w:p>
            <w:pPr>
              <w:ind w:left="160"/>
              <w:spacing w:after="0"/>
              <w:rPr>
                <w:sz w:val="20"/>
                <w:szCs w:val="20"/>
                <w:color w:val="auto"/>
              </w:rPr>
            </w:pPr>
            <w:r>
              <w:rPr>
                <w:rFonts w:ascii="Arial" w:cs="Arial" w:eastAsia="Arial" w:hAnsi="Arial"/>
                <w:sz w:val="15"/>
                <w:szCs w:val="15"/>
                <w:color w:val="auto"/>
              </w:rPr>
              <w:t>diluted (unaudited)</w:t>
            </w:r>
          </w:p>
        </w:tc>
        <w:tc>
          <w:tcPr>
            <w:tcW w:w="6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80" w:type="dxa"/>
            <w:vAlign w:val="bottom"/>
            <w:tcBorders>
              <w:right w:val="single" w:sz="8" w:color="CCEEFF"/>
            </w:tcBorders>
            <w:gridSpan w:val="2"/>
            <w:shd w:val="clear" w:color="auto" w:fill="CCEEFF"/>
          </w:tcPr>
          <w:p>
            <w:pPr>
              <w:spacing w:after="0" w:line="155" w:lineRule="exact"/>
              <w:rPr>
                <w:sz w:val="20"/>
                <w:szCs w:val="20"/>
                <w:color w:val="auto"/>
              </w:rPr>
            </w:pPr>
            <w:r>
              <w:rPr>
                <w:rFonts w:ascii="Arial" w:cs="Arial" w:eastAsia="Arial" w:hAnsi="Arial"/>
                <w:sz w:val="15"/>
                <w:szCs w:val="15"/>
                <w:color w:val="auto"/>
              </w:rPr>
              <w:t>Pro forma weighted-average common shares outstanding, basic and diluted</w:t>
            </w:r>
          </w:p>
        </w:tc>
        <w:tc>
          <w:tcPr>
            <w:tcW w:w="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w w:val="92"/>
              </w:rPr>
              <w:t>9,651,036</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0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-683260</wp:posOffset>
            </wp:positionV>
            <wp:extent cx="378841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-989965</wp:posOffset>
            </wp:positionV>
            <wp:extent cx="378841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378841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-2218055</wp:posOffset>
            </wp:positionV>
            <wp:extent cx="378841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-2496820</wp:posOffset>
            </wp:positionV>
            <wp:extent cx="378142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7814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91"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CONSOLIDATED STATEMENTS OF CONVERTIBLE PREFERRED STOCK AND STOCKHOLDERS’ DEFICIT</w:t>
      </w:r>
    </w:p>
    <w:p>
      <w:pPr>
        <w:spacing w:after="0" w:line="18" w:lineRule="exact"/>
        <w:rPr>
          <w:sz w:val="20"/>
          <w:szCs w:val="20"/>
          <w:color w:val="auto"/>
        </w:rPr>
      </w:pPr>
    </w:p>
    <w:p>
      <w:pPr>
        <w:jc w:val="center"/>
        <w:ind w:right="-619"/>
        <w:spacing w:after="0"/>
        <w:rPr>
          <w:sz w:val="20"/>
          <w:szCs w:val="20"/>
          <w:color w:val="auto"/>
        </w:rPr>
      </w:pPr>
      <w:r>
        <w:rPr>
          <w:rFonts w:ascii="Arial" w:cs="Arial" w:eastAsia="Arial" w:hAnsi="Arial"/>
          <w:sz w:val="15"/>
          <w:szCs w:val="15"/>
          <w:b w:val="1"/>
          <w:bCs w:val="1"/>
          <w:color w:val="auto"/>
        </w:rPr>
        <w:t>FOR THE THREE MONTHS ENDED MARCH 31, 2021 and 2020</w:t>
      </w:r>
    </w:p>
    <w:p>
      <w:pPr>
        <w:spacing w:after="0" w:line="3" w:lineRule="exact"/>
        <w:rPr>
          <w:sz w:val="20"/>
          <w:szCs w:val="20"/>
          <w:color w:val="auto"/>
        </w:rPr>
      </w:pPr>
    </w:p>
    <w:p>
      <w:pPr>
        <w:jc w:val="center"/>
        <w:ind w:right="-659"/>
        <w:spacing w:after="0"/>
        <w:rPr>
          <w:sz w:val="20"/>
          <w:szCs w:val="20"/>
          <w:color w:val="auto"/>
        </w:rPr>
      </w:pPr>
      <w:r>
        <w:rPr>
          <w:rFonts w:ascii="Arial" w:cs="Arial" w:eastAsia="Arial" w:hAnsi="Arial"/>
          <w:sz w:val="15"/>
          <w:szCs w:val="15"/>
          <w:b w:val="1"/>
          <w:bCs w:val="1"/>
          <w:color w:val="auto"/>
        </w:rPr>
        <w:t>(Unaudited)</w:t>
      </w:r>
    </w:p>
    <w:p>
      <w:pPr>
        <w:spacing w:after="0" w:line="129"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6"/>
          </w:tcPr>
          <w:p>
            <w:pPr>
              <w:ind w:left="400"/>
              <w:spacing w:after="0"/>
              <w:rPr>
                <w:sz w:val="20"/>
                <w:szCs w:val="20"/>
                <w:color w:val="auto"/>
              </w:rPr>
            </w:pPr>
            <w:r>
              <w:rPr>
                <w:rFonts w:ascii="Arial" w:cs="Arial" w:eastAsia="Arial" w:hAnsi="Arial"/>
                <w:sz w:val="12"/>
                <w:szCs w:val="12"/>
                <w:b w:val="1"/>
                <w:bCs w:val="1"/>
                <w:color w:val="auto"/>
              </w:rPr>
              <w:t>Convertible Preferred Stock</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7"/>
          </w:tcPr>
          <w:p>
            <w:pPr>
              <w:ind w:left="80"/>
              <w:spacing w:after="0"/>
              <w:rPr>
                <w:sz w:val="20"/>
                <w:szCs w:val="20"/>
                <w:color w:val="auto"/>
              </w:rPr>
            </w:pPr>
            <w:r>
              <w:rPr>
                <w:rFonts w:ascii="Arial" w:cs="Arial" w:eastAsia="Arial" w:hAnsi="Arial"/>
                <w:sz w:val="12"/>
                <w:szCs w:val="12"/>
                <w:b w:val="1"/>
                <w:bCs w:val="1"/>
                <w:color w:val="auto"/>
                <w:w w:val="95"/>
              </w:rPr>
              <w:t>Stockholders’ Deficit</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3"/>
              </w:rPr>
              <w:t>Total</w:t>
            </w:r>
          </w:p>
        </w:tc>
        <w:tc>
          <w:tcPr>
            <w:tcW w:w="12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1"/>
              </w:rPr>
              <w:t>Class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1"/>
              </w:rPr>
              <w:t>Class 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5"/>
              </w:rPr>
              <w:t>Additional</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66"/>
        </w:trPr>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5"/>
            <w:vMerge w:val="restart"/>
          </w:tcPr>
          <w:p>
            <w:pPr>
              <w:ind w:left="460"/>
              <w:spacing w:after="0"/>
              <w:rPr>
                <w:sz w:val="20"/>
                <w:szCs w:val="20"/>
                <w:color w:val="auto"/>
              </w:rPr>
            </w:pPr>
            <w:r>
              <w:rPr>
                <w:rFonts w:ascii="Arial" w:cs="Arial" w:eastAsia="Arial" w:hAnsi="Arial"/>
                <w:sz w:val="12"/>
                <w:szCs w:val="12"/>
                <w:b w:val="1"/>
                <w:bCs w:val="1"/>
                <w:color w:val="auto"/>
              </w:rPr>
              <w:t>Series B</w:t>
            </w:r>
          </w:p>
        </w:tc>
        <w:tc>
          <w:tcPr>
            <w:tcW w:w="1440" w:type="dxa"/>
            <w:vAlign w:val="bottom"/>
            <w:gridSpan w:val="4"/>
            <w:vMerge w:val="restart"/>
          </w:tcPr>
          <w:p>
            <w:pPr>
              <w:ind w:left="460"/>
              <w:spacing w:after="0"/>
              <w:rPr>
                <w:sz w:val="20"/>
                <w:szCs w:val="20"/>
                <w:color w:val="auto"/>
              </w:rPr>
            </w:pPr>
            <w:r>
              <w:rPr>
                <w:rFonts w:ascii="Arial" w:cs="Arial" w:eastAsia="Arial" w:hAnsi="Arial"/>
                <w:sz w:val="12"/>
                <w:szCs w:val="12"/>
                <w:b w:val="1"/>
                <w:bCs w:val="1"/>
                <w:color w:val="auto"/>
              </w:rPr>
              <w:t>Series A</w:t>
            </w:r>
          </w:p>
        </w:tc>
        <w:tc>
          <w:tcPr>
            <w:tcW w:w="800" w:type="dxa"/>
            <w:vAlign w:val="bottom"/>
            <w:gridSpan w:val="2"/>
            <w:vMerge w:val="continue"/>
          </w:tcPr>
          <w:p>
            <w:pPr>
              <w:spacing w:after="0"/>
              <w:rPr>
                <w:sz w:val="5"/>
                <w:szCs w:val="5"/>
                <w:color w:val="auto"/>
              </w:rPr>
            </w:pP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w w:val="84"/>
              </w:rPr>
              <w:t>Common Stock</w:t>
            </w:r>
          </w:p>
        </w:tc>
        <w:tc>
          <w:tcPr>
            <w:tcW w:w="980" w:type="dxa"/>
            <w:vAlign w:val="bottom"/>
            <w:gridSpan w:val="9"/>
            <w:vMerge w:val="restart"/>
          </w:tcPr>
          <w:p>
            <w:pPr>
              <w:jc w:val="center"/>
              <w:ind w:right="80"/>
              <w:spacing w:after="0"/>
              <w:rPr>
                <w:sz w:val="20"/>
                <w:szCs w:val="20"/>
                <w:color w:val="auto"/>
              </w:rPr>
            </w:pPr>
            <w:r>
              <w:rPr>
                <w:rFonts w:ascii="Arial" w:cs="Arial" w:eastAsia="Arial" w:hAnsi="Arial"/>
                <w:sz w:val="12"/>
                <w:szCs w:val="12"/>
                <w:b w:val="1"/>
                <w:bCs w:val="1"/>
                <w:color w:val="auto"/>
                <w:w w:val="84"/>
              </w:rPr>
              <w:t>Common Stock</w:t>
            </w:r>
          </w:p>
        </w:tc>
        <w:tc>
          <w:tcPr>
            <w:tcW w:w="7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760" w:type="dxa"/>
            <w:vAlign w:val="bottom"/>
            <w:vMerge w:val="restart"/>
          </w:tcPr>
          <w:p>
            <w:pPr>
              <w:jc w:val="center"/>
              <w:ind w:right="56"/>
              <w:spacing w:after="0" w:line="96" w:lineRule="exact"/>
              <w:rPr>
                <w:sz w:val="20"/>
                <w:szCs w:val="20"/>
                <w:color w:val="auto"/>
              </w:rPr>
            </w:pPr>
            <w:r>
              <w:rPr>
                <w:rFonts w:ascii="Arial" w:cs="Arial" w:eastAsia="Arial" w:hAnsi="Arial"/>
                <w:sz w:val="11"/>
                <w:szCs w:val="11"/>
                <w:b w:val="1"/>
                <w:bCs w:val="1"/>
                <w:color w:val="auto"/>
                <w:w w:val="92"/>
              </w:rPr>
              <w:t>Convertible</w:t>
            </w:r>
          </w:p>
        </w:tc>
        <w:tc>
          <w:tcPr>
            <w:tcW w:w="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980" w:type="dxa"/>
            <w:vAlign w:val="bottom"/>
            <w:gridSpan w:val="9"/>
            <w:vMerge w:val="continue"/>
          </w:tcPr>
          <w:p>
            <w:pPr>
              <w:spacing w:after="0"/>
              <w:rPr>
                <w:sz w:val="7"/>
                <w:szCs w:val="7"/>
                <w:color w:val="auto"/>
              </w:rPr>
            </w:pPr>
          </w:p>
        </w:tc>
        <w:tc>
          <w:tcPr>
            <w:tcW w:w="700" w:type="dxa"/>
            <w:vAlign w:val="bottom"/>
            <w:gridSpan w:val="2"/>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rPr>
              <w:t>Paid-In</w:t>
            </w:r>
          </w:p>
        </w:tc>
        <w:tc>
          <w:tcPr>
            <w:tcW w:w="800" w:type="dxa"/>
            <w:vAlign w:val="bottom"/>
            <w:gridSpan w:val="3"/>
            <w:vMerge w:val="restart"/>
          </w:tcPr>
          <w:p>
            <w:pPr>
              <w:ind w:left="20"/>
              <w:spacing w:after="0" w:line="96" w:lineRule="exact"/>
              <w:rPr>
                <w:sz w:val="20"/>
                <w:szCs w:val="20"/>
                <w:color w:val="auto"/>
              </w:rPr>
            </w:pPr>
            <w:r>
              <w:rPr>
                <w:rFonts w:ascii="Arial" w:cs="Arial" w:eastAsia="Arial" w:hAnsi="Arial"/>
                <w:sz w:val="11"/>
                <w:szCs w:val="11"/>
                <w:b w:val="1"/>
                <w:bCs w:val="1"/>
                <w:color w:val="auto"/>
              </w:rPr>
              <w:t>Accumulated</w:t>
            </w:r>
          </w:p>
        </w:tc>
        <w:tc>
          <w:tcPr>
            <w:tcW w:w="760" w:type="dxa"/>
            <w:vAlign w:val="bottom"/>
            <w:gridSpan w:val="3"/>
            <w:vMerge w:val="restart"/>
          </w:tcPr>
          <w:p>
            <w:pPr>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0"/>
              </w:rPr>
              <w:t>Preferred Stock</w:t>
            </w: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9"/>
              </w:rPr>
              <w:t>Shares</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w w:val="91"/>
              </w:rPr>
              <w:t>Par Value</w:t>
            </w:r>
          </w:p>
        </w:tc>
        <w:tc>
          <w:tcPr>
            <w:tcW w:w="4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560" w:type="dxa"/>
            <w:vAlign w:val="bottom"/>
            <w:gridSpan w:val="5"/>
          </w:tcPr>
          <w:p>
            <w:pPr>
              <w:spacing w:after="0"/>
              <w:rPr>
                <w:sz w:val="20"/>
                <w:szCs w:val="20"/>
                <w:color w:val="auto"/>
              </w:rPr>
            </w:pPr>
            <w:r>
              <w:rPr>
                <w:rFonts w:ascii="Arial" w:cs="Arial" w:eastAsia="Arial" w:hAnsi="Arial"/>
                <w:sz w:val="12"/>
                <w:szCs w:val="12"/>
                <w:b w:val="1"/>
                <w:bCs w:val="1"/>
                <w:color w:val="auto"/>
                <w:w w:val="98"/>
              </w:rPr>
              <w:t>Par Value</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Capital</w:t>
            </w:r>
          </w:p>
        </w:tc>
        <w:tc>
          <w:tcPr>
            <w:tcW w:w="6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21"/>
        </w:trPr>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1,966,043</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$16,611,832</w:t>
            </w:r>
          </w:p>
        </w:tc>
        <w:tc>
          <w:tcPr>
            <w:tcW w:w="76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8"/>
              </w:rPr>
              <w:t>$16,611,832</w:t>
            </w:r>
          </w:p>
        </w:tc>
        <w:tc>
          <w:tcPr>
            <w:tcW w:w="40" w:type="dxa"/>
            <w:vAlign w:val="bottom"/>
            <w:tcBorders>
              <w:lef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3,535,811</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$3,536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$2,165,885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(8,697,742)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(6,528,321)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60" w:type="dxa"/>
            <w:vAlign w:val="bottom"/>
            <w:gridSpan w:val="2"/>
          </w:tcPr>
          <w:p>
            <w:pPr>
              <w:ind w:left="140"/>
              <w:spacing w:after="0"/>
              <w:rPr>
                <w:sz w:val="20"/>
                <w:szCs w:val="20"/>
                <w:color w:val="auto"/>
              </w:rPr>
            </w:pPr>
            <w:r>
              <w:rPr>
                <w:rFonts w:ascii="Arial" w:cs="Arial" w:eastAsia="Arial" w:hAnsi="Arial"/>
                <w:sz w:val="13"/>
                <w:szCs w:val="13"/>
                <w:color w:val="auto"/>
              </w:rPr>
              <w:t>Issuance of Series A</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60" w:type="dxa"/>
            <w:vAlign w:val="bottom"/>
            <w:gridSpan w:val="2"/>
          </w:tcPr>
          <w:p>
            <w:pPr>
              <w:ind w:left="280"/>
              <w:spacing w:after="0" w:line="132" w:lineRule="exact"/>
              <w:rPr>
                <w:sz w:val="20"/>
                <w:szCs w:val="20"/>
                <w:color w:val="auto"/>
              </w:rPr>
            </w:pPr>
            <w:r>
              <w:rPr>
                <w:rFonts w:ascii="Arial" w:cs="Arial" w:eastAsia="Arial" w:hAnsi="Arial"/>
                <w:sz w:val="13"/>
                <w:szCs w:val="13"/>
                <w:color w:val="auto"/>
              </w:rPr>
              <w:t>convertible preferred stock,</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529,890</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4,508,108</w:t>
            </w:r>
          </w:p>
        </w:tc>
        <w:tc>
          <w:tcPr>
            <w:tcW w:w="760" w:type="dxa"/>
            <w:vAlign w:val="bottom"/>
            <w:tcBorders>
              <w:right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4,508,108</w:t>
            </w:r>
          </w:p>
        </w:tc>
        <w:tc>
          <w:tcPr>
            <w:tcW w:w="4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2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960" w:type="dxa"/>
            <w:vAlign w:val="bottom"/>
            <w:gridSpan w:val="2"/>
          </w:tcPr>
          <w:p>
            <w:pPr>
              <w:ind w:left="280"/>
              <w:spacing w:after="0"/>
              <w:rPr>
                <w:sz w:val="20"/>
                <w:szCs w:val="20"/>
                <w:color w:val="auto"/>
              </w:rPr>
            </w:pPr>
            <w:r>
              <w:rPr>
                <w:rFonts w:ascii="Arial" w:cs="Arial" w:eastAsia="Arial" w:hAnsi="Arial"/>
                <w:sz w:val="13"/>
                <w:szCs w:val="13"/>
                <w:color w:val="auto"/>
              </w:rPr>
              <w:t>net of issuance costs</w:t>
            </w: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272,143</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272,143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expense</w:t>
            </w:r>
          </w:p>
        </w:tc>
        <w:tc>
          <w:tcPr>
            <w:tcW w:w="64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40" w:type="dxa"/>
            <w:vAlign w:val="bottom"/>
            <w:tcBorders>
              <w:right w:val="single" w:sz="8" w:color="CCEEFF"/>
            </w:tcBorders>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960" w:type="dxa"/>
            <w:vAlign w:val="bottom"/>
            <w:gridSpan w:val="2"/>
          </w:tcPr>
          <w:p>
            <w:pPr>
              <w:ind w:left="140"/>
              <w:spacing w:after="0"/>
              <w:rPr>
                <w:sz w:val="20"/>
                <w:szCs w:val="20"/>
                <w:color w:val="auto"/>
              </w:rPr>
            </w:pPr>
            <w:r>
              <w:rPr>
                <w:rFonts w:ascii="Arial" w:cs="Arial" w:eastAsia="Arial" w:hAnsi="Arial"/>
                <w:sz w:val="13"/>
                <w:szCs w:val="13"/>
                <w:color w:val="auto"/>
              </w:rPr>
              <w:t>Net loss</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(3,200,720)</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99"/>
              </w:rPr>
              <w:t>(3,200,720)</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2,495,933</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$21,119,940</w:t>
            </w:r>
          </w:p>
        </w:tc>
        <w:tc>
          <w:tcPr>
            <w:tcW w:w="76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8"/>
              </w:rPr>
              <w:t>$21,119,940</w:t>
            </w:r>
          </w:p>
        </w:tc>
        <w:tc>
          <w:tcPr>
            <w:tcW w:w="40" w:type="dxa"/>
            <w:vAlign w:val="bottom"/>
            <w:tcBorders>
              <w:lef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3,535,811</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$3,536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$2,438,028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(11,898,462)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(9,456,898)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96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3,619,292</w:t>
            </w:r>
          </w:p>
        </w:tc>
        <w:tc>
          <w:tcPr>
            <w:tcW w:w="1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36,983,910</w:t>
            </w: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2,495,933</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$21,119,940</w:t>
            </w:r>
          </w:p>
        </w:tc>
        <w:tc>
          <w:tcPr>
            <w:tcW w:w="76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color w:val="auto"/>
                <w:w w:val="88"/>
              </w:rPr>
              <w:t>$58,103,850</w:t>
            </w:r>
          </w:p>
        </w:tc>
        <w:tc>
          <w:tcPr>
            <w:tcW w:w="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3,535,811</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$3,536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$3,252,654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(25,737,640)</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89"/>
              </w:rPr>
              <w:t>(22,481,450)</w:t>
            </w:r>
          </w:p>
        </w:tc>
        <w:tc>
          <w:tcPr>
            <w:tcW w:w="0" w:type="dxa"/>
            <w:vAlign w:val="bottom"/>
          </w:tcPr>
          <w:p>
            <w:pPr>
              <w:spacing w:after="0"/>
              <w:rPr>
                <w:sz w:val="1"/>
                <w:szCs w:val="1"/>
                <w:color w:val="auto"/>
              </w:rPr>
            </w:pPr>
          </w:p>
        </w:tc>
      </w:tr>
      <w:tr>
        <w:trPr>
          <w:trHeight w:val="161"/>
        </w:trPr>
        <w:tc>
          <w:tcPr>
            <w:tcW w:w="1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182,225</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182,225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expense</w:t>
            </w:r>
          </w:p>
        </w:tc>
        <w:tc>
          <w:tcPr>
            <w:tcW w:w="64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40" w:type="dxa"/>
            <w:vAlign w:val="bottom"/>
            <w:tcBorders>
              <w:right w:val="single" w:sz="8" w:color="CCEEFF"/>
            </w:tcBorders>
            <w:gridSpan w:val="2"/>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960" w:type="dxa"/>
            <w:vAlign w:val="bottom"/>
            <w:gridSpan w:val="2"/>
          </w:tcPr>
          <w:p>
            <w:pPr>
              <w:ind w:left="140"/>
              <w:spacing w:after="0"/>
              <w:rPr>
                <w:sz w:val="20"/>
                <w:szCs w:val="20"/>
                <w:color w:val="auto"/>
              </w:rPr>
            </w:pPr>
            <w:r>
              <w:rPr>
                <w:rFonts w:ascii="Arial" w:cs="Arial" w:eastAsia="Arial" w:hAnsi="Arial"/>
                <w:sz w:val="13"/>
                <w:szCs w:val="13"/>
                <w:color w:val="auto"/>
              </w:rPr>
              <w:t>Net loss</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(6,229,651)</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99"/>
              </w:rPr>
              <w:t>(6,229,651)</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3,619,292</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36,983,910</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2,495,933</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$21,119,940</w:t>
            </w:r>
          </w:p>
        </w:tc>
        <w:tc>
          <w:tcPr>
            <w:tcW w:w="76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8"/>
              </w:rPr>
              <w:t>$58,103,850</w:t>
            </w:r>
          </w:p>
        </w:tc>
        <w:tc>
          <w:tcPr>
            <w:tcW w:w="40" w:type="dxa"/>
            <w:vAlign w:val="bottom"/>
            <w:tcBorders>
              <w:lef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3,535,811</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$3,536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$3,434,879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(31,967,291)</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1"/>
              </w:rPr>
              <w:t>(28,528,876)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-6350</wp:posOffset>
            </wp:positionV>
            <wp:extent cx="2794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-146050</wp:posOffset>
            </wp:positionV>
            <wp:extent cx="6286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-146050</wp:posOffset>
            </wp:positionV>
            <wp:extent cx="6286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-146050</wp:posOffset>
            </wp:positionV>
            <wp:extent cx="11874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-146050</wp:posOffset>
            </wp:positionV>
            <wp:extent cx="41148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1148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-146050</wp:posOffset>
            </wp:positionV>
            <wp:extent cx="9779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-146050</wp:posOffset>
            </wp:positionV>
            <wp:extent cx="9080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-146050</wp:posOffset>
            </wp:positionV>
            <wp:extent cx="9080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-146050</wp:posOffset>
            </wp:positionV>
            <wp:extent cx="6286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-146050</wp:posOffset>
            </wp:positionV>
            <wp:extent cx="6286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-146050</wp:posOffset>
            </wp:positionV>
            <wp:extent cx="163957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639570"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-620395</wp:posOffset>
            </wp:positionV>
            <wp:extent cx="2794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-760095</wp:posOffset>
            </wp:positionV>
            <wp:extent cx="6286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-760095</wp:posOffset>
            </wp:positionV>
            <wp:extent cx="6286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-760095</wp:posOffset>
            </wp:positionV>
            <wp:extent cx="11874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-760095</wp:posOffset>
            </wp:positionV>
            <wp:extent cx="41148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1148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-760095</wp:posOffset>
            </wp:positionV>
            <wp:extent cx="9779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-760095</wp:posOffset>
            </wp:positionV>
            <wp:extent cx="9080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-760095</wp:posOffset>
            </wp:positionV>
            <wp:extent cx="9080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-760095</wp:posOffset>
            </wp:positionV>
            <wp:extent cx="62865"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-760095</wp:posOffset>
            </wp:positionV>
            <wp:extent cx="6286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-760095</wp:posOffset>
            </wp:positionV>
            <wp:extent cx="163957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639570" cy="698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-1527175</wp:posOffset>
            </wp:positionV>
            <wp:extent cx="5588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-1527175</wp:posOffset>
            </wp:positionV>
            <wp:extent cx="5588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-1527175</wp:posOffset>
            </wp:positionV>
            <wp:extent cx="5588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-1527175</wp:posOffset>
            </wp:positionV>
            <wp:extent cx="5588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-1527175</wp:posOffset>
            </wp:positionV>
            <wp:extent cx="5588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-1527175</wp:posOffset>
            </wp:positionV>
            <wp:extent cx="5588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-1527175</wp:posOffset>
            </wp:positionV>
            <wp:extent cx="2794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-1527175</wp:posOffset>
            </wp:positionV>
            <wp:extent cx="55880"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-1527175</wp:posOffset>
            </wp:positionV>
            <wp:extent cx="55880"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-1527175</wp:posOffset>
            </wp:positionV>
            <wp:extent cx="55880"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-1527175</wp:posOffset>
            </wp:positionV>
            <wp:extent cx="4889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-1527175</wp:posOffset>
            </wp:positionV>
            <wp:extent cx="5588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5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700"/>
          </w:cols>
          <w:pgMar w:left="300" w:top="134" w:right="899" w:bottom="1440" w:gutter="0" w:footer="0" w:header="0"/>
        </w:sectPr>
      </w:pPr>
    </w:p>
    <w:bookmarkStart w:id="211" w:name="page212"/>
    <w:bookmarkEnd w:id="211"/>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 THE THREE MONTHS ENDED MARCH 31, 2021 and 2020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(6,229,651)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w w:val="91"/>
              </w:rPr>
              <w:t>(3,200,720)</w:t>
            </w: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w w:val="98"/>
              </w:rPr>
              <w:t>Adjustment to reconcile to net loss to net cash used in operating activities: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Pr>
          <w:p>
            <w:pPr>
              <w:ind w:left="440"/>
              <w:spacing w:after="0"/>
              <w:rPr>
                <w:sz w:val="20"/>
                <w:szCs w:val="20"/>
                <w:color w:val="auto"/>
              </w:rPr>
            </w:pPr>
            <w:r>
              <w:rPr>
                <w:rFonts w:ascii="Arial" w:cs="Arial" w:eastAsia="Arial" w:hAnsi="Arial"/>
                <w:sz w:val="15"/>
                <w:szCs w:val="15"/>
                <w:color w:val="auto"/>
              </w:rPr>
              <w:t>Depreciation</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8,867</w:t>
            </w: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5,307</w:t>
            </w:r>
          </w:p>
        </w:tc>
      </w:tr>
      <w:tr>
        <w:trPr>
          <w:trHeight w:val="209"/>
        </w:trPr>
        <w:tc>
          <w:tcPr>
            <w:tcW w:w="5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Right-of-use asset amortization</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25,027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Pr>
          <w:p>
            <w:pPr>
              <w:ind w:left="440"/>
              <w:spacing w:after="0"/>
              <w:rPr>
                <w:sz w:val="20"/>
                <w:szCs w:val="20"/>
                <w:color w:val="auto"/>
              </w:rPr>
            </w:pPr>
            <w:r>
              <w:rPr>
                <w:rFonts w:ascii="Arial" w:cs="Arial" w:eastAsia="Arial" w:hAnsi="Arial"/>
                <w:sz w:val="15"/>
                <w:szCs w:val="15"/>
                <w:color w:val="auto"/>
              </w:rPr>
              <w:t>Stock based compensation expense</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182,225</w:t>
            </w: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272,143</w:t>
            </w:r>
          </w:p>
        </w:tc>
      </w:tr>
      <w:tr>
        <w:trPr>
          <w:trHeight w:val="209"/>
        </w:trPr>
        <w:tc>
          <w:tcPr>
            <w:tcW w:w="5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Change in assets and liabilities: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Pr>
          <w:p>
            <w:pPr>
              <w:ind w:left="600"/>
              <w:spacing w:after="0"/>
              <w:rPr>
                <w:sz w:val="20"/>
                <w:szCs w:val="20"/>
                <w:color w:val="auto"/>
              </w:rPr>
            </w:pPr>
            <w:r>
              <w:rPr>
                <w:rFonts w:ascii="Arial" w:cs="Arial" w:eastAsia="Arial" w:hAnsi="Arial"/>
                <w:sz w:val="15"/>
                <w:szCs w:val="15"/>
                <w:color w:val="auto"/>
              </w:rPr>
              <w:t>(Increase) decrease in:</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Accounts receivable</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7,705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(138,970)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(615,645)</w:t>
            </w: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(300,283)</w:t>
            </w:r>
          </w:p>
        </w:tc>
      </w:tr>
      <w:tr>
        <w:trPr>
          <w:trHeight w:val="209"/>
        </w:trPr>
        <w:tc>
          <w:tcPr>
            <w:tcW w:w="504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Increase (decrease) in:</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(111,742)</w:t>
            </w: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869,447</w:t>
            </w:r>
          </w:p>
        </w:tc>
      </w:tr>
      <w:tr>
        <w:trPr>
          <w:trHeight w:val="209"/>
        </w:trPr>
        <w:tc>
          <w:tcPr>
            <w:tcW w:w="504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Accrued expenses</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611,871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178,699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040" w:type="dxa"/>
            <w:vAlign w:val="bottom"/>
          </w:tcPr>
          <w:p>
            <w:pPr>
              <w:ind w:left="740"/>
              <w:spacing w:after="0"/>
              <w:rPr>
                <w:sz w:val="20"/>
                <w:szCs w:val="20"/>
                <w:color w:val="auto"/>
              </w:rPr>
            </w:pPr>
            <w:r>
              <w:rPr>
                <w:rFonts w:ascii="Arial" w:cs="Arial" w:eastAsia="Arial" w:hAnsi="Arial"/>
                <w:sz w:val="15"/>
                <w:szCs w:val="15"/>
                <w:color w:val="auto"/>
              </w:rPr>
              <w:t>Lease liability</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(18,497)</w:t>
            </w: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(9,922)</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04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5"/>
                <w:szCs w:val="15"/>
                <w:color w:val="auto"/>
              </w:rPr>
              <w:t>Net cash used in operating activities</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1"/>
              </w:rPr>
              <w:t>(6,139,840)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(2,314,377)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50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Purchase of property and equipment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(16,564)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2"/>
        </w:trPr>
        <w:tc>
          <w:tcPr>
            <w:tcW w:w="5040" w:type="dxa"/>
            <w:vAlign w:val="bottom"/>
          </w:tcPr>
          <w:p>
            <w:pPr>
              <w:ind w:left="600"/>
              <w:spacing w:after="0"/>
              <w:rPr>
                <w:sz w:val="20"/>
                <w:szCs w:val="20"/>
                <w:color w:val="auto"/>
              </w:rPr>
            </w:pPr>
            <w:r>
              <w:rPr>
                <w:rFonts w:ascii="Arial" w:cs="Arial" w:eastAsia="Arial" w:hAnsi="Arial"/>
                <w:sz w:val="15"/>
                <w:szCs w:val="15"/>
                <w:color w:val="auto"/>
              </w:rPr>
              <w:t>Net cash used in investing activities</w:t>
            </w:r>
          </w:p>
        </w:tc>
        <w:tc>
          <w:tcPr>
            <w:tcW w:w="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(16,564)</w:t>
            </w: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(4,350)</w:t>
            </w:r>
          </w:p>
        </w:tc>
      </w:tr>
      <w:tr>
        <w:trPr>
          <w:trHeight w:val="216"/>
        </w:trPr>
        <w:tc>
          <w:tcPr>
            <w:tcW w:w="5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5040" w:type="dxa"/>
            <w:vAlign w:val="bottom"/>
          </w:tcPr>
          <w:p>
            <w:pPr>
              <w:ind w:left="160"/>
              <w:spacing w:after="0"/>
              <w:rPr>
                <w:sz w:val="20"/>
                <w:szCs w:val="20"/>
                <w:color w:val="auto"/>
              </w:rPr>
            </w:pPr>
            <w:r>
              <w:rPr>
                <w:rFonts w:ascii="Arial" w:cs="Arial" w:eastAsia="Arial" w:hAnsi="Arial"/>
                <w:sz w:val="15"/>
                <w:szCs w:val="15"/>
                <w:color w:val="auto"/>
              </w:rPr>
              <w:t>Proceeds from the issuance of Series A preferred stock, net of issuance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5040" w:type="dxa"/>
            <w:vAlign w:val="bottom"/>
          </w:tcPr>
          <w:p>
            <w:pPr>
              <w:ind w:left="300"/>
              <w:spacing w:after="0"/>
              <w:rPr>
                <w:sz w:val="20"/>
                <w:szCs w:val="20"/>
                <w:color w:val="auto"/>
              </w:rPr>
            </w:pPr>
            <w:r>
              <w:rPr>
                <w:rFonts w:ascii="Arial" w:cs="Arial" w:eastAsia="Arial" w:hAnsi="Arial"/>
                <w:sz w:val="15"/>
                <w:szCs w:val="15"/>
                <w:color w:val="auto"/>
              </w:rPr>
              <w:t>costs</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998,306</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504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Net cash provided by financing activities</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998,306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5"/>
                <w:szCs w:val="15"/>
                <w:b w:val="1"/>
                <w:bCs w:val="1"/>
                <w:color w:val="auto"/>
              </w:rPr>
              <w:t>Net decrease in cash and cash equivalents</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(6,156,404)</w:t>
            </w: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w w:val="91"/>
              </w:rPr>
              <w:t>(1,320,421)</w:t>
            </w:r>
          </w:p>
        </w:tc>
      </w:tr>
      <w:tr>
        <w:trPr>
          <w:trHeight w:val="225"/>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37,090,151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13,782,175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30,933,747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w w:val="85"/>
              </w:rPr>
              <w:t>12,461,754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5040" w:type="dxa"/>
            <w:vAlign w:val="bottom"/>
            <w:tcBorders>
              <w:right w:val="single" w:sz="8" w:color="CCEEFF"/>
            </w:tcBorders>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Supplemental disclosures of noncash information:</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1"/>
        </w:trPr>
        <w:tc>
          <w:tcPr>
            <w:tcW w:w="5040" w:type="dxa"/>
            <w:vAlign w:val="bottom"/>
          </w:tcPr>
          <w:p>
            <w:pPr>
              <w:ind w:left="160"/>
              <w:spacing w:after="0"/>
              <w:rPr>
                <w:sz w:val="20"/>
                <w:szCs w:val="20"/>
                <w:color w:val="auto"/>
              </w:rPr>
            </w:pPr>
            <w:r>
              <w:rPr>
                <w:rFonts w:ascii="Arial" w:cs="Arial" w:eastAsia="Arial" w:hAnsi="Arial"/>
                <w:sz w:val="15"/>
                <w:szCs w:val="15"/>
                <w:color w:val="auto"/>
              </w:rPr>
              <w:t>Reclassification of liability for Series A preferred stock</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3,509,802</w:t>
            </w:r>
          </w:p>
        </w:tc>
        <w:tc>
          <w:tcPr>
            <w:tcW w:w="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-920115</wp:posOffset>
            </wp:positionV>
            <wp:extent cx="377444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-1317625</wp:posOffset>
            </wp:positionV>
            <wp:extent cx="3774440"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-1903730</wp:posOffset>
            </wp:positionV>
            <wp:extent cx="377444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-3773805</wp:posOffset>
            </wp:positionV>
            <wp:extent cx="376745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INTERIM CONSOLIDATED FINANCIAL STATEMENTS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 — Organization and Nature of Business</w:t>
      </w:r>
    </w:p>
    <w:p>
      <w:pPr>
        <w:spacing w:after="0" w:line="128"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Immuneering Corporation, a Delaware corporation, (“Immuneering” or the “Company”) was incorporated in 2008. The Company leverages bioinformatics to develop new medicines unlikely to be found by traditional drug discovery methods. The Company’s current pipeline of drug candidates is focused on treating aspects of disease that have eluded conventional approaches. Utilizing its proprietary Disease Cancelling Technology, the Company’s objective is to discover and develop medicines that reverse a disease signal across many relevant genes. Concurrent with its internal programs, the Company provides computational biology services to pharmaceutical and biotechnology companies. On October 30, 2019, Immuneering formed a wholly owned subsidiary, Immuneering Securities Corporation (“ISC”), a Massachusetts securities corporation, for the sole purpose of buying, selling and holding securities on the Company’s behalf. Immuneering and ISC are collectively referred to as “the Company” throughout these consolidated financial statements.</w:t>
      </w:r>
    </w:p>
    <w:p>
      <w:pPr>
        <w:spacing w:after="0" w:line="99"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Since inception, the Company has devoted substantially all of its efforts to business planning, service revenue generation, research and development, recruiting management and technical staff, and raising capital. The Company has financed its operations through service revenues, the issuance of convertible debt and the sale of convertible preferred stock and common stock.</w:t>
      </w:r>
    </w:p>
    <w:p>
      <w:pPr>
        <w:spacing w:after="0" w:line="102"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97"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To date, the Company has funded its operations through service revenues, and with proceeds from the sale of its capital stock and convertible notes. The Company has incurred recurring losses over the past several years and as of March 31, 2021, the Company had an accumulated deficit of $31,967,291.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considers that there are no conditions or events, in the aggregate, that raise substantial doubt about the entity’s ability to continue as a going concern and estimates that its cash and cash equivalents of $30,933,747 as of March 31, 2021, along with the gross proceeds of $24,799,786 from the issuance of shares in the second tranche of Series B Preferred in April and May 2021 (Note 5) will enable it to meet our current operating plans for at least the next twelve months after the date that the financial statements were issued.</w:t>
      </w:r>
    </w:p>
    <w:p>
      <w:pPr>
        <w:spacing w:after="0" w:line="90"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The full extent to which coronavirus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 on local, regional, national and international markets. The Company has considered potential impacts arising from COVID-19 pandemic and is not presently aware of any events or circumstances that would require the Company to update its estimates, judgements or revise the carrying values of its assets or liabilities.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w:t>
      </w:r>
    </w:p>
    <w:p>
      <w:pPr>
        <w:spacing w:after="0" w:line="124"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The consolidated financial statements have been prepared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standards set by the Financial Accounting Standards Board (“FASB”). The FASB sets generally accepted accounting principles (“GAAP”) to ensure the consolidated financial statements are consistently reported. References to GAAP issued by the FASB in these footnotes are to the FASB Accounting Standards Codifications (“ASC”). The consolidated financial statements include the accounts of the Company and its wholly owned subsidiary. All intercompany balances and transactions have been eliminated in consolidation.</w:t>
      </w:r>
    </w:p>
    <w:p>
      <w:pPr>
        <w:spacing w:after="0" w:line="86" w:lineRule="exact"/>
        <w:rPr>
          <w:sz w:val="20"/>
          <w:szCs w:val="20"/>
          <w:color w:val="auto"/>
        </w:rPr>
      </w:pPr>
    </w:p>
    <w:p>
      <w:pPr>
        <w:jc w:val="both"/>
        <w:ind w:left="1160" w:right="1179"/>
        <w:spacing w:after="0" w:line="267" w:lineRule="auto"/>
        <w:rPr>
          <w:sz w:val="20"/>
          <w:szCs w:val="20"/>
          <w:color w:val="auto"/>
        </w:rPr>
      </w:pPr>
      <w:r>
        <w:rPr>
          <w:rFonts w:ascii="Arial" w:cs="Arial" w:eastAsia="Arial" w:hAnsi="Arial"/>
          <w:sz w:val="14"/>
          <w:szCs w:val="14"/>
          <w:b w:val="1"/>
          <w:bCs w:val="1"/>
          <w:color w:val="auto"/>
        </w:rPr>
        <w:t xml:space="preserve">Unaudited Interim Financial Information: </w:t>
      </w:r>
      <w:r>
        <w:rPr>
          <w:rFonts w:ascii="Arial" w:cs="Arial" w:eastAsia="Arial" w:hAnsi="Arial"/>
          <w:sz w:val="14"/>
          <w:szCs w:val="14"/>
          <w:color w:val="auto"/>
        </w:rPr>
        <w:t>The unaudited interim consolidated financial statements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consolidated financial statements, as is permitted by such rules and regulations. While we believe that the disclosures presented are adequate in order to make the information not misleading, these unaudited interim consolidated financial statements should be read in conjunction with the Company’s audited consolidated financial statements and notes for the year ended December 31, 2020.</w:t>
      </w:r>
    </w:p>
    <w:p>
      <w:pPr>
        <w:spacing w:after="0" w:line="95"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79"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5"/>
          <w:szCs w:val="15"/>
          <w:b w:val="1"/>
          <w:bCs w:val="1"/>
          <w:color w:val="auto"/>
        </w:rPr>
        <w:t xml:space="preserve">Unaudited Pro Forma Balance Sheet: </w:t>
      </w:r>
      <w:r>
        <w:rPr>
          <w:rFonts w:ascii="Arial" w:cs="Arial" w:eastAsia="Arial" w:hAnsi="Arial"/>
          <w:sz w:val="15"/>
          <w:szCs w:val="15"/>
          <w:color w:val="auto"/>
        </w:rPr>
        <w:t>The accompanying unaudited pro forma consolidated balance sheet</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as of March 31, 2021 has been prepared to give effect to the automatic conversion of all outstanding shares of Preferred Stock as of March 31, 2021 as if the Company’s proposed initial public offering had occurred on March 31, 2021.</w:t>
      </w:r>
    </w:p>
    <w:p>
      <w:pPr>
        <w:spacing w:after="0" w:line="89"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The preparation of financial statements in conformity with GAAP requires management</w:t>
      </w:r>
      <w:r>
        <w:rPr>
          <w:rFonts w:ascii="Arial" w:cs="Arial" w:eastAsia="Arial" w:hAnsi="Arial"/>
          <w:sz w:val="15"/>
          <w:szCs w:val="15"/>
          <w:b w:val="1"/>
          <w:bCs w:val="1"/>
          <w:color w:val="auto"/>
        </w:rPr>
        <w:t xml:space="preserve"> </w:t>
      </w:r>
      <w:r>
        <w:rPr>
          <w:rFonts w:ascii="Arial" w:cs="Arial" w:eastAsia="Arial" w:hAnsi="Arial"/>
          <w:sz w:val="15"/>
          <w:szCs w:val="15"/>
          <w:color w:val="auto"/>
        </w:rPr>
        <w:t>to make estimates and assumptions that affect the reported amounts of assets, liabilities, revenues and expenses during the reporting periods. These estimates and assumptions are based on current facts, historical experience and various other factors believe to be reasonable under the circumstances, the results of which form the basis for making judgements about the carrying values of assets liabilities and the recording of expenses that are not readily apparent from other sources. Significant estimates reflected in these consolidated financial statements included but are not limited to, the research and development expenses, determination of fair value of stock-based awards, the valuation of common stock, and the right-to-use assets and operating lease liability. Actual results may differ materially and adversely from these estimates.</w:t>
      </w:r>
    </w:p>
    <w:p>
      <w:pPr>
        <w:spacing w:after="0" w:line="104" w:lineRule="exact"/>
        <w:rPr>
          <w:sz w:val="20"/>
          <w:szCs w:val="20"/>
          <w:color w:val="auto"/>
        </w:rPr>
      </w:pPr>
    </w:p>
    <w:p>
      <w:pPr>
        <w:jc w:val="both"/>
        <w:ind w:left="1160" w:right="1179"/>
        <w:spacing w:after="0" w:line="273" w:lineRule="auto"/>
        <w:rPr>
          <w:sz w:val="20"/>
          <w:szCs w:val="20"/>
          <w:color w:val="auto"/>
        </w:rPr>
      </w:pPr>
      <w:r>
        <w:rPr>
          <w:rFonts w:ascii="Arial" w:cs="Arial" w:eastAsia="Arial" w:hAnsi="Arial"/>
          <w:sz w:val="14"/>
          <w:szCs w:val="14"/>
          <w:b w:val="1"/>
          <w:bCs w:val="1"/>
          <w:color w:val="auto"/>
        </w:rPr>
        <w:t xml:space="preserve">Segments: </w:t>
      </w:r>
      <w:r>
        <w:rPr>
          <w:rFonts w:ascii="Arial" w:cs="Arial" w:eastAsia="Arial" w:hAnsi="Arial"/>
          <w:sz w:val="14"/>
          <w:szCs w:val="14"/>
          <w:color w:val="auto"/>
        </w:rPr>
        <w:t>Operating segments are identified as components of an enterprise about which separate discrete</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information is available for evaluation by the chief operating decision-maker (“CODM”) in making decisions regarding resource allocation and assessing performance. The Company’s chief executive officer is the CODM, and he uses consolidated financial information in determining how to allocate resources and assess performance. The Company has determined that it operates in one segment.</w:t>
      </w:r>
    </w:p>
    <w:p>
      <w:pPr>
        <w:spacing w:after="0" w:line="8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b w:val="1"/>
          <w:bCs w:val="1"/>
          <w:color w:val="auto"/>
        </w:rPr>
        <w:t xml:space="preserve">Cash and Cash Equivalents: </w:t>
      </w:r>
      <w:r>
        <w:rPr>
          <w:rFonts w:ascii="Arial" w:cs="Arial" w:eastAsia="Arial" w:hAnsi="Arial"/>
          <w:sz w:val="15"/>
          <w:szCs w:val="15"/>
          <w:color w:val="auto"/>
        </w:rPr>
        <w:t>Cash and cash equivalents are comprised of deposits at major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banking institutions and highly liquid investments with an original maturity of three months or less at the date of purchase. Cash is maintained at Federal Deposit Insurance Company (“FDIC”) insured financial institutions. At times, the Company has maintained cash in excess of FDIC limits, however it has not experienced any losses with respect to its cash balances. The Company regularly monitors the financial condition of the institutions in which it has depository accounts and management believes that the Company is not exposed to significant credit risk due to the financial position of the depository institutions in which those deposits are held.</w:t>
      </w:r>
    </w:p>
    <w:p>
      <w:pPr>
        <w:spacing w:after="0" w:line="90" w:lineRule="exact"/>
        <w:rPr>
          <w:sz w:val="20"/>
          <w:szCs w:val="20"/>
          <w:color w:val="auto"/>
        </w:rPr>
      </w:pPr>
    </w:p>
    <w:p>
      <w:pPr>
        <w:jc w:val="both"/>
        <w:ind w:left="1160" w:right="1179"/>
        <w:spacing w:after="0" w:line="306" w:lineRule="auto"/>
        <w:rPr>
          <w:sz w:val="20"/>
          <w:szCs w:val="20"/>
          <w:color w:val="auto"/>
        </w:rPr>
      </w:pPr>
      <w:r>
        <w:rPr>
          <w:rFonts w:ascii="Arial" w:cs="Arial" w:eastAsia="Arial" w:hAnsi="Arial"/>
          <w:sz w:val="14"/>
          <w:szCs w:val="14"/>
          <w:b w:val="1"/>
          <w:bCs w:val="1"/>
          <w:color w:val="auto"/>
        </w:rPr>
        <w:t xml:space="preserve">Accounts Receivable: </w:t>
      </w:r>
      <w:r>
        <w:rPr>
          <w:rFonts w:ascii="Arial" w:cs="Arial" w:eastAsia="Arial" w:hAnsi="Arial"/>
          <w:sz w:val="14"/>
          <w:szCs w:val="14"/>
          <w:color w:val="auto"/>
        </w:rPr>
        <w:t>Accounts receivable are stated at the amount management expects to collect from</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balances. An allowance for doubtful accounts is estimated for those accounts receivable</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considered to be uncollectible based upon historical experience and management’s evaluation of outstanding accounts receivable. Bad debts are written off against the allowance when identified. At March 31, 2021 and December 31, 2020 there was no allowance for doubtful accounts.</w:t>
      </w:r>
    </w:p>
    <w:p>
      <w:pPr>
        <w:spacing w:after="0" w:line="96"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b w:val="1"/>
          <w:bCs w:val="1"/>
          <w:color w:val="auto"/>
        </w:rPr>
        <w:t xml:space="preserve">Concentration of Credit Risk: </w:t>
      </w:r>
      <w:r>
        <w:rPr>
          <w:rFonts w:ascii="Arial" w:cs="Arial" w:eastAsia="Arial" w:hAnsi="Arial"/>
          <w:sz w:val="15"/>
          <w:szCs w:val="15"/>
          <w:color w:val="auto"/>
        </w:rPr>
        <w:t>Financial instruments that potentially subject the Company to significant</w:t>
      </w:r>
      <w:r>
        <w:rPr>
          <w:rFonts w:ascii="Arial" w:cs="Arial" w:eastAsia="Arial" w:hAnsi="Arial"/>
          <w:sz w:val="15"/>
          <w:szCs w:val="15"/>
          <w:b w:val="1"/>
          <w:bCs w:val="1"/>
          <w:color w:val="auto"/>
        </w:rPr>
        <w:t xml:space="preserve"> </w:t>
      </w:r>
      <w:r>
        <w:rPr>
          <w:rFonts w:ascii="Arial" w:cs="Arial" w:eastAsia="Arial" w:hAnsi="Arial"/>
          <w:sz w:val="15"/>
          <w:szCs w:val="15"/>
          <w:color w:val="auto"/>
        </w:rPr>
        <w:t>concentration of credit risk consist primarily of accounts receivable and revenue. To manage accounts receivable credit risk, the Company continuously evaluates the creditworthiness of its customers and the need for an allowance for potential credit losses. The Company has not experienced any losses in such accounts.</w:t>
      </w:r>
    </w:p>
    <w:p>
      <w:pPr>
        <w:spacing w:after="0" w:line="86"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4"/>
          <w:szCs w:val="14"/>
          <w:b w:val="1"/>
          <w:bCs w:val="1"/>
          <w:color w:val="auto"/>
        </w:rPr>
        <w:t xml:space="preserve">Property and Equipment: </w:t>
      </w:r>
      <w:r>
        <w:rPr>
          <w:rFonts w:ascii="Arial" w:cs="Arial" w:eastAsia="Arial" w:hAnsi="Arial"/>
          <w:sz w:val="14"/>
          <w:szCs w:val="14"/>
          <w:color w:val="auto"/>
        </w:rPr>
        <w:t>Property and equipment are recorded at cost, net of accumulated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Expenditures for major replacements and improvements are capitalized, while expenditures for general repairs and maintenance are expensed as incurred. Upon retirements or disposition of property and equipment, the related cost and accumulated depreciation are removed from the consolidated balance sheet and any resulting gain or loss is recorded in the consolidated statement of operations. Depreciation is calculated using the straight-line method once assets are placed in service.</w:t>
      </w:r>
    </w:p>
    <w:p>
      <w:pPr>
        <w:spacing w:after="0" w:line="111" w:lineRule="exact"/>
        <w:rPr>
          <w:sz w:val="20"/>
          <w:szCs w:val="20"/>
          <w:color w:val="auto"/>
        </w:rPr>
      </w:pPr>
    </w:p>
    <w:tbl>
      <w:tblPr>
        <w:tblLayout w:type="fixed"/>
        <w:tblInd w:w="230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Estimated</w:t>
            </w:r>
          </w:p>
        </w:tc>
      </w:tr>
      <w:tr>
        <w:trPr>
          <w:trHeight w:val="151"/>
        </w:trPr>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9"/>
              </w:rPr>
              <w:t>Asset Class</w:t>
            </w:r>
          </w:p>
        </w:tc>
        <w:tc>
          <w:tcPr>
            <w:tcW w:w="2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1"/>
              </w:rPr>
              <w:t>Useful Lives</w:t>
            </w:r>
          </w:p>
        </w:tc>
      </w:tr>
      <w:tr>
        <w:trPr>
          <w:trHeight w:val="209"/>
        </w:trPr>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1400" w:type="dxa"/>
            <w:vAlign w:val="bottom"/>
            <w:gridSpan w:val="2"/>
            <w:shd w:val="clear" w:color="auto" w:fill="CCEEFF"/>
          </w:tcPr>
          <w:p>
            <w:pPr>
              <w:ind w:left="1280"/>
              <w:spacing w:after="0"/>
              <w:rPr>
                <w:sz w:val="20"/>
                <w:szCs w:val="20"/>
                <w:color w:val="auto"/>
              </w:rPr>
            </w:pPr>
            <w:r>
              <w:rPr>
                <w:rFonts w:ascii="Arial" w:cs="Arial" w:eastAsia="Arial" w:hAnsi="Arial"/>
                <w:sz w:val="15"/>
                <w:szCs w:val="15"/>
                <w:color w:val="auto"/>
              </w:rPr>
              <w:t>3</w:t>
            </w:r>
          </w:p>
        </w:tc>
        <w:tc>
          <w:tcPr>
            <w:tcW w:w="420" w:type="dxa"/>
            <w:vAlign w:val="bottom"/>
            <w:shd w:val="clear" w:color="auto" w:fill="CCEEFF"/>
          </w:tcPr>
          <w:p>
            <w:pPr>
              <w:ind w:left="60"/>
              <w:spacing w:after="0"/>
              <w:rPr>
                <w:sz w:val="20"/>
                <w:szCs w:val="20"/>
                <w:color w:val="auto"/>
              </w:rPr>
            </w:pPr>
            <w:r>
              <w:rPr>
                <w:rFonts w:ascii="Arial" w:cs="Arial" w:eastAsia="Arial" w:hAnsi="Arial"/>
                <w:sz w:val="15"/>
                <w:szCs w:val="15"/>
                <w:color w:val="auto"/>
                <w:w w:val="92"/>
              </w:rPr>
              <w:t>years</w:t>
            </w:r>
          </w:p>
        </w:tc>
      </w:tr>
      <w:tr>
        <w:trPr>
          <w:trHeight w:val="209"/>
        </w:trPr>
        <w:tc>
          <w:tcPr>
            <w:tcW w:w="2580" w:type="dxa"/>
            <w:vAlign w:val="bottom"/>
            <w:gridSpan w:val="2"/>
          </w:tcPr>
          <w:p>
            <w:pPr>
              <w:spacing w:after="0"/>
              <w:rPr>
                <w:sz w:val="20"/>
                <w:szCs w:val="20"/>
                <w:color w:val="auto"/>
              </w:rPr>
            </w:pPr>
            <w:r>
              <w:rPr>
                <w:rFonts w:ascii="Arial" w:cs="Arial" w:eastAsia="Arial" w:hAnsi="Arial"/>
                <w:sz w:val="15"/>
                <w:szCs w:val="15"/>
                <w:color w:val="auto"/>
              </w:rPr>
              <w:t>Furniture and fixtures</w:t>
            </w:r>
          </w:p>
        </w:tc>
        <w:tc>
          <w:tcPr>
            <w:tcW w:w="1400" w:type="dxa"/>
            <w:vAlign w:val="bottom"/>
            <w:gridSpan w:val="2"/>
          </w:tcPr>
          <w:p>
            <w:pPr>
              <w:ind w:left="1280"/>
              <w:spacing w:after="0"/>
              <w:rPr>
                <w:sz w:val="20"/>
                <w:szCs w:val="20"/>
                <w:color w:val="auto"/>
              </w:rPr>
            </w:pPr>
            <w:r>
              <w:rPr>
                <w:rFonts w:ascii="Arial" w:cs="Arial" w:eastAsia="Arial" w:hAnsi="Arial"/>
                <w:sz w:val="15"/>
                <w:szCs w:val="15"/>
                <w:color w:val="auto"/>
              </w:rPr>
              <w:t>5</w:t>
            </w:r>
          </w:p>
        </w:tc>
        <w:tc>
          <w:tcPr>
            <w:tcW w:w="420" w:type="dxa"/>
            <w:vAlign w:val="bottom"/>
          </w:tcPr>
          <w:p>
            <w:pPr>
              <w:ind w:left="60"/>
              <w:spacing w:after="0"/>
              <w:rPr>
                <w:sz w:val="20"/>
                <w:szCs w:val="20"/>
                <w:color w:val="auto"/>
              </w:rPr>
            </w:pPr>
            <w:r>
              <w:rPr>
                <w:rFonts w:ascii="Arial" w:cs="Arial" w:eastAsia="Arial" w:hAnsi="Arial"/>
                <w:sz w:val="15"/>
                <w:szCs w:val="15"/>
                <w:color w:val="auto"/>
                <w:w w:val="92"/>
              </w:rPr>
              <w:t>years</w:t>
            </w:r>
          </w:p>
        </w:tc>
      </w:tr>
    </w:tbl>
    <w:p>
      <w:pPr>
        <w:spacing w:after="0" w:line="95"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b w:val="1"/>
          <w:bCs w:val="1"/>
          <w:color w:val="auto"/>
        </w:rPr>
        <w:t xml:space="preserve">Impairment of Long-lived Assets: </w:t>
      </w:r>
      <w:r>
        <w:rPr>
          <w:rFonts w:ascii="Arial" w:cs="Arial" w:eastAsia="Arial" w:hAnsi="Arial"/>
          <w:sz w:val="14"/>
          <w:szCs w:val="14"/>
          <w:color w:val="auto"/>
        </w:rPr>
        <w:t>Periodically, the Company evaluates its long-lived assets, which consist</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91"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b w:val="1"/>
          <w:bCs w:val="1"/>
          <w:color w:val="auto"/>
        </w:rPr>
        <w:t xml:space="preserve">Leases: </w:t>
      </w:r>
      <w:r>
        <w:rPr>
          <w:rFonts w:ascii="Arial" w:cs="Arial" w:eastAsia="Arial" w:hAnsi="Arial"/>
          <w:sz w:val="15"/>
          <w:szCs w:val="15"/>
          <w:color w:val="auto"/>
        </w:rPr>
        <w:t>In February 2016, the FASB issued Accounting Standards Update (“ASU”) No. 2016-02, Leases</w:t>
      </w:r>
      <w:r>
        <w:rPr>
          <w:rFonts w:ascii="Arial" w:cs="Arial" w:eastAsia="Arial" w:hAnsi="Arial"/>
          <w:sz w:val="15"/>
          <w:szCs w:val="15"/>
          <w:b w:val="1"/>
          <w:bCs w:val="1"/>
          <w:color w:val="auto"/>
        </w:rPr>
        <w:t xml:space="preserve"> </w:t>
      </w:r>
      <w:r>
        <w:rPr>
          <w:rFonts w:ascii="Arial" w:cs="Arial" w:eastAsia="Arial" w:hAnsi="Arial"/>
          <w:sz w:val="15"/>
          <w:szCs w:val="15"/>
          <w:color w:val="auto"/>
        </w:rPr>
        <w:t>(Topic 842) (“ASC 842”), a standard issued to increase transparency and comparability among organizations related to their leasing activities. This standard established a right-of -use model that requires the recognition of right-of-use assets and lease liabilities for most leases as well as provides disclosure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90"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4"/>
          <w:szCs w:val="14"/>
          <w:color w:val="auto"/>
        </w:rPr>
        <w:t>The Company adopted the leasing standard using the modified retrospective transition approach as of January 1, 2020, with no restatement of prior periods or cumulative adjustment to retained earnings. 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 The Company also made an accounting policy election to not recognize leases with an initial term of 12 months or less within its consolidated balance sheets, and to recognize those lease payments on a straight-line basis in its consolidated statements of operations over the lease term. The adoption of the leasing standard did not have an impact on the consolidated statement of operations.</w:t>
      </w:r>
    </w:p>
    <w:p>
      <w:pPr>
        <w:spacing w:after="0" w:line="95"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The Company determines if an arrangement is a lease at contract inception. Right- of-use assets represent the Company’s right to use an underlying asset for the lease term and lease liabilities represent its obligation to make lease payments arising from the lease. Right-of-use assets and lease liabilities are recognized at the commencement date of the lease based upon the present value of future lease payments over the expected lease term. When determining the lease term, the Company includes options to extend or terminate the lease when it is reasonably certain that the Company will exercise that option. As most of the Company’s leases do</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not provide an implicit interest rate, the Company uses its incremental borrowing rate, which is based on rates that would be incurred to borrow on a collateralized basis over a term equal to the lease payments in a similar economic environment, in determining the present value of lease payments.</w:t>
      </w:r>
    </w:p>
    <w:p>
      <w:pPr>
        <w:spacing w:after="0" w:line="84"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The Company has elected not to separate lease and non-lease components as a single lease component. The Company’s lease is reflected in right-of-use asset and lease liabilities (current and non-current) in the consolidated balance sheets. Fixed rents are included in the calculation of the lease balances while variable costs paid for certain operating and pass-through costs are excluded. Lease expense is recognized on a straight-line basis over the lease term.</w:t>
      </w:r>
    </w:p>
    <w:p>
      <w:pPr>
        <w:spacing w:after="0" w:line="85"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b w:val="1"/>
          <w:bCs w:val="1"/>
          <w:color w:val="auto"/>
        </w:rPr>
        <w:t xml:space="preserve">Convertible preferred stock: </w:t>
      </w:r>
      <w:r>
        <w:rPr>
          <w:rFonts w:ascii="Arial" w:cs="Arial" w:eastAsia="Arial" w:hAnsi="Arial"/>
          <w:sz w:val="15"/>
          <w:szCs w:val="15"/>
          <w:color w:val="auto"/>
        </w:rPr>
        <w:t>The Company has classified convertible preferred stock (“Preferred Stock”) as</w:t>
      </w:r>
      <w:r>
        <w:rPr>
          <w:rFonts w:ascii="Arial" w:cs="Arial" w:eastAsia="Arial" w:hAnsi="Arial"/>
          <w:sz w:val="15"/>
          <w:szCs w:val="15"/>
          <w:b w:val="1"/>
          <w:bCs w:val="1"/>
          <w:color w:val="auto"/>
        </w:rPr>
        <w:t xml:space="preserve"> </w:t>
      </w:r>
      <w:r>
        <w:rPr>
          <w:rFonts w:ascii="Arial" w:cs="Arial" w:eastAsia="Arial" w:hAnsi="Arial"/>
          <w:sz w:val="15"/>
          <w:szCs w:val="15"/>
          <w:color w:val="auto"/>
        </w:rPr>
        <w:t>temporary equity in the accompanying consolidated balance sheets due to certain changes in control events that are outside of the Company’s control, including transfer of control of the Company, where holders of the Preferred Stock could cause redemption of the shares in these situations. The Company does not accrete the carrying values of the Preferred Stock to the redemption values since a liquidation event was not considered probable as of March 31, 2021 and December 31, 2020. Subsequent adjustments of the carrying values to the redemption values will be made only if it becomes probable that such a liquidation event will occur.</w:t>
      </w:r>
    </w:p>
    <w:p>
      <w:pPr>
        <w:spacing w:after="0" w:line="100"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b w:val="1"/>
          <w:bCs w:val="1"/>
          <w:color w:val="auto"/>
        </w:rPr>
        <w:t xml:space="preserve">Revenue Recognition: </w:t>
      </w:r>
      <w:r>
        <w:rPr>
          <w:rFonts w:ascii="Arial" w:cs="Arial" w:eastAsia="Arial" w:hAnsi="Arial"/>
          <w:sz w:val="15"/>
          <w:szCs w:val="15"/>
          <w:color w:val="auto"/>
        </w:rPr>
        <w:t>In accordance with ASC 606, revenue is recognized when a customer obtains control</w:t>
      </w:r>
      <w:r>
        <w:rPr>
          <w:rFonts w:ascii="Arial" w:cs="Arial" w:eastAsia="Arial" w:hAnsi="Arial"/>
          <w:sz w:val="15"/>
          <w:szCs w:val="15"/>
          <w:b w:val="1"/>
          <w:bCs w:val="1"/>
          <w:color w:val="auto"/>
        </w:rPr>
        <w:t xml:space="preserve"> </w:t>
      </w:r>
      <w:r>
        <w:rPr>
          <w:rFonts w:ascii="Arial" w:cs="Arial" w:eastAsia="Arial" w:hAnsi="Arial"/>
          <w:sz w:val="15"/>
          <w:szCs w:val="15"/>
          <w:color w:val="auto"/>
        </w:rPr>
        <w:t>of promised goods and services. The core principle of the standard is to recognize revenue to depict the transfer of promised goods or services to customers in an amount that reflects the consideration to which the Company expects to be entitled in exchange for those goods or services. To achieve that core principle, the Company applies the following five-step model:</w:t>
      </w:r>
    </w:p>
    <w:p>
      <w:pPr>
        <w:spacing w:after="0" w:line="68" w:lineRule="exact"/>
        <w:rPr>
          <w:sz w:val="20"/>
          <w:szCs w:val="20"/>
          <w:color w:val="auto"/>
        </w:rPr>
      </w:pPr>
    </w:p>
    <w:p>
      <w:pPr>
        <w:ind w:left="1320" w:hanging="156"/>
        <w:spacing w:after="0"/>
        <w:tabs>
          <w:tab w:leader="none" w:pos="1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Identify the contract with a customer</w:t>
      </w:r>
    </w:p>
    <w:p>
      <w:pPr>
        <w:spacing w:after="0" w:line="91" w:lineRule="exact"/>
        <w:rPr>
          <w:rFonts w:ascii="Arial" w:cs="Arial" w:eastAsia="Arial" w:hAnsi="Arial"/>
          <w:sz w:val="15"/>
          <w:szCs w:val="15"/>
          <w:color w:val="auto"/>
        </w:rPr>
      </w:pPr>
    </w:p>
    <w:p>
      <w:pPr>
        <w:ind w:left="1320" w:hanging="156"/>
        <w:spacing w:after="0"/>
        <w:tabs>
          <w:tab w:leader="none" w:pos="1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Identify the performance obligations in the contract</w:t>
      </w:r>
    </w:p>
    <w:p>
      <w:pPr>
        <w:spacing w:after="0" w:line="91" w:lineRule="exact"/>
        <w:rPr>
          <w:rFonts w:ascii="Arial" w:cs="Arial" w:eastAsia="Arial" w:hAnsi="Arial"/>
          <w:sz w:val="15"/>
          <w:szCs w:val="15"/>
          <w:color w:val="auto"/>
        </w:rPr>
      </w:pPr>
    </w:p>
    <w:p>
      <w:pPr>
        <w:ind w:left="1320" w:hanging="156"/>
        <w:spacing w:after="0"/>
        <w:tabs>
          <w:tab w:leader="none" w:pos="1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Determine the transaction price</w:t>
      </w:r>
    </w:p>
    <w:p>
      <w:pPr>
        <w:spacing w:after="0" w:line="80" w:lineRule="exact"/>
        <w:rPr>
          <w:rFonts w:ascii="Arial" w:cs="Arial" w:eastAsia="Arial" w:hAnsi="Arial"/>
          <w:sz w:val="15"/>
          <w:szCs w:val="15"/>
          <w:color w:val="auto"/>
        </w:rPr>
      </w:pPr>
    </w:p>
    <w:p>
      <w:pPr>
        <w:ind w:left="1320" w:hanging="156"/>
        <w:spacing w:after="0"/>
        <w:tabs>
          <w:tab w:leader="none" w:pos="1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Allocate the transaction price to the performance obligations in the contract</w:t>
      </w:r>
    </w:p>
    <w:p>
      <w:pPr>
        <w:spacing w:after="0" w:line="91" w:lineRule="exact"/>
        <w:rPr>
          <w:rFonts w:ascii="Arial" w:cs="Arial" w:eastAsia="Arial" w:hAnsi="Arial"/>
          <w:sz w:val="15"/>
          <w:szCs w:val="15"/>
          <w:color w:val="auto"/>
        </w:rPr>
      </w:pPr>
    </w:p>
    <w:p>
      <w:pPr>
        <w:ind w:left="1320" w:hanging="156"/>
        <w:spacing w:after="0"/>
        <w:tabs>
          <w:tab w:leader="none" w:pos="1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Recognize revenue when or as performance obligations are satisfied</w:t>
      </w:r>
    </w:p>
    <w:p>
      <w:pPr>
        <w:spacing w:after="0" w:line="124" w:lineRule="exact"/>
        <w:rPr>
          <w:sz w:val="20"/>
          <w:szCs w:val="20"/>
          <w:color w:val="auto"/>
        </w:rPr>
      </w:pPr>
    </w:p>
    <w:p>
      <w:pPr>
        <w:jc w:val="both"/>
        <w:ind w:left="1160" w:right="1179"/>
        <w:spacing w:after="0" w:line="265" w:lineRule="auto"/>
        <w:rPr>
          <w:sz w:val="20"/>
          <w:szCs w:val="20"/>
          <w:color w:val="auto"/>
        </w:rPr>
      </w:pPr>
      <w:r>
        <w:rPr>
          <w:rFonts w:ascii="Arial" w:cs="Arial" w:eastAsia="Arial" w:hAnsi="Arial"/>
          <w:sz w:val="14"/>
          <w:szCs w:val="14"/>
          <w:color w:val="auto"/>
        </w:rPr>
        <w:t>The Company’s contracts generally consist of the promise to provide computational biology professional services to pharmaceutical and biotechnology companies, which the Company has concluded constitutes one performance obligation that is delivered over time. The transaction price is the amount of consideration to which the Company expects to be entitled in exchange for transferring the services to the customer. The Company’s contracts provide for either agreed upon rates per hour based on the level of the professional working on the project or a fixed fee for a defined scope of work. The Company recognizes revenue over time by measuring the progress toward complete satisfaction of the performance obligation using a single method of measuring progress, which depicts the performance in transferring control of the associated services to the customer. The Company uses input methods to measure the progress toward the complete satisfaction of performance obligations and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95"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The Company’s contract terms do not allow for a right of return or refund and do not contain significant financing components. Receivables associated with the contract will generally be collected within thirty to sixty days, in accordance with the underlying payment terms.</w:t>
      </w:r>
    </w:p>
    <w:p>
      <w:pPr>
        <w:spacing w:after="0" w:line="86" w:lineRule="exact"/>
        <w:rPr>
          <w:sz w:val="20"/>
          <w:szCs w:val="20"/>
          <w:color w:val="auto"/>
        </w:rPr>
      </w:pPr>
    </w:p>
    <w:p>
      <w:pPr>
        <w:jc w:val="both"/>
        <w:ind w:left="1160" w:right="1179"/>
        <w:spacing w:after="0" w:line="250"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The Company provides for income taxes in accordance with ASC Topic 740, Income Taxes.</w:t>
      </w:r>
      <w:r>
        <w:rPr>
          <w:rFonts w:ascii="Arial" w:cs="Arial" w:eastAsia="Arial" w:hAnsi="Arial"/>
          <w:sz w:val="15"/>
          <w:szCs w:val="15"/>
          <w:b w:val="1"/>
          <w:bCs w:val="1"/>
          <w:color w:val="auto"/>
        </w:rPr>
        <w:t xml:space="preserve"> </w:t>
      </w:r>
      <w:r>
        <w:rPr>
          <w:rFonts w:ascii="Arial" w:cs="Arial" w:eastAsia="Arial" w:hAnsi="Arial"/>
          <w:sz w:val="15"/>
          <w:szCs w:val="15"/>
          <w:color w:val="auto"/>
        </w:rPr>
        <w:t>Deferred tax assets and liabilities are determined based on the difference between the financial reporting and tax bases of assets and liabilities using enacted tax rates and laws in effect in the years in which the differences are expected to reverse. A valuation allowance is provided if, based upon the weighted available evidence, it is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more likely than not that some or all of the deferred tax assets will not be realized. As of December 31, 2020 and March 31, 2021, the Company has recorded a full valuation allowance for the entire net deferred tax assets and liabilities.</w:t>
      </w:r>
    </w:p>
    <w:p>
      <w:pPr>
        <w:spacing w:after="0" w:line="100"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The Company provides reserves for potential payments of tax to various tax authorities related to uncertain tax positions when management determines that it is probable that a loss will be incurred related to these matters and the amount of the loss is reasonably determinable. The Company has not identified any significant uncertain tax positions as of March 31, 2021 or December 31, 2020.</w:t>
      </w:r>
    </w:p>
    <w:p>
      <w:pPr>
        <w:spacing w:after="0" w:line="87"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4"/>
          <w:szCs w:val="14"/>
          <w:b w:val="1"/>
          <w:bCs w:val="1"/>
          <w:color w:val="auto"/>
        </w:rPr>
        <w:t xml:space="preserve">Research and Development: </w:t>
      </w:r>
      <w:r>
        <w:rPr>
          <w:rFonts w:ascii="Arial" w:cs="Arial" w:eastAsia="Arial" w:hAnsi="Arial"/>
          <w:sz w:val="14"/>
          <w:szCs w:val="14"/>
          <w:color w:val="auto"/>
        </w:rPr>
        <w:t>All research and development costs are expensed in the period incurred.</w:t>
      </w:r>
      <w:r>
        <w:rPr>
          <w:rFonts w:ascii="Arial" w:cs="Arial" w:eastAsia="Arial" w:hAnsi="Arial"/>
          <w:sz w:val="14"/>
          <w:szCs w:val="14"/>
          <w:b w:val="1"/>
          <w:bCs w:val="1"/>
          <w:color w:val="auto"/>
        </w:rPr>
        <w:t xml:space="preserve"> </w:t>
      </w:r>
      <w:r>
        <w:rPr>
          <w:rFonts w:ascii="Arial" w:cs="Arial" w:eastAsia="Arial" w:hAnsi="Arial"/>
          <w:sz w:val="14"/>
          <w:szCs w:val="14"/>
          <w:color w:val="auto"/>
        </w:rPr>
        <w:t>Research and development costs consist primarily of direct and indirect costs incurred in the connection with the development of our research platform, product candidates, discovery efforts and preclinical studies related to our program pipeline. Direct costs include expenses incurred under agreements with contract research organizations (“CROs”), contract manufacturers to produce preclinical material, other vendors, and consulting fees. Indirect costs include personnel-related expenses, consisting of employee salaries, bonuses, benefits, and equity-based compensation expenses incurred in performing research and development activities, facility and equipment related expenses, consisting of indirect and allocated expenses for rent, depreciation, maintenance of facilities, insurance and other supplies may be incurred. The Company also incurs costs to develop software programs for internal use in identifying potential human drug targets which may then lead to the development of human drug candidates. To date the software programs have primarily been used for internal research and development activities and the costs incurred have been expensed as research and development.</w:t>
      </w:r>
    </w:p>
    <w:p>
      <w:pPr>
        <w:spacing w:after="0" w:line="92" w:lineRule="exact"/>
        <w:rPr>
          <w:sz w:val="20"/>
          <w:szCs w:val="20"/>
          <w:color w:val="auto"/>
        </w:rPr>
      </w:pPr>
    </w:p>
    <w:p>
      <w:pPr>
        <w:jc w:val="both"/>
        <w:ind w:left="1160" w:right="1179"/>
        <w:spacing w:after="0" w:line="256" w:lineRule="auto"/>
        <w:rPr>
          <w:sz w:val="20"/>
          <w:szCs w:val="20"/>
          <w:color w:val="auto"/>
        </w:rPr>
      </w:pPr>
      <w:r>
        <w:rPr>
          <w:rFonts w:ascii="Arial" w:cs="Arial" w:eastAsia="Arial" w:hAnsi="Arial"/>
          <w:sz w:val="14"/>
          <w:szCs w:val="14"/>
          <w:b w:val="1"/>
          <w:bCs w:val="1"/>
          <w:color w:val="auto"/>
        </w:rPr>
        <w:t xml:space="preserve">Stock-based Compensation: </w:t>
      </w:r>
      <w:r>
        <w:rPr>
          <w:rFonts w:ascii="Arial" w:cs="Arial" w:eastAsia="Arial" w:hAnsi="Arial"/>
          <w:sz w:val="14"/>
          <w:szCs w:val="14"/>
          <w:color w:val="auto"/>
        </w:rPr>
        <w:t>The Company issues stock-based awards to employees and nonemployees in</w:t>
      </w:r>
      <w:r>
        <w:rPr>
          <w:rFonts w:ascii="Arial" w:cs="Arial" w:eastAsia="Arial" w:hAnsi="Arial"/>
          <w:sz w:val="14"/>
          <w:szCs w:val="14"/>
          <w:b w:val="1"/>
          <w:bCs w:val="1"/>
          <w:color w:val="auto"/>
        </w:rPr>
        <w:t xml:space="preserve"> </w:t>
      </w:r>
      <w:r>
        <w:rPr>
          <w:rFonts w:ascii="Arial" w:cs="Arial" w:eastAsia="Arial" w:hAnsi="Arial"/>
          <w:sz w:val="14"/>
          <w:szCs w:val="14"/>
          <w:color w:val="auto"/>
        </w:rPr>
        <w:t>the form of stock options. The Company accounts for stock-based awards in accordance with ASC 718, Compensation — Stock Compensation (“ASC 718”), which requires all stock-based payments to employees and nonemployees, including grants of employee stock options and modifications to existing stock options, to be recognized in the consolidated statement of operations based on their fair values.</w:t>
      </w:r>
    </w:p>
    <w:p>
      <w:pPr>
        <w:spacing w:after="0" w:line="90" w:lineRule="exact"/>
        <w:rPr>
          <w:sz w:val="20"/>
          <w:szCs w:val="20"/>
          <w:color w:val="auto"/>
        </w:rPr>
      </w:pPr>
    </w:p>
    <w:p>
      <w:pPr>
        <w:jc w:val="both"/>
        <w:ind w:left="1160" w:right="1179"/>
        <w:spacing w:after="0" w:line="270" w:lineRule="auto"/>
        <w:rPr>
          <w:sz w:val="20"/>
          <w:szCs w:val="20"/>
          <w:color w:val="auto"/>
        </w:rPr>
      </w:pPr>
      <w:r>
        <w:rPr>
          <w:rFonts w:ascii="Arial" w:cs="Arial" w:eastAsia="Arial" w:hAnsi="Arial"/>
          <w:sz w:val="13"/>
          <w:szCs w:val="13"/>
          <w:color w:val="auto"/>
        </w:rPr>
        <w:t>The fair value of options is estimated on the grant date using the Black-Scholes option-pricing model (“Black-Scholes”) . Black-Scholes requires the Company to make assumptions and judgments about the variables used in the calculation including the expected term of its stock option, the volatility of the Company’s common stock, and an assumed risk -free interest rate. The Company uses the simplified calculation of expected life and volatility is based on an average of the historical volatility of a group of publicly traded companies in a similar industry that the Company believes would be considered a peer group had it been a publicly held company. The risk-free rate is based on the U.S. Treasury yield curve in effect at the time of grant for periods corresponding with the expected life of the option. Forfeitures are recognized as they occur. No dividend yield was assumed as the Company does not pay, and does not expect to pay, dividends on its common stock. The assumptions underlying these valuations represent management’s best estimates, which involve inherent uncertainties and the application of management’s judgement.</w:t>
      </w:r>
    </w:p>
    <w:p>
      <w:pPr>
        <w:spacing w:after="0" w:line="73" w:lineRule="exact"/>
        <w:rPr>
          <w:sz w:val="20"/>
          <w:szCs w:val="20"/>
          <w:color w:val="auto"/>
        </w:rPr>
      </w:pPr>
    </w:p>
    <w:p>
      <w:pPr>
        <w:jc w:val="both"/>
        <w:ind w:left="1160" w:right="1179"/>
        <w:spacing w:after="0" w:line="252" w:lineRule="auto"/>
        <w:rPr>
          <w:sz w:val="20"/>
          <w:szCs w:val="20"/>
          <w:color w:val="auto"/>
        </w:rPr>
      </w:pPr>
      <w:r>
        <w:rPr>
          <w:rFonts w:ascii="Arial" w:cs="Arial" w:eastAsia="Arial" w:hAnsi="Arial"/>
          <w:sz w:val="14"/>
          <w:szCs w:val="14"/>
          <w:color w:val="auto"/>
        </w:rPr>
        <w:t>In accordance with ASU No. 2018-07, Compensation-Stock Compensation (Topic 718): Improvements to Nonemployee Share-Based Payment Accounting, compensation expense for stock-based awards granted to nonemployees is recognized over the period during which services are rendered by such nonemployees. The new standard largely aligns the accounting for share-based payment awards issued to employees and nonemployees by expanding the scope of ASC 718 to apply to nonemployee share-based transactions, as long as the transaction is not effectively a form of financing. There was no adjustment to the financial statements upon adoption of this standard as of January 1, 2020.</w:t>
      </w:r>
    </w:p>
    <w:p>
      <w:pPr>
        <w:spacing w:after="0" w:line="91"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As there has been no public market for the Company’s common stock to date, the estimated fair value of its common stock has been determined by its board of directors as of the date of each option grant, with input from management, considering the Company’s most recently available third-party valuations of common stock and its board of directors’ assessment of additional objective and subjective factors that it believed were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relevant and which may have changed from the date of the most recent valuation through the date of the grant. These third- party valuations were performed in accordance with the guidance outlined in the American Institute of Certified Public Accountants’ Accounting and Valuation Guide, Valuation of Privately- Held-Company Equity Securities Issued as Compensation. Each valuation methodology includes estimates and assumptions that require the Company’s judgment. These estimates and assumptions include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w:t>
      </w:r>
    </w:p>
    <w:p>
      <w:pPr>
        <w:spacing w:after="0" w:line="10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The assumptions underlying these valuations represent management’s best estimates, which involve inherent uncertainties and the application of management’s judgment. As a result, if the Company had used different assumptions or estimates, the fair value of its common stock and its stock-based compensation expense could be materially different.</w:t>
      </w:r>
    </w:p>
    <w:p>
      <w:pPr>
        <w:spacing w:after="0" w:line="87"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b w:val="1"/>
          <w:bCs w:val="1"/>
          <w:color w:val="auto"/>
        </w:rPr>
        <w:t xml:space="preserve">Fair Value of Financial Instruments: </w:t>
      </w:r>
      <w:r>
        <w:rPr>
          <w:rFonts w:ascii="Arial" w:cs="Arial" w:eastAsia="Arial" w:hAnsi="Arial"/>
          <w:sz w:val="14"/>
          <w:szCs w:val="14"/>
          <w:color w:val="auto"/>
        </w:rPr>
        <w:t>The Company follows the guidance prescribed by ASC Topic 820,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Measurements (“ASC 820”), which establishes a framework for measuring fair value, and expands disclosures about fair value measurements. The standard provides a consistent definition of fair value which focuses on an exit price which is the price that would be received to sell an asset or paid to transfer a liability in an orderly transaction between market participants at the measurement date. The standard establishes a three-level hierarchy for fair value measurements based on the nature of inputs used in the valuation of an asset or liability as of the measurement date.</w:t>
      </w:r>
    </w:p>
    <w:p>
      <w:pPr>
        <w:spacing w:after="0" w:line="88" w:lineRule="exact"/>
        <w:rPr>
          <w:sz w:val="20"/>
          <w:szCs w:val="20"/>
          <w:color w:val="auto"/>
        </w:rPr>
      </w:pPr>
    </w:p>
    <w:p>
      <w:pPr>
        <w:jc w:val="both"/>
        <w:ind w:left="1760" w:right="1179" w:hanging="600"/>
        <w:spacing w:after="0" w:line="269" w:lineRule="auto"/>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Pricing inputs are quoted prices available in active markets for identical investments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reporting date.</w:t>
      </w:r>
    </w:p>
    <w:p>
      <w:pPr>
        <w:spacing w:after="0" w:line="86" w:lineRule="exact"/>
        <w:rPr>
          <w:sz w:val="20"/>
          <w:szCs w:val="20"/>
          <w:color w:val="auto"/>
        </w:rPr>
      </w:pPr>
    </w:p>
    <w:p>
      <w:pPr>
        <w:jc w:val="both"/>
        <w:ind w:left="1760" w:right="1179" w:hanging="600"/>
        <w:spacing w:after="0" w:line="284"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Pricing inputs are quoted prices for similar investments, or inputs that are observable, either</w:t>
      </w:r>
      <w:r>
        <w:rPr>
          <w:rFonts w:ascii="Arial" w:cs="Arial" w:eastAsia="Arial" w:hAnsi="Arial"/>
          <w:sz w:val="14"/>
          <w:szCs w:val="14"/>
          <w:b w:val="1"/>
          <w:bCs w:val="1"/>
          <w:color w:val="auto"/>
        </w:rPr>
        <w:t xml:space="preserve"> </w:t>
      </w:r>
      <w:r>
        <w:rPr>
          <w:rFonts w:ascii="Arial" w:cs="Arial" w:eastAsia="Arial" w:hAnsi="Arial"/>
          <w:sz w:val="14"/>
          <w:szCs w:val="14"/>
          <w:color w:val="auto"/>
        </w:rPr>
        <w:t>directly or indirectly, for substantially the full term through corroboration with observable market data. The Company does not have any instruments meeting the criteria of Level 2 inputs.</w:t>
      </w:r>
    </w:p>
    <w:p>
      <w:pPr>
        <w:spacing w:after="0" w:line="66" w:lineRule="exact"/>
        <w:rPr>
          <w:sz w:val="20"/>
          <w:szCs w:val="20"/>
          <w:color w:val="auto"/>
        </w:rPr>
      </w:pPr>
    </w:p>
    <w:p>
      <w:pPr>
        <w:jc w:val="both"/>
        <w:ind w:left="1760" w:right="1179" w:hanging="600"/>
        <w:spacing w:after="0" w:line="252" w:lineRule="auto"/>
        <w:rPr>
          <w:sz w:val="20"/>
          <w:szCs w:val="20"/>
          <w:color w:val="auto"/>
        </w:rPr>
      </w:pPr>
      <w:r>
        <w:rPr>
          <w:rFonts w:ascii="Arial" w:cs="Arial" w:eastAsia="Arial" w:hAnsi="Arial"/>
          <w:sz w:val="15"/>
          <w:szCs w:val="15"/>
          <w:b w:val="1"/>
          <w:bCs w:val="1"/>
          <w:color w:val="auto"/>
        </w:rPr>
        <w:t xml:space="preserve">Level 3: </w:t>
      </w:r>
      <w:r>
        <w:rPr>
          <w:rFonts w:ascii="Arial" w:cs="Arial" w:eastAsia="Arial" w:hAnsi="Arial"/>
          <w:sz w:val="15"/>
          <w:szCs w:val="15"/>
          <w:color w:val="auto"/>
        </w:rPr>
        <w:t>Pricing inputs include unobservable inputs that reflect the reporting entity’s own assumptions</w:t>
      </w:r>
      <w:r>
        <w:rPr>
          <w:rFonts w:ascii="Arial" w:cs="Arial" w:eastAsia="Arial" w:hAnsi="Arial"/>
          <w:sz w:val="15"/>
          <w:szCs w:val="15"/>
          <w:b w:val="1"/>
          <w:bCs w:val="1"/>
          <w:color w:val="auto"/>
        </w:rPr>
        <w:t xml:space="preserve"> </w:t>
      </w:r>
      <w:r>
        <w:rPr>
          <w:rFonts w:ascii="Arial" w:cs="Arial" w:eastAsia="Arial" w:hAnsi="Arial"/>
          <w:sz w:val="15"/>
          <w:szCs w:val="15"/>
          <w:color w:val="auto"/>
        </w:rPr>
        <w:t>about the assumptions market participants would use in pricing the asset or liability, which are developed based on the best information available. The Company does not have any instruments meeting the criteria of Level 3 inputs.</w:t>
      </w:r>
    </w:p>
    <w:p>
      <w:pPr>
        <w:spacing w:after="0" w:line="104" w:lineRule="exact"/>
        <w:rPr>
          <w:sz w:val="20"/>
          <w:szCs w:val="20"/>
          <w:color w:val="auto"/>
        </w:rPr>
      </w:pPr>
    </w:p>
    <w:p>
      <w:pPr>
        <w:jc w:val="both"/>
        <w:ind w:left="1160" w:right="1179"/>
        <w:spacing w:after="0" w:line="249"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05"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The carrying amounts reflected in the consolidated balance sheets for cash, accounts payable and accrued expenses approximate their respective fair values because of the short-term maturity of those financial instruments. As of March 31, 2021, and December 31, 2020, the Company only holds Level 1 cash equivalents, which consist of money market funds of $30,684,808 and $36,842,373, respectively.</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Accounting Pronouncements</w:t>
      </w:r>
    </w:p>
    <w:p>
      <w:pPr>
        <w:spacing w:after="0" w:line="117" w:lineRule="exact"/>
        <w:rPr>
          <w:sz w:val="20"/>
          <w:szCs w:val="20"/>
          <w:color w:val="auto"/>
        </w:rPr>
      </w:pPr>
    </w:p>
    <w:p>
      <w:pPr>
        <w:jc w:val="both"/>
        <w:ind w:left="1160" w:right="1179"/>
        <w:spacing w:after="0" w:line="294" w:lineRule="auto"/>
        <w:rPr>
          <w:sz w:val="20"/>
          <w:szCs w:val="20"/>
          <w:color w:val="auto"/>
        </w:rPr>
      </w:pPr>
      <w:r>
        <w:rPr>
          <w:rFonts w:ascii="Arial" w:cs="Arial" w:eastAsia="Arial" w:hAnsi="Arial"/>
          <w:sz w:val="13"/>
          <w:szCs w:val="13"/>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8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00"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In June 2016, the FASB issued ASU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w:t>
      </w:r>
    </w:p>
    <w:p>
      <w:pPr>
        <w:spacing w:after="0" w:line="8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Instruments-Overall, applied on an instrument-by-instrument basis for eligible instruments. ASU No. 2016-13, Financial Instruments — Credit Losses (Topic 326) will become effective for the Company on January 1, 2023. The Company is currently evaluating the impact of adopting this new accounting guidance.</w:t>
      </w:r>
    </w:p>
    <w:p>
      <w:pPr>
        <w:spacing w:after="0" w:line="84"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Company is currently evaluating the impact of adopting this new accounting guidance.</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3 — Property and Equipment</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Property and equipment consisted of the following at March 31, 2021 and December 31, 2020:</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3"/>
              </w:rPr>
              <w:t>March 31,</w:t>
            </w:r>
          </w:p>
        </w:tc>
        <w:tc>
          <w:tcPr>
            <w:tcW w:w="64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December 31,</w:t>
            </w:r>
          </w:p>
        </w:tc>
      </w:tr>
      <w:tr>
        <w:trPr>
          <w:trHeight w:val="150"/>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ind w:right="169"/>
              <w:spacing w:after="0"/>
              <w:rPr>
                <w:sz w:val="20"/>
                <w:szCs w:val="20"/>
                <w:color w:val="auto"/>
              </w:rPr>
            </w:pPr>
            <w:r>
              <w:rPr>
                <w:rFonts w:ascii="Arial" w:cs="Arial" w:eastAsia="Arial" w:hAnsi="Arial"/>
                <w:sz w:val="12"/>
                <w:szCs w:val="12"/>
                <w:b w:val="1"/>
                <w:bCs w:val="1"/>
                <w:color w:val="auto"/>
              </w:rPr>
              <w:t>2020</w:t>
            </w:r>
          </w:p>
        </w:tc>
      </w:tr>
      <w:tr>
        <w:trPr>
          <w:trHeight w:val="21"/>
        </w:trPr>
        <w:tc>
          <w:tcPr>
            <w:tcW w:w="2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5"/>
              </w:rPr>
              <w:t>190,881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174,317</w:t>
            </w:r>
          </w:p>
        </w:tc>
      </w:tr>
      <w:tr>
        <w:trPr>
          <w:trHeight w:val="214"/>
        </w:trPr>
        <w:tc>
          <w:tcPr>
            <w:tcW w:w="29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Furniture and fixtures</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18,798</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18,798</w:t>
            </w:r>
          </w:p>
        </w:tc>
      </w:tr>
      <w:tr>
        <w:trPr>
          <w:trHeight w:val="205"/>
        </w:trPr>
        <w:tc>
          <w:tcPr>
            <w:tcW w:w="29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5"/>
              </w:rPr>
              <w:t>209,679</w:t>
            </w:r>
          </w:p>
        </w:tc>
        <w:tc>
          <w:tcPr>
            <w:tcW w:w="6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193,115</w:t>
            </w:r>
          </w:p>
        </w:tc>
      </w:tr>
      <w:tr>
        <w:trPr>
          <w:trHeight w:val="214"/>
        </w:trPr>
        <w:tc>
          <w:tcPr>
            <w:tcW w:w="2920" w:type="dxa"/>
            <w:vAlign w:val="bottom"/>
          </w:tcPr>
          <w:p>
            <w:pPr>
              <w:spacing w:after="0"/>
              <w:rPr>
                <w:sz w:val="20"/>
                <w:szCs w:val="20"/>
                <w:color w:val="auto"/>
              </w:rPr>
            </w:pPr>
            <w:r>
              <w:rPr>
                <w:rFonts w:ascii="Arial" w:cs="Arial" w:eastAsia="Arial" w:hAnsi="Arial"/>
                <w:sz w:val="15"/>
                <w:szCs w:val="15"/>
                <w:color w:val="auto"/>
              </w:rPr>
              <w:t>Accumulated depreciation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(137,619)</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7"/>
              </w:rPr>
              <w:t>(128,752)</w:t>
            </w: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r>
      <w:tr>
        <w:trPr>
          <w:trHeight w:val="236"/>
        </w:trPr>
        <w:tc>
          <w:tcPr>
            <w:tcW w:w="29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Property and equipment,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72,060</w:t>
            </w:r>
          </w:p>
        </w:tc>
        <w:tc>
          <w:tcPr>
            <w:tcW w:w="2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64,363</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-173990</wp:posOffset>
            </wp:positionV>
            <wp:extent cx="2794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237871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-452755</wp:posOffset>
            </wp:positionV>
            <wp:extent cx="2794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237871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-732155</wp:posOffset>
            </wp:positionV>
            <wp:extent cx="235077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50770" cy="6985"/>
                    </a:xfrm>
                    <a:prstGeom prst="rect">
                      <a:avLst/>
                    </a:prstGeom>
                    <a:noFill/>
                  </pic:spPr>
                </pic:pic>
              </a:graphicData>
            </a:graphic>
          </wp:anchor>
        </w:drawing>
      </w:r>
    </w:p>
    <w:p>
      <w:pPr>
        <w:spacing w:after="0" w:line="145"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Depreciation expense totaled $8,867 and $5,307 for the three months ended March 31, 2021 and 2020, respectively.</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4 — Accrued Expenses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expenses consisted of the following at March 31, 2021 and December 31, 2020:</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March 31,</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w w:val="84"/>
              </w:rPr>
              <w:t>December 31,</w:t>
            </w:r>
          </w:p>
        </w:tc>
      </w:tr>
      <w:tr>
        <w:trPr>
          <w:trHeight w:val="150"/>
        </w:trPr>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7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64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2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00"/>
        </w:trPr>
        <w:tc>
          <w:tcPr>
            <w:tcW w:w="2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professional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256,337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$269,302</w:t>
            </w:r>
          </w:p>
        </w:tc>
        <w:tc>
          <w:tcPr>
            <w:tcW w:w="60" w:type="dxa"/>
            <w:vAlign w:val="bottom"/>
            <w:shd w:val="clear" w:color="auto" w:fill="CCEEFF"/>
          </w:tcPr>
          <w:p>
            <w:pPr>
              <w:spacing w:after="0"/>
              <w:rPr>
                <w:sz w:val="17"/>
                <w:szCs w:val="17"/>
                <w:color w:val="auto"/>
              </w:rPr>
            </w:pPr>
          </w:p>
        </w:tc>
      </w:tr>
      <w:tr>
        <w:trPr>
          <w:trHeight w:val="209"/>
        </w:trPr>
        <w:tc>
          <w:tcPr>
            <w:tcW w:w="2860" w:type="dxa"/>
            <w:vAlign w:val="bottom"/>
            <w:gridSpan w:val="2"/>
          </w:tcPr>
          <w:p>
            <w:pPr>
              <w:spacing w:after="0"/>
              <w:rPr>
                <w:sz w:val="20"/>
                <w:szCs w:val="20"/>
                <w:color w:val="auto"/>
              </w:rPr>
            </w:pPr>
            <w:r>
              <w:rPr>
                <w:rFonts w:ascii="Arial" w:cs="Arial" w:eastAsia="Arial" w:hAnsi="Arial"/>
                <w:sz w:val="15"/>
                <w:szCs w:val="15"/>
                <w:color w:val="auto"/>
              </w:rPr>
              <w:t>Accrued employee expenses</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819,296</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163,668</w:t>
            </w:r>
          </w:p>
        </w:tc>
        <w:tc>
          <w:tcPr>
            <w:tcW w:w="60" w:type="dxa"/>
            <w:vAlign w:val="bottom"/>
          </w:tcPr>
          <w:p>
            <w:pPr>
              <w:spacing w:after="0"/>
              <w:rPr>
                <w:sz w:val="18"/>
                <w:szCs w:val="18"/>
                <w:color w:val="auto"/>
              </w:rPr>
            </w:pPr>
          </w:p>
        </w:tc>
      </w:tr>
      <w:tr>
        <w:trPr>
          <w:trHeight w:val="21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Accrued contract research expenses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235,230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266,022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6"/>
        </w:trPr>
        <w:tc>
          <w:tcPr>
            <w:tcW w:w="2860" w:type="dxa"/>
            <w:vAlign w:val="bottom"/>
            <w:gridSpan w:val="2"/>
          </w:tcPr>
          <w:p>
            <w:pPr>
              <w:ind w:left="160"/>
              <w:spacing w:after="0"/>
              <w:rPr>
                <w:sz w:val="20"/>
                <w:szCs w:val="20"/>
                <w:color w:val="auto"/>
              </w:rPr>
            </w:pPr>
            <w:r>
              <w:rPr>
                <w:rFonts w:ascii="Arial" w:cs="Arial" w:eastAsia="Arial" w:hAnsi="Arial"/>
                <w:sz w:val="15"/>
                <w:szCs w:val="15"/>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1,310,863</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9"/>
              </w:rPr>
              <w:t>$698,992</w:t>
            </w:r>
          </w:p>
        </w:tc>
        <w:tc>
          <w:tcPr>
            <w:tcW w:w="6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235077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350770" cy="6985"/>
                    </a:xfrm>
                    <a:prstGeom prst="rect">
                      <a:avLst/>
                    </a:prstGeom>
                    <a:noFill/>
                  </pic:spPr>
                </pic:pic>
              </a:graphicData>
            </a:graphic>
          </wp:anchor>
        </w:drawing>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5 — Convertible Preferred Stock</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Series A Preferred Stock</w:t>
      </w:r>
    </w:p>
    <w:p>
      <w:pPr>
        <w:spacing w:after="0" w:line="106"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In September 2019, the Company authorized the sale and issuance of up to 1,987,979 shares of Series A Preferred Stock, $0.001 par value per share, at an original issuance price of $8.5514 per share. In January 2020,</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5 — Convertible Preferred Stock (Continued)</w:t>
      </w:r>
    </w:p>
    <w:p>
      <w:pPr>
        <w:spacing w:after="0" w:line="183" w:lineRule="exact"/>
        <w:rPr>
          <w:sz w:val="20"/>
          <w:szCs w:val="20"/>
          <w:color w:val="auto"/>
        </w:rPr>
      </w:pPr>
    </w:p>
    <w:p>
      <w:pPr>
        <w:jc w:val="both"/>
        <w:ind w:left="1160" w:right="1179"/>
        <w:spacing w:after="0" w:line="300" w:lineRule="auto"/>
        <w:rPr>
          <w:sz w:val="20"/>
          <w:szCs w:val="20"/>
          <w:color w:val="auto"/>
        </w:rPr>
      </w:pPr>
      <w:r>
        <w:rPr>
          <w:rFonts w:ascii="Arial" w:cs="Arial" w:eastAsia="Arial" w:hAnsi="Arial"/>
          <w:sz w:val="14"/>
          <w:szCs w:val="14"/>
          <w:color w:val="auto"/>
        </w:rPr>
        <w:t>the number of shares authorized for the Series A Preferred Stock was increased to 2,495,933 shares. The Series A Preferred Stock financing was structured to be issued in rolling closes during 2019 and 2020.</w:t>
      </w:r>
    </w:p>
    <w:p>
      <w:pPr>
        <w:spacing w:after="0" w:line="70"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On September 20, 2019, the Company issued an additional 1,122,458 shares of Series A Preferred Stock for gross cash proceeds of $9,598,847 and issued 785,706 shares of Series A Preferred Stock in conjunction with the conversion of the outstanding amount of the Convertible Notes (Note 5). In 2019, the Company incurred issuance costs of $200,587 in connection with this offering.</w:t>
      </w:r>
    </w:p>
    <w:p>
      <w:pPr>
        <w:spacing w:after="0" w:line="91"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Company received funds for issuance of an additional 468,315 shares of Series A Preferred Stock for gross cash proceeds of $4,004,975 through December 31, 2019. Of these shares, 410,436 shares of Series A Preferred Stock for gross cash proceeds of $3,509,802 exceeded the authorized amount allowed by the articles of incorporation, resulting in a liability of $3,509,802 and a total of 1,966,043 shares of Series A Preferred Stock outstanding at December 31, 2019. In January 2020, the shares that were previously classified as a</w:t>
      </w:r>
    </w:p>
    <w:p>
      <w:pPr>
        <w:spacing w:after="0" w:line="106"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liability as of December 31, 2019 were reclassified to temporary equity upon the approved increase to authorized shares of Series A Preferred Stock.</w:t>
      </w:r>
    </w:p>
    <w:p>
      <w:pPr>
        <w:spacing w:after="0" w:line="93"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In January 2020, the Company issued 119,454 additional shares of Series A Preferred Stock for gross cash proceeds of $1,021,413. The Company incurred issuance costs of $23,610 in connection with the financing in January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Series B Preferred Stock</w:t>
      </w:r>
    </w:p>
    <w:p>
      <w:pPr>
        <w:spacing w:after="0" w:line="117"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In December 2020, the Company authorized the sale and issuance of up to 6,032,183 shares of Series B Preferred Stock, $0.001 par value per share, at an original issuance price of $10.2782 per share. The Series B Preferred Stock financing was structured to close in two tranches. The first tranche closed in December 2020 and the Company issued 3,619,292 shares of Series B Preferred Stock for gross cash proceeds of $37,199,929. The Company incurred issuance costs of $216,019 in connection with the financing in December 2020.</w:t>
      </w:r>
    </w:p>
    <w:p>
      <w:pPr>
        <w:spacing w:after="0" w:line="106" w:lineRule="exact"/>
        <w:rPr>
          <w:sz w:val="20"/>
          <w:szCs w:val="20"/>
          <w:color w:val="auto"/>
        </w:rPr>
      </w:pPr>
    </w:p>
    <w:p>
      <w:pPr>
        <w:jc w:val="both"/>
        <w:ind w:left="1160" w:right="1179"/>
        <w:spacing w:after="0" w:line="266" w:lineRule="auto"/>
        <w:rPr>
          <w:sz w:val="20"/>
          <w:szCs w:val="20"/>
          <w:color w:val="auto"/>
        </w:rPr>
      </w:pPr>
      <w:r>
        <w:rPr>
          <w:rFonts w:ascii="Arial" w:cs="Arial" w:eastAsia="Arial" w:hAnsi="Arial"/>
          <w:sz w:val="14"/>
          <w:szCs w:val="14"/>
          <w:color w:val="auto"/>
        </w:rPr>
        <w:t>The Company determined the right of the investors to purchase 2,412,853 shares of Series B Preferred Stock in the second tranche does not meet the definition of a freestanding financial instrument as it is not separable from the Series B Preferred Stock issued in the first tranche. The issuance of the second tranche is subject to the Company meeting certain development milestones or at the election of the holders of at least a majority of the then outstanding shares of Series B Preferred Stock which must include one specific shareholder (the “Requisite Holders”). Each holder of Series B Preferred Stock may elect to purchase their requisite shares of the second tranche at any time. As of March 31, 2021, the Company has not met these development milestones nor did the Requisite Holders elect to purchase the second tranche prior to meeting these milestones and therefore no shares of the second tranche were issued.</w:t>
      </w:r>
    </w:p>
    <w:p>
      <w:pPr>
        <w:spacing w:after="0" w:line="97"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In April and May 2021, all 2,412,853 shares of the second tranche of Series B Preferred Stock were issued based on the voluntary election of substantially all of the holders of Series B Preferred Stock. The Company received gross proceeds of $24,799,786.</w:t>
      </w:r>
    </w:p>
    <w:p>
      <w:pPr>
        <w:spacing w:after="0" w:line="90"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As of March 31, 2021, the rights and preferences of the Series A Preferred Stock and Series B Preferred Stock (“Preferred Stock”) are as follows:</w:t>
      </w:r>
    </w:p>
    <w:p>
      <w:pPr>
        <w:spacing w:after="0" w:line="93"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Conversion</w:t>
      </w:r>
    </w:p>
    <w:p>
      <w:pPr>
        <w:spacing w:after="0" w:line="124"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Each share of Preferred Stock may be converted at any time, at the option of the holder, into shares of Class A common stock, subject to the applicable conversion rate as determined by dividing the original issue price by the conversion price. The conversion price for the Series A Preferred Stock and Series B Preferred Stock (as may be adjusted for certain customary dilutive events) is $8.5514 and $10.2782, respectively. The Preferred Stock automatically convert into shares of Class A common stock at the then effective conversion rate upon</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5 — Convertible Preferred Stock (Continued)</w:t>
      </w:r>
    </w:p>
    <w:p>
      <w:pPr>
        <w:spacing w:after="0" w:line="183" w:lineRule="exact"/>
        <w:rPr>
          <w:sz w:val="20"/>
          <w:szCs w:val="20"/>
          <w:color w:val="auto"/>
        </w:rPr>
      </w:pPr>
    </w:p>
    <w:p>
      <w:pPr>
        <w:jc w:val="both"/>
        <w:ind w:left="1160" w:right="1179"/>
        <w:spacing w:after="0" w:line="323" w:lineRule="auto"/>
        <w:rPr>
          <w:sz w:val="20"/>
          <w:szCs w:val="20"/>
          <w:color w:val="auto"/>
        </w:rPr>
      </w:pPr>
      <w:r>
        <w:rPr>
          <w:rFonts w:ascii="Arial" w:cs="Arial" w:eastAsia="Arial" w:hAnsi="Arial"/>
          <w:sz w:val="13"/>
          <w:szCs w:val="13"/>
          <w:color w:val="auto"/>
        </w:rPr>
        <w:t>the closing of a public offering of the Company’s securities with gross proceeds to the Company of at least $75,000,000 and a share price of at least $10.2782 or at the election of the holders of the Requisite Holders.</w:t>
      </w:r>
    </w:p>
    <w:p>
      <w:pPr>
        <w:spacing w:after="0" w:line="48"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Holders of Series B Preferred Stock that would beneficially own at least 9.9% of any then outstanding class of equity securities may elect to receive a portion of their converted Series B Preferred Stock as Class B common stock upon conversion.</w:t>
      </w:r>
    </w:p>
    <w:p>
      <w:pPr>
        <w:spacing w:after="0" w:line="89"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Dividends</w:t>
      </w:r>
    </w:p>
    <w:p>
      <w:pPr>
        <w:spacing w:after="0" w:line="124"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Preferred Stockholders are entitled to receive per annum dividends of 7% of the original issue price share, payable only when, as and if declared by the Board of Directors. The right to receive these dividends is not cumulative, and therefore, if not declared in any year, the right to receive such dividends shall terminate and not carry forward into the next year. As of March 31, 2021 and December 31, 2020, no dividends had been declared.</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Voting Rights</w:t>
      </w:r>
    </w:p>
    <w:p>
      <w:pPr>
        <w:spacing w:after="0" w:line="113"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Preferred Stock and common stock vote together as one class on an as converted basis. Common stock voting rights on certain matters are subject to the powers, preferences, and rights of the Preferred Stock. Preferred</w:t>
      </w:r>
    </w:p>
    <w:p>
      <w:pPr>
        <w:spacing w:after="0" w:line="100"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Stockholders are entitled to vote on all matters and shall have the number of votes equal to the number of shares of common stock into which the shares of Preferred Stock held by such holder are then convertible. As long as 2,132,029 shares of Preferred Stock are outstanding, certain actions such as mergers, acquisition, liquidation, dissolution, wind up of business, and deemed liquidation events, must be approved by the holders of at least a majority of the then-outstanding shares of Preferred Stock.</w:t>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Liquidation Preference</w:t>
      </w:r>
    </w:p>
    <w:p>
      <w:pPr>
        <w:spacing w:after="0" w:line="113" w:lineRule="exact"/>
        <w:rPr>
          <w:sz w:val="20"/>
          <w:szCs w:val="20"/>
          <w:color w:val="auto"/>
        </w:rPr>
      </w:pPr>
    </w:p>
    <w:p>
      <w:pPr>
        <w:jc w:val="both"/>
        <w:ind w:left="1160" w:right="1179"/>
        <w:spacing w:after="0" w:line="233" w:lineRule="auto"/>
        <w:rPr>
          <w:sz w:val="20"/>
          <w:szCs w:val="20"/>
          <w:color w:val="auto"/>
        </w:rPr>
      </w:pPr>
      <w:r>
        <w:rPr>
          <w:rFonts w:ascii="Arial" w:cs="Arial" w:eastAsia="Arial" w:hAnsi="Arial"/>
          <w:sz w:val="15"/>
          <w:szCs w:val="15"/>
          <w:color w:val="auto"/>
        </w:rPr>
        <w:t>Upon liquidation, dissolution, or winding up of business, holders of Preferred Stock are entitled to receive a liquidation preference in priority to holders of common stock at the original respective Preferred Stock issue price for such series. If assets available for distribution are insufficient to satisfy the liquidation payment to holders of Preferred Stock in full, assets available for distribution will be allocated among holders of Preferred Stock on a pari passu basis at an amount per share equal to the greater of the respective original Preferred Stock issue price for such series plus any declared but unpaid dividends or such amount had all shares been converted to common stock.</w:t>
      </w:r>
    </w:p>
    <w:p>
      <w:pPr>
        <w:spacing w:after="0" w:line="102"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When holders of Preferred Stock are satisfied in full, any excess assets available for distribution will be allocated ratably among common stock holders based on their pro rata shareholdings. Upon a deemed liquidation event, as defined in the articles of incorporation, holders have the option to redeem their shares at the liquidation payment amounts summarized above.</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Redemption</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 than described above, the shares of Preferred Stock are not redeemable.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6 — Common Stock</w:t>
      </w:r>
    </w:p>
    <w:p>
      <w:pPr>
        <w:spacing w:after="0" w:line="128" w:lineRule="exact"/>
        <w:rPr>
          <w:sz w:val="20"/>
          <w:szCs w:val="20"/>
          <w:color w:val="auto"/>
        </w:rPr>
      </w:pPr>
    </w:p>
    <w:p>
      <w:pPr>
        <w:jc w:val="both"/>
        <w:ind w:left="1160" w:right="1179"/>
        <w:spacing w:after="0" w:line="255" w:lineRule="auto"/>
        <w:rPr>
          <w:sz w:val="20"/>
          <w:szCs w:val="20"/>
          <w:color w:val="auto"/>
        </w:rPr>
      </w:pPr>
      <w:r>
        <w:rPr>
          <w:rFonts w:ascii="Arial" w:cs="Arial" w:eastAsia="Arial" w:hAnsi="Arial"/>
          <w:sz w:val="14"/>
          <w:szCs w:val="14"/>
          <w:color w:val="auto"/>
        </w:rPr>
        <w:t>As of March 31, 2021 and December 31, 2020, the Company has 15,733,000 authorized shares of Class A common stock, $ 0.001 par value per share, of which 3,535,811 are issued and outstanding.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90"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As of March 31, 2021 and December 31, 2020, the following number of shares of Class A common stock have been reserved:</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6 — Common Stock (Continued)</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March 31,</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w w:val="76"/>
              </w:rPr>
              <w:t>December 31,</w:t>
            </w:r>
          </w:p>
        </w:tc>
      </w:tr>
      <w:tr>
        <w:trPr>
          <w:trHeight w:val="150"/>
        </w:trPr>
        <w:tc>
          <w:tcPr>
            <w:tcW w:w="3820" w:type="dxa"/>
            <w:vAlign w:val="bottom"/>
          </w:tcPr>
          <w:p>
            <w:pPr>
              <w:spacing w:after="0"/>
              <w:rPr>
                <w:sz w:val="13"/>
                <w:szCs w:val="13"/>
                <w:color w:val="auto"/>
              </w:rPr>
            </w:pPr>
          </w:p>
        </w:tc>
        <w:tc>
          <w:tcPr>
            <w:tcW w:w="580" w:type="dxa"/>
            <w:vAlign w:val="bottom"/>
          </w:tcPr>
          <w:p>
            <w:pPr>
              <w:jc w:val="right"/>
              <w:ind w:right="111"/>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660" w:type="dxa"/>
            <w:vAlign w:val="bottom"/>
          </w:tcPr>
          <w:p>
            <w:pPr>
              <w:jc w:val="right"/>
              <w:ind w:right="171"/>
              <w:spacing w:after="0"/>
              <w:rPr>
                <w:sz w:val="20"/>
                <w:szCs w:val="20"/>
                <w:color w:val="auto"/>
              </w:rPr>
            </w:pPr>
            <w:r>
              <w:rPr>
                <w:rFonts w:ascii="Arial" w:cs="Arial" w:eastAsia="Arial" w:hAnsi="Arial"/>
                <w:sz w:val="12"/>
                <w:szCs w:val="12"/>
                <w:b w:val="1"/>
                <w:bCs w:val="1"/>
                <w:color w:val="auto"/>
              </w:rPr>
              <w:t>2021</w:t>
            </w:r>
          </w:p>
        </w:tc>
      </w:tr>
      <w:tr>
        <w:trPr>
          <w:trHeight w:val="21"/>
        </w:trPr>
        <w:tc>
          <w:tcPr>
            <w:tcW w:w="38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2,495,933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2,495,933</w:t>
            </w:r>
          </w:p>
        </w:tc>
      </w:tr>
      <w:tr>
        <w:trPr>
          <w:trHeight w:val="209"/>
        </w:trPr>
        <w:tc>
          <w:tcPr>
            <w:tcW w:w="382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3,619,292</w:t>
            </w:r>
          </w:p>
        </w:tc>
        <w:tc>
          <w:tcPr>
            <w:tcW w:w="660" w:type="dxa"/>
            <w:vAlign w:val="bottom"/>
          </w:tcPr>
          <w:p>
            <w:pPr>
              <w:jc w:val="right"/>
              <w:spacing w:after="0"/>
              <w:rPr>
                <w:sz w:val="20"/>
                <w:szCs w:val="20"/>
                <w:color w:val="auto"/>
              </w:rPr>
            </w:pPr>
            <w:r>
              <w:rPr>
                <w:rFonts w:ascii="Arial" w:cs="Arial" w:eastAsia="Arial" w:hAnsi="Arial"/>
                <w:sz w:val="15"/>
                <w:szCs w:val="15"/>
                <w:color w:val="auto"/>
                <w:w w:val="86"/>
              </w:rPr>
              <w:t>3,619,292</w:t>
            </w:r>
          </w:p>
        </w:tc>
      </w:tr>
      <w:tr>
        <w:trPr>
          <w:trHeight w:val="209"/>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Exercise of common stock warrants</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220,220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220,220</w:t>
            </w:r>
          </w:p>
        </w:tc>
      </w:tr>
      <w:tr>
        <w:trPr>
          <w:trHeight w:val="214"/>
        </w:trPr>
        <w:tc>
          <w:tcPr>
            <w:tcW w:w="3820" w:type="dxa"/>
            <w:vAlign w:val="bottom"/>
          </w:tcPr>
          <w:p>
            <w:pPr>
              <w:spacing w:after="0"/>
              <w:rPr>
                <w:sz w:val="20"/>
                <w:szCs w:val="20"/>
                <w:color w:val="auto"/>
              </w:rPr>
            </w:pPr>
            <w:r>
              <w:rPr>
                <w:rFonts w:ascii="Arial" w:cs="Arial" w:eastAsia="Arial" w:hAnsi="Arial"/>
                <w:sz w:val="15"/>
                <w:szCs w:val="15"/>
                <w:color w:val="auto"/>
              </w:rPr>
              <w:t>Exercise of common stock options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1,446,528</w:t>
            </w:r>
          </w:p>
        </w:tc>
        <w:tc>
          <w:tcPr>
            <w:tcW w:w="660" w:type="dxa"/>
            <w:vAlign w:val="bottom"/>
          </w:tcPr>
          <w:p>
            <w:pPr>
              <w:jc w:val="right"/>
              <w:spacing w:after="0"/>
              <w:rPr>
                <w:sz w:val="20"/>
                <w:szCs w:val="20"/>
                <w:color w:val="auto"/>
              </w:rPr>
            </w:pPr>
            <w:r>
              <w:rPr>
                <w:rFonts w:ascii="Arial" w:cs="Arial" w:eastAsia="Arial" w:hAnsi="Arial"/>
                <w:sz w:val="15"/>
                <w:szCs w:val="15"/>
                <w:color w:val="auto"/>
                <w:w w:val="86"/>
              </w:rPr>
              <w:t>1,286,618</w:t>
            </w:r>
          </w:p>
        </w:tc>
      </w:tr>
      <w:tr>
        <w:trPr>
          <w:trHeight w:val="20"/>
        </w:trPr>
        <w:tc>
          <w:tcPr>
            <w:tcW w:w="38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31"/>
        </w:trPr>
        <w:tc>
          <w:tcPr>
            <w:tcW w:w="3820" w:type="dxa"/>
            <w:vAlign w:val="bottom"/>
            <w:tcBorders>
              <w:right w:val="single" w:sz="8" w:color="CCEEFF"/>
            </w:tcBorders>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7,781,973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7,622,063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-173990</wp:posOffset>
            </wp:positionV>
            <wp:extent cx="3492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293687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9368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-718185</wp:posOffset>
            </wp:positionV>
            <wp:extent cx="290893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908935" cy="6985"/>
                    </a:xfrm>
                    <a:prstGeom prst="rect">
                      <a:avLst/>
                    </a:prstGeom>
                    <a:noFill/>
                  </pic:spPr>
                </pic:pic>
              </a:graphicData>
            </a:graphic>
          </wp:anchor>
        </w:drawing>
      </w:r>
    </w:p>
    <w:p>
      <w:pPr>
        <w:spacing w:after="0" w:line="167"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As of March 31, 2021 and December 31, 2020, the Company has 6,032,183 authorized shares of Class B common stock, $0.001 par value per share,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 Warrants</w:t>
      </w:r>
    </w:p>
    <w:p>
      <w:pPr>
        <w:spacing w:after="0" w:line="117" w:lineRule="exact"/>
        <w:rPr>
          <w:sz w:val="20"/>
          <w:szCs w:val="20"/>
          <w:color w:val="auto"/>
        </w:rPr>
      </w:pPr>
    </w:p>
    <w:p>
      <w:pPr>
        <w:jc w:val="both"/>
        <w:ind w:left="1160" w:right="1179"/>
        <w:spacing w:after="0" w:line="269" w:lineRule="auto"/>
        <w:rPr>
          <w:sz w:val="20"/>
          <w:szCs w:val="20"/>
          <w:color w:val="auto"/>
        </w:rPr>
      </w:pPr>
      <w:r>
        <w:rPr>
          <w:rFonts w:ascii="Arial" w:cs="Arial" w:eastAsia="Arial" w:hAnsi="Arial"/>
          <w:sz w:val="14"/>
          <w:szCs w:val="14"/>
          <w:color w:val="auto"/>
        </w:rPr>
        <w:t>During 2019, the Company issued warrants to purchase an aggregate of 220,220 shares of common stock at an exercise price of $4.21 per share to several advisors, including 143,560 shares to entities related to members of the Board of Directors of the Company, in lieu of cash payments. These warrants vested immediately upon issuance, became exercisable on January 9, 2021 and have a 10-year term set to expire on January 9, 2030. The Company evaluated the terms of these warrants and determined that equity classification was appropriate. As of March 31, 2021, no warrants have been exercised.</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7 — Net Loss Per Share Attributable to Common Stockholders</w:t>
      </w:r>
    </w:p>
    <w:p>
      <w:pPr>
        <w:spacing w:after="0" w:line="128"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93"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The Company’s participating securities include the Company’s Preferred Stock, as the holders are entitled to receive noncumulative dividends in the event that a dividend is paid on common stock. The holders of Preferred Stock do not have a contractual obligation to share in losses of the Company, and therefore during periods of loss there is no allocation required under the two-class method.</w:t>
      </w:r>
    </w:p>
    <w:p>
      <w:pPr>
        <w:spacing w:after="0" w:line="7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4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95"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Basic and diluted net loss per share attributable to common stockholders was calculated at March 31, 2021 and 2020 as follows: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7 — Net Loss Per Share Attributable to Common Stockholders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660" w:type="dxa"/>
            <w:vAlign w:val="bottom"/>
          </w:tcPr>
          <w:p>
            <w:pPr>
              <w:spacing w:after="0"/>
              <w:rPr>
                <w:sz w:val="13"/>
                <w:szCs w:val="13"/>
                <w:color w:val="auto"/>
              </w:rPr>
            </w:pPr>
          </w:p>
        </w:tc>
        <w:tc>
          <w:tcPr>
            <w:tcW w:w="1660" w:type="dxa"/>
            <w:vAlign w:val="bottom"/>
            <w:gridSpan w:val="6"/>
          </w:tcPr>
          <w:p>
            <w:pPr>
              <w:jc w:val="right"/>
              <w:ind w:right="10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9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7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r>
      <w:tr>
        <w:trPr>
          <w:trHeight w:val="21"/>
        </w:trPr>
        <w:tc>
          <w:tcPr>
            <w:tcW w:w="3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Numerator:</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3660" w:type="dxa"/>
            <w:vAlign w:val="bottom"/>
          </w:tcPr>
          <w:p>
            <w:pPr>
              <w:ind w:left="160"/>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(6,229,651)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85"/>
              </w:rPr>
              <w:t>(3,200,720)</w:t>
            </w: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Denominator — basic and diluted: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87"/>
        </w:trPr>
        <w:tc>
          <w:tcPr>
            <w:tcW w:w="3660" w:type="dxa"/>
            <w:vAlign w:val="bottom"/>
          </w:tcPr>
          <w:p>
            <w:pPr>
              <w:ind w:left="160"/>
              <w:spacing w:after="0"/>
              <w:rPr>
                <w:sz w:val="20"/>
                <w:szCs w:val="20"/>
                <w:color w:val="auto"/>
              </w:rPr>
            </w:pPr>
            <w:r>
              <w:rPr>
                <w:rFonts w:ascii="Arial" w:cs="Arial" w:eastAsia="Arial" w:hAnsi="Arial"/>
                <w:sz w:val="15"/>
                <w:szCs w:val="15"/>
                <w:color w:val="auto"/>
                <w:w w:val="97"/>
              </w:rPr>
              <w:t>Weighted-average common shares outstanding, basic</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3660" w:type="dxa"/>
            <w:vAlign w:val="bottom"/>
          </w:tcPr>
          <w:p>
            <w:pPr>
              <w:ind w:left="300"/>
              <w:spacing w:after="0"/>
              <w:rPr>
                <w:sz w:val="20"/>
                <w:szCs w:val="20"/>
                <w:color w:val="auto"/>
              </w:rPr>
            </w:pPr>
            <w:r>
              <w:rPr>
                <w:rFonts w:ascii="Arial" w:cs="Arial" w:eastAsia="Arial" w:hAnsi="Arial"/>
                <w:sz w:val="15"/>
                <w:szCs w:val="15"/>
                <w:color w:val="auto"/>
              </w:rPr>
              <w:t>and diluted</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3,535,811</w:t>
            </w: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2"/>
              </w:rPr>
              <w:t>3,535,811</w:t>
            </w:r>
          </w:p>
        </w:tc>
      </w:tr>
      <w:tr>
        <w:trPr>
          <w:trHeight w:val="22"/>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660" w:type="dxa"/>
            <w:vAlign w:val="bottom"/>
          </w:tcPr>
          <w:p>
            <w:pPr>
              <w:ind w:left="160"/>
              <w:spacing w:after="0"/>
              <w:rPr>
                <w:sz w:val="20"/>
                <w:szCs w:val="20"/>
                <w:color w:val="auto"/>
              </w:rPr>
            </w:pPr>
            <w:r>
              <w:rPr>
                <w:rFonts w:ascii="Arial" w:cs="Arial" w:eastAsia="Arial" w:hAnsi="Arial"/>
                <w:sz w:val="15"/>
                <w:szCs w:val="15"/>
                <w:color w:val="auto"/>
              </w:rPr>
              <w:t>Net loss per share —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(0.91)</w:t>
            </w:r>
          </w:p>
        </w:tc>
      </w:tr>
      <w:tr>
        <w:trPr>
          <w:trHeight w:val="44"/>
        </w:trPr>
        <w:tc>
          <w:tcPr>
            <w:tcW w:w="36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348990" cy="1606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48990" cy="16065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-822325</wp:posOffset>
            </wp:positionV>
            <wp:extent cx="11176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-822325</wp:posOffset>
            </wp:positionV>
            <wp:extent cx="5588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01"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The following table sets forth the potentially dilutive securities that have been excluded from the calculation of diluted net loss per share because to include them would be anti-dilutive (in common stock equivalent shares) at March 31, 2021 and 2020:</w:t>
      </w:r>
    </w:p>
    <w:p>
      <w:pPr>
        <w:spacing w:after="0" w:line="4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740" w:type="dxa"/>
            <w:vAlign w:val="bottom"/>
          </w:tcPr>
          <w:p>
            <w:pPr>
              <w:spacing w:after="0"/>
              <w:rPr>
                <w:sz w:val="13"/>
                <w:szCs w:val="13"/>
                <w:color w:val="auto"/>
              </w:rPr>
            </w:pPr>
          </w:p>
        </w:tc>
        <w:tc>
          <w:tcPr>
            <w:tcW w:w="1540" w:type="dxa"/>
            <w:vAlign w:val="bottom"/>
            <w:gridSpan w:val="7"/>
          </w:tcPr>
          <w:p>
            <w:pPr>
              <w:ind w:left="20"/>
              <w:spacing w:after="0"/>
              <w:rPr>
                <w:sz w:val="20"/>
                <w:szCs w:val="20"/>
                <w:color w:val="auto"/>
              </w:rPr>
            </w:pPr>
            <w:r>
              <w:rPr>
                <w:rFonts w:ascii="Arial" w:cs="Arial" w:eastAsia="Arial" w:hAnsi="Arial"/>
                <w:sz w:val="12"/>
                <w:szCs w:val="12"/>
                <w:b w:val="1"/>
                <w:bCs w:val="1"/>
                <w:color w:val="auto"/>
                <w:w w:val="85"/>
              </w:rPr>
              <w:t>Three Months ended March 31,</w:t>
            </w:r>
          </w:p>
        </w:tc>
      </w:tr>
      <w:tr>
        <w:trPr>
          <w:trHeight w:val="21"/>
        </w:trPr>
        <w:tc>
          <w:tcPr>
            <w:tcW w:w="37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7"/>
        </w:trPr>
        <w:tc>
          <w:tcPr>
            <w:tcW w:w="3740" w:type="dxa"/>
            <w:vAlign w:val="bottom"/>
          </w:tcPr>
          <w:p>
            <w:pPr>
              <w:spacing w:after="0"/>
              <w:rPr>
                <w:sz w:val="13"/>
                <w:szCs w:val="13"/>
                <w:color w:val="auto"/>
              </w:rPr>
            </w:pPr>
          </w:p>
        </w:tc>
        <w:tc>
          <w:tcPr>
            <w:tcW w:w="64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r>
      <w:tr>
        <w:trPr>
          <w:trHeight w:val="21"/>
        </w:trPr>
        <w:tc>
          <w:tcPr>
            <w:tcW w:w="37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Series A Preferred</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2,495,933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6"/>
              </w:rPr>
              <w:t>2,495,933</w:t>
            </w:r>
          </w:p>
        </w:tc>
      </w:tr>
      <w:tr>
        <w:trPr>
          <w:trHeight w:val="209"/>
        </w:trPr>
        <w:tc>
          <w:tcPr>
            <w:tcW w:w="3740" w:type="dxa"/>
            <w:vAlign w:val="bottom"/>
          </w:tcPr>
          <w:p>
            <w:pPr>
              <w:spacing w:after="0"/>
              <w:rPr>
                <w:sz w:val="20"/>
                <w:szCs w:val="20"/>
                <w:color w:val="auto"/>
              </w:rPr>
            </w:pPr>
            <w:r>
              <w:rPr>
                <w:rFonts w:ascii="Arial" w:cs="Arial" w:eastAsia="Arial" w:hAnsi="Arial"/>
                <w:sz w:val="15"/>
                <w:szCs w:val="15"/>
                <w:color w:val="auto"/>
              </w:rPr>
              <w:t>Series B Preferred</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w w:val="92"/>
              </w:rPr>
              <w:t>3,619,292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Warrants to purchase common stock</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220,220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220,220</w:t>
            </w:r>
          </w:p>
        </w:tc>
      </w:tr>
      <w:tr>
        <w:trPr>
          <w:trHeight w:val="214"/>
        </w:trPr>
        <w:tc>
          <w:tcPr>
            <w:tcW w:w="37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Options to purchase common stock</w:t>
            </w:r>
          </w:p>
        </w:tc>
        <w:tc>
          <w:tcPr>
            <w:tcW w:w="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1,446,528</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1,122,496</w:t>
            </w:r>
          </w:p>
        </w:tc>
        <w:tc>
          <w:tcPr>
            <w:tcW w:w="40" w:type="dxa"/>
            <w:vAlign w:val="bottom"/>
            <w:tcBorders>
              <w:bottom w:val="single" w:sz="8" w:color="CCEEFF"/>
            </w:tcBorders>
          </w:tcPr>
          <w:p>
            <w:pPr>
              <w:spacing w:after="0"/>
              <w:rPr>
                <w:sz w:val="18"/>
                <w:szCs w:val="18"/>
                <w:color w:val="auto"/>
              </w:rPr>
            </w:pPr>
          </w:p>
        </w:tc>
      </w:tr>
      <w:tr>
        <w:trPr>
          <w:trHeight w:val="236"/>
        </w:trPr>
        <w:tc>
          <w:tcPr>
            <w:tcW w:w="37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shares of common stock equivalents</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7,781,973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6"/>
              </w:rPr>
              <w:t>3,838,649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-173990</wp:posOffset>
            </wp:positionV>
            <wp:extent cx="2794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294386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-718185</wp:posOffset>
            </wp:positionV>
            <wp:extent cx="11176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-718185</wp:posOffset>
            </wp:positionV>
            <wp:extent cx="55880"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01"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Unaudited pro forma net loss per share attributable to common stockholders is computed using the weighted-average number of common shares outstanding after giving effect to the conversion of all the Preferred Stock into shares of common stock as if such conversion had occurred at the beginning of the period presented or the date of original issuance, if later.</w:t>
      </w:r>
    </w:p>
    <w:p>
      <w:pPr>
        <w:spacing w:after="0" w:line="36"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The following table summarizes the Company’s unaudited pro forma net loss per share attributable to common stockholders for the three months ending March 31, 2021:</w:t>
      </w:r>
    </w:p>
    <w:p>
      <w:pPr>
        <w:spacing w:after="0" w:line="4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w w:val="96"/>
              </w:rPr>
              <w:t>Three Months</w:t>
            </w:r>
          </w:p>
        </w:tc>
      </w:tr>
      <w:tr>
        <w:trPr>
          <w:trHeight w:val="132"/>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4"/>
          </w:tcPr>
          <w:p>
            <w:pPr>
              <w:jc w:val="right"/>
              <w:ind w:right="20"/>
              <w:spacing w:after="0" w:line="132" w:lineRule="exact"/>
              <w:rPr>
                <w:sz w:val="20"/>
                <w:szCs w:val="20"/>
                <w:color w:val="auto"/>
              </w:rPr>
            </w:pPr>
            <w:r>
              <w:rPr>
                <w:rFonts w:ascii="Arial" w:cs="Arial" w:eastAsia="Arial" w:hAnsi="Arial"/>
                <w:sz w:val="12"/>
                <w:szCs w:val="12"/>
                <w:b w:val="1"/>
                <w:bCs w:val="1"/>
                <w:color w:val="auto"/>
                <w:w w:val="85"/>
              </w:rPr>
              <w:t>ended March 31,</w:t>
            </w:r>
          </w:p>
        </w:tc>
      </w:tr>
      <w:tr>
        <w:trPr>
          <w:trHeight w:val="150"/>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9"/>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3"/>
                <w:szCs w:val="13"/>
                <w:color w:val="auto"/>
              </w:rPr>
            </w:pPr>
          </w:p>
        </w:tc>
      </w:tr>
      <w:tr>
        <w:trPr>
          <w:trHeight w:val="21"/>
        </w:trPr>
        <w:tc>
          <w:tcPr>
            <w:tcW w:w="3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00"/>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Numerator:</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3380" w:type="dxa"/>
            <w:vAlign w:val="bottom"/>
          </w:tcPr>
          <w:p>
            <w:pPr>
              <w:ind w:left="160"/>
              <w:spacing w:after="0"/>
              <w:rPr>
                <w:sz w:val="20"/>
                <w:szCs w:val="20"/>
                <w:color w:val="auto"/>
              </w:rPr>
            </w:pPr>
            <w:r>
              <w:rPr>
                <w:rFonts w:ascii="Arial" w:cs="Arial" w:eastAsia="Arial" w:hAnsi="Arial"/>
                <w:sz w:val="15"/>
                <w:szCs w:val="15"/>
                <w:color w:val="auto"/>
              </w:rPr>
              <w:t>Net loss</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w w:val="85"/>
              </w:rPr>
              <w:t>(6,229,651)</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Denominator:</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87"/>
        </w:trPr>
        <w:tc>
          <w:tcPr>
            <w:tcW w:w="3380" w:type="dxa"/>
            <w:vAlign w:val="bottom"/>
          </w:tcPr>
          <w:p>
            <w:pPr>
              <w:ind w:left="160"/>
              <w:spacing w:after="0"/>
              <w:rPr>
                <w:sz w:val="20"/>
                <w:szCs w:val="20"/>
                <w:color w:val="auto"/>
              </w:rPr>
            </w:pPr>
            <w:r>
              <w:rPr>
                <w:rFonts w:ascii="Arial" w:cs="Arial" w:eastAsia="Arial" w:hAnsi="Arial"/>
                <w:sz w:val="15"/>
                <w:szCs w:val="15"/>
                <w:color w:val="auto"/>
              </w:rPr>
              <w:t>Weighted-average common shares outstanding,</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3380" w:type="dxa"/>
            <w:vAlign w:val="bottom"/>
          </w:tcPr>
          <w:p>
            <w:pPr>
              <w:ind w:left="300"/>
              <w:spacing w:after="0"/>
              <w:rPr>
                <w:sz w:val="20"/>
                <w:szCs w:val="20"/>
                <w:color w:val="auto"/>
              </w:rPr>
            </w:pPr>
            <w:r>
              <w:rPr>
                <w:rFonts w:ascii="Arial" w:cs="Arial" w:eastAsia="Arial" w:hAnsi="Arial"/>
                <w:sz w:val="15"/>
                <w:szCs w:val="15"/>
                <w:color w:val="auto"/>
              </w:rPr>
              <w:t>basic and diluted</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2"/>
              </w:rPr>
              <w:t>3,535,811</w:t>
            </w:r>
          </w:p>
        </w:tc>
      </w:tr>
      <w:tr>
        <w:trPr>
          <w:trHeight w:val="193"/>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Assumed conversion of Series A Preferred and</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3"/>
        </w:trPr>
        <w:tc>
          <w:tcPr>
            <w:tcW w:w="3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Series B Preferred</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6,115,225</w:t>
            </w:r>
          </w:p>
        </w:tc>
      </w:tr>
      <w:tr>
        <w:trPr>
          <w:trHeight w:val="205"/>
        </w:trPr>
        <w:tc>
          <w:tcPr>
            <w:tcW w:w="3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5"/>
                <w:szCs w:val="15"/>
                <w:color w:val="auto"/>
              </w:rPr>
              <w:t>Denominator for pro forma basic and diluted</w:t>
            </w:r>
          </w:p>
        </w:tc>
        <w:tc>
          <w:tcPr>
            <w:tcW w:w="18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9,651,036</w:t>
            </w:r>
          </w:p>
        </w:tc>
        <w:tc>
          <w:tcPr>
            <w:tcW w:w="60" w:type="dxa"/>
            <w:vAlign w:val="bottom"/>
            <w:tcBorders>
              <w:top w:val="single" w:sz="8" w:color="CCEEFF"/>
              <w:bottom w:val="single" w:sz="8" w:color="CCEEFF"/>
            </w:tcBorders>
          </w:tcPr>
          <w:p>
            <w:pPr>
              <w:spacing w:after="0"/>
              <w:rPr>
                <w:sz w:val="17"/>
                <w:szCs w:val="17"/>
                <w:color w:val="auto"/>
              </w:rPr>
            </w:pPr>
          </w:p>
        </w:tc>
      </w:tr>
      <w:tr>
        <w:trPr>
          <w:trHeight w:val="236"/>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loss per share — basic and diluted</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(0.65)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279082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7908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-1220470</wp:posOffset>
            </wp:positionV>
            <wp:extent cx="226060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26060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8 — Stock-Based Compensation</w:t>
      </w:r>
    </w:p>
    <w:p>
      <w:pPr>
        <w:spacing w:after="0" w:line="117" w:lineRule="exact"/>
        <w:rPr>
          <w:sz w:val="20"/>
          <w:szCs w:val="20"/>
          <w:color w:val="auto"/>
        </w:rPr>
      </w:pPr>
    </w:p>
    <w:p>
      <w:pPr>
        <w:jc w:val="both"/>
        <w:ind w:left="1160" w:right="1179"/>
        <w:spacing w:after="0" w:line="234" w:lineRule="auto"/>
        <w:rPr>
          <w:sz w:val="20"/>
          <w:szCs w:val="20"/>
          <w:color w:val="auto"/>
        </w:rPr>
      </w:pPr>
      <w:r>
        <w:rPr>
          <w:rFonts w:ascii="Arial" w:cs="Arial" w:eastAsia="Arial" w:hAnsi="Arial"/>
          <w:sz w:val="15"/>
          <w:szCs w:val="15"/>
          <w:color w:val="auto"/>
        </w:rPr>
        <w:t>During 2015, the Company established the 2015 Stock Incentive Plan (“Incentive Plan”), under which incentive stock options, nonqualified stock options and common stock may be awarded to employees, directors or consultants of the Company. The options typically vest over a four-year period. At March 31, 2021, the maximum number of shares available for issuance under the Incentive Plan was 2,017,981 shares. At March 31, 2021, the number of shares available for future grants under the Incentive Plan was 570,543 shares. During the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8 — Stock-Based Compensation (Continued)</w:t>
      </w:r>
    </w:p>
    <w:p>
      <w:pPr>
        <w:spacing w:after="0" w:line="183" w:lineRule="exact"/>
        <w:rPr>
          <w:sz w:val="20"/>
          <w:szCs w:val="20"/>
          <w:color w:val="auto"/>
        </w:rPr>
      </w:pPr>
    </w:p>
    <w:p>
      <w:pPr>
        <w:jc w:val="both"/>
        <w:ind w:left="1160" w:right="1179"/>
        <w:spacing w:after="0" w:line="236" w:lineRule="auto"/>
        <w:rPr>
          <w:sz w:val="20"/>
          <w:szCs w:val="20"/>
          <w:color w:val="auto"/>
        </w:rPr>
      </w:pPr>
      <w:r>
        <w:rPr>
          <w:rFonts w:ascii="Arial" w:cs="Arial" w:eastAsia="Arial" w:hAnsi="Arial"/>
          <w:sz w:val="15"/>
          <w:szCs w:val="15"/>
          <w:color w:val="auto"/>
        </w:rPr>
        <w:t>three months ended March 31, 2021 and 2020, the Company recognized stock-based compensation expense of $182,225 and $272,143, respectively. At March 31, 2021, compensation expense remaining to be recognized for outstanding stock options was $1,736,754 and to be recognized over a weighted-average period of 2.0 years.</w:t>
      </w:r>
    </w:p>
    <w:p>
      <w:pPr>
        <w:spacing w:after="0" w:line="102"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The fair value of options granted is calculated on the grant date using the Black-Scholes option valuation model. For the three months ended March 31, 2021, the Company granted 159,910 shares of stock options at a weighted-average grant date fair value of $3.86. For the three months ended March 31, 2020, the Company granted 139,100 shares at a weighted-average grant date fair value of $2.55.</w:t>
      </w:r>
    </w:p>
    <w:p>
      <w:pPr>
        <w:spacing w:after="0" w:line="78"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Company used the following assumptions in its application of the Black-Scholes option pricing model for grants during the three months ended March 31, 2021 and 2020:</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320" w:type="dxa"/>
            <w:vAlign w:val="bottom"/>
          </w:tcPr>
          <w:p>
            <w:pPr>
              <w:spacing w:after="0"/>
              <w:rPr>
                <w:sz w:val="13"/>
                <w:szCs w:val="13"/>
                <w:color w:val="auto"/>
              </w:rPr>
            </w:pPr>
          </w:p>
        </w:tc>
        <w:tc>
          <w:tcPr>
            <w:tcW w:w="1960" w:type="dxa"/>
            <w:vAlign w:val="bottom"/>
            <w:gridSpan w:val="4"/>
          </w:tcPr>
          <w:p>
            <w:pPr>
              <w:ind w:left="200"/>
              <w:spacing w:after="0"/>
              <w:rPr>
                <w:sz w:val="20"/>
                <w:szCs w:val="20"/>
                <w:color w:val="auto"/>
              </w:rPr>
            </w:pPr>
            <w:r>
              <w:rPr>
                <w:rFonts w:ascii="Arial" w:cs="Arial" w:eastAsia="Arial" w:hAnsi="Arial"/>
                <w:sz w:val="12"/>
                <w:szCs w:val="12"/>
                <w:b w:val="1"/>
                <w:bCs w:val="1"/>
                <w:color w:val="auto"/>
                <w:w w:val="98"/>
              </w:rPr>
              <w:t>Three Months Ended March 31,</w:t>
            </w:r>
          </w:p>
        </w:tc>
      </w:tr>
      <w:tr>
        <w:trPr>
          <w:trHeight w:val="21"/>
        </w:trPr>
        <w:tc>
          <w:tcPr>
            <w:tcW w:w="33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57"/>
        </w:trPr>
        <w:tc>
          <w:tcPr>
            <w:tcW w:w="3320" w:type="dxa"/>
            <w:vAlign w:val="bottom"/>
          </w:tcPr>
          <w:p>
            <w:pPr>
              <w:spacing w:after="0"/>
              <w:rPr>
                <w:sz w:val="13"/>
                <w:szCs w:val="13"/>
                <w:color w:val="auto"/>
              </w:rPr>
            </w:pPr>
          </w:p>
        </w:tc>
        <w:tc>
          <w:tcPr>
            <w:tcW w:w="1140" w:type="dxa"/>
            <w:vAlign w:val="bottom"/>
            <w:gridSpan w:val="2"/>
          </w:tcPr>
          <w:p>
            <w:pPr>
              <w:jc w:val="right"/>
              <w:ind w:right="38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9"/>
              </w:rPr>
              <w:t>2020</w:t>
            </w:r>
          </w:p>
        </w:tc>
      </w:tr>
      <w:tr>
        <w:trPr>
          <w:trHeight w:val="21"/>
        </w:trPr>
        <w:tc>
          <w:tcPr>
            <w:tcW w:w="3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risk-free interest rate</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1.71%</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1.21%</w:t>
            </w:r>
          </w:p>
        </w:tc>
      </w:tr>
      <w:tr>
        <w:trPr>
          <w:trHeight w:val="209"/>
        </w:trPr>
        <w:tc>
          <w:tcPr>
            <w:tcW w:w="332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460" w:type="dxa"/>
            <w:vAlign w:val="bottom"/>
          </w:tcPr>
          <w:p>
            <w:pPr>
              <w:spacing w:after="0"/>
              <w:rPr>
                <w:sz w:val="18"/>
                <w:szCs w:val="18"/>
                <w:color w:val="auto"/>
              </w:rPr>
            </w:pPr>
          </w:p>
        </w:tc>
        <w:tc>
          <w:tcPr>
            <w:tcW w:w="680" w:type="dxa"/>
            <w:vAlign w:val="bottom"/>
          </w:tcPr>
          <w:p>
            <w:pPr>
              <w:jc w:val="right"/>
              <w:ind w:right="407"/>
              <w:spacing w:after="0"/>
              <w:rPr>
                <w:sz w:val="20"/>
                <w:szCs w:val="20"/>
                <w:color w:val="auto"/>
              </w:rPr>
            </w:pPr>
            <w:r>
              <w:rPr>
                <w:rFonts w:ascii="Arial" w:cs="Arial" w:eastAsia="Arial" w:hAnsi="Arial"/>
                <w:sz w:val="15"/>
                <w:szCs w:val="15"/>
                <w:color w:val="auto"/>
                <w:w w:val="82"/>
              </w:rPr>
              <w:t>0%</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92"/>
              </w:rPr>
              <w:t>0%</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Expected volatility</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69.01%</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80.99%</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67.30%</w:t>
            </w:r>
          </w:p>
        </w:tc>
      </w:tr>
      <w:tr>
        <w:trPr>
          <w:trHeight w:val="220"/>
        </w:trPr>
        <w:tc>
          <w:tcPr>
            <w:tcW w:w="3320" w:type="dxa"/>
            <w:vAlign w:val="bottom"/>
          </w:tcPr>
          <w:p>
            <w:pPr>
              <w:spacing w:after="0"/>
              <w:rPr>
                <w:sz w:val="20"/>
                <w:szCs w:val="20"/>
                <w:color w:val="auto"/>
              </w:rPr>
            </w:pPr>
            <w:r>
              <w:rPr>
                <w:rFonts w:ascii="Arial" w:cs="Arial" w:eastAsia="Arial" w:hAnsi="Arial"/>
                <w:sz w:val="15"/>
                <w:szCs w:val="15"/>
                <w:color w:val="auto"/>
              </w:rPr>
              <w:t>Expected term (in years)</w:t>
            </w:r>
          </w:p>
        </w:tc>
        <w:tc>
          <w:tcPr>
            <w:tcW w:w="1320" w:type="dxa"/>
            <w:vAlign w:val="bottom"/>
            <w:gridSpan w:val="3"/>
          </w:tcPr>
          <w:p>
            <w:pPr>
              <w:ind w:left="60"/>
              <w:spacing w:after="0"/>
              <w:rPr>
                <w:sz w:val="20"/>
                <w:szCs w:val="20"/>
                <w:color w:val="auto"/>
              </w:rPr>
            </w:pPr>
            <w:r>
              <w:rPr>
                <w:rFonts w:ascii="Arial" w:cs="Arial" w:eastAsia="Arial" w:hAnsi="Arial"/>
                <w:sz w:val="15"/>
                <w:szCs w:val="15"/>
                <w:color w:val="auto"/>
              </w:rPr>
              <w:t>5.83 — 10 years</w:t>
            </w:r>
          </w:p>
        </w:tc>
        <w:tc>
          <w:tcPr>
            <w:tcW w:w="640" w:type="dxa"/>
            <w:vAlign w:val="bottom"/>
          </w:tcPr>
          <w:p>
            <w:pPr>
              <w:spacing w:after="0"/>
              <w:rPr>
                <w:sz w:val="20"/>
                <w:szCs w:val="20"/>
                <w:color w:val="auto"/>
              </w:rPr>
            </w:pPr>
            <w:r>
              <w:rPr>
                <w:rFonts w:ascii="Arial" w:cs="Arial" w:eastAsia="Arial" w:hAnsi="Arial"/>
                <w:sz w:val="15"/>
                <w:szCs w:val="15"/>
                <w:color w:val="auto"/>
                <w:w w:val="88"/>
              </w:rPr>
              <w:t>6.01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-543560</wp:posOffset>
            </wp:positionV>
            <wp:extent cx="11176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-543560</wp:posOffset>
            </wp:positionV>
            <wp:extent cx="5588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7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The following table summarizes the stock option activity during the three months ended March 31, 2021 under the Plan:</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Weighted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2"/>
        </w:trPr>
        <w:tc>
          <w:tcPr>
            <w:tcW w:w="3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Weighted-</w:t>
            </w:r>
          </w:p>
        </w:tc>
        <w:tc>
          <w:tcPr>
            <w:tcW w:w="94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Average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3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Average</w:t>
            </w:r>
          </w:p>
        </w:tc>
        <w:tc>
          <w:tcPr>
            <w:tcW w:w="94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Remaining</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3340" w:type="dxa"/>
            <w:vAlign w:val="bottom"/>
          </w:tcPr>
          <w:p>
            <w:pPr>
              <w:spacing w:after="0"/>
              <w:rPr>
                <w:sz w:val="11"/>
                <w:szCs w:val="11"/>
                <w:color w:val="auto"/>
              </w:rPr>
            </w:pPr>
          </w:p>
        </w:tc>
        <w:tc>
          <w:tcPr>
            <w:tcW w:w="760" w:type="dxa"/>
            <w:vAlign w:val="bottom"/>
            <w:gridSpan w:val="2"/>
          </w:tcPr>
          <w:p>
            <w:pPr>
              <w:jc w:val="right"/>
              <w:ind w:right="220"/>
              <w:spacing w:after="0" w:line="132" w:lineRule="exact"/>
              <w:rPr>
                <w:sz w:val="20"/>
                <w:szCs w:val="20"/>
                <w:color w:val="auto"/>
              </w:rPr>
            </w:pPr>
            <w:r>
              <w:rPr>
                <w:rFonts w:ascii="Arial" w:cs="Arial" w:eastAsia="Arial" w:hAnsi="Arial"/>
                <w:sz w:val="12"/>
                <w:szCs w:val="12"/>
                <w:b w:val="1"/>
                <w:bCs w:val="1"/>
                <w:color w:val="auto"/>
                <w:w w:val="86"/>
              </w:rPr>
              <w:t>Number of</w:t>
            </w:r>
          </w:p>
        </w:tc>
        <w:tc>
          <w:tcPr>
            <w:tcW w:w="9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2"/>
              </w:rPr>
              <w:t>Exercise Price</w:t>
            </w:r>
          </w:p>
        </w:tc>
        <w:tc>
          <w:tcPr>
            <w:tcW w:w="9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Contractual</w:t>
            </w:r>
          </w:p>
        </w:tc>
        <w:tc>
          <w:tcPr>
            <w:tcW w:w="80" w:type="dxa"/>
            <w:vAlign w:val="bottom"/>
          </w:tcPr>
          <w:p>
            <w:pPr>
              <w:spacing w:after="0"/>
              <w:rPr>
                <w:sz w:val="11"/>
                <w:szCs w:val="11"/>
                <w:color w:val="auto"/>
              </w:rPr>
            </w:pPr>
          </w:p>
        </w:tc>
        <w:tc>
          <w:tcPr>
            <w:tcW w:w="660" w:type="dxa"/>
            <w:vAlign w:val="bottom"/>
          </w:tcPr>
          <w:p>
            <w:pPr>
              <w:jc w:val="right"/>
              <w:ind w:right="70"/>
              <w:spacing w:after="0" w:line="132" w:lineRule="exact"/>
              <w:rPr>
                <w:sz w:val="20"/>
                <w:szCs w:val="20"/>
                <w:color w:val="auto"/>
              </w:rPr>
            </w:pPr>
            <w:r>
              <w:rPr>
                <w:rFonts w:ascii="Arial" w:cs="Arial" w:eastAsia="Arial" w:hAnsi="Arial"/>
                <w:sz w:val="12"/>
                <w:szCs w:val="12"/>
                <w:b w:val="1"/>
                <w:bCs w:val="1"/>
                <w:color w:val="auto"/>
                <w:w w:val="84"/>
              </w:rPr>
              <w:t>Aggregate</w:t>
            </w:r>
          </w:p>
        </w:tc>
      </w:tr>
      <w:tr>
        <w:trPr>
          <w:trHeight w:val="150"/>
        </w:trPr>
        <w:tc>
          <w:tcPr>
            <w:tcW w:w="334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Options</w:t>
            </w: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per Share</w:t>
            </w: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Term (in Years)</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85"/>
              </w:rPr>
              <w:t>Intrinsic Value</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of December 31, 2020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1,286,618</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$4.22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8.37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4"/>
        </w:trPr>
        <w:tc>
          <w:tcPr>
            <w:tcW w:w="3340" w:type="dxa"/>
            <w:vAlign w:val="bottom"/>
          </w:tcPr>
          <w:p>
            <w:pPr>
              <w:ind w:left="160"/>
              <w:spacing w:after="0"/>
              <w:rPr>
                <w:sz w:val="20"/>
                <w:szCs w:val="20"/>
                <w:color w:val="auto"/>
              </w:rPr>
            </w:pPr>
            <w:r>
              <w:rPr>
                <w:rFonts w:ascii="Arial" w:cs="Arial" w:eastAsia="Arial" w:hAnsi="Arial"/>
                <w:sz w:val="15"/>
                <w:szCs w:val="15"/>
                <w:color w:val="auto"/>
              </w:rPr>
              <w:t>Granted</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159,910</w:t>
            </w:r>
          </w:p>
        </w:tc>
        <w:tc>
          <w:tcPr>
            <w:tcW w:w="720" w:type="dxa"/>
            <w:vAlign w:val="bottom"/>
          </w:tcPr>
          <w:p>
            <w:pPr>
              <w:jc w:val="center"/>
              <w:spacing w:after="0"/>
              <w:rPr>
                <w:sz w:val="20"/>
                <w:szCs w:val="20"/>
                <w:color w:val="auto"/>
              </w:rPr>
            </w:pPr>
            <w:r>
              <w:rPr>
                <w:rFonts w:ascii="Arial" w:cs="Arial" w:eastAsia="Arial" w:hAnsi="Arial"/>
                <w:sz w:val="15"/>
                <w:szCs w:val="15"/>
                <w:color w:val="auto"/>
                <w:w w:val="85"/>
              </w:rPr>
              <w:t>$5.77</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82"/>
              </w:rPr>
              <w:t>9.98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33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r>
        <w:trPr>
          <w:trHeight w:val="236"/>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March 31, 2021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1,446,528</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$4.39</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8.33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13,378,919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r>
        <w:trPr>
          <w:trHeight w:val="184"/>
        </w:trPr>
        <w:tc>
          <w:tcPr>
            <w:tcW w:w="3340" w:type="dxa"/>
            <w:vAlign w:val="bottom"/>
          </w:tcPr>
          <w:p>
            <w:pPr>
              <w:spacing w:after="0"/>
              <w:rPr>
                <w:sz w:val="20"/>
                <w:szCs w:val="20"/>
                <w:color w:val="auto"/>
              </w:rPr>
            </w:pPr>
            <w:r>
              <w:rPr>
                <w:rFonts w:ascii="Arial" w:cs="Arial" w:eastAsia="Arial" w:hAnsi="Arial"/>
                <w:sz w:val="15"/>
                <w:szCs w:val="15"/>
                <w:color w:val="auto"/>
              </w:rPr>
              <w:t>Vested and exercisable at March 31, 2021</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710,561</w:t>
            </w:r>
          </w:p>
        </w:tc>
        <w:tc>
          <w:tcPr>
            <w:tcW w:w="720" w:type="dxa"/>
            <w:vAlign w:val="bottom"/>
          </w:tcPr>
          <w:p>
            <w:pPr>
              <w:jc w:val="center"/>
              <w:spacing w:after="0"/>
              <w:rPr>
                <w:sz w:val="20"/>
                <w:szCs w:val="20"/>
                <w:color w:val="auto"/>
              </w:rPr>
            </w:pPr>
            <w:r>
              <w:rPr>
                <w:rFonts w:ascii="Arial" w:cs="Arial" w:eastAsia="Arial" w:hAnsi="Arial"/>
                <w:sz w:val="15"/>
                <w:szCs w:val="15"/>
                <w:color w:val="auto"/>
                <w:w w:val="85"/>
              </w:rPr>
              <w:t>$4.21</w:t>
            </w:r>
          </w:p>
        </w:tc>
        <w:tc>
          <w:tcPr>
            <w:tcW w:w="1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82"/>
              </w:rPr>
              <w:t>7.65</w:t>
            </w:r>
          </w:p>
        </w:tc>
        <w:tc>
          <w:tcPr>
            <w:tcW w:w="1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6,700,068</w:t>
            </w:r>
          </w:p>
        </w:tc>
      </w:tr>
      <w:tr>
        <w:trPr>
          <w:trHeight w:val="209"/>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and expected to vest at March 31, 2021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1,446,528</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$4.39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8.33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13,378,919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-445770</wp:posOffset>
            </wp:positionV>
            <wp:extent cx="4241800"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-725170</wp:posOffset>
            </wp:positionV>
            <wp:extent cx="11176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-725170</wp:posOffset>
            </wp:positionV>
            <wp:extent cx="111760"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-725170</wp:posOffset>
            </wp:positionV>
            <wp:extent cx="260223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02230" cy="6985"/>
                    </a:xfrm>
                    <a:prstGeom prst="rect">
                      <a:avLst/>
                    </a:prstGeom>
                    <a:noFill/>
                  </pic:spPr>
                </pic:pic>
              </a:graphicData>
            </a:graphic>
          </wp:anchor>
        </w:drawing>
      </w:r>
    </w:p>
    <w:p>
      <w:pPr>
        <w:spacing w:after="0" w:line="79" w:lineRule="exact"/>
        <w:rPr>
          <w:sz w:val="20"/>
          <w:szCs w:val="20"/>
          <w:color w:val="auto"/>
        </w:rPr>
      </w:pPr>
    </w:p>
    <w:p>
      <w:pPr>
        <w:jc w:val="both"/>
        <w:ind w:left="1160" w:right="1179"/>
        <w:spacing w:after="0" w:line="300" w:lineRule="auto"/>
        <w:rPr>
          <w:sz w:val="20"/>
          <w:szCs w:val="20"/>
          <w:color w:val="auto"/>
        </w:rPr>
      </w:pPr>
      <w:r>
        <w:rPr>
          <w:rFonts w:ascii="Arial" w:cs="Arial" w:eastAsia="Arial" w:hAnsi="Arial"/>
          <w:sz w:val="14"/>
          <w:szCs w:val="14"/>
          <w:color w:val="auto"/>
        </w:rPr>
        <w:t>For the three months ended March 31, 2021 and 2020, the Company recognized share-based compensation expense recognized on the accompanying consolidated statements of operations as follows:</w:t>
      </w:r>
    </w:p>
    <w:p>
      <w:pPr>
        <w:spacing w:after="0" w:line="8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9"/>
          </w:tcPr>
          <w:p>
            <w:pPr>
              <w:ind w:left="2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22,515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24,917</w:t>
            </w:r>
          </w:p>
        </w:tc>
        <w:tc>
          <w:tcPr>
            <w:tcW w:w="80" w:type="dxa"/>
            <w:vAlign w:val="bottom"/>
            <w:shd w:val="clear" w:color="auto" w:fill="CCEEFF"/>
          </w:tcPr>
          <w:p>
            <w:pPr>
              <w:spacing w:after="0"/>
              <w:rPr>
                <w:sz w:val="17"/>
                <w:szCs w:val="17"/>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105,703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116,043</w:t>
            </w:r>
          </w:p>
        </w:tc>
        <w:tc>
          <w:tcPr>
            <w:tcW w:w="80" w:type="dxa"/>
            <w:vAlign w:val="bottom"/>
          </w:tcPr>
          <w:p>
            <w:pPr>
              <w:spacing w:after="0"/>
              <w:rPr>
                <w:sz w:val="18"/>
                <w:szCs w:val="18"/>
                <w:color w:val="auto"/>
              </w:rPr>
            </w:pPr>
          </w:p>
        </w:tc>
      </w:tr>
      <w:tr>
        <w:trPr>
          <w:trHeight w:val="21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54,007</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131,183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5"/>
                <w:szCs w:val="15"/>
                <w:color w:val="auto"/>
              </w:rPr>
              <w:t>Total</w:t>
            </w: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182,225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272,143</w:t>
            </w:r>
          </w:p>
        </w:tc>
        <w:tc>
          <w:tcPr>
            <w:tcW w:w="8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-585470</wp:posOffset>
            </wp:positionV>
            <wp:extent cx="111760"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-585470</wp:posOffset>
            </wp:positionV>
            <wp:extent cx="55880"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9 — Commitments and Contingencies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Operating Leases</w:t>
      </w:r>
    </w:p>
    <w:p>
      <w:pPr>
        <w:spacing w:after="0" w:line="124"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The Company leases office space in Cambridge, Massachusetts, New York, New York and beginning on July 1, 2021, San Francisco, California, pursuant to short-term arrangements. The Cambridge and San Francisco leases are on a month-to-month basis, requiring one month’s notice before termination. The New</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9 — Commitments and Contingencies (Continued)</w:t>
      </w:r>
    </w:p>
    <w:p>
      <w:pPr>
        <w:spacing w:after="0" w:line="183"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York lease is renewable on a quarterly basis and the last renewal was on June 15, 2021 which extended the lease term until September 30, 2021. The San Francisco lease is renewable on an annual basis. These lease agreements include payments for lease and non-lease components and the Company has elected to not separate such components and these payments were recognized as rent expense.</w:t>
      </w:r>
    </w:p>
    <w:p>
      <w:pPr>
        <w:spacing w:after="0" w:line="89" w:lineRule="exact"/>
        <w:rPr>
          <w:sz w:val="20"/>
          <w:szCs w:val="20"/>
          <w:color w:val="auto"/>
        </w:rPr>
      </w:pPr>
    </w:p>
    <w:p>
      <w:pPr>
        <w:jc w:val="both"/>
        <w:ind w:left="1160" w:right="1179"/>
        <w:spacing w:after="0" w:line="248" w:lineRule="auto"/>
        <w:rPr>
          <w:sz w:val="20"/>
          <w:szCs w:val="20"/>
          <w:color w:val="auto"/>
        </w:rPr>
      </w:pPr>
      <w:r>
        <w:rPr>
          <w:rFonts w:ascii="Arial" w:cs="Arial" w:eastAsia="Arial" w:hAnsi="Arial"/>
          <w:sz w:val="15"/>
          <w:szCs w:val="15"/>
          <w:color w:val="auto"/>
        </w:rPr>
        <w:t>As of March 31, 2021, total future minimum lease payments for its short-term leases in Cambridge, Massachusetts and New York, New York, was $9,000 all due in 2021. The Company leases storage space for its electronic data equipment in Somerville, Massachusetts. This lease is renewable on an annual basis effective every March 1st. Prior to March 31, 2021, the Company renewed the lease through March 31, 2022. As of March 31, 2021, total future minimum lease payments for this lease were $16,062 due in 2021 and $3,569 due in 2022.</w:t>
      </w:r>
    </w:p>
    <w:p>
      <w:pPr>
        <w:spacing w:after="0" w:line="95"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In July 2019, the Company entered into an office lease in San Diego, California (“2019 San Diego Lease”) with a lease term of 24 months with no escalations and variable costs based on additional number of employees using the facility. This lease was cancelable upon a 30-day notice period. Upon adoption of ASC 842 on January 1, 2020, a right-to-use asset and lease liability based on the fixed costs was recognized by the Company for $61,822. Effective September 20, 2020, the lease was terminated, and the remaining right-of-use asset and lease liability were derecognized. No gain or loss was recognized for the termination of this lease.</w:t>
      </w:r>
    </w:p>
    <w:p>
      <w:pPr>
        <w:spacing w:after="0" w:line="109"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In October 2020, the Company entered into an office lease in San Diego, California (“2020 San Diego Lease”) with a lease term of 67 months. At the lease commencement date, a right-to-use asset and lease liability was recognized by the Company for $637,863.</w:t>
      </w:r>
    </w:p>
    <w:p>
      <w:pPr>
        <w:spacing w:after="0" w:line="10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5"/>
          <w:szCs w:val="15"/>
          <w:color w:val="auto"/>
        </w:rPr>
        <w:t>Maturities of the lease liabilities due under the Company’s 2020 San Diego Lease as of March 31, 2021 are as follows: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88"/>
              </w:rPr>
              <w:t>Amount</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Remainder of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5"/>
                <w:szCs w:val="15"/>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w w:val="92"/>
              </w:rPr>
              <w:t>115,430</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125,741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5"/>
                <w:szCs w:val="15"/>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92"/>
              </w:rPr>
              <w:t>161,498</w:t>
            </w:r>
          </w:p>
        </w:tc>
        <w:tc>
          <w:tcPr>
            <w:tcW w:w="20" w:type="dxa"/>
            <w:vAlign w:val="bottom"/>
          </w:tcPr>
          <w:p>
            <w:pPr>
              <w:spacing w:after="0"/>
              <w:rPr>
                <w:sz w:val="18"/>
                <w:szCs w:val="18"/>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167,150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660" w:type="dxa"/>
            <w:vAlign w:val="bottom"/>
          </w:tcPr>
          <w:p>
            <w:pPr>
              <w:spacing w:after="0"/>
              <w:rPr>
                <w:sz w:val="20"/>
                <w:szCs w:val="20"/>
                <w:color w:val="auto"/>
              </w:rPr>
            </w:pPr>
            <w:r>
              <w:rPr>
                <w:rFonts w:ascii="Arial" w:cs="Arial" w:eastAsia="Arial" w:hAnsi="Arial"/>
                <w:sz w:val="15"/>
                <w:szCs w:val="15"/>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rPr>
              <w:t>57,332</w:t>
            </w:r>
          </w:p>
        </w:tc>
      </w:tr>
      <w:tr>
        <w:trPr>
          <w:trHeight w:val="205"/>
        </w:trPr>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future lease payments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710,958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5"/>
                <w:szCs w:val="15"/>
                <w:color w:val="auto"/>
              </w:rPr>
              <w:t>Less: Imputed interest</w:t>
            </w: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w w:val="84"/>
              </w:rPr>
              <w:t>(108,366)</w:t>
            </w:r>
          </w:p>
        </w:tc>
      </w:tr>
      <w:tr>
        <w:trPr>
          <w:trHeight w:val="241"/>
        </w:trPr>
        <w:tc>
          <w:tcPr>
            <w:tcW w:w="46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lease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602,592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2"/>
        </w:trPr>
        <w:tc>
          <w:tcPr>
            <w:tcW w:w="4680" w:type="dxa"/>
            <w:vAlign w:val="bottom"/>
            <w:gridSpan w:val="2"/>
          </w:tcPr>
          <w:p>
            <w:pPr>
              <w:spacing w:after="0" w:line="162" w:lineRule="exact"/>
              <w:rPr>
                <w:sz w:val="20"/>
                <w:szCs w:val="20"/>
                <w:color w:val="auto"/>
              </w:rPr>
            </w:pPr>
            <w:r>
              <w:rPr>
                <w:rFonts w:ascii="Arial" w:cs="Arial" w:eastAsia="Arial" w:hAnsi="Arial"/>
                <w:sz w:val="15"/>
                <w:szCs w:val="15"/>
                <w:color w:val="auto"/>
              </w:rPr>
              <w:t>Current portion lease liability</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78,447</w:t>
            </w:r>
          </w:p>
        </w:tc>
      </w:tr>
      <w:tr>
        <w:trPr>
          <w:trHeight w:val="214"/>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Lease liability, noncurrent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524,145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80" w:type="dxa"/>
            <w:vAlign w:val="bottom"/>
            <w:gridSpan w:val="2"/>
          </w:tcPr>
          <w:p>
            <w:pPr>
              <w:ind w:left="160"/>
              <w:spacing w:after="0"/>
              <w:rPr>
                <w:sz w:val="20"/>
                <w:szCs w:val="20"/>
                <w:color w:val="auto"/>
              </w:rPr>
            </w:pPr>
            <w:r>
              <w:rPr>
                <w:rFonts w:ascii="Arial" w:cs="Arial" w:eastAsia="Arial" w:hAnsi="Arial"/>
                <w:sz w:val="15"/>
                <w:szCs w:val="15"/>
                <w:color w:val="auto"/>
              </w:rPr>
              <w:t>Total lease liability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2"/>
              </w:rPr>
              <w:t>602,592</w:t>
            </w:r>
          </w:p>
        </w:tc>
        <w:tc>
          <w:tcPr>
            <w:tcW w:w="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-613410</wp:posOffset>
            </wp:positionV>
            <wp:extent cx="296481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9648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-892175</wp:posOffset>
            </wp:positionV>
            <wp:extent cx="296481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9648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-1701800</wp:posOffset>
            </wp:positionV>
            <wp:extent cx="295783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178"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color w:val="auto"/>
        </w:rPr>
        <w:t>Quantitative information regarding the Company’s leases for the three months ended March 31, 2021 and 2020 is as follows: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IMMUNEERING CORPORATION AND SUBSIDIARY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CONSOLIDATED FINANCIAL STATEMENTS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9 — Commitments and Contingencies (Continued)</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March 31,</w:t>
            </w:r>
          </w:p>
        </w:tc>
        <w:tc>
          <w:tcPr>
            <w:tcW w:w="7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0"/>
              </w:rPr>
              <w:t>March 31,</w:t>
            </w:r>
          </w:p>
        </w:tc>
        <w:tc>
          <w:tcPr>
            <w:tcW w:w="100" w:type="dxa"/>
            <w:vAlign w:val="bottom"/>
            <w:tcBorders>
              <w:bottom w:val="single" w:sz="8" w:color="CCEEFF"/>
            </w:tcBorders>
          </w:tcPr>
          <w:p>
            <w:pPr>
              <w:spacing w:after="0"/>
              <w:rPr>
                <w:sz w:val="12"/>
                <w:szCs w:val="12"/>
                <w:color w:val="auto"/>
              </w:rPr>
            </w:pPr>
          </w:p>
        </w:tc>
      </w:tr>
      <w:tr>
        <w:trPr>
          <w:trHeight w:val="150"/>
        </w:trPr>
        <w:tc>
          <w:tcPr>
            <w:tcW w:w="3480" w:type="dxa"/>
            <w:vAlign w:val="bottom"/>
          </w:tcPr>
          <w:p>
            <w:pPr>
              <w:spacing w:after="0"/>
              <w:rPr>
                <w:sz w:val="13"/>
                <w:szCs w:val="13"/>
                <w:color w:val="auto"/>
              </w:rPr>
            </w:pPr>
          </w:p>
        </w:tc>
        <w:tc>
          <w:tcPr>
            <w:tcW w:w="800" w:type="dxa"/>
            <w:vAlign w:val="bottom"/>
            <w:gridSpan w:val="2"/>
          </w:tcPr>
          <w:p>
            <w:pPr>
              <w:jc w:val="center"/>
              <w:ind w:left="110"/>
              <w:spacing w:after="0"/>
              <w:rPr>
                <w:sz w:val="20"/>
                <w:szCs w:val="20"/>
                <w:color w:val="auto"/>
              </w:rPr>
            </w:pPr>
            <w:r>
              <w:rPr>
                <w:rFonts w:ascii="Arial" w:cs="Arial" w:eastAsia="Arial" w:hAnsi="Arial"/>
                <w:sz w:val="12"/>
                <w:szCs w:val="12"/>
                <w:b w:val="1"/>
                <w:bCs w:val="1"/>
                <w:color w:val="auto"/>
                <w:w w:val="82"/>
              </w:rPr>
              <w:t>2021</w:t>
            </w:r>
          </w:p>
        </w:tc>
        <w:tc>
          <w:tcPr>
            <w:tcW w:w="180" w:type="dxa"/>
            <w:vAlign w:val="bottom"/>
          </w:tcPr>
          <w:p>
            <w:pPr>
              <w:spacing w:after="0"/>
              <w:rPr>
                <w:sz w:val="13"/>
                <w:szCs w:val="13"/>
                <w:color w:val="auto"/>
              </w:rPr>
            </w:pPr>
          </w:p>
        </w:tc>
        <w:tc>
          <w:tcPr>
            <w:tcW w:w="560" w:type="dxa"/>
            <w:vAlign w:val="bottom"/>
            <w:gridSpan w:val="2"/>
          </w:tcPr>
          <w:p>
            <w:pPr>
              <w:jc w:val="center"/>
              <w:ind w:left="31"/>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480" w:type="dxa"/>
            <w:vAlign w:val="bottom"/>
          </w:tcPr>
          <w:p>
            <w:pPr>
              <w:spacing w:after="0" w:line="170" w:lineRule="exact"/>
              <w:rPr>
                <w:sz w:val="20"/>
                <w:szCs w:val="20"/>
                <w:color w:val="auto"/>
              </w:rPr>
            </w:pPr>
            <w:r>
              <w:rPr>
                <w:rFonts w:ascii="Arial" w:cs="Arial" w:eastAsia="Arial" w:hAnsi="Arial"/>
                <w:sz w:val="15"/>
                <w:szCs w:val="15"/>
                <w:color w:val="auto"/>
              </w:rPr>
              <w:t>Lease costs:</w:t>
            </w:r>
          </w:p>
        </w:tc>
        <w:tc>
          <w:tcPr>
            <w:tcW w:w="2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6"/>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cost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$34,251</w:t>
            </w:r>
          </w:p>
        </w:tc>
        <w:tc>
          <w:tcPr>
            <w:tcW w:w="1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$10,800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3480" w:type="dxa"/>
            <w:vAlign w:val="bottom"/>
          </w:tcPr>
          <w:p>
            <w:pPr>
              <w:ind w:left="160"/>
              <w:spacing w:after="0"/>
              <w:rPr>
                <w:sz w:val="20"/>
                <w:szCs w:val="20"/>
                <w:color w:val="auto"/>
              </w:rPr>
            </w:pPr>
            <w:r>
              <w:rPr>
                <w:rFonts w:ascii="Arial" w:cs="Arial" w:eastAsia="Arial" w:hAnsi="Arial"/>
                <w:sz w:val="15"/>
                <w:szCs w:val="15"/>
                <w:color w:val="auto"/>
              </w:rPr>
              <w:t>Short-term lease cost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57,346</w:t>
            </w:r>
          </w:p>
        </w:tc>
        <w:tc>
          <w:tcPr>
            <w:tcW w:w="180" w:type="dxa"/>
            <w:vAlign w:val="bottom"/>
          </w:tcPr>
          <w:p>
            <w:pPr>
              <w:spacing w:after="0"/>
              <w:rPr>
                <w:sz w:val="15"/>
                <w:szCs w:val="15"/>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5"/>
                <w:szCs w:val="15"/>
                <w:color w:val="auto"/>
              </w:rPr>
              <w:t>76,936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Variable lease cost</w:t>
            </w: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9"/>
        </w:trPr>
        <w:tc>
          <w:tcPr>
            <w:tcW w:w="3480" w:type="dxa"/>
            <w:vAlign w:val="bottom"/>
          </w:tcPr>
          <w:p>
            <w:pPr>
              <w:ind w:left="300"/>
              <w:spacing w:after="0"/>
              <w:rPr>
                <w:sz w:val="20"/>
                <w:szCs w:val="20"/>
                <w:color w:val="auto"/>
              </w:rPr>
            </w:pPr>
            <w:r>
              <w:rPr>
                <w:rFonts w:ascii="Arial" w:cs="Arial" w:eastAsia="Arial" w:hAnsi="Arial"/>
                <w:sz w:val="15"/>
                <w:szCs w:val="15"/>
                <w:color w:val="auto"/>
              </w:rPr>
              <w:t>Total lease costs</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91,597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u w:val="single" w:color="auto"/>
                <w:color w:val="auto"/>
                <w:w w:val="84"/>
              </w:rPr>
              <w:t>$</w:t>
            </w:r>
            <w:r>
              <w:rPr>
                <w:rFonts w:ascii="Arial" w:cs="Arial" w:eastAsia="Arial" w:hAnsi="Arial"/>
                <w:sz w:val="15"/>
                <w:szCs w:val="15"/>
                <w:color w:val="auto"/>
                <w:w w:val="84"/>
              </w:rPr>
              <w:t>92,236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27"/>
        </w:trPr>
        <w:tc>
          <w:tcPr>
            <w:tcW w:w="34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Cash paid for amounts included in the measurement of</w:t>
            </w:r>
          </w:p>
        </w:tc>
        <w:tc>
          <w:tcPr>
            <w:tcW w:w="2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6"/>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lease liabilities:</w:t>
            </w:r>
          </w:p>
        </w:tc>
        <w:tc>
          <w:tcPr>
            <w:tcW w:w="24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3480" w:type="dxa"/>
            <w:vAlign w:val="bottom"/>
          </w:tcPr>
          <w:p>
            <w:pPr>
              <w:ind w:left="160"/>
              <w:spacing w:after="0"/>
              <w:rPr>
                <w:sz w:val="20"/>
                <w:szCs w:val="20"/>
                <w:color w:val="auto"/>
              </w:rPr>
            </w:pPr>
            <w:r>
              <w:rPr>
                <w:rFonts w:ascii="Arial" w:cs="Arial" w:eastAsia="Arial" w:hAnsi="Arial"/>
                <w:sz w:val="15"/>
                <w:szCs w:val="15"/>
                <w:color w:val="auto"/>
              </w:rPr>
              <w:t>Operating cash flows from operating leases</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$27,720</w:t>
            </w:r>
          </w:p>
        </w:tc>
        <w:tc>
          <w:tcPr>
            <w:tcW w:w="180" w:type="dxa"/>
            <w:vAlign w:val="bottom"/>
          </w:tcPr>
          <w:p>
            <w:pPr>
              <w:spacing w:after="0"/>
              <w:rPr>
                <w:sz w:val="15"/>
                <w:szCs w:val="15"/>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5"/>
                <w:szCs w:val="15"/>
                <w:color w:val="auto"/>
                <w:w w:val="99"/>
              </w:rPr>
              <w:t>$10,800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cash flows from short-term leases</w:t>
            </w: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57,346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76,936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9"/>
        </w:trPr>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85,066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u w:val="single" w:color="auto"/>
                <w:color w:val="auto"/>
                <w:w w:val="84"/>
              </w:rPr>
              <w:t>$</w:t>
            </w:r>
            <w:r>
              <w:rPr>
                <w:rFonts w:ascii="Arial" w:cs="Arial" w:eastAsia="Arial" w:hAnsi="Arial"/>
                <w:sz w:val="15"/>
                <w:szCs w:val="15"/>
                <w:color w:val="auto"/>
                <w:w w:val="84"/>
              </w:rPr>
              <w:t>87,736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27"/>
        </w:trPr>
        <w:tc>
          <w:tcPr>
            <w:tcW w:w="34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Weighted-average remaining lease term — operating</w:t>
            </w:r>
          </w:p>
        </w:tc>
        <w:tc>
          <w:tcPr>
            <w:tcW w:w="2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6"/>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leases</w:t>
            </w:r>
          </w:p>
        </w:tc>
        <w:tc>
          <w:tcPr>
            <w:tcW w:w="24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79"/>
              </w:rPr>
              <w:t>5.08 years</w:t>
            </w:r>
          </w:p>
        </w:tc>
        <w:tc>
          <w:tcPr>
            <w:tcW w:w="820" w:type="dxa"/>
            <w:vAlign w:val="bottom"/>
            <w:gridSpan w:val="5"/>
            <w:shd w:val="clear" w:color="auto" w:fill="CCEEFF"/>
          </w:tcPr>
          <w:p>
            <w:pPr>
              <w:jc w:val="center"/>
              <w:ind w:right="180"/>
              <w:spacing w:after="0"/>
              <w:rPr>
                <w:sz w:val="20"/>
                <w:szCs w:val="20"/>
                <w:color w:val="auto"/>
              </w:rPr>
            </w:pPr>
            <w:r>
              <w:rPr>
                <w:rFonts w:ascii="Arial" w:cs="Arial" w:eastAsia="Arial" w:hAnsi="Arial"/>
                <w:sz w:val="15"/>
                <w:szCs w:val="15"/>
                <w:color w:val="auto"/>
                <w:w w:val="91"/>
              </w:rPr>
              <w:t>6.08 years</w:t>
            </w:r>
          </w:p>
        </w:tc>
      </w:tr>
      <w:tr>
        <w:trPr>
          <w:trHeight w:val="198"/>
        </w:trPr>
        <w:tc>
          <w:tcPr>
            <w:tcW w:w="3480" w:type="dxa"/>
            <w:vAlign w:val="bottom"/>
          </w:tcPr>
          <w:p>
            <w:pPr>
              <w:spacing w:after="0"/>
              <w:rPr>
                <w:sz w:val="20"/>
                <w:szCs w:val="20"/>
                <w:color w:val="auto"/>
              </w:rPr>
            </w:pPr>
            <w:r>
              <w:rPr>
                <w:rFonts w:ascii="Arial" w:cs="Arial" w:eastAsia="Arial" w:hAnsi="Arial"/>
                <w:sz w:val="15"/>
                <w:szCs w:val="15"/>
                <w:color w:val="auto"/>
                <w:w w:val="99"/>
              </w:rPr>
              <w:t>Weighted-average discount rate — operating leases</w:t>
            </w:r>
          </w:p>
        </w:tc>
        <w:tc>
          <w:tcPr>
            <w:tcW w:w="980" w:type="dxa"/>
            <w:vAlign w:val="bottom"/>
            <w:gridSpan w:val="3"/>
          </w:tcPr>
          <w:p>
            <w:pPr>
              <w:jc w:val="right"/>
              <w:ind w:right="120"/>
              <w:spacing w:after="0"/>
              <w:rPr>
                <w:sz w:val="20"/>
                <w:szCs w:val="20"/>
                <w:color w:val="auto"/>
              </w:rPr>
            </w:pPr>
            <w:r>
              <w:rPr>
                <w:rFonts w:ascii="Arial" w:cs="Arial" w:eastAsia="Arial" w:hAnsi="Arial"/>
                <w:sz w:val="15"/>
                <w:szCs w:val="15"/>
                <w:color w:val="auto"/>
              </w:rPr>
              <w:t>6.0%</w:t>
            </w:r>
          </w:p>
        </w:tc>
        <w:tc>
          <w:tcPr>
            <w:tcW w:w="720" w:type="dxa"/>
            <w:vAlign w:val="bottom"/>
            <w:gridSpan w:val="4"/>
          </w:tcPr>
          <w:p>
            <w:pPr>
              <w:jc w:val="right"/>
              <w:ind w:right="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r>
    </w:tbl>
    <w:p>
      <w:pPr>
        <w:spacing w:after="0" w:line="88" w:lineRule="exact"/>
        <w:rPr>
          <w:sz w:val="20"/>
          <w:szCs w:val="20"/>
          <w:color w:val="auto"/>
        </w:rPr>
      </w:pPr>
    </w:p>
    <w:p>
      <w:pPr>
        <w:jc w:val="both"/>
        <w:ind w:left="1160" w:right="1179"/>
        <w:spacing w:after="0" w:line="254" w:lineRule="auto"/>
        <w:rPr>
          <w:sz w:val="20"/>
          <w:szCs w:val="20"/>
          <w:color w:val="auto"/>
        </w:rPr>
      </w:pPr>
      <w:r>
        <w:rPr>
          <w:rFonts w:ascii="Arial" w:cs="Arial" w:eastAsia="Arial" w:hAnsi="Arial"/>
          <w:sz w:val="15"/>
          <w:szCs w:val="15"/>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Litigation</w:t>
      </w:r>
    </w:p>
    <w:p>
      <w:pPr>
        <w:spacing w:after="0" w:line="124"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5"/>
          <w:szCs w:val="15"/>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Clinical Research Contracts</w:t>
      </w:r>
    </w:p>
    <w:p>
      <w:pPr>
        <w:spacing w:after="0" w:line="113"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10 — Related Party Transactions</w:t>
      </w:r>
    </w:p>
    <w:p>
      <w:pPr>
        <w:spacing w:after="0" w:line="128"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An officer of the Company is a board member of a contract research organization (“CRO”) that provides contract services to the Company. Research and development expenses in the accompanying consolidated statement of operations include the cost of services provided by the CRO to the Company which amounted to $1,023,163 and $568,008 for the three months ended March 31, 2021 and 2020, respectively. As of March 31, 2021, March 31, 2020 and December 31, 2020, $378,953, 211,936 and $279,153, respectively, was owed to the CRO and is included in accounts payable or accrued contract research expenses in the accompanying consolidated balance sheets.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Note 11 — Subsequent Events</w:t>
      </w:r>
    </w:p>
    <w:p>
      <w:pPr>
        <w:spacing w:after="0" w:line="128"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Management has evaluated subsequent events through June 21, 2021, the date the consolidated financial statements were issued, and determined that no additional subsequent events had occurred that would require recognition in these consolidated financial statements except as disclosed in Note 5.</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760"/>
        <w:spacing w:after="0"/>
        <w:rPr>
          <w:sz w:val="20"/>
          <w:szCs w:val="20"/>
          <w:color w:val="auto"/>
        </w:rPr>
      </w:pPr>
      <w:r>
        <w:rPr>
          <w:rFonts w:ascii="Arial" w:cs="Arial" w:eastAsia="Arial" w:hAnsi="Arial"/>
          <w:sz w:val="21"/>
          <w:szCs w:val="21"/>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692785</wp:posOffset>
            </wp:positionV>
            <wp:extent cx="1960245" cy="3346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602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80"/>
        <w:spacing w:after="0"/>
        <w:tabs>
          <w:tab w:leader="none" w:pos="3140" w:val="left"/>
          <w:tab w:leader="none" w:pos="4340" w:val="left"/>
          <w:tab w:leader="none" w:pos="5740" w:val="left"/>
        </w:tabs>
        <w:rPr>
          <w:sz w:val="20"/>
          <w:szCs w:val="20"/>
          <w:color w:val="auto"/>
        </w:rPr>
      </w:pPr>
      <w:r>
        <w:rPr>
          <w:rFonts w:ascii="Arial" w:cs="Arial" w:eastAsia="Arial" w:hAnsi="Arial"/>
          <w:sz w:val="16"/>
          <w:szCs w:val="16"/>
          <w:i w:val="1"/>
          <w:iCs w:val="1"/>
          <w:color w:val="auto"/>
        </w:rPr>
        <w:t>MORGAN STANLEY</w:t>
      </w:r>
      <w:r>
        <w:rPr>
          <w:sz w:val="20"/>
          <w:szCs w:val="20"/>
          <w:color w:val="auto"/>
        </w:rPr>
        <w:tab/>
      </w:r>
      <w:r>
        <w:rPr>
          <w:rFonts w:ascii="Arial" w:cs="Arial" w:eastAsia="Arial" w:hAnsi="Arial"/>
          <w:sz w:val="16"/>
          <w:szCs w:val="16"/>
          <w:i w:val="1"/>
          <w:iCs w:val="1"/>
          <w:color w:val="auto"/>
        </w:rPr>
        <w:t>JEFFERIES</w:t>
      </w:r>
      <w:r>
        <w:rPr>
          <w:sz w:val="20"/>
          <w:szCs w:val="20"/>
          <w:color w:val="auto"/>
        </w:rPr>
        <w:tab/>
      </w:r>
      <w:r>
        <w:rPr>
          <w:rFonts w:ascii="Arial" w:cs="Arial" w:eastAsia="Arial" w:hAnsi="Arial"/>
          <w:sz w:val="16"/>
          <w:szCs w:val="16"/>
          <w:i w:val="1"/>
          <w:iCs w:val="1"/>
          <w:color w:val="auto"/>
        </w:rPr>
        <w:t>COWEN</w:t>
      </w:r>
      <w:r>
        <w:rPr>
          <w:sz w:val="20"/>
          <w:szCs w:val="20"/>
          <w:color w:val="auto"/>
        </w:rPr>
        <w:tab/>
      </w:r>
      <w:r>
        <w:rPr>
          <w:rFonts w:ascii="Arial" w:cs="Arial" w:eastAsia="Arial" w:hAnsi="Arial"/>
          <w:sz w:val="15"/>
          <w:szCs w:val="15"/>
          <w:i w:val="1"/>
          <w:i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i w:val="1"/>
          <w:iCs w:val="1"/>
          <w:color w:val="auto"/>
        </w:rPr>
        <w:t>Through and including , 2021 (25 days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15"/>
          <w:szCs w:val="15"/>
          <w:i w:val="1"/>
          <w:i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79"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17" w:lineRule="exact"/>
        <w:rPr>
          <w:sz w:val="20"/>
          <w:szCs w:val="20"/>
          <w:color w:val="auto"/>
        </w:rPr>
      </w:pPr>
    </w:p>
    <w:p>
      <w:pPr>
        <w:jc w:val="both"/>
        <w:ind w:left="1160" w:right="1179"/>
        <w:spacing w:after="0" w:line="251"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7"/>
              <w:spacing w:after="0"/>
              <w:rPr>
                <w:sz w:val="20"/>
                <w:szCs w:val="20"/>
                <w:color w:val="auto"/>
              </w:rPr>
            </w:pPr>
            <w:r>
              <w:rPr>
                <w:rFonts w:ascii="Arial" w:cs="Arial" w:eastAsia="Arial" w:hAnsi="Arial"/>
                <w:sz w:val="12"/>
                <w:szCs w:val="12"/>
                <w:b w:val="1"/>
                <w:bCs w:val="1"/>
                <w:color w:val="auto"/>
                <w:w w:val="88"/>
              </w:rPr>
              <w:t>Amount</w:t>
            </w:r>
          </w:p>
        </w:tc>
      </w:tr>
      <w:tr>
        <w:trPr>
          <w:trHeight w:val="21"/>
        </w:trPr>
        <w:tc>
          <w:tcPr>
            <w:tcW w:w="700" w:type="dxa"/>
            <w:vAlign w:val="bottom"/>
            <w:tcBorders>
              <w:bottom w:val="single" w:sz="8" w:color="CCEEFF"/>
            </w:tcBorders>
            <w:gridSpan w:val="2"/>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60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020" w:type="dxa"/>
            <w:vAlign w:val="bottom"/>
            <w:gridSpan w:val="4"/>
          </w:tcPr>
          <w:p>
            <w:pPr>
              <w:spacing w:after="0"/>
              <w:rPr>
                <w:sz w:val="20"/>
                <w:szCs w:val="20"/>
                <w:color w:val="auto"/>
              </w:rPr>
            </w:pPr>
            <w:r>
              <w:rPr>
                <w:rFonts w:ascii="Arial" w:cs="Arial" w:eastAsia="Arial" w:hAnsi="Arial"/>
                <w:sz w:val="15"/>
                <w:szCs w:val="15"/>
                <w:color w:val="auto"/>
              </w:rPr>
              <w:t>FINRA filing fee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0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Initial listing fee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020" w:type="dxa"/>
            <w:vAlign w:val="bottom"/>
            <w:gridSpan w:val="4"/>
          </w:tcPr>
          <w:p>
            <w:pPr>
              <w:spacing w:after="0"/>
              <w:rPr>
                <w:sz w:val="20"/>
                <w:szCs w:val="20"/>
                <w:color w:val="auto"/>
              </w:rPr>
            </w:pPr>
            <w:r>
              <w:rPr>
                <w:rFonts w:ascii="Arial" w:cs="Arial" w:eastAsia="Arial" w:hAnsi="Arial"/>
                <w:sz w:val="15"/>
                <w:szCs w:val="15"/>
                <w:color w:val="auto"/>
              </w:rPr>
              <w:t>Accountants’ fees and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0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020" w:type="dxa"/>
            <w:vAlign w:val="bottom"/>
            <w:gridSpan w:val="4"/>
          </w:tcPr>
          <w:p>
            <w:pPr>
              <w:spacing w:after="0"/>
              <w:rPr>
                <w:sz w:val="20"/>
                <w:szCs w:val="20"/>
                <w:color w:val="auto"/>
              </w:rPr>
            </w:pPr>
            <w:r>
              <w:rPr>
                <w:rFonts w:ascii="Arial" w:cs="Arial" w:eastAsia="Arial" w:hAnsi="Arial"/>
                <w:sz w:val="15"/>
                <w:szCs w:val="15"/>
                <w:color w:val="auto"/>
              </w:rPr>
              <w:t>Blue Sky fees and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0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Transfer Agent’s fees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020" w:type="dxa"/>
            <w:vAlign w:val="bottom"/>
            <w:gridSpan w:val="4"/>
          </w:tcPr>
          <w:p>
            <w:pPr>
              <w:spacing w:after="0"/>
              <w:rPr>
                <w:sz w:val="20"/>
                <w:szCs w:val="20"/>
                <w:color w:val="auto"/>
              </w:rPr>
            </w:pPr>
            <w:r>
              <w:rPr>
                <w:rFonts w:ascii="Arial" w:cs="Arial" w:eastAsia="Arial" w:hAnsi="Arial"/>
                <w:sz w:val="15"/>
                <w:szCs w:val="15"/>
                <w:color w:val="auto"/>
              </w:rPr>
              <w:t>Printing and engraving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6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Miscellaneous expenses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7"/>
        </w:trPr>
        <w:tc>
          <w:tcPr>
            <w:tcW w:w="6020" w:type="dxa"/>
            <w:vAlign w:val="bottom"/>
            <w:gridSpan w:val="4"/>
          </w:tcPr>
          <w:p>
            <w:pPr>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
        </w:trPr>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3"/>
        </w:trPr>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3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23"/>
        </w:trPr>
        <w:tc>
          <w:tcPr>
            <w:tcW w:w="180" w:type="dxa"/>
            <w:vAlign w:val="bottom"/>
          </w:tcPr>
          <w:p>
            <w:pPr>
              <w:spacing w:after="0"/>
              <w:rPr>
                <w:sz w:val="20"/>
                <w:szCs w:val="20"/>
                <w:color w:val="auto"/>
              </w:rPr>
            </w:pPr>
            <w:r>
              <w:rPr>
                <w:rFonts w:ascii="Arial" w:cs="Arial" w:eastAsia="Arial" w:hAnsi="Arial"/>
                <w:sz w:val="12"/>
                <w:szCs w:val="12"/>
                <w:color w:val="auto"/>
              </w:rPr>
              <w:t>*</w:t>
            </w:r>
          </w:p>
        </w:tc>
        <w:tc>
          <w:tcPr>
            <w:tcW w:w="5840" w:type="dxa"/>
            <w:vAlign w:val="bottom"/>
            <w:gridSpan w:val="3"/>
          </w:tcPr>
          <w:p>
            <w:pPr>
              <w:ind w:left="120"/>
              <w:spacing w:after="0"/>
              <w:rPr>
                <w:sz w:val="20"/>
                <w:szCs w:val="20"/>
                <w:color w:val="auto"/>
              </w:rPr>
            </w:pPr>
            <w:r>
              <w:rPr>
                <w:rFonts w:ascii="Arial" w:cs="Arial" w:eastAsia="Arial" w:hAnsi="Arial"/>
                <w:sz w:val="12"/>
                <w:szCs w:val="12"/>
                <w:color w:val="auto"/>
              </w:rPr>
              <w:t>To be filed by amendment.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-1604645</wp:posOffset>
            </wp:positionV>
            <wp:extent cx="380936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28"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Prior to the closing of the offering to which this Registration Statement relates, Immuneering Corporation. intends to convert into a Delaware corporation pursuant to a statutory conversion, and will change its name to Immuneering Corporation. 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to be effective upon the corporate conversion will provide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09"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47" w:lineRule="auto"/>
        <w:rPr>
          <w:sz w:val="20"/>
          <w:szCs w:val="20"/>
          <w:color w:val="auto"/>
        </w:rPr>
      </w:pPr>
      <w:r>
        <w:rPr>
          <w:rFonts w:ascii="Arial" w:cs="Arial" w:eastAsia="Arial" w:hAnsi="Arial"/>
          <w:sz w:val="14"/>
          <w:szCs w:val="14"/>
          <w:color w:val="auto"/>
        </w:rPr>
        <w:t>Our certificate of incorporation to be effective upon the corporate conversion will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86" w:lineRule="exact"/>
        <w:rPr>
          <w:sz w:val="20"/>
          <w:szCs w:val="20"/>
          <w:color w:val="auto"/>
        </w:rPr>
      </w:pPr>
    </w:p>
    <w:p>
      <w:pPr>
        <w:jc w:val="both"/>
        <w:ind w:left="1160" w:right="1179"/>
        <w:spacing w:after="0" w:line="279" w:lineRule="auto"/>
        <w:rPr>
          <w:sz w:val="20"/>
          <w:szCs w:val="20"/>
          <w:color w:val="auto"/>
        </w:rPr>
      </w:pPr>
      <w:r>
        <w:rPr>
          <w:rFonts w:ascii="Arial" w:cs="Arial" w:eastAsia="Arial" w:hAnsi="Arial"/>
          <w:sz w:val="13"/>
          <w:szCs w:val="13"/>
          <w:color w:val="auto"/>
        </w:rPr>
        <w:t>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76" w:lineRule="exact"/>
        <w:rPr>
          <w:sz w:val="20"/>
          <w:szCs w:val="20"/>
          <w:color w:val="auto"/>
        </w:rPr>
      </w:pPr>
    </w:p>
    <w:p>
      <w:pPr>
        <w:jc w:val="both"/>
        <w:ind w:left="1160" w:right="1179"/>
        <w:spacing w:after="0" w:line="283" w:lineRule="auto"/>
        <w:rPr>
          <w:sz w:val="20"/>
          <w:szCs w:val="20"/>
          <w:color w:val="auto"/>
        </w:rPr>
      </w:pPr>
      <w:r>
        <w:rPr>
          <w:rFonts w:ascii="Arial" w:cs="Arial" w:eastAsia="Arial" w:hAnsi="Arial"/>
          <w:sz w:val="14"/>
          <w:szCs w:val="14"/>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71" w:lineRule="exact"/>
        <w:rPr>
          <w:sz w:val="20"/>
          <w:szCs w:val="20"/>
          <w:color w:val="auto"/>
        </w:rPr>
      </w:pPr>
    </w:p>
    <w:p>
      <w:pPr>
        <w:jc w:val="both"/>
        <w:ind w:left="1160" w:right="1179"/>
        <w:spacing w:after="0" w:line="264" w:lineRule="auto"/>
        <w:rPr>
          <w:sz w:val="20"/>
          <w:szCs w:val="20"/>
          <w:color w:val="auto"/>
        </w:rPr>
      </w:pPr>
      <w:r>
        <w:rPr>
          <w:rFonts w:ascii="Arial" w:cs="Arial" w:eastAsia="Arial" w:hAnsi="Arial"/>
          <w:sz w:val="14"/>
          <w:szCs w:val="14"/>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17"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During the past three years, we issued securities that were not registered under the Securities Act as set forth below. The following is a summary of transactions during the preceding three fiscal years involving sales of our securities that were not registered under the Securities Act:</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 Issuance of Capital Stock</w:t>
      </w:r>
    </w:p>
    <w:p>
      <w:pPr>
        <w:spacing w:after="0" w:line="124" w:lineRule="exact"/>
        <w:rPr>
          <w:sz w:val="20"/>
          <w:szCs w:val="20"/>
          <w:color w:val="auto"/>
        </w:rPr>
      </w:pPr>
    </w:p>
    <w:p>
      <w:pPr>
        <w:jc w:val="both"/>
        <w:ind w:left="1160" w:right="1179"/>
        <w:spacing w:after="0" w:line="258" w:lineRule="auto"/>
        <w:rPr>
          <w:sz w:val="20"/>
          <w:szCs w:val="20"/>
          <w:color w:val="auto"/>
        </w:rPr>
      </w:pPr>
      <w:r>
        <w:rPr>
          <w:rFonts w:ascii="Arial" w:cs="Arial" w:eastAsia="Arial" w:hAnsi="Arial"/>
          <w:sz w:val="14"/>
          <w:szCs w:val="14"/>
          <w:color w:val="auto"/>
        </w:rPr>
        <w:t>On July 28, 2015, certain shareholders sold 4,180,820 shares of common stock to Teva Pharmaceuticals USA, Inc., or Teva, for a total amount of $44,998,166. In January 2018, the Company terminated its contract with Teva and Teva returned 3,827,239 shares of common stock to the Company. On May 28, 2020, Teva sold 353,581 shares of common stock to certain shareholders for a total amount of $1,538,077.</w:t>
      </w:r>
    </w:p>
    <w:p>
      <w:pPr>
        <w:spacing w:after="0" w:line="88" w:lineRule="exact"/>
        <w:rPr>
          <w:sz w:val="20"/>
          <w:szCs w:val="20"/>
          <w:color w:val="auto"/>
        </w:rPr>
      </w:pPr>
    </w:p>
    <w:p>
      <w:pPr>
        <w:jc w:val="both"/>
        <w:ind w:left="1160" w:right="1179"/>
        <w:spacing w:after="0" w:line="235" w:lineRule="auto"/>
        <w:rPr>
          <w:sz w:val="20"/>
          <w:szCs w:val="20"/>
          <w:color w:val="auto"/>
        </w:rPr>
      </w:pPr>
      <w:r>
        <w:rPr>
          <w:rFonts w:ascii="Arial" w:cs="Arial" w:eastAsia="Arial" w:hAnsi="Arial"/>
          <w:sz w:val="15"/>
          <w:szCs w:val="15"/>
          <w:color w:val="auto"/>
        </w:rPr>
        <w:t>From September 2019 to January 2020, we issued and sold to investors in a private placement an aggregate of 1,710,227 shares of Series A Preferred Stock at a purchase price of $8.5514 per share, for aggregate consideration of approximately $14.6 million. In conjunction with the issuance of Series A Preferred Stock in September 2019, we issued 785,706 shares of Series A Preferred Stock as settlement for $5.3 million of convertible notes and $0.1 million of accrued interest.</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71" w:lineRule="auto"/>
        <w:rPr>
          <w:sz w:val="20"/>
          <w:szCs w:val="20"/>
          <w:color w:val="auto"/>
        </w:rPr>
      </w:pPr>
      <w:r>
        <w:rPr>
          <w:rFonts w:ascii="Arial" w:cs="Arial" w:eastAsia="Arial" w:hAnsi="Arial"/>
          <w:sz w:val="14"/>
          <w:szCs w:val="14"/>
          <w:color w:val="auto"/>
        </w:rPr>
        <w:t>On December 31, 2020, we issued and sold to investors in a private placement an aggregate of 3,619,292 shares of Series B Preferred Stock at a purchase price of $10.2782 per share, for an aggregate consideration of approximately $37.2 million. In addition, in April and May 2021, we issued and sold to investors in a private placement an additional 2,412,853 shares of Series B Preferred Stock at a purchase price of $10.2782 per share, for an aggregate consideration of approximately $24.8 million.</w:t>
      </w:r>
    </w:p>
    <w:p>
      <w:pPr>
        <w:spacing w:after="0" w:line="80" w:lineRule="exact"/>
        <w:rPr>
          <w:sz w:val="20"/>
          <w:szCs w:val="20"/>
          <w:color w:val="auto"/>
        </w:rPr>
      </w:pPr>
    </w:p>
    <w:p>
      <w:pPr>
        <w:jc w:val="both"/>
        <w:ind w:left="1160" w:right="1179"/>
        <w:spacing w:after="0" w:line="246" w:lineRule="auto"/>
        <w:rPr>
          <w:sz w:val="20"/>
          <w:szCs w:val="20"/>
          <w:color w:val="auto"/>
        </w:rPr>
      </w:pPr>
      <w:r>
        <w:rPr>
          <w:rFonts w:ascii="Arial" w:cs="Arial" w:eastAsia="Arial" w:hAnsi="Arial"/>
          <w:sz w:val="15"/>
          <w:szCs w:val="15"/>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The recipients of securities in the transactions described above represented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and appropriate legends were affixed to the instruments representing such securities issued in such transactions.</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 Stock Option Grants and Option Exercises</w:t>
      </w:r>
    </w:p>
    <w:p>
      <w:pPr>
        <w:spacing w:after="0" w:line="124" w:lineRule="exact"/>
        <w:rPr>
          <w:sz w:val="20"/>
          <w:szCs w:val="20"/>
          <w:color w:val="auto"/>
        </w:rPr>
      </w:pPr>
    </w:p>
    <w:p>
      <w:pPr>
        <w:jc w:val="both"/>
        <w:ind w:left="1160" w:right="1179"/>
        <w:spacing w:after="0" w:line="274" w:lineRule="auto"/>
        <w:rPr>
          <w:sz w:val="20"/>
          <w:szCs w:val="20"/>
          <w:color w:val="auto"/>
        </w:rPr>
      </w:pPr>
      <w:r>
        <w:rPr>
          <w:rFonts w:ascii="Arial" w:cs="Arial" w:eastAsia="Arial" w:hAnsi="Arial"/>
          <w:sz w:val="14"/>
          <w:szCs w:val="14"/>
          <w:color w:val="auto"/>
        </w:rPr>
        <w:t>From January 1, 2018 through March 31, 2021, we granted to our employees, officers, directors and other persons who provide services to us options to purchase up to 2,058,828 shares of Class A common stock under the 2015 Plan, at a weighted average exercise price of $7.40 per share. 336,234 of these options were terminated, expired without being exercised or were otherwise forfeited.</w:t>
      </w:r>
    </w:p>
    <w:p>
      <w:pPr>
        <w:spacing w:after="0" w:line="89" w:lineRule="exact"/>
        <w:rPr>
          <w:sz w:val="20"/>
          <w:szCs w:val="20"/>
          <w:color w:val="auto"/>
        </w:rPr>
      </w:pPr>
    </w:p>
    <w:p>
      <w:pPr>
        <w:jc w:val="both"/>
        <w:ind w:left="1160" w:right="1179"/>
        <w:spacing w:after="0" w:line="268" w:lineRule="auto"/>
        <w:rPr>
          <w:sz w:val="20"/>
          <w:szCs w:val="20"/>
          <w:color w:val="auto"/>
        </w:rPr>
      </w:pPr>
      <w:r>
        <w:rPr>
          <w:rFonts w:ascii="Arial" w:cs="Arial" w:eastAsia="Arial" w:hAnsi="Arial"/>
          <w:sz w:val="14"/>
          <w:szCs w:val="14"/>
          <w:color w:val="auto"/>
        </w:rPr>
        <w:t>No underwriters were involved in the foregoing issuances of securities. The issuances of stock options described in this paragraph (b) of Item 15 were issued pursuant to written compensatory plans or arrangements with our employees, directors, consultants and advisors,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us or had access, through employment or other relationships, to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16. Exhibits and Financial Statements.</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6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Exhibit</w:t>
            </w:r>
          </w:p>
        </w:tc>
        <w:tc>
          <w:tcPr>
            <w:tcW w:w="6080" w:type="dxa"/>
            <w:vAlign w:val="bottom"/>
          </w:tcPr>
          <w:p>
            <w:pPr>
              <w:spacing w:after="0"/>
              <w:rPr>
                <w:sz w:val="12"/>
                <w:szCs w:val="12"/>
                <w:color w:val="auto"/>
              </w:rPr>
            </w:pPr>
          </w:p>
        </w:tc>
      </w:tr>
      <w:tr>
        <w:trPr>
          <w:trHeight w:val="150"/>
        </w:trPr>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No.</w:t>
            </w:r>
          </w:p>
        </w:tc>
        <w:tc>
          <w:tcPr>
            <w:tcW w:w="6080" w:type="dxa"/>
            <w:vAlign w:val="bottom"/>
          </w:tcPr>
          <w:p>
            <w:pPr>
              <w:ind w:left="2520"/>
              <w:spacing w:after="0"/>
              <w:rPr>
                <w:sz w:val="20"/>
                <w:szCs w:val="20"/>
                <w:color w:val="auto"/>
              </w:rPr>
            </w:pPr>
            <w:r>
              <w:rPr>
                <w:rFonts w:ascii="Arial" w:cs="Arial" w:eastAsia="Arial" w:hAnsi="Arial"/>
                <w:sz w:val="12"/>
                <w:szCs w:val="12"/>
                <w:b w:val="1"/>
                <w:bCs w:val="1"/>
                <w:color w:val="auto"/>
              </w:rPr>
              <w:t>Description of Exhibit</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r>
      <w:tr>
        <w:trPr>
          <w:trHeight w:val="200"/>
        </w:trPr>
        <w:tc>
          <w:tcPr>
            <w:tcW w:w="440" w:type="dxa"/>
            <w:vAlign w:val="bottom"/>
          </w:tcPr>
          <w:p>
            <w:pPr>
              <w:jc w:val="right"/>
              <w:ind w:right="28"/>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Form of Underwriting Agreement.</w:t>
            </w:r>
          </w:p>
        </w:tc>
      </w:tr>
      <w:tr>
        <w:trPr>
          <w:trHeight w:val="187"/>
        </w:trPr>
        <w:tc>
          <w:tcPr>
            <w:tcW w:w="440" w:type="dxa"/>
            <w:vAlign w:val="bottom"/>
          </w:tcPr>
          <w:p>
            <w:pPr>
              <w:jc w:val="right"/>
              <w:ind w:right="28"/>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w w:val="97"/>
              </w:rPr>
              <w:t>Fourth Amended and Restated Certificate of Incorporation of the Registrant (as amended and</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currently in effect).</w:t>
            </w:r>
          </w:p>
        </w:tc>
      </w:tr>
      <w:tr>
        <w:trPr>
          <w:trHeight w:val="220"/>
        </w:trPr>
        <w:tc>
          <w:tcPr>
            <w:tcW w:w="440" w:type="dxa"/>
            <w:vAlign w:val="bottom"/>
          </w:tcPr>
          <w:p>
            <w:pPr>
              <w:jc w:val="right"/>
              <w:ind w:right="28"/>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Bylaws of the Registrant (currently in effect).</w:t>
            </w:r>
          </w:p>
        </w:tc>
      </w:tr>
      <w:tr>
        <w:trPr>
          <w:trHeight w:val="187"/>
        </w:trPr>
        <w:tc>
          <w:tcPr>
            <w:tcW w:w="440" w:type="dxa"/>
            <w:vAlign w:val="bottom"/>
          </w:tcPr>
          <w:p>
            <w:pPr>
              <w:jc w:val="right"/>
              <w:ind w:right="28"/>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w w:val="94"/>
              </w:rPr>
              <w:t>Form of Amended and Restated Certificate of Incorporation of the Registrant (to be in effect upon</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the consummation of this offering).</w:t>
            </w:r>
          </w:p>
        </w:tc>
      </w:tr>
      <w:tr>
        <w:trPr>
          <w:trHeight w:val="198"/>
        </w:trPr>
        <w:tc>
          <w:tcPr>
            <w:tcW w:w="440" w:type="dxa"/>
            <w:vAlign w:val="bottom"/>
          </w:tcPr>
          <w:p>
            <w:pPr>
              <w:jc w:val="right"/>
              <w:ind w:right="28"/>
              <w:spacing w:after="0"/>
              <w:rPr>
                <w:sz w:val="20"/>
                <w:szCs w:val="20"/>
                <w:color w:val="auto"/>
              </w:rPr>
            </w:pPr>
            <w:r>
              <w:rPr>
                <w:rFonts w:ascii="Arial" w:cs="Arial" w:eastAsia="Arial" w:hAnsi="Arial"/>
                <w:sz w:val="15"/>
                <w:szCs w:val="15"/>
                <w:color w:val="auto"/>
              </w:rPr>
              <w:t>3.4*</w:t>
            </w:r>
          </w:p>
        </w:tc>
        <w:tc>
          <w:tcPr>
            <w:tcW w:w="16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5"/>
                <w:szCs w:val="15"/>
                <w:color w:val="auto"/>
                <w:w w:val="94"/>
              </w:rPr>
              <w:t>Form of Amended and Restated Bylaws of the Registrant (to be in effect upon the consummation</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of this offering).</w:t>
            </w:r>
          </w:p>
        </w:tc>
      </w:tr>
      <w:tr>
        <w:trPr>
          <w:trHeight w:val="231"/>
        </w:trPr>
        <w:tc>
          <w:tcPr>
            <w:tcW w:w="440" w:type="dxa"/>
            <w:vAlign w:val="bottom"/>
          </w:tcPr>
          <w:p>
            <w:pPr>
              <w:jc w:val="right"/>
              <w:ind w:right="28"/>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Specimen Stock Certificate evidencing the shares of Class A common stock.</w:t>
            </w:r>
          </w:p>
        </w:tc>
      </w:tr>
      <w:tr>
        <w:trPr>
          <w:trHeight w:val="220"/>
        </w:trPr>
        <w:tc>
          <w:tcPr>
            <w:tcW w:w="440" w:type="dxa"/>
            <w:vAlign w:val="bottom"/>
          </w:tcPr>
          <w:p>
            <w:pPr>
              <w:jc w:val="right"/>
              <w:ind w:right="28"/>
              <w:spacing w:after="0"/>
              <w:rPr>
                <w:sz w:val="20"/>
                <w:szCs w:val="20"/>
                <w:color w:val="auto"/>
              </w:rPr>
            </w:pPr>
            <w:r>
              <w:rPr>
                <w:rFonts w:ascii="Arial" w:cs="Arial" w:eastAsia="Arial" w:hAnsi="Arial"/>
                <w:sz w:val="15"/>
                <w:szCs w:val="15"/>
                <w:color w:val="auto"/>
              </w:rPr>
              <w:t>5.1*</w:t>
            </w:r>
          </w:p>
        </w:tc>
        <w:tc>
          <w:tcPr>
            <w:tcW w:w="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Opinion of Latham &amp; Watkins LLP.</w:t>
            </w:r>
          </w:p>
        </w:tc>
      </w:tr>
      <w:tr>
        <w:trPr>
          <w:trHeight w:val="198"/>
        </w:trPr>
        <w:tc>
          <w:tcPr>
            <w:tcW w:w="440" w:type="dxa"/>
            <w:vAlign w:val="bottom"/>
          </w:tcPr>
          <w:p>
            <w:pPr>
              <w:jc w:val="right"/>
              <w:ind w:right="108"/>
              <w:spacing w:after="0"/>
              <w:rPr>
                <w:sz w:val="20"/>
                <w:szCs w:val="20"/>
                <w:color w:val="auto"/>
              </w:rPr>
            </w:pPr>
            <w:r>
              <w:rPr>
                <w:rFonts w:ascii="Arial" w:cs="Arial" w:eastAsia="Arial" w:hAnsi="Arial"/>
                <w:sz w:val="15"/>
                <w:szCs w:val="15"/>
                <w:color w:val="auto"/>
                <w:w w:val="82"/>
              </w:rPr>
              <w:t>10.1</w:t>
            </w:r>
          </w:p>
        </w:tc>
        <w:tc>
          <w:tcPr>
            <w:tcW w:w="16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5"/>
                <w:szCs w:val="15"/>
                <w:color w:val="auto"/>
                <w:w w:val="91"/>
              </w:rPr>
              <w:t>Amended and Restated Investors’ Rights Agreement, dated December 21, 2020, by and among the</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Registrant and the other parties thereto.</w:t>
            </w:r>
          </w:p>
        </w:tc>
      </w:tr>
      <w:tr>
        <w:trPr>
          <w:trHeight w:val="209"/>
        </w:trPr>
        <w:tc>
          <w:tcPr>
            <w:tcW w:w="440" w:type="dxa"/>
            <w:vAlign w:val="bottom"/>
          </w:tcPr>
          <w:p>
            <w:pPr>
              <w:jc w:val="right"/>
              <w:ind w:right="108"/>
              <w:spacing w:after="0"/>
              <w:rPr>
                <w:sz w:val="20"/>
                <w:szCs w:val="20"/>
                <w:color w:val="auto"/>
              </w:rPr>
            </w:pPr>
            <w:r>
              <w:rPr>
                <w:rFonts w:ascii="Arial" w:cs="Arial" w:eastAsia="Arial" w:hAnsi="Arial"/>
                <w:sz w:val="15"/>
                <w:szCs w:val="15"/>
                <w:color w:val="auto"/>
                <w:w w:val="82"/>
              </w:rPr>
              <w:t>10.2</w:t>
            </w:r>
          </w:p>
        </w:tc>
        <w:tc>
          <w:tcPr>
            <w:tcW w:w="1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Master Services Agreement, dated August 5, 2019, by and between Bioarkive LLC and the</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Registrant.</w:t>
            </w:r>
          </w:p>
        </w:tc>
      </w:tr>
      <w:tr>
        <w:trPr>
          <w:trHeight w:val="231"/>
        </w:trPr>
        <w:tc>
          <w:tcPr>
            <w:tcW w:w="600" w:type="dxa"/>
            <w:vAlign w:val="bottom"/>
            <w:gridSpan w:val="2"/>
          </w:tcPr>
          <w:p>
            <w:pPr>
              <w:jc w:val="right"/>
              <w:ind w:right="260"/>
              <w:spacing w:after="0"/>
              <w:rPr>
                <w:sz w:val="20"/>
                <w:szCs w:val="20"/>
                <w:color w:val="auto"/>
              </w:rPr>
            </w:pPr>
            <w:r>
              <w:rPr>
                <w:rFonts w:ascii="Arial" w:cs="Arial" w:eastAsia="Arial" w:hAnsi="Arial"/>
                <w:sz w:val="15"/>
                <w:szCs w:val="15"/>
                <w:color w:val="auto"/>
                <w:w w:val="85"/>
              </w:rPr>
              <w:t>10.3†</w:t>
            </w:r>
          </w:p>
        </w:tc>
        <w:tc>
          <w:tcPr>
            <w:tcW w:w="6080" w:type="dxa"/>
            <w:vAlign w:val="bottom"/>
          </w:tcPr>
          <w:p>
            <w:pPr>
              <w:spacing w:after="0"/>
              <w:rPr>
                <w:sz w:val="20"/>
                <w:szCs w:val="20"/>
                <w:color w:val="auto"/>
              </w:rPr>
            </w:pPr>
            <w:r>
              <w:rPr>
                <w:rFonts w:ascii="Arial" w:cs="Arial" w:eastAsia="Arial" w:hAnsi="Arial"/>
                <w:sz w:val="15"/>
                <w:szCs w:val="15"/>
                <w:color w:val="auto"/>
                <w:w w:val="96"/>
              </w:rPr>
              <w:t>Immuneering Corporation 2008 Stock Incentive Plan and form of option agreement thereunder.</w:t>
            </w:r>
          </w:p>
        </w:tc>
      </w:tr>
      <w:tr>
        <w:trPr>
          <w:trHeight w:val="220"/>
        </w:trPr>
        <w:tc>
          <w:tcPr>
            <w:tcW w:w="600" w:type="dxa"/>
            <w:vAlign w:val="bottom"/>
            <w:gridSpan w:val="2"/>
          </w:tcPr>
          <w:p>
            <w:pPr>
              <w:jc w:val="right"/>
              <w:ind w:right="260"/>
              <w:spacing w:after="0"/>
              <w:rPr>
                <w:sz w:val="20"/>
                <w:szCs w:val="20"/>
                <w:color w:val="auto"/>
              </w:rPr>
            </w:pPr>
            <w:r>
              <w:rPr>
                <w:rFonts w:ascii="Arial" w:cs="Arial" w:eastAsia="Arial" w:hAnsi="Arial"/>
                <w:sz w:val="15"/>
                <w:szCs w:val="15"/>
                <w:color w:val="auto"/>
                <w:w w:val="85"/>
              </w:rPr>
              <w:t>10.4†</w:t>
            </w:r>
          </w:p>
        </w:tc>
        <w:tc>
          <w:tcPr>
            <w:tcW w:w="6080" w:type="dxa"/>
            <w:vAlign w:val="bottom"/>
          </w:tcPr>
          <w:p>
            <w:pPr>
              <w:spacing w:after="0"/>
              <w:rPr>
                <w:sz w:val="20"/>
                <w:szCs w:val="20"/>
                <w:color w:val="auto"/>
              </w:rPr>
            </w:pPr>
            <w:r>
              <w:rPr>
                <w:rFonts w:ascii="Arial" w:cs="Arial" w:eastAsia="Arial" w:hAnsi="Arial"/>
                <w:sz w:val="15"/>
                <w:szCs w:val="15"/>
                <w:color w:val="auto"/>
                <w:w w:val="96"/>
              </w:rPr>
              <w:t>Immuneering Corporation Long Term Incentive Plan and form of option agreement thereunder.</w:t>
            </w:r>
          </w:p>
        </w:tc>
      </w:tr>
      <w:tr>
        <w:trPr>
          <w:trHeight w:val="198"/>
        </w:trPr>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10.5†*</w:t>
            </w:r>
          </w:p>
        </w:tc>
        <w:tc>
          <w:tcPr>
            <w:tcW w:w="6080" w:type="dxa"/>
            <w:vAlign w:val="bottom"/>
          </w:tcPr>
          <w:p>
            <w:pPr>
              <w:spacing w:after="0"/>
              <w:rPr>
                <w:sz w:val="20"/>
                <w:szCs w:val="20"/>
                <w:color w:val="auto"/>
              </w:rPr>
            </w:pPr>
            <w:r>
              <w:rPr>
                <w:rFonts w:ascii="Arial" w:cs="Arial" w:eastAsia="Arial" w:hAnsi="Arial"/>
                <w:sz w:val="15"/>
                <w:szCs w:val="15"/>
                <w:color w:val="auto"/>
              </w:rPr>
              <w:t>Employment Letter Agreement, dated March 5, 2021, by and between Biren Amin and the</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Registrant.</w:t>
            </w:r>
          </w:p>
        </w:tc>
      </w:tr>
      <w:tr>
        <w:trPr>
          <w:trHeight w:val="209"/>
        </w:trPr>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10.6†*</w:t>
            </w:r>
          </w:p>
        </w:tc>
        <w:tc>
          <w:tcPr>
            <w:tcW w:w="6080" w:type="dxa"/>
            <w:vAlign w:val="bottom"/>
          </w:tcPr>
          <w:p>
            <w:pPr>
              <w:spacing w:after="0"/>
              <w:rPr>
                <w:sz w:val="20"/>
                <w:szCs w:val="20"/>
                <w:color w:val="auto"/>
              </w:rPr>
            </w:pPr>
            <w:r>
              <w:rPr>
                <w:rFonts w:ascii="Arial" w:cs="Arial" w:eastAsia="Arial" w:hAnsi="Arial"/>
                <w:sz w:val="15"/>
                <w:szCs w:val="15"/>
                <w:color w:val="auto"/>
                <w:w w:val="93"/>
              </w:rPr>
              <w:t>Employment Letter Agreement, dated October 24, 2019, by and between Brett Hall, Ph.D. and the</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Registrant.</w:t>
            </w:r>
          </w:p>
        </w:tc>
      </w:tr>
      <w:tr>
        <w:trPr>
          <w:trHeight w:val="209"/>
        </w:trPr>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10.7†*</w:t>
            </w:r>
          </w:p>
        </w:tc>
        <w:tc>
          <w:tcPr>
            <w:tcW w:w="6080" w:type="dxa"/>
            <w:vAlign w:val="bottom"/>
          </w:tcPr>
          <w:p>
            <w:pPr>
              <w:spacing w:after="0"/>
              <w:rPr>
                <w:sz w:val="20"/>
                <w:szCs w:val="20"/>
                <w:color w:val="auto"/>
              </w:rPr>
            </w:pPr>
            <w:r>
              <w:rPr>
                <w:rFonts w:ascii="Arial" w:cs="Arial" w:eastAsia="Arial" w:hAnsi="Arial"/>
                <w:sz w:val="15"/>
                <w:szCs w:val="15"/>
                <w:color w:val="auto"/>
                <w:w w:val="94"/>
              </w:rPr>
              <w:t>Employment Letter Agreement, dated October 11, 2019, by and between Scott Barrett, M.D. and</w:t>
            </w:r>
          </w:p>
        </w:tc>
      </w:tr>
      <w:tr>
        <w:trPr>
          <w:trHeight w:val="186"/>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the Registrant.</w:t>
            </w:r>
          </w:p>
        </w:tc>
      </w:tr>
      <w:tr>
        <w:trPr>
          <w:trHeight w:val="231"/>
        </w:trPr>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10.8†*</w:t>
            </w:r>
          </w:p>
        </w:tc>
        <w:tc>
          <w:tcPr>
            <w:tcW w:w="6080" w:type="dxa"/>
            <w:vAlign w:val="bottom"/>
          </w:tcPr>
          <w:p>
            <w:pPr>
              <w:spacing w:after="0"/>
              <w:rPr>
                <w:sz w:val="20"/>
                <w:szCs w:val="20"/>
                <w:color w:val="auto"/>
              </w:rPr>
            </w:pPr>
            <w:r>
              <w:rPr>
                <w:rFonts w:ascii="Arial" w:cs="Arial" w:eastAsia="Arial" w:hAnsi="Arial"/>
                <w:sz w:val="15"/>
                <w:szCs w:val="15"/>
                <w:color w:val="auto"/>
              </w:rPr>
              <w:t>2021 Incentive Award Plan and forms of award agreements thereunder.</w:t>
            </w:r>
          </w:p>
        </w:tc>
      </w:tr>
      <w:tr>
        <w:trPr>
          <w:trHeight w:val="220"/>
        </w:trPr>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10.9†*</w:t>
            </w:r>
          </w:p>
        </w:tc>
        <w:tc>
          <w:tcPr>
            <w:tcW w:w="6080" w:type="dxa"/>
            <w:vAlign w:val="bottom"/>
          </w:tcPr>
          <w:p>
            <w:pPr>
              <w:spacing w:after="0"/>
              <w:rPr>
                <w:sz w:val="20"/>
                <w:szCs w:val="20"/>
                <w:color w:val="auto"/>
              </w:rPr>
            </w:pPr>
            <w:r>
              <w:rPr>
                <w:rFonts w:ascii="Arial" w:cs="Arial" w:eastAsia="Arial" w:hAnsi="Arial"/>
                <w:sz w:val="15"/>
                <w:szCs w:val="15"/>
                <w:color w:val="auto"/>
              </w:rPr>
              <w:t>2021 Employee Stock Purchase Plan.</w:t>
            </w:r>
          </w:p>
        </w:tc>
      </w:tr>
      <w:tr>
        <w:trPr>
          <w:trHeight w:val="220"/>
        </w:trPr>
        <w:tc>
          <w:tcPr>
            <w:tcW w:w="440" w:type="dxa"/>
            <w:vAlign w:val="bottom"/>
          </w:tcPr>
          <w:p>
            <w:pPr>
              <w:jc w:val="right"/>
              <w:ind w:right="28"/>
              <w:spacing w:after="0"/>
              <w:rPr>
                <w:sz w:val="20"/>
                <w:szCs w:val="20"/>
                <w:color w:val="auto"/>
              </w:rPr>
            </w:pPr>
            <w:r>
              <w:rPr>
                <w:rFonts w:ascii="Arial" w:cs="Arial" w:eastAsia="Arial" w:hAnsi="Arial"/>
                <w:sz w:val="15"/>
                <w:szCs w:val="15"/>
                <w:color w:val="auto"/>
                <w:w w:val="91"/>
              </w:rPr>
              <w:t>21.1*</w:t>
            </w:r>
          </w:p>
        </w:tc>
        <w:tc>
          <w:tcPr>
            <w:tcW w:w="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List of Subsidiaries of the Registrant.</w:t>
            </w:r>
          </w:p>
        </w:tc>
      </w:tr>
      <w:tr>
        <w:trPr>
          <w:trHeight w:val="220"/>
        </w:trPr>
        <w:tc>
          <w:tcPr>
            <w:tcW w:w="440" w:type="dxa"/>
            <w:vAlign w:val="bottom"/>
          </w:tcPr>
          <w:p>
            <w:pPr>
              <w:jc w:val="right"/>
              <w:ind w:right="28"/>
              <w:spacing w:after="0"/>
              <w:rPr>
                <w:sz w:val="20"/>
                <w:szCs w:val="20"/>
                <w:color w:val="auto"/>
              </w:rPr>
            </w:pPr>
            <w:r>
              <w:rPr>
                <w:rFonts w:ascii="Arial" w:cs="Arial" w:eastAsia="Arial" w:hAnsi="Arial"/>
                <w:sz w:val="15"/>
                <w:szCs w:val="15"/>
                <w:color w:val="auto"/>
                <w:w w:val="91"/>
              </w:rPr>
              <w:t>23.1*</w:t>
            </w:r>
          </w:p>
        </w:tc>
        <w:tc>
          <w:tcPr>
            <w:tcW w:w="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Consent of RSM US LLP, independent registered public accounting firm.</w:t>
            </w:r>
          </w:p>
        </w:tc>
      </w:tr>
      <w:tr>
        <w:trPr>
          <w:trHeight w:val="220"/>
        </w:trPr>
        <w:tc>
          <w:tcPr>
            <w:tcW w:w="440" w:type="dxa"/>
            <w:vAlign w:val="bottom"/>
          </w:tcPr>
          <w:p>
            <w:pPr>
              <w:jc w:val="right"/>
              <w:ind w:right="28"/>
              <w:spacing w:after="0"/>
              <w:rPr>
                <w:sz w:val="20"/>
                <w:szCs w:val="20"/>
                <w:color w:val="auto"/>
              </w:rPr>
            </w:pPr>
            <w:r>
              <w:rPr>
                <w:rFonts w:ascii="Arial" w:cs="Arial" w:eastAsia="Arial" w:hAnsi="Arial"/>
                <w:sz w:val="15"/>
                <w:szCs w:val="15"/>
                <w:color w:val="auto"/>
                <w:w w:val="91"/>
              </w:rPr>
              <w:t>23.2*</w:t>
            </w:r>
          </w:p>
        </w:tc>
        <w:tc>
          <w:tcPr>
            <w:tcW w:w="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220"/>
        </w:trPr>
        <w:tc>
          <w:tcPr>
            <w:tcW w:w="440" w:type="dxa"/>
            <w:vAlign w:val="bottom"/>
          </w:tcPr>
          <w:p>
            <w:pPr>
              <w:jc w:val="right"/>
              <w:ind w:right="28"/>
              <w:spacing w:after="0"/>
              <w:rPr>
                <w:sz w:val="20"/>
                <w:szCs w:val="20"/>
                <w:color w:val="auto"/>
              </w:rPr>
            </w:pPr>
            <w:r>
              <w:rPr>
                <w:rFonts w:ascii="Arial" w:cs="Arial" w:eastAsia="Arial" w:hAnsi="Arial"/>
                <w:sz w:val="15"/>
                <w:szCs w:val="15"/>
                <w:color w:val="auto"/>
                <w:w w:val="91"/>
              </w:rPr>
              <w:t>24.1*</w:t>
            </w:r>
          </w:p>
        </w:tc>
        <w:tc>
          <w:tcPr>
            <w:tcW w:w="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5"/>
                <w:szCs w:val="15"/>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17" w:lineRule="exact"/>
        <w:rPr>
          <w:sz w:val="20"/>
          <w:szCs w:val="20"/>
          <w:color w:val="auto"/>
        </w:rPr>
      </w:pPr>
    </w:p>
    <w:p>
      <w:pPr>
        <w:ind w:left="1460" w:hanging="296"/>
        <w:spacing w:after="0"/>
        <w:tabs>
          <w:tab w:leader="none" w:pos="14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38" w:lineRule="exact"/>
        <w:rPr>
          <w:sz w:val="20"/>
          <w:szCs w:val="20"/>
          <w:color w:val="auto"/>
        </w:rPr>
      </w:pPr>
    </w:p>
    <w:p>
      <w:pPr>
        <w:ind w:left="1460" w:hanging="296"/>
        <w:spacing w:after="0"/>
        <w:tabs>
          <w:tab w:leader="none" w:pos="146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or arrangement.</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17. Undertakings.</w:t>
      </w:r>
    </w:p>
    <w:p>
      <w:pPr>
        <w:spacing w:after="0" w:line="117"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00" w:lineRule="exact"/>
        <w:rPr>
          <w:sz w:val="20"/>
          <w:szCs w:val="20"/>
          <w:color w:val="auto"/>
        </w:rPr>
      </w:pPr>
    </w:p>
    <w:p>
      <w:pPr>
        <w:jc w:val="both"/>
        <w:ind w:left="1160" w:right="1179"/>
        <w:spacing w:after="0" w:line="232"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undersigned hereby undertakes that:</w:t>
      </w:r>
    </w:p>
    <w:p>
      <w:pPr>
        <w:spacing w:after="0" w:line="113" w:lineRule="exact"/>
        <w:rPr>
          <w:sz w:val="20"/>
          <w:szCs w:val="20"/>
          <w:color w:val="auto"/>
        </w:rPr>
      </w:pPr>
    </w:p>
    <w:p>
      <w:pPr>
        <w:jc w:val="both"/>
        <w:ind w:left="1160" w:right="1179" w:firstLine="4"/>
        <w:spacing w:after="0" w:line="274" w:lineRule="auto"/>
        <w:tabs>
          <w:tab w:leader="none" w:pos="14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8" w:lineRule="exact"/>
        <w:rPr>
          <w:rFonts w:ascii="Arial" w:cs="Arial" w:eastAsia="Arial" w:hAnsi="Arial"/>
          <w:sz w:val="14"/>
          <w:szCs w:val="14"/>
          <w:color w:val="auto"/>
        </w:rPr>
      </w:pPr>
    </w:p>
    <w:p>
      <w:pPr>
        <w:jc w:val="both"/>
        <w:ind w:left="1160" w:right="1179" w:firstLine="4"/>
        <w:spacing w:after="0" w:line="251" w:lineRule="auto"/>
        <w:tabs>
          <w:tab w:leader="none" w:pos="139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17"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Pursuant to the requirements of the Securities Act, the registrant has duly caused this registration</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840" w:type="dxa"/>
            <w:vAlign w:val="bottom"/>
          </w:tcPr>
          <w:p>
            <w:pPr>
              <w:jc w:val="right"/>
              <w:spacing w:after="0"/>
              <w:rPr>
                <w:sz w:val="20"/>
                <w:szCs w:val="20"/>
                <w:color w:val="auto"/>
              </w:rPr>
            </w:pPr>
            <w:r>
              <w:rPr>
                <w:rFonts w:ascii="Arial" w:cs="Arial" w:eastAsia="Arial" w:hAnsi="Arial"/>
                <w:sz w:val="15"/>
                <w:szCs w:val="15"/>
                <w:color w:val="auto"/>
                <w:w w:val="94"/>
              </w:rPr>
              <w:t>statement to</w:t>
            </w:r>
          </w:p>
        </w:tc>
        <w:tc>
          <w:tcPr>
            <w:tcW w:w="1200" w:type="dxa"/>
            <w:vAlign w:val="bottom"/>
          </w:tcPr>
          <w:p>
            <w:pPr>
              <w:ind w:left="40"/>
              <w:spacing w:after="0"/>
              <w:rPr>
                <w:sz w:val="20"/>
                <w:szCs w:val="20"/>
                <w:color w:val="auto"/>
              </w:rPr>
            </w:pPr>
            <w:r>
              <w:rPr>
                <w:rFonts w:ascii="Arial" w:cs="Arial" w:eastAsia="Arial" w:hAnsi="Arial"/>
                <w:sz w:val="15"/>
                <w:szCs w:val="15"/>
                <w:color w:val="auto"/>
              </w:rPr>
              <w:t>be signed on its</w:t>
            </w:r>
          </w:p>
        </w:tc>
        <w:tc>
          <w:tcPr>
            <w:tcW w:w="940" w:type="dxa"/>
            <w:vAlign w:val="bottom"/>
          </w:tcPr>
          <w:p>
            <w:pPr>
              <w:ind w:left="20"/>
              <w:spacing w:after="0"/>
              <w:rPr>
                <w:sz w:val="20"/>
                <w:szCs w:val="20"/>
                <w:color w:val="auto"/>
              </w:rPr>
            </w:pPr>
            <w:r>
              <w:rPr>
                <w:rFonts w:ascii="Arial" w:cs="Arial" w:eastAsia="Arial" w:hAnsi="Arial"/>
                <w:sz w:val="15"/>
                <w:szCs w:val="15"/>
                <w:color w:val="auto"/>
              </w:rPr>
              <w:t>behalf by the</w:t>
            </w:r>
          </w:p>
        </w:tc>
        <w:tc>
          <w:tcPr>
            <w:tcW w:w="3700" w:type="dxa"/>
            <w:vAlign w:val="bottom"/>
            <w:gridSpan w:val="2"/>
          </w:tcPr>
          <w:p>
            <w:pPr>
              <w:jc w:val="right"/>
              <w:ind w:right="807"/>
              <w:spacing w:after="0"/>
              <w:rPr>
                <w:sz w:val="20"/>
                <w:szCs w:val="20"/>
                <w:color w:val="auto"/>
              </w:rPr>
            </w:pPr>
            <w:r>
              <w:rPr>
                <w:rFonts w:ascii="Arial" w:cs="Arial" w:eastAsia="Arial" w:hAnsi="Arial"/>
                <w:sz w:val="15"/>
                <w:szCs w:val="15"/>
                <w:color w:val="auto"/>
                <w:w w:val="99"/>
              </w:rPr>
              <w:t>undersigned, thereunto duly authorized, in</w:t>
            </w:r>
          </w:p>
        </w:tc>
      </w:tr>
      <w:tr>
        <w:trPr>
          <w:trHeight w:val="186"/>
        </w:trPr>
        <w:tc>
          <w:tcPr>
            <w:tcW w:w="840" w:type="dxa"/>
            <w:vAlign w:val="bottom"/>
          </w:tcPr>
          <w:p>
            <w:pPr>
              <w:jc w:val="right"/>
              <w:ind w:right="427"/>
              <w:spacing w:after="0"/>
              <w:rPr>
                <w:sz w:val="20"/>
                <w:szCs w:val="20"/>
                <w:color w:val="auto"/>
              </w:rPr>
            </w:pPr>
            <w:r>
              <w:rPr>
                <w:rFonts w:ascii="Arial" w:cs="Arial" w:eastAsia="Arial" w:hAnsi="Arial"/>
                <w:sz w:val="15"/>
                <w:szCs w:val="15"/>
                <w:color w:val="auto"/>
              </w:rPr>
              <w:t>,</w:t>
            </w:r>
          </w:p>
        </w:tc>
        <w:tc>
          <w:tcPr>
            <w:tcW w:w="1200" w:type="dxa"/>
            <w:vAlign w:val="bottom"/>
          </w:tcPr>
          <w:p>
            <w:pPr>
              <w:ind w:left="680"/>
              <w:spacing w:after="0"/>
              <w:rPr>
                <w:sz w:val="20"/>
                <w:szCs w:val="20"/>
                <w:color w:val="auto"/>
              </w:rPr>
            </w:pPr>
            <w:r>
              <w:rPr>
                <w:rFonts w:ascii="Arial" w:cs="Arial" w:eastAsia="Arial" w:hAnsi="Arial"/>
                <w:sz w:val="15"/>
                <w:szCs w:val="15"/>
                <w:color w:val="auto"/>
                <w:w w:val="95"/>
              </w:rPr>
              <w:t>, on this</w:t>
            </w:r>
          </w:p>
        </w:tc>
        <w:tc>
          <w:tcPr>
            <w:tcW w:w="940" w:type="dxa"/>
            <w:vAlign w:val="bottom"/>
          </w:tcPr>
          <w:p>
            <w:pPr>
              <w:ind w:left="440"/>
              <w:spacing w:after="0"/>
              <w:rPr>
                <w:sz w:val="20"/>
                <w:szCs w:val="20"/>
                <w:color w:val="auto"/>
              </w:rPr>
            </w:pPr>
            <w:r>
              <w:rPr>
                <w:rFonts w:ascii="Arial" w:cs="Arial" w:eastAsia="Arial" w:hAnsi="Arial"/>
                <w:sz w:val="15"/>
                <w:szCs w:val="15"/>
                <w:color w:val="auto"/>
              </w:rPr>
              <w:t>day of</w:t>
            </w:r>
          </w:p>
        </w:tc>
        <w:tc>
          <w:tcPr>
            <w:tcW w:w="3700" w:type="dxa"/>
            <w:vAlign w:val="bottom"/>
            <w:gridSpan w:val="2"/>
          </w:tcPr>
          <w:p>
            <w:pPr>
              <w:jc w:val="right"/>
              <w:ind w:right="2147"/>
              <w:spacing w:after="0"/>
              <w:rPr>
                <w:sz w:val="20"/>
                <w:szCs w:val="20"/>
                <w:color w:val="auto"/>
              </w:rPr>
            </w:pPr>
            <w:r>
              <w:rPr>
                <w:rFonts w:ascii="Arial" w:cs="Arial" w:eastAsia="Arial" w:hAnsi="Arial"/>
                <w:sz w:val="15"/>
                <w:szCs w:val="15"/>
                <w:color w:val="auto"/>
              </w:rPr>
              <w:t>, 2021.</w:t>
            </w:r>
          </w:p>
        </w:tc>
      </w:tr>
      <w:tr>
        <w:trPr>
          <w:trHeight w:val="319"/>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5"/>
                <w:szCs w:val="15"/>
                <w:b w:val="1"/>
                <w:bCs w:val="1"/>
                <w:color w:val="auto"/>
              </w:rPr>
              <w:t>IMMUNEERING CORPORATION</w:t>
            </w:r>
          </w:p>
        </w:tc>
      </w:tr>
      <w:tr>
        <w:trPr>
          <w:trHeight w:val="187"/>
        </w:trPr>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700" w:type="dxa"/>
            <w:vAlign w:val="bottom"/>
            <w:gridSpan w:val="2"/>
          </w:tcPr>
          <w:p>
            <w:pPr>
              <w:jc w:val="right"/>
              <w:ind w:right="3187"/>
              <w:spacing w:after="0"/>
              <w:rPr>
                <w:sz w:val="20"/>
                <w:szCs w:val="20"/>
                <w:color w:val="auto"/>
              </w:rPr>
            </w:pPr>
            <w:r>
              <w:rPr>
                <w:rFonts w:ascii="Arial" w:cs="Arial" w:eastAsia="Arial" w:hAnsi="Arial"/>
                <w:sz w:val="15"/>
                <w:szCs w:val="15"/>
                <w:color w:val="auto"/>
              </w:rPr>
              <w:t>By:</w:t>
            </w:r>
          </w:p>
        </w:tc>
      </w:tr>
      <w:tr>
        <w:trPr>
          <w:trHeight w:val="165"/>
        </w:trPr>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r>
      <w:tr>
        <w:trPr>
          <w:trHeight w:val="189"/>
        </w:trPr>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Benjamin J. Zeskind, Ph.D.</w:t>
            </w:r>
          </w:p>
        </w:tc>
      </w:tr>
      <w:tr>
        <w:trPr>
          <w:trHeight w:val="176"/>
        </w:trPr>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Co-Founder, Chief Executive Officer and</w:t>
            </w:r>
          </w:p>
        </w:tc>
      </w:tr>
      <w:tr>
        <w:trPr>
          <w:trHeight w:val="186"/>
        </w:trPr>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5310505</wp:posOffset>
            </wp:positionV>
            <wp:extent cx="5564505" cy="3937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8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 AND POWER OF ATTORNEY</w:t>
      </w:r>
    </w:p>
    <w:p>
      <w:pPr>
        <w:spacing w:after="0" w:line="117" w:lineRule="exact"/>
        <w:rPr>
          <w:sz w:val="20"/>
          <w:szCs w:val="20"/>
          <w:color w:val="auto"/>
        </w:rPr>
      </w:pPr>
    </w:p>
    <w:p>
      <w:pPr>
        <w:jc w:val="both"/>
        <w:ind w:left="1160" w:right="1179" w:firstLine="293"/>
        <w:spacing w:after="0" w:line="265" w:lineRule="auto"/>
        <w:rPr>
          <w:sz w:val="20"/>
          <w:szCs w:val="20"/>
          <w:color w:val="auto"/>
        </w:rPr>
      </w:pPr>
      <w:r>
        <w:rPr>
          <w:rFonts w:ascii="Arial" w:cs="Arial" w:eastAsia="Arial" w:hAnsi="Arial"/>
          <w:sz w:val="14"/>
          <w:szCs w:val="14"/>
          <w:color w:val="auto"/>
        </w:rPr>
        <w:t>We, the undersigned officers and directors of Immuneering Corporation, hereby severally constitute and appoint Benjamin J. Zeskind and Biren Amin,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97" w:lineRule="exact"/>
        <w:rPr>
          <w:sz w:val="20"/>
          <w:szCs w:val="20"/>
          <w:color w:val="auto"/>
        </w:rPr>
      </w:pPr>
    </w:p>
    <w:p>
      <w:pPr>
        <w:jc w:val="both"/>
        <w:ind w:left="1160" w:right="1179" w:firstLine="293"/>
        <w:spacing w:after="0" w:line="264"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held on the dates indicated.</w:t>
      </w:r>
    </w:p>
    <w:p>
      <w:pPr>
        <w:spacing w:after="0" w:line="97" w:lineRule="exact"/>
        <w:rPr>
          <w:sz w:val="20"/>
          <w:szCs w:val="20"/>
          <w:color w:val="auto"/>
        </w:rPr>
      </w:pPr>
    </w:p>
    <w:p>
      <w:pPr>
        <w:ind w:left="2120"/>
        <w:spacing w:after="0"/>
        <w:tabs>
          <w:tab w:leader="none" w:pos="5040" w:val="left"/>
          <w:tab w:leader="none" w:pos="71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424180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1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320" w:type="dxa"/>
            <w:vAlign w:val="bottom"/>
          </w:tcPr>
          <w:p>
            <w:pPr>
              <w:ind w:left="180"/>
              <w:spacing w:after="0"/>
              <w:rPr>
                <w:sz w:val="20"/>
                <w:szCs w:val="20"/>
                <w:color w:val="auto"/>
              </w:rPr>
            </w:pPr>
            <w:r>
              <w:rPr>
                <w:rFonts w:ascii="Arial" w:cs="Arial" w:eastAsia="Arial" w:hAnsi="Arial"/>
                <w:sz w:val="15"/>
                <w:szCs w:val="15"/>
                <w:color w:val="auto"/>
              </w:rPr>
              <w:t>Co-Founder, Chief Executive Officer and</w:t>
            </w:r>
          </w:p>
        </w:tc>
        <w:tc>
          <w:tcPr>
            <w:tcW w:w="2000" w:type="dxa"/>
            <w:vAlign w:val="bottom"/>
            <w:vMerge w:val="restart"/>
          </w:tcPr>
          <w:p>
            <w:pPr>
              <w:jc w:val="right"/>
              <w:ind w:right="94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88"/>
        </w:trPr>
        <w:tc>
          <w:tcPr>
            <w:tcW w:w="10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320" w:type="dxa"/>
            <w:vAlign w:val="bottom"/>
            <w:vMerge w:val="restart"/>
          </w:tcPr>
          <w:p>
            <w:pPr>
              <w:ind w:left="180"/>
              <w:spacing w:after="0"/>
              <w:rPr>
                <w:sz w:val="20"/>
                <w:szCs w:val="20"/>
                <w:color w:val="auto"/>
              </w:rPr>
            </w:pPr>
            <w:r>
              <w:rPr>
                <w:rFonts w:ascii="Arial" w:cs="Arial" w:eastAsia="Arial" w:hAnsi="Arial"/>
                <w:sz w:val="15"/>
                <w:szCs w:val="15"/>
                <w:color w:val="auto"/>
              </w:rPr>
              <w:t>Director (Principal Executive Officer)</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380" w:type="dxa"/>
            <w:vAlign w:val="bottom"/>
            <w:vMerge w:val="restart"/>
          </w:tcPr>
          <w:p>
            <w:pPr>
              <w:jc w:val="center"/>
              <w:spacing w:after="0"/>
              <w:rPr>
                <w:sz w:val="20"/>
                <w:szCs w:val="20"/>
                <w:color w:val="auto"/>
              </w:rPr>
            </w:pPr>
            <w:r>
              <w:rPr>
                <w:rFonts w:ascii="Arial" w:cs="Arial" w:eastAsia="Arial" w:hAnsi="Arial"/>
                <w:sz w:val="15"/>
                <w:szCs w:val="15"/>
                <w:color w:val="auto"/>
                <w:w w:val="93"/>
              </w:rPr>
              <w:t>Benjamin J. Zeskind, Ph.D.</w:t>
            </w:r>
          </w:p>
        </w:tc>
        <w:tc>
          <w:tcPr>
            <w:tcW w:w="332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3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8"/>
        </w:trPr>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20" w:type="dxa"/>
            <w:vAlign w:val="bottom"/>
          </w:tcPr>
          <w:p>
            <w:pPr>
              <w:ind w:left="180"/>
              <w:spacing w:after="0"/>
              <w:rPr>
                <w:sz w:val="20"/>
                <w:szCs w:val="20"/>
                <w:color w:val="auto"/>
              </w:rPr>
            </w:pPr>
            <w:r>
              <w:rPr>
                <w:rFonts w:ascii="Arial" w:cs="Arial" w:eastAsia="Arial" w:hAnsi="Arial"/>
                <w:sz w:val="15"/>
                <w:szCs w:val="15"/>
                <w:color w:val="auto"/>
              </w:rPr>
              <w:t>Chief Financial Officer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3320" w:type="dxa"/>
            <w:vAlign w:val="bottom"/>
          </w:tcPr>
          <w:p>
            <w:pPr>
              <w:ind w:left="180"/>
              <w:spacing w:after="0" w:line="164" w:lineRule="exact"/>
              <w:rPr>
                <w:sz w:val="20"/>
                <w:szCs w:val="20"/>
                <w:color w:val="auto"/>
              </w:rPr>
            </w:pPr>
            <w:r>
              <w:rPr>
                <w:rFonts w:ascii="Arial" w:cs="Arial" w:eastAsia="Arial" w:hAnsi="Arial"/>
                <w:sz w:val="15"/>
                <w:szCs w:val="15"/>
                <w:color w:val="auto"/>
              </w:rPr>
              <w:t>(Principal Financial Officer and Principal</w:t>
            </w:r>
          </w:p>
        </w:tc>
        <w:tc>
          <w:tcPr>
            <w:tcW w:w="2000" w:type="dxa"/>
            <w:vAlign w:val="bottom"/>
          </w:tcPr>
          <w:p>
            <w:pPr>
              <w:jc w:val="right"/>
              <w:ind w:right="947"/>
              <w:spacing w:after="0" w:line="164" w:lineRule="exact"/>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5"/>
                <w:szCs w:val="15"/>
                <w:color w:val="auto"/>
              </w:rPr>
              <w:t>Biren Amin</w:t>
            </w:r>
          </w:p>
        </w:tc>
        <w:tc>
          <w:tcPr>
            <w:tcW w:w="3320" w:type="dxa"/>
            <w:vAlign w:val="bottom"/>
          </w:tcPr>
          <w:p>
            <w:pPr>
              <w:ind w:left="180"/>
              <w:spacing w:after="0"/>
              <w:rPr>
                <w:sz w:val="20"/>
                <w:szCs w:val="20"/>
                <w:color w:val="auto"/>
              </w:rPr>
            </w:pPr>
            <w:r>
              <w:rPr>
                <w:rFonts w:ascii="Arial" w:cs="Arial" w:eastAsia="Arial" w:hAnsi="Arial"/>
                <w:sz w:val="15"/>
                <w:szCs w:val="15"/>
                <w:color w:val="auto"/>
              </w:rPr>
              <w:t>Accounting Officer)</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6"/>
        </w:trPr>
        <w:tc>
          <w:tcPr>
            <w:tcW w:w="10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vMerge w:val="restart"/>
          </w:tcPr>
          <w:p>
            <w:pPr>
              <w:ind w:left="180"/>
              <w:spacing w:after="0"/>
              <w:rPr>
                <w:sz w:val="20"/>
                <w:szCs w:val="20"/>
                <w:color w:val="auto"/>
              </w:rPr>
            </w:pPr>
            <w:r>
              <w:rPr>
                <w:rFonts w:ascii="Arial" w:cs="Arial" w:eastAsia="Arial" w:hAnsi="Arial"/>
                <w:sz w:val="15"/>
                <w:szCs w:val="15"/>
                <w:color w:val="auto"/>
              </w:rPr>
              <w:t>Co-Founder, Director</w:t>
            </w:r>
          </w:p>
        </w:tc>
        <w:tc>
          <w:tcPr>
            <w:tcW w:w="2000" w:type="dxa"/>
            <w:vAlign w:val="bottom"/>
            <w:vMerge w:val="restart"/>
          </w:tcPr>
          <w:p>
            <w:pPr>
              <w:jc w:val="right"/>
              <w:ind w:right="94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380" w:type="dxa"/>
            <w:vAlign w:val="bottom"/>
            <w:vMerge w:val="restart"/>
          </w:tcPr>
          <w:p>
            <w:pPr>
              <w:jc w:val="center"/>
              <w:spacing w:after="0"/>
              <w:rPr>
                <w:sz w:val="20"/>
                <w:szCs w:val="20"/>
                <w:color w:val="auto"/>
              </w:rPr>
            </w:pPr>
            <w:r>
              <w:rPr>
                <w:rFonts w:ascii="Arial" w:cs="Arial" w:eastAsia="Arial" w:hAnsi="Arial"/>
                <w:sz w:val="15"/>
                <w:szCs w:val="15"/>
                <w:color w:val="auto"/>
                <w:w w:val="89"/>
              </w:rPr>
              <w:t>Robert J. Carpenter</w:t>
            </w:r>
          </w:p>
        </w:tc>
        <w:tc>
          <w:tcPr>
            <w:tcW w:w="33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3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10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vMerge w:val="restart"/>
          </w:tcPr>
          <w:p>
            <w:pPr>
              <w:ind w:left="180"/>
              <w:spacing w:after="0"/>
              <w:rPr>
                <w:sz w:val="20"/>
                <w:szCs w:val="20"/>
                <w:color w:val="auto"/>
              </w:rPr>
            </w:pPr>
            <w:r>
              <w:rPr>
                <w:rFonts w:ascii="Arial" w:cs="Arial" w:eastAsia="Arial" w:hAnsi="Arial"/>
                <w:sz w:val="15"/>
                <w:szCs w:val="15"/>
                <w:color w:val="auto"/>
              </w:rPr>
              <w:t>Director</w:t>
            </w:r>
          </w:p>
        </w:tc>
        <w:tc>
          <w:tcPr>
            <w:tcW w:w="2000" w:type="dxa"/>
            <w:vAlign w:val="bottom"/>
            <w:vMerge w:val="restart"/>
          </w:tcPr>
          <w:p>
            <w:pPr>
              <w:jc w:val="right"/>
              <w:ind w:right="94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380" w:type="dxa"/>
            <w:vAlign w:val="bottom"/>
            <w:vMerge w:val="restart"/>
          </w:tcPr>
          <w:p>
            <w:pPr>
              <w:jc w:val="center"/>
              <w:spacing w:after="0"/>
              <w:rPr>
                <w:sz w:val="20"/>
                <w:szCs w:val="20"/>
                <w:color w:val="auto"/>
              </w:rPr>
            </w:pPr>
            <w:r>
              <w:rPr>
                <w:rFonts w:ascii="Arial" w:cs="Arial" w:eastAsia="Arial" w:hAnsi="Arial"/>
                <w:sz w:val="15"/>
                <w:szCs w:val="15"/>
                <w:color w:val="auto"/>
                <w:w w:val="90"/>
              </w:rPr>
              <w:t>Peter Feinberg</w:t>
            </w:r>
          </w:p>
        </w:tc>
        <w:tc>
          <w:tcPr>
            <w:tcW w:w="33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3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10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vMerge w:val="restart"/>
          </w:tcPr>
          <w:p>
            <w:pPr>
              <w:ind w:left="180"/>
              <w:spacing w:after="0"/>
              <w:rPr>
                <w:sz w:val="20"/>
                <w:szCs w:val="20"/>
                <w:color w:val="auto"/>
              </w:rPr>
            </w:pPr>
            <w:r>
              <w:rPr>
                <w:rFonts w:ascii="Arial" w:cs="Arial" w:eastAsia="Arial" w:hAnsi="Arial"/>
                <w:sz w:val="15"/>
                <w:szCs w:val="15"/>
                <w:color w:val="auto"/>
              </w:rPr>
              <w:t>Director</w:t>
            </w:r>
          </w:p>
        </w:tc>
        <w:tc>
          <w:tcPr>
            <w:tcW w:w="2000" w:type="dxa"/>
            <w:vAlign w:val="bottom"/>
            <w:vMerge w:val="restart"/>
          </w:tcPr>
          <w:p>
            <w:pPr>
              <w:jc w:val="right"/>
              <w:ind w:right="94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380" w:type="dxa"/>
            <w:vAlign w:val="bottom"/>
            <w:vMerge w:val="restart"/>
          </w:tcPr>
          <w:p>
            <w:pPr>
              <w:jc w:val="center"/>
              <w:spacing w:after="0"/>
              <w:rPr>
                <w:sz w:val="20"/>
                <w:szCs w:val="20"/>
                <w:color w:val="auto"/>
              </w:rPr>
            </w:pPr>
            <w:r>
              <w:rPr>
                <w:rFonts w:ascii="Arial" w:cs="Arial" w:eastAsia="Arial" w:hAnsi="Arial"/>
                <w:sz w:val="15"/>
                <w:szCs w:val="15"/>
                <w:color w:val="auto"/>
                <w:w w:val="95"/>
              </w:rPr>
              <w:t>Laurie B. Keating</w:t>
            </w:r>
          </w:p>
        </w:tc>
        <w:tc>
          <w:tcPr>
            <w:tcW w:w="33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3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10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vMerge w:val="restart"/>
          </w:tcPr>
          <w:p>
            <w:pPr>
              <w:ind w:left="180"/>
              <w:spacing w:after="0"/>
              <w:rPr>
                <w:sz w:val="20"/>
                <w:szCs w:val="20"/>
                <w:color w:val="auto"/>
              </w:rPr>
            </w:pPr>
            <w:r>
              <w:rPr>
                <w:rFonts w:ascii="Arial" w:cs="Arial" w:eastAsia="Arial" w:hAnsi="Arial"/>
                <w:sz w:val="15"/>
                <w:szCs w:val="15"/>
                <w:color w:val="auto"/>
              </w:rPr>
              <w:t>Director</w:t>
            </w:r>
          </w:p>
        </w:tc>
        <w:tc>
          <w:tcPr>
            <w:tcW w:w="2000" w:type="dxa"/>
            <w:vAlign w:val="bottom"/>
            <w:vMerge w:val="restart"/>
          </w:tcPr>
          <w:p>
            <w:pPr>
              <w:jc w:val="right"/>
              <w:ind w:right="94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380" w:type="dxa"/>
            <w:vAlign w:val="bottom"/>
            <w:vMerge w:val="restart"/>
          </w:tcPr>
          <w:p>
            <w:pPr>
              <w:jc w:val="center"/>
              <w:spacing w:after="0"/>
              <w:rPr>
                <w:sz w:val="20"/>
                <w:szCs w:val="20"/>
                <w:color w:val="auto"/>
              </w:rPr>
            </w:pPr>
            <w:r>
              <w:rPr>
                <w:rFonts w:ascii="Arial" w:cs="Arial" w:eastAsia="Arial" w:hAnsi="Arial"/>
                <w:sz w:val="15"/>
                <w:szCs w:val="15"/>
                <w:color w:val="auto"/>
                <w:w w:val="95"/>
              </w:rPr>
              <w:t>Andrew Phillips, Ph.D.</w:t>
            </w:r>
          </w:p>
        </w:tc>
        <w:tc>
          <w:tcPr>
            <w:tcW w:w="33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3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93"/>
        </w:trPr>
        <w:tc>
          <w:tcPr>
            <w:tcW w:w="10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5"/>
          <w:szCs w:val="15"/>
          <w:b w:val="1"/>
          <w:bCs w:val="1"/>
          <w:color w:val="auto"/>
        </w:rPr>
        <w:t>Exhibit 10.1</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INVESTORS’ RIGHTS AGREEMENT</w:t>
      </w:r>
    </w:p>
    <w:p>
      <w:pPr>
        <w:spacing w:after="0" w:line="185" w:lineRule="exact"/>
        <w:rPr>
          <w:sz w:val="20"/>
          <w:szCs w:val="20"/>
          <w:color w:val="auto"/>
        </w:rPr>
      </w:pPr>
    </w:p>
    <w:p>
      <w:pPr>
        <w:jc w:val="both"/>
        <w:ind w:firstLine="1055"/>
        <w:spacing w:after="0" w:line="232" w:lineRule="auto"/>
        <w:rPr>
          <w:sz w:val="20"/>
          <w:szCs w:val="20"/>
          <w:color w:val="auto"/>
        </w:rPr>
      </w:pPr>
      <w:r>
        <w:rPr>
          <w:rFonts w:ascii="Arial" w:cs="Arial" w:eastAsia="Arial" w:hAnsi="Arial"/>
          <w:sz w:val="14"/>
          <w:szCs w:val="14"/>
          <w:color w:val="auto"/>
        </w:rPr>
        <w:t>THIS AMENDED AND RESTATED INVESTORS’ RIGHTS AGREEMENT (this “</w:t>
      </w:r>
      <w:r>
        <w:rPr>
          <w:rFonts w:ascii="Arial" w:cs="Arial" w:eastAsia="Arial" w:hAnsi="Arial"/>
          <w:sz w:val="14"/>
          <w:szCs w:val="14"/>
          <w:b w:val="1"/>
          <w:bCs w:val="1"/>
          <w:color w:val="auto"/>
        </w:rPr>
        <w:t>Agreement</w:t>
      </w:r>
      <w:r>
        <w:rPr>
          <w:rFonts w:ascii="Arial" w:cs="Arial" w:eastAsia="Arial" w:hAnsi="Arial"/>
          <w:sz w:val="14"/>
          <w:szCs w:val="14"/>
          <w:color w:val="auto"/>
        </w:rPr>
        <w:t>”), is made as of the 21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day of December, 2020, by and among Immuneering Corporation,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xml:space="preserve">”), and each of the investors listed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each of which is referred to in this Agreement as an “</w:t>
      </w:r>
      <w:r>
        <w:rPr>
          <w:rFonts w:ascii="Arial" w:cs="Arial" w:eastAsia="Arial" w:hAnsi="Arial"/>
          <w:sz w:val="14"/>
          <w:szCs w:val="14"/>
          <w:b w:val="1"/>
          <w:bCs w:val="1"/>
          <w:color w:val="auto"/>
        </w:rPr>
        <w:t>Investor</w:t>
      </w:r>
      <w:r>
        <w:rPr>
          <w:rFonts w:ascii="Arial" w:cs="Arial" w:eastAsia="Arial" w:hAnsi="Arial"/>
          <w:sz w:val="14"/>
          <w:szCs w:val="14"/>
          <w:color w:val="auto"/>
        </w:rPr>
        <w:t xml:space="preserve">” and any Additional Purchaser (as defined in the Purchase Agreement) that becomes a party to this Agreement in accordance with </w:t>
      </w:r>
      <w:r>
        <w:rPr>
          <w:rFonts w:ascii="Arial" w:cs="Arial" w:eastAsia="Arial" w:hAnsi="Arial"/>
          <w:sz w:val="14"/>
          <w:szCs w:val="14"/>
          <w:u w:val="single" w:color="auto"/>
          <w:color w:val="auto"/>
        </w:rPr>
        <w:t>Section 6.9</w:t>
      </w:r>
      <w:r>
        <w:rPr>
          <w:rFonts w:ascii="Arial" w:cs="Arial" w:eastAsia="Arial" w:hAnsi="Arial"/>
          <w:sz w:val="14"/>
          <w:szCs w:val="14"/>
          <w:color w:val="auto"/>
        </w:rPr>
        <w:t xml:space="preserve"> hereof.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RECITALS</w:t>
      </w:r>
    </w:p>
    <w:p>
      <w:pPr>
        <w:spacing w:after="0" w:line="179" w:lineRule="exact"/>
        <w:rPr>
          <w:sz w:val="20"/>
          <w:szCs w:val="20"/>
          <w:color w:val="auto"/>
        </w:rPr>
      </w:pPr>
    </w:p>
    <w:p>
      <w:pPr>
        <w:jc w:val="both"/>
        <w:ind w:firstLine="1055"/>
        <w:spacing w:after="0" w:line="28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certain of the Investors (the “</w:t>
      </w:r>
      <w:r>
        <w:rPr>
          <w:rFonts w:ascii="Arial" w:cs="Arial" w:eastAsia="Arial" w:hAnsi="Arial"/>
          <w:sz w:val="14"/>
          <w:szCs w:val="14"/>
          <w:b w:val="1"/>
          <w:bCs w:val="1"/>
          <w:color w:val="auto"/>
        </w:rPr>
        <w:t>Existing Investors</w:t>
      </w:r>
      <w:r>
        <w:rPr>
          <w:rFonts w:ascii="Arial" w:cs="Arial" w:eastAsia="Arial" w:hAnsi="Arial"/>
          <w:sz w:val="14"/>
          <w:szCs w:val="14"/>
          <w:color w:val="auto"/>
        </w:rPr>
        <w:t>”) hold shares of the Company’s Series A Preferred Stock, par value $0.001 per share (“</w:t>
      </w:r>
      <w:r>
        <w:rPr>
          <w:rFonts w:ascii="Arial" w:cs="Arial" w:eastAsia="Arial" w:hAnsi="Arial"/>
          <w:sz w:val="14"/>
          <w:szCs w:val="14"/>
          <w:b w:val="1"/>
          <w:bCs w:val="1"/>
          <w:color w:val="auto"/>
        </w:rPr>
        <w:t>Series A Preferred Stock</w:t>
      </w:r>
      <w:r>
        <w:rPr>
          <w:rFonts w:ascii="Arial" w:cs="Arial" w:eastAsia="Arial" w:hAnsi="Arial"/>
          <w:sz w:val="14"/>
          <w:szCs w:val="14"/>
          <w:color w:val="auto"/>
        </w:rPr>
        <w:t>”) and/or shares of Common Stock issued upon conversion thereof and possess registration rights, information rights, rights of first offer and other rights pursuant to that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Investors’ Rights Agreement dated as of September 20, 2020, by and among the Company and such Existing Investors (the “Prior Agreement”);</w:t>
      </w:r>
    </w:p>
    <w:p>
      <w:pPr>
        <w:spacing w:after="0" w:line="136" w:lineRule="exact"/>
        <w:rPr>
          <w:sz w:val="20"/>
          <w:szCs w:val="20"/>
          <w:color w:val="auto"/>
        </w:rPr>
      </w:pPr>
    </w:p>
    <w:p>
      <w:pPr>
        <w:jc w:val="both"/>
        <w:ind w:firstLine="1055"/>
        <w:spacing w:after="0" w:line="300" w:lineRule="auto"/>
        <w:rPr>
          <w:sz w:val="20"/>
          <w:szCs w:val="20"/>
          <w:color w:val="auto"/>
        </w:rPr>
      </w:pPr>
      <w:r>
        <w:rPr>
          <w:rFonts w:ascii="Arial" w:cs="Arial" w:eastAsia="Arial" w:hAnsi="Arial"/>
          <w:sz w:val="14"/>
          <w:szCs w:val="14"/>
          <w:color w:val="auto"/>
        </w:rPr>
        <w:t>WHEREAS, the Existing Investors are holders of a majority of the Registrable Securities of the Company (as defined in the Prior Agreement), and desire to amend and restate the Prior Agreement in its entirety and to accept the rights created pursuant to this Agreement in lieu of the rights granted to them under the Prior Agreement; and</w:t>
      </w:r>
    </w:p>
    <w:p>
      <w:pPr>
        <w:spacing w:after="0" w:line="121" w:lineRule="exact"/>
        <w:rPr>
          <w:sz w:val="20"/>
          <w:szCs w:val="20"/>
          <w:color w:val="auto"/>
        </w:rPr>
      </w:pPr>
    </w:p>
    <w:p>
      <w:pPr>
        <w:jc w:val="both"/>
        <w:ind w:firstLine="1055"/>
        <w:spacing w:after="0" w:line="28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and certain of the Investors are parties to that certain Series B Preferred Stock Purchase Agreement of even date herewith by and among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 such Investors (the “</w:t>
      </w:r>
      <w:r>
        <w:rPr>
          <w:rFonts w:ascii="Arial" w:cs="Arial" w:eastAsia="Arial" w:hAnsi="Arial"/>
          <w:sz w:val="14"/>
          <w:szCs w:val="14"/>
          <w:b w:val="1"/>
          <w:bCs w:val="1"/>
          <w:color w:val="auto"/>
        </w:rPr>
        <w:t>Purchase Agreement</w:t>
      </w:r>
      <w:r>
        <w:rPr>
          <w:rFonts w:ascii="Arial" w:cs="Arial" w:eastAsia="Arial" w:hAnsi="Arial"/>
          <w:sz w:val="14"/>
          <w:szCs w:val="14"/>
          <w:color w:val="auto"/>
        </w:rPr>
        <w:t>”), under which certain of the Company’s and such Investors’ obligations are conditioned upon the execution and delivery of this Agreement by such Investors, Existing Investors holding a majority of the Registrable Securities (as defined in the Prior Agreement) and the Company.</w:t>
      </w:r>
    </w:p>
    <w:p>
      <w:pPr>
        <w:spacing w:after="0" w:line="132" w:lineRule="exact"/>
        <w:rPr>
          <w:sz w:val="20"/>
          <w:szCs w:val="20"/>
          <w:color w:val="auto"/>
        </w:rPr>
      </w:pPr>
    </w:p>
    <w:p>
      <w:pPr>
        <w:jc w:val="both"/>
        <w:ind w:firstLine="535"/>
        <w:spacing w:after="0" w:line="257" w:lineRule="auto"/>
        <w:tabs>
          <w:tab w:leader="none" w:pos="1172"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and for other good and valuable consideration, the receipt and sufficiency of which are hereby acknowledged,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the Investors, including the Existing Investors, each hereby agree that the Prior Agreement shall be amended and restated in its entirety as set forth herein, and the parties to this Agreement, intending to be legally bound, hereby further agree as follows:Definitions. For purposes of this Agreement:</w:t>
      </w:r>
    </w:p>
    <w:p>
      <w:pPr>
        <w:spacing w:after="0" w:line="149" w:lineRule="exact"/>
        <w:rPr>
          <w:sz w:val="20"/>
          <w:szCs w:val="20"/>
          <w:color w:val="auto"/>
        </w:rPr>
      </w:pPr>
    </w:p>
    <w:p>
      <w:pPr>
        <w:jc w:val="both"/>
        <w:ind w:left="460" w:firstLine="1055"/>
        <w:spacing w:after="0" w:line="252" w:lineRule="auto"/>
        <w:rPr>
          <w:sz w:val="20"/>
          <w:szCs w:val="20"/>
          <w:color w:val="auto"/>
        </w:rPr>
      </w:pPr>
      <w:r>
        <w:rPr>
          <w:rFonts w:ascii="Arial" w:cs="Arial" w:eastAsia="Arial" w:hAnsi="Arial"/>
          <w:sz w:val="15"/>
          <w:szCs w:val="15"/>
          <w:color w:val="auto"/>
        </w:rPr>
        <w:t>1.1 “</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other investment fund or registered investment company now or hereafter existing that is controlled by one or more general partners, managing members or investment adviser of, or shares the same management company or investment adviser with, such Person.</w:t>
      </w:r>
    </w:p>
    <w:p>
      <w:pPr>
        <w:spacing w:after="0" w:line="154" w:lineRule="exact"/>
        <w:rPr>
          <w:sz w:val="20"/>
          <w:szCs w:val="20"/>
          <w:color w:val="auto"/>
        </w:rPr>
      </w:pPr>
    </w:p>
    <w:p>
      <w:pPr>
        <w:ind w:left="1520"/>
        <w:spacing w:after="0"/>
        <w:tabs>
          <w:tab w:leader="none" w:pos="228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BlackRock</w:t>
      </w:r>
      <w:r>
        <w:rPr>
          <w:rFonts w:ascii="Arial" w:cs="Arial" w:eastAsia="Arial" w:hAnsi="Arial"/>
          <w:sz w:val="13"/>
          <w:szCs w:val="13"/>
          <w:color w:val="auto"/>
        </w:rPr>
        <w:t>” means BlackRock Health Sciences Trust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5772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35" w:name="page236"/>
    <w:bookmarkEnd w:id="235"/>
    <w:tbl>
      <w:tblPr>
        <w:tblLayout w:type="fixed"/>
        <w:tblInd w:w="460" w:type="dxa"/>
        <w:tblCellMar>
          <w:top w:w="0" w:type="dxa"/>
          <w:left w:w="0" w:type="dxa"/>
          <w:bottom w:w="0" w:type="dxa"/>
          <w:right w:w="0" w:type="dxa"/>
        </w:tblCellMar>
      </w:tblPr>
      <w:tr>
        <w:trPr>
          <w:trHeight w:val="190"/>
        </w:trPr>
        <w:tc>
          <w:tcPr>
            <w:tcW w:w="1540" w:type="dxa"/>
            <w:vAlign w:val="bottom"/>
          </w:tcPr>
          <w:p>
            <w:pPr>
              <w:jc w:val="right"/>
              <w:ind w:right="227"/>
              <w:spacing w:after="0"/>
              <w:rPr>
                <w:sz w:val="20"/>
                <w:szCs w:val="20"/>
                <w:color w:val="auto"/>
              </w:rPr>
            </w:pPr>
            <w:r>
              <w:rPr>
                <w:rFonts w:ascii="Arial" w:cs="Arial" w:eastAsia="Arial" w:hAnsi="Arial"/>
                <w:sz w:val="15"/>
                <w:szCs w:val="15"/>
                <w:color w:val="auto"/>
              </w:rPr>
              <w:t>1.3</w:t>
            </w:r>
          </w:p>
        </w:tc>
        <w:tc>
          <w:tcPr>
            <w:tcW w:w="9280" w:type="dxa"/>
            <w:vAlign w:val="bottom"/>
          </w:tcPr>
          <w:p>
            <w:pPr>
              <w:ind w:left="3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Board of Directors</w:t>
            </w:r>
            <w:r>
              <w:rPr>
                <w:rFonts w:ascii="Arial" w:cs="Arial" w:eastAsia="Arial" w:hAnsi="Arial"/>
                <w:sz w:val="15"/>
                <w:szCs w:val="15"/>
                <w:color w:val="auto"/>
              </w:rPr>
              <w:t>” means the board of directors of the Company.</w:t>
            </w:r>
          </w:p>
        </w:tc>
      </w:tr>
      <w:tr>
        <w:trPr>
          <w:trHeight w:val="352"/>
        </w:trPr>
        <w:tc>
          <w:tcPr>
            <w:tcW w:w="1540" w:type="dxa"/>
            <w:vAlign w:val="bottom"/>
          </w:tcPr>
          <w:p>
            <w:pPr>
              <w:jc w:val="right"/>
              <w:ind w:right="227"/>
              <w:spacing w:after="0"/>
              <w:rPr>
                <w:sz w:val="20"/>
                <w:szCs w:val="20"/>
                <w:color w:val="auto"/>
              </w:rPr>
            </w:pPr>
            <w:r>
              <w:rPr>
                <w:rFonts w:ascii="Arial" w:cs="Arial" w:eastAsia="Arial" w:hAnsi="Arial"/>
                <w:sz w:val="15"/>
                <w:szCs w:val="15"/>
                <w:color w:val="auto"/>
              </w:rPr>
              <w:t>1.4</w:t>
            </w:r>
          </w:p>
        </w:tc>
        <w:tc>
          <w:tcPr>
            <w:tcW w:w="9280" w:type="dxa"/>
            <w:vAlign w:val="bottom"/>
          </w:tcPr>
          <w:p>
            <w:pPr>
              <w:ind w:left="3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Boxcar</w:t>
            </w:r>
            <w:r>
              <w:rPr>
                <w:rFonts w:ascii="Arial" w:cs="Arial" w:eastAsia="Arial" w:hAnsi="Arial"/>
                <w:sz w:val="15"/>
                <w:szCs w:val="15"/>
                <w:color w:val="auto"/>
              </w:rPr>
              <w:t>” means Boxcar PMJ, LLC.</w:t>
            </w:r>
          </w:p>
        </w:tc>
      </w:tr>
      <w:tr>
        <w:trPr>
          <w:trHeight w:val="341"/>
        </w:trPr>
        <w:tc>
          <w:tcPr>
            <w:tcW w:w="1540" w:type="dxa"/>
            <w:vAlign w:val="bottom"/>
          </w:tcPr>
          <w:p>
            <w:pPr>
              <w:jc w:val="right"/>
              <w:ind w:right="227"/>
              <w:spacing w:after="0"/>
              <w:rPr>
                <w:sz w:val="20"/>
                <w:szCs w:val="20"/>
                <w:color w:val="auto"/>
              </w:rPr>
            </w:pPr>
            <w:r>
              <w:rPr>
                <w:rFonts w:ascii="Arial" w:cs="Arial" w:eastAsia="Arial" w:hAnsi="Arial"/>
                <w:sz w:val="15"/>
                <w:szCs w:val="15"/>
                <w:color w:val="auto"/>
              </w:rPr>
              <w:t>1.5</w:t>
            </w:r>
          </w:p>
        </w:tc>
        <w:tc>
          <w:tcPr>
            <w:tcW w:w="9280" w:type="dxa"/>
            <w:vAlign w:val="bottom"/>
          </w:tcPr>
          <w:p>
            <w:pPr>
              <w:ind w:left="340"/>
              <w:spacing w:after="0"/>
              <w:rPr>
                <w:sz w:val="20"/>
                <w:szCs w:val="20"/>
                <w:color w:val="auto"/>
              </w:rPr>
            </w:pPr>
            <w:r>
              <w:rPr>
                <w:rFonts w:ascii="Arial" w:cs="Arial" w:eastAsia="Arial" w:hAnsi="Arial"/>
                <w:sz w:val="15"/>
                <w:szCs w:val="15"/>
                <w:color w:val="auto"/>
                <w:w w:val="89"/>
              </w:rPr>
              <w:t>“</w:t>
            </w:r>
            <w:r>
              <w:rPr>
                <w:rFonts w:ascii="Arial" w:cs="Arial" w:eastAsia="Arial" w:hAnsi="Arial"/>
                <w:sz w:val="15"/>
                <w:szCs w:val="15"/>
                <w:b w:val="1"/>
                <w:bCs w:val="1"/>
                <w:color w:val="auto"/>
                <w:w w:val="89"/>
              </w:rPr>
              <w:t>Certificate of Incorporation</w:t>
            </w:r>
            <w:r>
              <w:rPr>
                <w:rFonts w:ascii="Arial" w:cs="Arial" w:eastAsia="Arial" w:hAnsi="Arial"/>
                <w:sz w:val="15"/>
                <w:szCs w:val="15"/>
                <w:color w:val="auto"/>
                <w:w w:val="89"/>
              </w:rPr>
              <w:t>” means the Company’s Third Amended and Restated Certificate of Incorporation, as amended and/or restated from time</w:t>
            </w:r>
          </w:p>
        </w:tc>
      </w:tr>
      <w:tr>
        <w:trPr>
          <w:trHeight w:val="186"/>
        </w:trPr>
        <w:tc>
          <w:tcPr>
            <w:tcW w:w="1540" w:type="dxa"/>
            <w:vAlign w:val="bottom"/>
          </w:tcPr>
          <w:p>
            <w:pPr>
              <w:jc w:val="right"/>
              <w:ind w:right="1007"/>
              <w:spacing w:after="0"/>
              <w:rPr>
                <w:sz w:val="20"/>
                <w:szCs w:val="20"/>
                <w:color w:val="auto"/>
              </w:rPr>
            </w:pPr>
            <w:r>
              <w:rPr>
                <w:rFonts w:ascii="Arial" w:cs="Arial" w:eastAsia="Arial" w:hAnsi="Arial"/>
                <w:sz w:val="15"/>
                <w:szCs w:val="15"/>
                <w:color w:val="auto"/>
                <w:w w:val="89"/>
              </w:rPr>
              <w:t>to time.</w:t>
            </w:r>
          </w:p>
        </w:tc>
        <w:tc>
          <w:tcPr>
            <w:tcW w:w="9280" w:type="dxa"/>
            <w:vAlign w:val="bottom"/>
          </w:tcPr>
          <w:p>
            <w:pPr>
              <w:spacing w:after="0"/>
              <w:rPr>
                <w:sz w:val="16"/>
                <w:szCs w:val="16"/>
                <w:color w:val="auto"/>
              </w:rPr>
            </w:pPr>
          </w:p>
        </w:tc>
      </w:tr>
      <w:tr>
        <w:trPr>
          <w:trHeight w:val="352"/>
        </w:trPr>
        <w:tc>
          <w:tcPr>
            <w:tcW w:w="1540" w:type="dxa"/>
            <w:vAlign w:val="bottom"/>
          </w:tcPr>
          <w:p>
            <w:pPr>
              <w:jc w:val="right"/>
              <w:ind w:right="227"/>
              <w:spacing w:after="0"/>
              <w:rPr>
                <w:sz w:val="20"/>
                <w:szCs w:val="20"/>
                <w:color w:val="auto"/>
              </w:rPr>
            </w:pPr>
            <w:r>
              <w:rPr>
                <w:rFonts w:ascii="Arial" w:cs="Arial" w:eastAsia="Arial" w:hAnsi="Arial"/>
                <w:sz w:val="15"/>
                <w:szCs w:val="15"/>
                <w:color w:val="auto"/>
              </w:rPr>
              <w:t>1.6</w:t>
            </w:r>
          </w:p>
        </w:tc>
        <w:tc>
          <w:tcPr>
            <w:tcW w:w="9280" w:type="dxa"/>
            <w:vAlign w:val="bottom"/>
          </w:tcPr>
          <w:p>
            <w:pPr>
              <w:ind w:left="3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shares of the Company’s common stock, par value $0.001 per share.</w:t>
            </w:r>
          </w:p>
        </w:tc>
      </w:tr>
      <w:tr>
        <w:trPr>
          <w:trHeight w:val="352"/>
        </w:trPr>
        <w:tc>
          <w:tcPr>
            <w:tcW w:w="1540" w:type="dxa"/>
            <w:vAlign w:val="bottom"/>
          </w:tcPr>
          <w:p>
            <w:pPr>
              <w:jc w:val="right"/>
              <w:ind w:right="227"/>
              <w:spacing w:after="0"/>
              <w:rPr>
                <w:sz w:val="20"/>
                <w:szCs w:val="20"/>
                <w:color w:val="auto"/>
              </w:rPr>
            </w:pPr>
            <w:r>
              <w:rPr>
                <w:rFonts w:ascii="Arial" w:cs="Arial" w:eastAsia="Arial" w:hAnsi="Arial"/>
                <w:sz w:val="15"/>
                <w:szCs w:val="15"/>
                <w:color w:val="auto"/>
              </w:rPr>
              <w:t>1.7</w:t>
            </w:r>
          </w:p>
        </w:tc>
        <w:tc>
          <w:tcPr>
            <w:tcW w:w="9280" w:type="dxa"/>
            <w:vAlign w:val="bottom"/>
          </w:tcPr>
          <w:p>
            <w:pPr>
              <w:ind w:left="300"/>
              <w:spacing w:after="0"/>
              <w:rPr>
                <w:sz w:val="20"/>
                <w:szCs w:val="20"/>
                <w:color w:val="auto"/>
              </w:rPr>
            </w:pPr>
            <w:r>
              <w:rPr>
                <w:rFonts w:ascii="Arial" w:cs="Arial" w:eastAsia="Arial" w:hAnsi="Arial"/>
                <w:sz w:val="15"/>
                <w:szCs w:val="15"/>
                <w:color w:val="auto"/>
                <w:w w:val="90"/>
              </w:rPr>
              <w:t>“</w:t>
            </w:r>
            <w:r>
              <w:rPr>
                <w:rFonts w:ascii="Arial" w:cs="Arial" w:eastAsia="Arial" w:hAnsi="Arial"/>
                <w:sz w:val="15"/>
                <w:szCs w:val="15"/>
                <w:b w:val="1"/>
                <w:bCs w:val="1"/>
                <w:color w:val="auto"/>
                <w:w w:val="90"/>
              </w:rPr>
              <w:t>Competitor</w:t>
            </w:r>
            <w:r>
              <w:rPr>
                <w:rFonts w:ascii="Arial" w:cs="Arial" w:eastAsia="Arial" w:hAnsi="Arial"/>
                <w:sz w:val="15"/>
                <w:szCs w:val="15"/>
                <w:color w:val="auto"/>
                <w:w w:val="90"/>
              </w:rPr>
              <w:t>” means a Person engaged, directly or indirectly (including through any partnership, limited liability company, corporation, joint venture or</w:t>
            </w:r>
          </w:p>
        </w:tc>
      </w:tr>
    </w:tbl>
    <w:p>
      <w:pPr>
        <w:jc w:val="both"/>
        <w:ind w:left="460"/>
        <w:spacing w:after="0" w:line="269" w:lineRule="auto"/>
        <w:rPr>
          <w:sz w:val="20"/>
          <w:szCs w:val="20"/>
          <w:color w:val="auto"/>
        </w:rPr>
      </w:pPr>
      <w:r>
        <w:rPr>
          <w:rFonts w:ascii="Arial" w:cs="Arial" w:eastAsia="Arial" w:hAnsi="Arial"/>
          <w:sz w:val="14"/>
          <w:szCs w:val="14"/>
          <w:color w:val="auto"/>
        </w:rPr>
        <w:t>similar arrangement (whether now existing or formed hereafter)), in biopharmaceutical research and development and drug discovery and development, but shall not include (i) any financial investment firm or collective investment vehicle that, together with its Affiliates, holds less than twenty percent (25)% of the outstanding equity of any Competitor, (ii) Boxcar or any of its Affiliates, (iii) Cormorant or any of its Affiliates, (iv) Surveyor or any of its Affiliates, (v) Rock Springs or any of its Affiliates, (vi) BlackRock or any of its Affiliates, (vii) T. Rowe Price or any of its Affiliates, (viii) LYFE Capital or any of its Affiliates or (ix) Perceptive or any of its Affiliates.</w:t>
      </w:r>
    </w:p>
    <w:p>
      <w:pPr>
        <w:spacing w:after="0" w:line="142"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480" w:type="dxa"/>
            <w:vAlign w:val="bottom"/>
          </w:tcPr>
          <w:p>
            <w:pPr>
              <w:jc w:val="right"/>
              <w:ind w:right="227"/>
              <w:spacing w:after="0"/>
              <w:rPr>
                <w:sz w:val="20"/>
                <w:szCs w:val="20"/>
                <w:color w:val="auto"/>
              </w:rPr>
            </w:pPr>
            <w:r>
              <w:rPr>
                <w:rFonts w:ascii="Arial" w:cs="Arial" w:eastAsia="Arial" w:hAnsi="Arial"/>
                <w:sz w:val="15"/>
                <w:szCs w:val="15"/>
                <w:color w:val="auto"/>
                <w:w w:val="76"/>
              </w:rPr>
              <w:t>1.8</w:t>
            </w:r>
          </w:p>
        </w:tc>
        <w:tc>
          <w:tcPr>
            <w:tcW w:w="9280" w:type="dxa"/>
            <w:vAlign w:val="bottom"/>
          </w:tcPr>
          <w:p>
            <w:pPr>
              <w:ind w:left="300"/>
              <w:spacing w:after="0"/>
              <w:rPr>
                <w:sz w:val="20"/>
                <w:szCs w:val="20"/>
                <w:color w:val="auto"/>
              </w:rPr>
            </w:pPr>
            <w:r>
              <w:rPr>
                <w:rFonts w:ascii="Arial" w:cs="Arial" w:eastAsia="Arial" w:hAnsi="Arial"/>
                <w:sz w:val="15"/>
                <w:szCs w:val="15"/>
                <w:color w:val="auto"/>
                <w:w w:val="92"/>
              </w:rPr>
              <w:t>“</w:t>
            </w:r>
            <w:r>
              <w:rPr>
                <w:rFonts w:ascii="Arial" w:cs="Arial" w:eastAsia="Arial" w:hAnsi="Arial"/>
                <w:sz w:val="15"/>
                <w:szCs w:val="15"/>
                <w:b w:val="1"/>
                <w:bCs w:val="1"/>
                <w:color w:val="auto"/>
                <w:w w:val="92"/>
              </w:rPr>
              <w:t>Cormorant</w:t>
            </w:r>
            <w:r>
              <w:rPr>
                <w:rFonts w:ascii="Arial" w:cs="Arial" w:eastAsia="Arial" w:hAnsi="Arial"/>
                <w:sz w:val="15"/>
                <w:szCs w:val="15"/>
                <w:color w:val="auto"/>
                <w:w w:val="92"/>
              </w:rPr>
              <w:t>” means, collectively, Cormorant Private Healthcare Fund III, LP, Cormorant Global Healthcare Master Fund, LP and CRMA SPV, LP.</w:t>
            </w:r>
          </w:p>
        </w:tc>
      </w:tr>
      <w:tr>
        <w:trPr>
          <w:trHeight w:val="352"/>
        </w:trPr>
        <w:tc>
          <w:tcPr>
            <w:tcW w:w="480" w:type="dxa"/>
            <w:vAlign w:val="bottom"/>
          </w:tcPr>
          <w:p>
            <w:pPr>
              <w:jc w:val="right"/>
              <w:ind w:right="227"/>
              <w:spacing w:after="0"/>
              <w:rPr>
                <w:sz w:val="20"/>
                <w:szCs w:val="20"/>
                <w:color w:val="auto"/>
              </w:rPr>
            </w:pPr>
            <w:r>
              <w:rPr>
                <w:rFonts w:ascii="Arial" w:cs="Arial" w:eastAsia="Arial" w:hAnsi="Arial"/>
                <w:sz w:val="15"/>
                <w:szCs w:val="15"/>
                <w:color w:val="auto"/>
                <w:w w:val="76"/>
              </w:rPr>
              <w:t>1.9</w:t>
            </w:r>
          </w:p>
        </w:tc>
        <w:tc>
          <w:tcPr>
            <w:tcW w:w="9280" w:type="dxa"/>
            <w:vAlign w:val="bottom"/>
          </w:tcPr>
          <w:p>
            <w:pPr>
              <w:ind w:left="480"/>
              <w:spacing w:after="0"/>
              <w:rPr>
                <w:sz w:val="20"/>
                <w:szCs w:val="20"/>
                <w:color w:val="auto"/>
              </w:rPr>
            </w:pPr>
            <w:r>
              <w:rPr>
                <w:rFonts w:ascii="Arial" w:cs="Arial" w:eastAsia="Arial" w:hAnsi="Arial"/>
                <w:sz w:val="15"/>
                <w:szCs w:val="15"/>
                <w:color w:val="auto"/>
                <w:w w:val="91"/>
              </w:rPr>
              <w:t>“</w:t>
            </w:r>
            <w:r>
              <w:rPr>
                <w:rFonts w:ascii="Arial" w:cs="Arial" w:eastAsia="Arial" w:hAnsi="Arial"/>
                <w:sz w:val="15"/>
                <w:szCs w:val="15"/>
                <w:b w:val="1"/>
                <w:bCs w:val="1"/>
                <w:color w:val="auto"/>
                <w:w w:val="91"/>
              </w:rPr>
              <w:t>Damages</w:t>
            </w:r>
            <w:r>
              <w:rPr>
                <w:rFonts w:ascii="Arial" w:cs="Arial" w:eastAsia="Arial" w:hAnsi="Arial"/>
                <w:sz w:val="15"/>
                <w:szCs w:val="15"/>
                <w:color w:val="auto"/>
                <w:w w:val="91"/>
              </w:rPr>
              <w:t>” means any loss, damage, claim or liability (joint or several) to which a party hereto may become subject under the Securities Act, the</w:t>
            </w:r>
          </w:p>
        </w:tc>
      </w:tr>
    </w:tbl>
    <w:p>
      <w:pPr>
        <w:jc w:val="both"/>
        <w:ind w:left="460"/>
        <w:spacing w:after="0" w:line="267" w:lineRule="auto"/>
        <w:rPr>
          <w:sz w:val="20"/>
          <w:szCs w:val="20"/>
          <w:color w:val="auto"/>
        </w:rPr>
      </w:pPr>
      <w:r>
        <w:rPr>
          <w:rFonts w:ascii="Arial" w:cs="Arial" w:eastAsia="Arial" w:hAnsi="Arial"/>
          <w:sz w:val="14"/>
          <w:szCs w:val="14"/>
          <w:color w:val="auto"/>
        </w:rPr>
        <w:t>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20" w:type="dxa"/>
            <w:vAlign w:val="bottom"/>
          </w:tcPr>
          <w:p>
            <w:pPr>
              <w:jc w:val="right"/>
              <w:ind w:right="167"/>
              <w:spacing w:after="0"/>
              <w:rPr>
                <w:sz w:val="20"/>
                <w:szCs w:val="20"/>
                <w:color w:val="auto"/>
              </w:rPr>
            </w:pPr>
            <w:r>
              <w:rPr>
                <w:rFonts w:ascii="Arial" w:cs="Arial" w:eastAsia="Arial" w:hAnsi="Arial"/>
                <w:sz w:val="15"/>
                <w:szCs w:val="15"/>
                <w:color w:val="auto"/>
              </w:rPr>
              <w:t>1.10</w:t>
            </w:r>
          </w:p>
        </w:tc>
        <w:tc>
          <w:tcPr>
            <w:tcW w:w="9260" w:type="dxa"/>
            <w:vAlign w:val="bottom"/>
          </w:tcPr>
          <w:p>
            <w:pPr>
              <w:jc w:val="right"/>
              <w:spacing w:after="0"/>
              <w:rPr>
                <w:sz w:val="20"/>
                <w:szCs w:val="20"/>
                <w:color w:val="auto"/>
              </w:rPr>
            </w:pPr>
            <w:r>
              <w:rPr>
                <w:rFonts w:ascii="Arial" w:cs="Arial" w:eastAsia="Arial" w:hAnsi="Arial"/>
                <w:sz w:val="15"/>
                <w:szCs w:val="15"/>
                <w:color w:val="auto"/>
                <w:w w:val="97"/>
              </w:rPr>
              <w:t>“</w:t>
            </w:r>
            <w:r>
              <w:rPr>
                <w:rFonts w:ascii="Arial" w:cs="Arial" w:eastAsia="Arial" w:hAnsi="Arial"/>
                <w:sz w:val="15"/>
                <w:szCs w:val="15"/>
                <w:b w:val="1"/>
                <w:bCs w:val="1"/>
                <w:color w:val="auto"/>
                <w:w w:val="97"/>
              </w:rPr>
              <w:t>Derivative Securities</w:t>
            </w:r>
            <w:r>
              <w:rPr>
                <w:rFonts w:ascii="Arial" w:cs="Arial" w:eastAsia="Arial" w:hAnsi="Arial"/>
                <w:sz w:val="15"/>
                <w:szCs w:val="15"/>
                <w:color w:val="auto"/>
                <w:w w:val="97"/>
              </w:rPr>
              <w:t>” means any securities or rights convertible into, or exercisable or exchangeable for (in each case, directly or indirectly)</w:t>
            </w:r>
            <w:r>
              <w:rPr>
                <w:rFonts w:ascii="Arial" w:cs="Arial" w:eastAsia="Arial" w:hAnsi="Arial"/>
                <w:sz w:val="15"/>
                <w:szCs w:val="15"/>
                <w:b w:val="1"/>
                <w:bCs w:val="1"/>
                <w:color w:val="auto"/>
                <w:w w:val="97"/>
              </w:rPr>
              <w:t>,</w:t>
            </w:r>
          </w:p>
        </w:tc>
      </w:tr>
      <w:tr>
        <w:trPr>
          <w:trHeight w:val="186"/>
        </w:trPr>
        <w:tc>
          <w:tcPr>
            <w:tcW w:w="11280" w:type="dxa"/>
            <w:vAlign w:val="bottom"/>
            <w:gridSpan w:val="2"/>
          </w:tcPr>
          <w:p>
            <w:pPr>
              <w:jc w:val="right"/>
              <w:ind w:right="7907"/>
              <w:spacing w:after="0"/>
              <w:rPr>
                <w:sz w:val="20"/>
                <w:szCs w:val="20"/>
                <w:color w:val="auto"/>
              </w:rPr>
            </w:pPr>
            <w:r>
              <w:rPr>
                <w:rFonts w:ascii="Arial" w:cs="Arial" w:eastAsia="Arial" w:hAnsi="Arial"/>
                <w:sz w:val="15"/>
                <w:szCs w:val="15"/>
                <w:color w:val="auto"/>
              </w:rPr>
              <w:t>Common Stock, including options and warrants.</w:t>
            </w:r>
          </w:p>
        </w:tc>
      </w:tr>
      <w:tr>
        <w:trPr>
          <w:trHeight w:val="352"/>
        </w:trPr>
        <w:tc>
          <w:tcPr>
            <w:tcW w:w="2020" w:type="dxa"/>
            <w:vAlign w:val="bottom"/>
          </w:tcPr>
          <w:p>
            <w:pPr>
              <w:jc w:val="right"/>
              <w:ind w:right="167"/>
              <w:spacing w:after="0"/>
              <w:rPr>
                <w:sz w:val="20"/>
                <w:szCs w:val="20"/>
                <w:color w:val="auto"/>
              </w:rPr>
            </w:pPr>
            <w:r>
              <w:rPr>
                <w:rFonts w:ascii="Arial" w:cs="Arial" w:eastAsia="Arial" w:hAnsi="Arial"/>
                <w:sz w:val="15"/>
                <w:szCs w:val="15"/>
                <w:color w:val="auto"/>
              </w:rPr>
              <w:t>1.11</w:t>
            </w:r>
          </w:p>
        </w:tc>
        <w:tc>
          <w:tcPr>
            <w:tcW w:w="9260" w:type="dxa"/>
            <w:vAlign w:val="bottom"/>
          </w:tcPr>
          <w:p>
            <w:pPr>
              <w:jc w:val="right"/>
              <w:ind w:right="1387"/>
              <w:spacing w:after="0"/>
              <w:rPr>
                <w:sz w:val="20"/>
                <w:szCs w:val="20"/>
                <w:color w:val="auto"/>
              </w:rPr>
            </w:pPr>
            <w:r>
              <w:rPr>
                <w:rFonts w:ascii="Arial" w:cs="Arial" w:eastAsia="Arial" w:hAnsi="Arial"/>
                <w:sz w:val="15"/>
                <w:szCs w:val="15"/>
                <w:color w:val="auto"/>
                <w:w w:val="89"/>
              </w:rPr>
              <w:t>“</w:t>
            </w:r>
            <w:r>
              <w:rPr>
                <w:rFonts w:ascii="Arial" w:cs="Arial" w:eastAsia="Arial" w:hAnsi="Arial"/>
                <w:sz w:val="15"/>
                <w:szCs w:val="15"/>
                <w:b w:val="1"/>
                <w:bCs w:val="1"/>
                <w:color w:val="auto"/>
                <w:w w:val="89"/>
              </w:rPr>
              <w:t>Exchange Act</w:t>
            </w:r>
            <w:r>
              <w:rPr>
                <w:rFonts w:ascii="Arial" w:cs="Arial" w:eastAsia="Arial" w:hAnsi="Arial"/>
                <w:sz w:val="15"/>
                <w:szCs w:val="15"/>
                <w:color w:val="auto"/>
                <w:w w:val="89"/>
              </w:rPr>
              <w:t>” means the Securities Exchange Act of 1934, as amended, and the rules and regulations promulgated thereunder.</w:t>
            </w:r>
          </w:p>
        </w:tc>
      </w:tr>
      <w:tr>
        <w:trPr>
          <w:trHeight w:val="527"/>
        </w:trPr>
        <w:tc>
          <w:tcPr>
            <w:tcW w:w="202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jc w:val="right"/>
              <w:ind w:right="5547"/>
              <w:spacing w:after="0"/>
              <w:rPr>
                <w:sz w:val="20"/>
                <w:szCs w:val="20"/>
                <w:color w:val="auto"/>
              </w:rPr>
            </w:pPr>
            <w:r>
              <w:rPr>
                <w:rFonts w:ascii="Arial" w:cs="Arial" w:eastAsia="Arial" w:hAnsi="Arial"/>
                <w:sz w:val="15"/>
                <w:szCs w:val="15"/>
                <w:color w:val="auto"/>
              </w:rPr>
              <w:t>2</w:t>
            </w:r>
          </w:p>
        </w:tc>
      </w:tr>
    </w:tbl>
    <w:p>
      <w:pPr>
        <w:sectPr>
          <w:pgSz w:w="11900" w:h="16838" w:orient="portrait"/>
          <w:cols w:equalWidth="0" w:num="1">
            <w:col w:w="11280"/>
          </w:cols>
          <w:pgMar w:left="300" w:top="762" w:right="319" w:bottom="1440" w:gutter="0" w:footer="0" w:header="0"/>
        </w:sectPr>
      </w:pPr>
    </w:p>
    <w:bookmarkStart w:id="236" w:name="page237"/>
    <w:bookmarkEnd w:id="236"/>
    <w:p>
      <w:pPr>
        <w:jc w:val="both"/>
        <w:ind w:left="460" w:firstLine="1055"/>
        <w:spacing w:after="0" w:line="276"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color w:val="auto"/>
        </w:rPr>
        <w:t>Excluded Registration</w:t>
      </w:r>
      <w:r>
        <w:rPr>
          <w:rFonts w:ascii="Arial" w:cs="Arial" w:eastAsia="Arial" w:hAnsi="Arial"/>
          <w:sz w:val="14"/>
          <w:szCs w:val="14"/>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38" w:lineRule="exact"/>
        <w:rPr>
          <w:sz w:val="20"/>
          <w:szCs w:val="20"/>
          <w:color w:val="auto"/>
        </w:rPr>
      </w:pPr>
    </w:p>
    <w:p>
      <w:pPr>
        <w:jc w:val="both"/>
        <w:ind w:left="460" w:firstLine="1055"/>
        <w:spacing w:after="0" w:line="257" w:lineRule="auto"/>
        <w:rPr>
          <w:sz w:val="20"/>
          <w:szCs w:val="20"/>
          <w:color w:val="auto"/>
        </w:rPr>
      </w:pPr>
      <w:r>
        <w:rPr>
          <w:rFonts w:ascii="Arial" w:cs="Arial" w:eastAsia="Arial" w:hAnsi="Arial"/>
          <w:sz w:val="15"/>
          <w:szCs w:val="15"/>
          <w:color w:val="auto"/>
        </w:rPr>
        <w:t>1.13 “</w:t>
      </w:r>
      <w:r>
        <w:rPr>
          <w:rFonts w:ascii="Arial" w:cs="Arial" w:eastAsia="Arial" w:hAnsi="Arial"/>
          <w:sz w:val="15"/>
          <w:szCs w:val="15"/>
          <w:b w:val="1"/>
          <w:bCs w:val="1"/>
          <w:color w:val="auto"/>
        </w:rPr>
        <w:t>FOIA Party</w:t>
      </w:r>
      <w:r>
        <w:rPr>
          <w:rFonts w:ascii="Arial" w:cs="Arial" w:eastAsia="Arial" w:hAnsi="Arial"/>
          <w:sz w:val="15"/>
          <w:szCs w:val="15"/>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5"/>
          <w:szCs w:val="15"/>
          <w:b w:val="1"/>
          <w:bCs w:val="1"/>
          <w:color w:val="auto"/>
        </w:rPr>
        <w:t>FOIA</w:t>
      </w:r>
      <w:r>
        <w:rPr>
          <w:rFonts w:ascii="Arial" w:cs="Arial" w:eastAsia="Arial" w:hAnsi="Arial"/>
          <w:sz w:val="15"/>
          <w:szCs w:val="15"/>
          <w:color w:val="auto"/>
        </w:rPr>
        <w:t>”), any state public records access law, any state or other jurisdiction’s laws similar in intent or effect to FOIA, or any other similar statutory or regulatory requirement.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1.14</w:t>
            </w:r>
          </w:p>
        </w:tc>
        <w:tc>
          <w:tcPr>
            <w:tcW w:w="9240" w:type="dxa"/>
            <w:vAlign w:val="bottom"/>
          </w:tcPr>
          <w:p>
            <w:pPr>
              <w:jc w:val="right"/>
              <w:spacing w:after="0"/>
              <w:rPr>
                <w:sz w:val="20"/>
                <w:szCs w:val="20"/>
                <w:color w:val="auto"/>
              </w:rPr>
            </w:pPr>
            <w:r>
              <w:rPr>
                <w:rFonts w:ascii="Arial" w:cs="Arial" w:eastAsia="Arial" w:hAnsi="Arial"/>
                <w:sz w:val="15"/>
                <w:szCs w:val="15"/>
                <w:color w:val="auto"/>
                <w:w w:val="96"/>
              </w:rPr>
              <w:t>“</w:t>
            </w:r>
            <w:r>
              <w:rPr>
                <w:rFonts w:ascii="Arial" w:cs="Arial" w:eastAsia="Arial" w:hAnsi="Arial"/>
                <w:sz w:val="15"/>
                <w:szCs w:val="15"/>
                <w:b w:val="1"/>
                <w:bCs w:val="1"/>
                <w:color w:val="auto"/>
                <w:w w:val="96"/>
              </w:rPr>
              <w:t>Form S-1</w:t>
            </w:r>
            <w:r>
              <w:rPr>
                <w:rFonts w:ascii="Arial" w:cs="Arial" w:eastAsia="Arial" w:hAnsi="Arial"/>
                <w:sz w:val="15"/>
                <w:szCs w:val="15"/>
                <w:color w:val="auto"/>
                <w:w w:val="96"/>
              </w:rPr>
              <w:t>” means such form under the Securities Act as in effect on the date hereof or any successor registration form under the Securities Act</w:t>
            </w:r>
          </w:p>
        </w:tc>
      </w:tr>
      <w:tr>
        <w:trPr>
          <w:trHeight w:val="186"/>
        </w:trPr>
        <w:tc>
          <w:tcPr>
            <w:tcW w:w="11280" w:type="dxa"/>
            <w:vAlign w:val="bottom"/>
            <w:gridSpan w:val="2"/>
          </w:tcPr>
          <w:p>
            <w:pPr>
              <w:ind w:left="460"/>
              <w:spacing w:after="0"/>
              <w:rPr>
                <w:sz w:val="20"/>
                <w:szCs w:val="20"/>
                <w:color w:val="auto"/>
              </w:rPr>
            </w:pPr>
            <w:r>
              <w:rPr>
                <w:rFonts w:ascii="Arial" w:cs="Arial" w:eastAsia="Arial" w:hAnsi="Arial"/>
                <w:sz w:val="15"/>
                <w:szCs w:val="15"/>
                <w:color w:val="auto"/>
              </w:rPr>
              <w:t>subsequently adopted by the SEC.</w:t>
            </w:r>
          </w:p>
        </w:tc>
      </w:tr>
      <w:tr>
        <w:trPr>
          <w:trHeight w:val="341"/>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1.15</w:t>
            </w:r>
          </w:p>
        </w:tc>
        <w:tc>
          <w:tcPr>
            <w:tcW w:w="9240" w:type="dxa"/>
            <w:vAlign w:val="bottom"/>
          </w:tcPr>
          <w:p>
            <w:pPr>
              <w:jc w:val="right"/>
              <w:spacing w:after="0"/>
              <w:rPr>
                <w:sz w:val="20"/>
                <w:szCs w:val="20"/>
                <w:color w:val="auto"/>
              </w:rPr>
            </w:pPr>
            <w:r>
              <w:rPr>
                <w:rFonts w:ascii="Arial" w:cs="Arial" w:eastAsia="Arial" w:hAnsi="Arial"/>
                <w:sz w:val="15"/>
                <w:szCs w:val="15"/>
                <w:color w:val="auto"/>
                <w:w w:val="94"/>
              </w:rPr>
              <w:t>“</w:t>
            </w:r>
            <w:r>
              <w:rPr>
                <w:rFonts w:ascii="Arial" w:cs="Arial" w:eastAsia="Arial" w:hAnsi="Arial"/>
                <w:sz w:val="15"/>
                <w:szCs w:val="15"/>
                <w:b w:val="1"/>
                <w:bCs w:val="1"/>
                <w:color w:val="auto"/>
                <w:w w:val="94"/>
              </w:rPr>
              <w:t>Form S-3</w:t>
            </w:r>
            <w:r>
              <w:rPr>
                <w:rFonts w:ascii="Arial" w:cs="Arial" w:eastAsia="Arial" w:hAnsi="Arial"/>
                <w:sz w:val="15"/>
                <w:szCs w:val="15"/>
                <w:color w:val="auto"/>
                <w:w w:val="94"/>
              </w:rPr>
              <w:t>” means such form under the Securities Act as in effect on the date hereof or any registration form under the Securities Act subsequently</w:t>
            </w:r>
          </w:p>
        </w:tc>
      </w:tr>
      <w:tr>
        <w:trPr>
          <w:trHeight w:val="186"/>
        </w:trPr>
        <w:tc>
          <w:tcPr>
            <w:tcW w:w="11280" w:type="dxa"/>
            <w:vAlign w:val="bottom"/>
            <w:gridSpan w:val="2"/>
          </w:tcPr>
          <w:p>
            <w:pPr>
              <w:ind w:left="460"/>
              <w:spacing w:after="0"/>
              <w:rPr>
                <w:sz w:val="20"/>
                <w:szCs w:val="20"/>
                <w:color w:val="auto"/>
              </w:rPr>
            </w:pPr>
            <w:r>
              <w:rPr>
                <w:rFonts w:ascii="Arial" w:cs="Arial" w:eastAsia="Arial" w:hAnsi="Arial"/>
                <w:sz w:val="15"/>
                <w:szCs w:val="15"/>
                <w:color w:val="auto"/>
              </w:rPr>
              <w:t>adopted by the SEC that permits forward incorporation of substantial information by reference to other documents filed by the Company with the SEC.</w:t>
            </w:r>
          </w:p>
        </w:tc>
      </w:tr>
      <w:tr>
        <w:trPr>
          <w:trHeight w:val="352"/>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1.16</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in the United States as in effect from time to time.</w:t>
            </w:r>
          </w:p>
        </w:tc>
      </w:tr>
      <w:tr>
        <w:trPr>
          <w:trHeight w:val="352"/>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1.17</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Holder</w:t>
            </w:r>
            <w:r>
              <w:rPr>
                <w:rFonts w:ascii="Arial" w:cs="Arial" w:eastAsia="Arial" w:hAnsi="Arial"/>
                <w:sz w:val="15"/>
                <w:szCs w:val="15"/>
                <w:color w:val="auto"/>
              </w:rPr>
              <w:t>” means any holder of Registrable Securities who is a party to this Agreement.</w:t>
            </w:r>
          </w:p>
        </w:tc>
      </w:tr>
      <w:tr>
        <w:trPr>
          <w:trHeight w:val="341"/>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1.18</w:t>
            </w:r>
          </w:p>
        </w:tc>
        <w:tc>
          <w:tcPr>
            <w:tcW w:w="9240" w:type="dxa"/>
            <w:vAlign w:val="bottom"/>
          </w:tcPr>
          <w:p>
            <w:pPr>
              <w:jc w:val="right"/>
              <w:spacing w:after="0"/>
              <w:rPr>
                <w:sz w:val="20"/>
                <w:szCs w:val="20"/>
                <w:color w:val="auto"/>
              </w:rPr>
            </w:pPr>
            <w:r>
              <w:rPr>
                <w:rFonts w:ascii="Arial" w:cs="Arial" w:eastAsia="Arial" w:hAnsi="Arial"/>
                <w:sz w:val="15"/>
                <w:szCs w:val="15"/>
                <w:color w:val="auto"/>
                <w:w w:val="92"/>
              </w:rPr>
              <w:t>“</w:t>
            </w:r>
            <w:r>
              <w:rPr>
                <w:rFonts w:ascii="Arial" w:cs="Arial" w:eastAsia="Arial" w:hAnsi="Arial"/>
                <w:sz w:val="15"/>
                <w:szCs w:val="15"/>
                <w:b w:val="1"/>
                <w:bCs w:val="1"/>
                <w:color w:val="auto"/>
                <w:w w:val="92"/>
              </w:rPr>
              <w:t>Immediate Family Member</w:t>
            </w:r>
            <w:r>
              <w:rPr>
                <w:rFonts w:ascii="Arial" w:cs="Arial" w:eastAsia="Arial" w:hAnsi="Arial"/>
                <w:sz w:val="15"/>
                <w:szCs w:val="15"/>
                <w:color w:val="auto"/>
                <w:w w:val="92"/>
              </w:rPr>
              <w:t>” means a child, stepchild, grandchild, parent, stepparent, grandparent, spouse, sibling, mother-in-law, father-in-law, son-</w:t>
            </w:r>
          </w:p>
        </w:tc>
      </w:tr>
      <w:tr>
        <w:trPr>
          <w:trHeight w:val="186"/>
        </w:trPr>
        <w:tc>
          <w:tcPr>
            <w:tcW w:w="11280" w:type="dxa"/>
            <w:vAlign w:val="bottom"/>
            <w:gridSpan w:val="2"/>
          </w:tcPr>
          <w:p>
            <w:pPr>
              <w:ind w:left="460"/>
              <w:spacing w:after="0"/>
              <w:rPr>
                <w:sz w:val="20"/>
                <w:szCs w:val="20"/>
                <w:color w:val="auto"/>
              </w:rPr>
            </w:pPr>
            <w:r>
              <w:rPr>
                <w:rFonts w:ascii="Arial" w:cs="Arial" w:eastAsia="Arial" w:hAnsi="Arial"/>
                <w:sz w:val="15"/>
                <w:szCs w:val="15"/>
                <w:color w:val="auto"/>
              </w:rPr>
              <w:t>in-law, daughter-in-law, brother-in-law, or sister-in-law, including, adoptive relationships, of a natural person referred to herein.</w:t>
            </w:r>
          </w:p>
        </w:tc>
      </w:tr>
      <w:tr>
        <w:trPr>
          <w:trHeight w:val="352"/>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1.19</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Initiating Holders</w:t>
            </w:r>
            <w:r>
              <w:rPr>
                <w:rFonts w:ascii="Arial" w:cs="Arial" w:eastAsia="Arial" w:hAnsi="Arial"/>
                <w:sz w:val="15"/>
                <w:szCs w:val="15"/>
                <w:color w:val="auto"/>
              </w:rPr>
              <w:t>” means, collectively, Holders who properly initiate a registration request under this Agreement.</w:t>
            </w:r>
          </w:p>
        </w:tc>
      </w:tr>
      <w:tr>
        <w:trPr>
          <w:trHeight w:val="352"/>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1.20</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IPO</w:t>
            </w:r>
            <w:r>
              <w:rPr>
                <w:rFonts w:ascii="Arial" w:cs="Arial" w:eastAsia="Arial" w:hAnsi="Arial"/>
                <w:sz w:val="15"/>
                <w:szCs w:val="15"/>
                <w:color w:val="auto"/>
              </w:rPr>
              <w:t>” means the Company’s first underwritten public offering of its Common Stock under the Securities Act.</w:t>
            </w:r>
          </w:p>
        </w:tc>
      </w:tr>
      <w:tr>
        <w:trPr>
          <w:trHeight w:val="352"/>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1.21</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Key Employee</w:t>
            </w:r>
            <w:r>
              <w:rPr>
                <w:rFonts w:ascii="Arial" w:cs="Arial" w:eastAsia="Arial" w:hAnsi="Arial"/>
                <w:sz w:val="15"/>
                <w:szCs w:val="15"/>
                <w:color w:val="auto"/>
              </w:rPr>
              <w:t>” shall have the meaning set forth in the Purchase Agreement.</w:t>
            </w:r>
          </w:p>
        </w:tc>
      </w:tr>
      <w:tr>
        <w:trPr>
          <w:trHeight w:val="352"/>
        </w:trPr>
        <w:tc>
          <w:tcPr>
            <w:tcW w:w="2040" w:type="dxa"/>
            <w:vAlign w:val="bottom"/>
          </w:tcPr>
          <w:p>
            <w:pPr>
              <w:jc w:val="right"/>
              <w:ind w:right="187"/>
              <w:spacing w:after="0"/>
              <w:rPr>
                <w:sz w:val="20"/>
                <w:szCs w:val="20"/>
                <w:color w:val="auto"/>
              </w:rPr>
            </w:pPr>
            <w:r>
              <w:rPr>
                <w:rFonts w:ascii="Arial" w:cs="Arial" w:eastAsia="Arial" w:hAnsi="Arial"/>
                <w:sz w:val="15"/>
                <w:szCs w:val="15"/>
                <w:color w:val="auto"/>
              </w:rPr>
              <w:t>1.22</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LYFE Capital</w:t>
            </w:r>
            <w:r>
              <w:rPr>
                <w:rFonts w:ascii="Arial" w:cs="Arial" w:eastAsia="Arial" w:hAnsi="Arial"/>
                <w:sz w:val="15"/>
                <w:szCs w:val="15"/>
                <w:color w:val="auto"/>
              </w:rPr>
              <w:t>” means LYFE Capital Fund III (Phoenix), L.P.</w:t>
            </w:r>
          </w:p>
        </w:tc>
      </w:tr>
      <w:tr>
        <w:trPr>
          <w:trHeight w:val="527"/>
        </w:trPr>
        <w:tc>
          <w:tcPr>
            <w:tcW w:w="20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jc w:val="right"/>
              <w:ind w:right="5547"/>
              <w:spacing w:after="0"/>
              <w:rPr>
                <w:sz w:val="20"/>
                <w:szCs w:val="20"/>
                <w:color w:val="auto"/>
              </w:rPr>
            </w:pPr>
            <w:r>
              <w:rPr>
                <w:rFonts w:ascii="Arial" w:cs="Arial" w:eastAsia="Arial" w:hAnsi="Arial"/>
                <w:sz w:val="15"/>
                <w:szCs w:val="15"/>
                <w:color w:val="auto"/>
              </w:rPr>
              <w:t>3</w:t>
            </w:r>
          </w:p>
        </w:tc>
      </w:tr>
    </w:tbl>
    <w:p>
      <w:pPr>
        <w:sectPr>
          <w:pgSz w:w="11900" w:h="16838" w:orient="portrait"/>
          <w:cols w:equalWidth="0" w:num="1">
            <w:col w:w="11280"/>
          </w:cols>
          <w:pgMar w:left="300" w:top="762" w:right="319" w:bottom="1440" w:gutter="0" w:footer="0" w:header="0"/>
        </w:sectPr>
      </w:pPr>
    </w:p>
    <w:bookmarkStart w:id="237" w:name="page238"/>
    <w:bookmarkEnd w:id="237"/>
    <w:p>
      <w:pPr>
        <w:jc w:val="both"/>
        <w:ind w:left="460" w:firstLine="1055"/>
        <w:spacing w:after="0" w:line="257" w:lineRule="auto"/>
        <w:rPr>
          <w:sz w:val="20"/>
          <w:szCs w:val="20"/>
          <w:color w:val="auto"/>
        </w:rPr>
      </w:pPr>
      <w:r>
        <w:rPr>
          <w:rFonts w:ascii="Arial" w:cs="Arial" w:eastAsia="Arial" w:hAnsi="Arial"/>
          <w:sz w:val="15"/>
          <w:szCs w:val="15"/>
          <w:color w:val="auto"/>
        </w:rPr>
        <w:t>1.23 “</w:t>
      </w:r>
      <w:r>
        <w:rPr>
          <w:rFonts w:ascii="Arial" w:cs="Arial" w:eastAsia="Arial" w:hAnsi="Arial"/>
          <w:sz w:val="15"/>
          <w:szCs w:val="15"/>
          <w:b w:val="1"/>
          <w:bCs w:val="1"/>
          <w:color w:val="auto"/>
        </w:rPr>
        <w:t>Major Investor</w:t>
      </w:r>
      <w:r>
        <w:rPr>
          <w:rFonts w:ascii="Arial" w:cs="Arial" w:eastAsia="Arial" w:hAnsi="Arial"/>
          <w:sz w:val="15"/>
          <w:szCs w:val="15"/>
          <w:color w:val="auto"/>
        </w:rPr>
        <w:t xml:space="preserve">” means any Investor that individually or together with such Investor’s Affiliates, holds at least 143,022 shares of Registrable Securities (as adjusted for any stock split, stock dividend, combination, or other recapitalization or reclassification effected after the date hereof) and each Person to whom any of the rights of any such Investor are assigned pursuant to </w:t>
      </w:r>
      <w:r>
        <w:rPr>
          <w:rFonts w:ascii="Arial" w:cs="Arial" w:eastAsia="Arial" w:hAnsi="Arial"/>
          <w:sz w:val="15"/>
          <w:szCs w:val="15"/>
          <w:u w:val="single" w:color="auto"/>
          <w:color w:val="auto"/>
        </w:rPr>
        <w:t>Section 6.1</w:t>
      </w:r>
      <w:r>
        <w:rPr>
          <w:rFonts w:ascii="Arial" w:cs="Arial" w:eastAsia="Arial" w:hAnsi="Arial"/>
          <w:sz w:val="15"/>
          <w:szCs w:val="15"/>
          <w:color w:val="auto"/>
        </w:rPr>
        <w:t>.</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1580" w:type="dxa"/>
            <w:vAlign w:val="bottom"/>
          </w:tcPr>
          <w:p>
            <w:pPr>
              <w:jc w:val="right"/>
              <w:ind w:right="187"/>
              <w:spacing w:after="0"/>
              <w:rPr>
                <w:sz w:val="20"/>
                <w:szCs w:val="20"/>
                <w:color w:val="auto"/>
              </w:rPr>
            </w:pPr>
            <w:r>
              <w:rPr>
                <w:rFonts w:ascii="Arial" w:cs="Arial" w:eastAsia="Arial" w:hAnsi="Arial"/>
                <w:sz w:val="15"/>
                <w:szCs w:val="15"/>
                <w:color w:val="auto"/>
              </w:rPr>
              <w:t>1.24</w:t>
            </w:r>
          </w:p>
        </w:tc>
        <w:tc>
          <w:tcPr>
            <w:tcW w:w="9240" w:type="dxa"/>
            <w:vAlign w:val="bottom"/>
          </w:tcPr>
          <w:p>
            <w:pPr>
              <w:ind w:left="320"/>
              <w:spacing w:after="0"/>
              <w:rPr>
                <w:sz w:val="20"/>
                <w:szCs w:val="20"/>
                <w:color w:val="auto"/>
              </w:rPr>
            </w:pPr>
            <w:r>
              <w:rPr>
                <w:rFonts w:ascii="Arial" w:cs="Arial" w:eastAsia="Arial" w:hAnsi="Arial"/>
                <w:sz w:val="15"/>
                <w:szCs w:val="15"/>
                <w:color w:val="auto"/>
                <w:w w:val="90"/>
              </w:rPr>
              <w:t>“</w:t>
            </w:r>
            <w:r>
              <w:rPr>
                <w:rFonts w:ascii="Arial" w:cs="Arial" w:eastAsia="Arial" w:hAnsi="Arial"/>
                <w:sz w:val="15"/>
                <w:szCs w:val="15"/>
                <w:b w:val="1"/>
                <w:bCs w:val="1"/>
                <w:color w:val="auto"/>
                <w:w w:val="90"/>
              </w:rPr>
              <w:t>New Securities</w:t>
            </w:r>
            <w:r>
              <w:rPr>
                <w:rFonts w:ascii="Arial" w:cs="Arial" w:eastAsia="Arial" w:hAnsi="Arial"/>
                <w:sz w:val="15"/>
                <w:szCs w:val="15"/>
                <w:color w:val="auto"/>
                <w:w w:val="90"/>
              </w:rPr>
              <w:t>” means, collectively, equity securities of the Company, whether or not currently authorized, as well as rights, options, or warrants to</w:t>
            </w:r>
          </w:p>
        </w:tc>
      </w:tr>
      <w:tr>
        <w:trPr>
          <w:trHeight w:val="186"/>
        </w:trPr>
        <w:tc>
          <w:tcPr>
            <w:tcW w:w="10820" w:type="dxa"/>
            <w:vAlign w:val="bottom"/>
            <w:gridSpan w:val="2"/>
          </w:tcPr>
          <w:p>
            <w:pPr>
              <w:spacing w:after="0"/>
              <w:rPr>
                <w:sz w:val="20"/>
                <w:szCs w:val="20"/>
                <w:color w:val="auto"/>
              </w:rPr>
            </w:pPr>
            <w:r>
              <w:rPr>
                <w:rFonts w:ascii="Arial" w:cs="Arial" w:eastAsia="Arial" w:hAnsi="Arial"/>
                <w:sz w:val="15"/>
                <w:szCs w:val="15"/>
                <w:color w:val="auto"/>
                <w:w w:val="96"/>
              </w:rPr>
              <w:t>purchase such equity securities, or securities of any type whatsoever that are, or may become, convertible or exchangeable into or exercisable for such equity securities.</w:t>
            </w:r>
          </w:p>
        </w:tc>
      </w:tr>
      <w:tr>
        <w:trPr>
          <w:trHeight w:val="352"/>
        </w:trPr>
        <w:tc>
          <w:tcPr>
            <w:tcW w:w="1580" w:type="dxa"/>
            <w:vAlign w:val="bottom"/>
          </w:tcPr>
          <w:p>
            <w:pPr>
              <w:jc w:val="right"/>
              <w:ind w:right="187"/>
              <w:spacing w:after="0"/>
              <w:rPr>
                <w:sz w:val="20"/>
                <w:szCs w:val="20"/>
                <w:color w:val="auto"/>
              </w:rPr>
            </w:pPr>
            <w:r>
              <w:rPr>
                <w:rFonts w:ascii="Arial" w:cs="Arial" w:eastAsia="Arial" w:hAnsi="Arial"/>
                <w:sz w:val="15"/>
                <w:szCs w:val="15"/>
                <w:color w:val="auto"/>
              </w:rPr>
              <w:t>1.25</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Perceptive</w:t>
            </w:r>
            <w:r>
              <w:rPr>
                <w:rFonts w:ascii="Arial" w:cs="Arial" w:eastAsia="Arial" w:hAnsi="Arial"/>
                <w:sz w:val="15"/>
                <w:szCs w:val="15"/>
                <w:color w:val="auto"/>
              </w:rPr>
              <w:t>” means Perceptive Life Sciences Master Fund, Ltd.</w:t>
            </w:r>
          </w:p>
        </w:tc>
      </w:tr>
      <w:tr>
        <w:trPr>
          <w:trHeight w:val="352"/>
        </w:trPr>
        <w:tc>
          <w:tcPr>
            <w:tcW w:w="1580" w:type="dxa"/>
            <w:vAlign w:val="bottom"/>
          </w:tcPr>
          <w:p>
            <w:pPr>
              <w:jc w:val="right"/>
              <w:ind w:right="187"/>
              <w:spacing w:after="0"/>
              <w:rPr>
                <w:sz w:val="20"/>
                <w:szCs w:val="20"/>
                <w:color w:val="auto"/>
              </w:rPr>
            </w:pPr>
            <w:r>
              <w:rPr>
                <w:rFonts w:ascii="Arial" w:cs="Arial" w:eastAsia="Arial" w:hAnsi="Arial"/>
                <w:sz w:val="15"/>
                <w:szCs w:val="15"/>
                <w:color w:val="auto"/>
              </w:rPr>
              <w:t>1.26</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any individual, corporation, partnership, trust, limited liability company, association or other entity</w:t>
            </w:r>
            <w:r>
              <w:rPr>
                <w:rFonts w:ascii="Arial" w:cs="Arial" w:eastAsia="Arial" w:hAnsi="Arial"/>
                <w:sz w:val="15"/>
                <w:szCs w:val="15"/>
                <w:color w:val="0000FF"/>
              </w:rPr>
              <w:t>.</w:t>
            </w:r>
          </w:p>
        </w:tc>
      </w:tr>
      <w:tr>
        <w:trPr>
          <w:trHeight w:val="352"/>
        </w:trPr>
        <w:tc>
          <w:tcPr>
            <w:tcW w:w="1580" w:type="dxa"/>
            <w:vAlign w:val="bottom"/>
          </w:tcPr>
          <w:p>
            <w:pPr>
              <w:jc w:val="right"/>
              <w:ind w:right="187"/>
              <w:spacing w:after="0"/>
              <w:rPr>
                <w:sz w:val="20"/>
                <w:szCs w:val="20"/>
                <w:color w:val="auto"/>
              </w:rPr>
            </w:pPr>
            <w:r>
              <w:rPr>
                <w:rFonts w:ascii="Arial" w:cs="Arial" w:eastAsia="Arial" w:hAnsi="Arial"/>
                <w:sz w:val="15"/>
                <w:szCs w:val="15"/>
                <w:color w:val="auto"/>
              </w:rPr>
              <w:t>1.27</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Preferred Director</w:t>
            </w:r>
            <w:r>
              <w:rPr>
                <w:rFonts w:ascii="Arial" w:cs="Arial" w:eastAsia="Arial" w:hAnsi="Arial"/>
                <w:sz w:val="15"/>
                <w:szCs w:val="15"/>
                <w:color w:val="auto"/>
              </w:rPr>
              <w:t>” shall have the meaning set forth in the Certificate of Incorporation.</w:t>
            </w:r>
          </w:p>
        </w:tc>
      </w:tr>
      <w:tr>
        <w:trPr>
          <w:trHeight w:val="352"/>
        </w:trPr>
        <w:tc>
          <w:tcPr>
            <w:tcW w:w="1580" w:type="dxa"/>
            <w:vAlign w:val="bottom"/>
          </w:tcPr>
          <w:p>
            <w:pPr>
              <w:jc w:val="right"/>
              <w:ind w:right="187"/>
              <w:spacing w:after="0"/>
              <w:rPr>
                <w:sz w:val="20"/>
                <w:szCs w:val="20"/>
                <w:color w:val="auto"/>
              </w:rPr>
            </w:pPr>
            <w:r>
              <w:rPr>
                <w:rFonts w:ascii="Arial" w:cs="Arial" w:eastAsia="Arial" w:hAnsi="Arial"/>
                <w:sz w:val="15"/>
                <w:szCs w:val="15"/>
                <w:color w:val="auto"/>
              </w:rPr>
              <w:t>1.28</w:t>
            </w:r>
          </w:p>
        </w:tc>
        <w:tc>
          <w:tcPr>
            <w:tcW w:w="9240" w:type="dxa"/>
            <w:vAlign w:val="bottom"/>
          </w:tcPr>
          <w:p>
            <w:pPr>
              <w:ind w:lef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Preferred Stock</w:t>
            </w:r>
            <w:r>
              <w:rPr>
                <w:rFonts w:ascii="Arial" w:cs="Arial" w:eastAsia="Arial" w:hAnsi="Arial"/>
                <w:sz w:val="15"/>
                <w:szCs w:val="15"/>
                <w:color w:val="auto"/>
              </w:rPr>
              <w:t>” means the Series A Preferred Stock and the Series B Preferred Stock.</w:t>
            </w:r>
          </w:p>
        </w:tc>
      </w:tr>
      <w:tr>
        <w:trPr>
          <w:trHeight w:val="352"/>
        </w:trPr>
        <w:tc>
          <w:tcPr>
            <w:tcW w:w="1580" w:type="dxa"/>
            <w:vAlign w:val="bottom"/>
          </w:tcPr>
          <w:p>
            <w:pPr>
              <w:jc w:val="right"/>
              <w:ind w:right="187"/>
              <w:spacing w:after="0"/>
              <w:rPr>
                <w:sz w:val="20"/>
                <w:szCs w:val="20"/>
                <w:color w:val="auto"/>
              </w:rPr>
            </w:pPr>
            <w:r>
              <w:rPr>
                <w:rFonts w:ascii="Arial" w:cs="Arial" w:eastAsia="Arial" w:hAnsi="Arial"/>
                <w:sz w:val="15"/>
                <w:szCs w:val="15"/>
                <w:color w:val="auto"/>
              </w:rPr>
              <w:t>1.29</w:t>
            </w:r>
          </w:p>
        </w:tc>
        <w:tc>
          <w:tcPr>
            <w:tcW w:w="9240" w:type="dxa"/>
            <w:vAlign w:val="bottom"/>
          </w:tcPr>
          <w:p>
            <w:pPr>
              <w:ind w:left="260"/>
              <w:spacing w:after="0"/>
              <w:rPr>
                <w:sz w:val="20"/>
                <w:szCs w:val="20"/>
                <w:color w:val="auto"/>
              </w:rPr>
            </w:pPr>
            <w:r>
              <w:rPr>
                <w:rFonts w:ascii="Arial" w:cs="Arial" w:eastAsia="Arial" w:hAnsi="Arial"/>
                <w:sz w:val="15"/>
                <w:szCs w:val="15"/>
                <w:color w:val="auto"/>
                <w:w w:val="88"/>
              </w:rPr>
              <w:t>“</w:t>
            </w:r>
            <w:r>
              <w:rPr>
                <w:rFonts w:ascii="Arial" w:cs="Arial" w:eastAsia="Arial" w:hAnsi="Arial"/>
                <w:sz w:val="15"/>
                <w:szCs w:val="15"/>
                <w:b w:val="1"/>
                <w:bCs w:val="1"/>
                <w:color w:val="auto"/>
                <w:w w:val="88"/>
              </w:rPr>
              <w:t>Registrable Securities</w:t>
            </w:r>
            <w:r>
              <w:rPr>
                <w:rFonts w:ascii="Arial" w:cs="Arial" w:eastAsia="Arial" w:hAnsi="Arial"/>
                <w:sz w:val="15"/>
                <w:szCs w:val="15"/>
                <w:color w:val="auto"/>
                <w:w w:val="88"/>
              </w:rPr>
              <w:t>” means (i) the Common Stock issuable or issued upon conversion of the Preferred Stock, excluding any Common Stock issued</w:t>
            </w:r>
          </w:p>
        </w:tc>
      </w:tr>
    </w:tbl>
    <w:p>
      <w:pPr>
        <w:jc w:val="both"/>
        <w:ind w:left="460"/>
        <w:spacing w:after="0" w:line="282" w:lineRule="auto"/>
        <w:rPr>
          <w:sz w:val="20"/>
          <w:szCs w:val="20"/>
          <w:color w:val="auto"/>
        </w:rPr>
      </w:pPr>
      <w:r>
        <w:rPr>
          <w:rFonts w:ascii="Arial" w:cs="Arial" w:eastAsia="Arial" w:hAnsi="Arial"/>
          <w:sz w:val="13"/>
          <w:szCs w:val="13"/>
          <w:color w:val="auto"/>
        </w:rPr>
        <w:t>upon conversion of the Series B Preferred Stock pursuant to the “Special Mandatory Conversion” provisions of the Certificate of Incorporation; (ii) any Common Stock, or any Common Stock issued or issuable (directly or indirectly) upon conversion and/or exercise of any other securities of the Company, acquired by the Investors after the date hereof; and</w:t>
      </w:r>
    </w:p>
    <w:p>
      <w:pPr>
        <w:jc w:val="both"/>
        <w:ind w:left="460" w:firstLine="9"/>
        <w:spacing w:after="0" w:line="246" w:lineRule="auto"/>
        <w:tabs>
          <w:tab w:leader="none" w:pos="721" w:val="left"/>
        </w:tabs>
        <w:numPr>
          <w:ilvl w:val="0"/>
          <w:numId w:val="117"/>
        </w:numPr>
        <w:rPr>
          <w:rFonts w:ascii="Arial" w:cs="Arial" w:eastAsia="Arial" w:hAnsi="Arial"/>
          <w:sz w:val="15"/>
          <w:szCs w:val="15"/>
          <w:color w:val="auto"/>
        </w:rPr>
      </w:pPr>
      <w:r>
        <w:rPr>
          <w:rFonts w:ascii="Arial" w:cs="Arial" w:eastAsia="Arial" w:hAnsi="Arial"/>
          <w:sz w:val="15"/>
          <w:szCs w:val="15"/>
          <w:color w:val="auto"/>
        </w:rPr>
        <w:t xml:space="preserve">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5"/>
          <w:szCs w:val="15"/>
          <w:u w:val="single" w:color="auto"/>
          <w:color w:val="auto"/>
        </w:rPr>
        <w:t>(i)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5"/>
          <w:szCs w:val="15"/>
          <w:u w:val="single" w:color="auto"/>
          <w:color w:val="auto"/>
        </w:rPr>
        <w:t>Subsection 6.1</w:t>
      </w:r>
      <w:r>
        <w:rPr>
          <w:rFonts w:ascii="Arial" w:cs="Arial" w:eastAsia="Arial" w:hAnsi="Arial"/>
          <w:sz w:val="15"/>
          <w:szCs w:val="15"/>
          <w:color w:val="auto"/>
        </w:rPr>
        <w:t xml:space="preserve">, and excluding for purposes of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any shares for which registration rights have terminated pursuant to </w:t>
      </w:r>
      <w:r>
        <w:rPr>
          <w:rFonts w:ascii="Arial" w:cs="Arial" w:eastAsia="Arial" w:hAnsi="Arial"/>
          <w:sz w:val="15"/>
          <w:szCs w:val="15"/>
          <w:u w:val="single" w:color="auto"/>
          <w:color w:val="auto"/>
        </w:rPr>
        <w:t>Subsection 2.13</w:t>
      </w:r>
      <w:r>
        <w:rPr>
          <w:rFonts w:ascii="Arial" w:cs="Arial" w:eastAsia="Arial" w:hAnsi="Arial"/>
          <w:sz w:val="15"/>
          <w:szCs w:val="15"/>
          <w:color w:val="auto"/>
        </w:rPr>
        <w:t xml:space="preserve"> of this Agreement.</w:t>
      </w:r>
    </w:p>
    <w:p>
      <w:pPr>
        <w:spacing w:after="0" w:line="157" w:lineRule="exact"/>
        <w:rPr>
          <w:sz w:val="20"/>
          <w:szCs w:val="20"/>
          <w:color w:val="auto"/>
        </w:rPr>
      </w:pPr>
    </w:p>
    <w:p>
      <w:pPr>
        <w:jc w:val="both"/>
        <w:ind w:left="460" w:firstLine="1055"/>
        <w:spacing w:after="0" w:line="257" w:lineRule="auto"/>
        <w:rPr>
          <w:sz w:val="20"/>
          <w:szCs w:val="20"/>
          <w:color w:val="auto"/>
        </w:rPr>
      </w:pPr>
      <w:r>
        <w:rPr>
          <w:rFonts w:ascii="Arial" w:cs="Arial" w:eastAsia="Arial" w:hAnsi="Arial"/>
          <w:sz w:val="15"/>
          <w:szCs w:val="15"/>
          <w:color w:val="auto"/>
        </w:rPr>
        <w:t>1.30 “</w:t>
      </w:r>
      <w:r>
        <w:rPr>
          <w:rFonts w:ascii="Arial" w:cs="Arial" w:eastAsia="Arial" w:hAnsi="Arial"/>
          <w:sz w:val="15"/>
          <w:szCs w:val="15"/>
          <w:b w:val="1"/>
          <w:bCs w:val="1"/>
          <w:color w:val="auto"/>
        </w:rPr>
        <w:t>Registrable Securities then outstanding</w:t>
      </w:r>
      <w:r>
        <w:rPr>
          <w:rFonts w:ascii="Arial" w:cs="Arial" w:eastAsia="Arial" w:hAnsi="Arial"/>
          <w:sz w:val="15"/>
          <w:szCs w:val="15"/>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jc w:val="right"/>
              <w:ind w:right="167"/>
              <w:spacing w:after="0"/>
              <w:rPr>
                <w:sz w:val="20"/>
                <w:szCs w:val="20"/>
                <w:color w:val="auto"/>
              </w:rPr>
            </w:pPr>
            <w:r>
              <w:rPr>
                <w:rFonts w:ascii="Arial" w:cs="Arial" w:eastAsia="Arial" w:hAnsi="Arial"/>
                <w:sz w:val="15"/>
                <w:szCs w:val="15"/>
                <w:color w:val="auto"/>
              </w:rPr>
              <w:t>1.31</w:t>
            </w:r>
          </w:p>
        </w:tc>
        <w:tc>
          <w:tcPr>
            <w:tcW w:w="9260" w:type="dxa"/>
            <w:vAlign w:val="bottom"/>
            <w:gridSpan w:val="3"/>
          </w:tcPr>
          <w:p>
            <w:pPr>
              <w:ind w:left="240"/>
              <w:spacing w:after="0"/>
              <w:rPr>
                <w:sz w:val="20"/>
                <w:szCs w:val="20"/>
                <w:color w:val="auto"/>
              </w:rPr>
            </w:pPr>
            <w:r>
              <w:rPr>
                <w:rFonts w:ascii="Arial" w:cs="Arial" w:eastAsia="Arial" w:hAnsi="Arial"/>
                <w:sz w:val="15"/>
                <w:szCs w:val="15"/>
                <w:color w:val="auto"/>
                <w:w w:val="97"/>
              </w:rPr>
              <w:t>“</w:t>
            </w:r>
            <w:r>
              <w:rPr>
                <w:rFonts w:ascii="Arial" w:cs="Arial" w:eastAsia="Arial" w:hAnsi="Arial"/>
                <w:sz w:val="15"/>
                <w:szCs w:val="15"/>
                <w:b w:val="1"/>
                <w:bCs w:val="1"/>
                <w:color w:val="auto"/>
                <w:w w:val="97"/>
              </w:rPr>
              <w:t>Restricted Securities</w:t>
            </w:r>
            <w:r>
              <w:rPr>
                <w:rFonts w:ascii="Arial" w:cs="Arial" w:eastAsia="Arial" w:hAnsi="Arial"/>
                <w:sz w:val="15"/>
                <w:szCs w:val="15"/>
                <w:color w:val="auto"/>
                <w:w w:val="97"/>
              </w:rPr>
              <w:t>” means the securities of the Company required to be notated with the legend set forth in Subsection 2.12(b) hereof.</w:t>
            </w:r>
          </w:p>
        </w:tc>
      </w:tr>
      <w:tr>
        <w:trPr>
          <w:trHeight w:val="365"/>
        </w:trPr>
        <w:tc>
          <w:tcPr>
            <w:tcW w:w="2020" w:type="dxa"/>
            <w:vAlign w:val="bottom"/>
          </w:tcPr>
          <w:p>
            <w:pPr>
              <w:jc w:val="right"/>
              <w:ind w:right="167"/>
              <w:spacing w:after="0"/>
              <w:rPr>
                <w:sz w:val="20"/>
                <w:szCs w:val="20"/>
                <w:color w:val="auto"/>
              </w:rPr>
            </w:pPr>
            <w:r>
              <w:rPr>
                <w:rFonts w:ascii="Arial" w:cs="Arial" w:eastAsia="Arial" w:hAnsi="Arial"/>
                <w:sz w:val="15"/>
                <w:szCs w:val="15"/>
                <w:color w:val="auto"/>
              </w:rPr>
              <w:t>1.32</w:t>
            </w:r>
          </w:p>
        </w:tc>
        <w:tc>
          <w:tcPr>
            <w:tcW w:w="6820" w:type="dxa"/>
            <w:vAlign w:val="bottom"/>
          </w:tcPr>
          <w:p>
            <w:pPr>
              <w:jc w:val="right"/>
              <w:ind w:right="107"/>
              <w:spacing w:after="0"/>
              <w:rPr>
                <w:sz w:val="20"/>
                <w:szCs w:val="20"/>
                <w:color w:val="auto"/>
              </w:rPr>
            </w:pPr>
            <w:r>
              <w:rPr>
                <w:rFonts w:ascii="Arial" w:cs="Arial" w:eastAsia="Arial" w:hAnsi="Arial"/>
                <w:sz w:val="15"/>
                <w:szCs w:val="15"/>
                <w:color w:val="auto"/>
                <w:w w:val="92"/>
              </w:rPr>
              <w:t>“</w:t>
            </w:r>
            <w:r>
              <w:rPr>
                <w:rFonts w:ascii="Arial" w:cs="Arial" w:eastAsia="Arial" w:hAnsi="Arial"/>
                <w:sz w:val="15"/>
                <w:szCs w:val="15"/>
                <w:b w:val="1"/>
                <w:bCs w:val="1"/>
                <w:color w:val="auto"/>
                <w:w w:val="92"/>
              </w:rPr>
              <w:t>Rock Springs</w:t>
            </w:r>
            <w:r>
              <w:rPr>
                <w:rFonts w:ascii="Arial" w:cs="Arial" w:eastAsia="Arial" w:hAnsi="Arial"/>
                <w:sz w:val="15"/>
                <w:szCs w:val="15"/>
                <w:color w:val="auto"/>
                <w:w w:val="92"/>
              </w:rPr>
              <w:t>” means, collectively, Rock Springs Capital Master Fund LP and Four Pines Master Fund LP.</w:t>
            </w:r>
          </w:p>
        </w:tc>
        <w:tc>
          <w:tcPr>
            <w:tcW w:w="110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527"/>
        </w:trPr>
        <w:tc>
          <w:tcPr>
            <w:tcW w:w="20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right"/>
              <w:ind w:right="3107"/>
              <w:spacing w:after="0"/>
              <w:rPr>
                <w:sz w:val="20"/>
                <w:szCs w:val="20"/>
                <w:color w:val="auto"/>
              </w:rPr>
            </w:pPr>
            <w:r>
              <w:rPr>
                <w:rFonts w:ascii="Arial" w:cs="Arial" w:eastAsia="Arial" w:hAnsi="Arial"/>
                <w:sz w:val="15"/>
                <w:szCs w:val="15"/>
                <w:color w:val="auto"/>
              </w:rPr>
              <w:t>4</w:t>
            </w: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2" w:right="319" w:bottom="1440" w:gutter="0" w:footer="0" w:header="0"/>
        </w:sectPr>
      </w:pPr>
    </w:p>
    <w:bookmarkStart w:id="238" w:name="page239"/>
    <w:bookmarkEnd w:id="238"/>
    <w:p>
      <w:pPr>
        <w:ind w:left="1520"/>
        <w:spacing w:after="0"/>
        <w:tabs>
          <w:tab w:leader="none" w:pos="2240" w:val="left"/>
        </w:tabs>
        <w:rPr>
          <w:sz w:val="20"/>
          <w:szCs w:val="20"/>
          <w:color w:val="auto"/>
        </w:rPr>
      </w:pPr>
      <w:r>
        <w:rPr>
          <w:rFonts w:ascii="Arial" w:cs="Arial" w:eastAsia="Arial" w:hAnsi="Arial"/>
          <w:sz w:val="15"/>
          <w:szCs w:val="15"/>
          <w:color w:val="auto"/>
        </w:rPr>
        <w:t>1.33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w:t>
      </w:r>
      <w:r>
        <w:rPr>
          <w:rFonts w:ascii="Arial" w:cs="Arial" w:eastAsia="Arial" w:hAnsi="Arial"/>
          <w:sz w:val="13"/>
          <w:szCs w:val="13"/>
          <w:color w:val="auto"/>
        </w:rPr>
        <w:t>” means the Securities and Exchange Commission.</w:t>
      </w:r>
    </w:p>
    <w:p>
      <w:pPr>
        <w:spacing w:after="0" w:line="179"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15"/>
          <w:szCs w:val="15"/>
          <w:color w:val="auto"/>
        </w:rPr>
        <w:t>1.34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Rule 144</w:t>
      </w:r>
      <w:r>
        <w:rPr>
          <w:rFonts w:ascii="Arial" w:cs="Arial" w:eastAsia="Arial" w:hAnsi="Arial"/>
          <w:sz w:val="13"/>
          <w:szCs w:val="13"/>
          <w:color w:val="auto"/>
        </w:rPr>
        <w:t>” means Rule 144 promulgated by the SEC under the Securities Act.</w:t>
      </w:r>
    </w:p>
    <w:p>
      <w:pPr>
        <w:spacing w:after="0" w:line="179"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15"/>
          <w:szCs w:val="15"/>
          <w:color w:val="auto"/>
        </w:rPr>
        <w:t>1.35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Rule 145</w:t>
      </w:r>
      <w:r>
        <w:rPr>
          <w:rFonts w:ascii="Arial" w:cs="Arial" w:eastAsia="Arial" w:hAnsi="Arial"/>
          <w:sz w:val="13"/>
          <w:szCs w:val="13"/>
          <w:color w:val="auto"/>
        </w:rPr>
        <w:t>” means Rule 145 promulgated by the SEC under the Securities Act.</w:t>
      </w:r>
    </w:p>
    <w:p>
      <w:pPr>
        <w:spacing w:after="0" w:line="179"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15"/>
          <w:szCs w:val="15"/>
          <w:color w:val="auto"/>
        </w:rPr>
        <w:t>1.36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Securities Act</w:t>
      </w:r>
      <w:r>
        <w:rPr>
          <w:rFonts w:ascii="Arial" w:cs="Arial" w:eastAsia="Arial" w:hAnsi="Arial"/>
          <w:sz w:val="13"/>
          <w:szCs w:val="13"/>
          <w:color w:val="auto"/>
        </w:rPr>
        <w:t>” means the Securities Act of 1933, as amended, and the rules and regulations promulgated thereunder.</w:t>
      </w:r>
    </w:p>
    <w:p>
      <w:pPr>
        <w:spacing w:after="0" w:line="179" w:lineRule="exact"/>
        <w:rPr>
          <w:sz w:val="20"/>
          <w:szCs w:val="20"/>
          <w:color w:val="auto"/>
        </w:rPr>
      </w:pPr>
    </w:p>
    <w:p>
      <w:pPr>
        <w:ind w:left="460" w:firstLine="1055"/>
        <w:spacing w:after="0" w:line="348" w:lineRule="auto"/>
        <w:rPr>
          <w:sz w:val="20"/>
          <w:szCs w:val="20"/>
          <w:color w:val="auto"/>
        </w:rPr>
      </w:pPr>
      <w:r>
        <w:rPr>
          <w:rFonts w:ascii="Arial" w:cs="Arial" w:eastAsia="Arial" w:hAnsi="Arial"/>
          <w:sz w:val="13"/>
          <w:szCs w:val="13"/>
          <w:color w:val="auto"/>
        </w:rPr>
        <w:t>1.37 “</w:t>
      </w:r>
      <w:r>
        <w:rPr>
          <w:rFonts w:ascii="Arial" w:cs="Arial" w:eastAsia="Arial" w:hAnsi="Arial"/>
          <w:sz w:val="13"/>
          <w:szCs w:val="13"/>
          <w:b w:val="1"/>
          <w:bCs w:val="1"/>
          <w:color w:val="auto"/>
        </w:rPr>
        <w:t>Selling Expenses</w:t>
      </w:r>
      <w:r>
        <w:rPr>
          <w:rFonts w:ascii="Arial" w:cs="Arial" w:eastAsia="Arial" w:hAnsi="Arial"/>
          <w:sz w:val="13"/>
          <w:szCs w:val="13"/>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3"/>
          <w:szCs w:val="13"/>
          <w:u w:val="single" w:color="auto"/>
          <w:color w:val="auto"/>
        </w:rPr>
        <w:t>Subsection 2.6</w:t>
      </w:r>
      <w:r>
        <w:rPr>
          <w:rFonts w:ascii="Arial" w:cs="Arial" w:eastAsia="Arial" w:hAnsi="Arial"/>
          <w:sz w:val="13"/>
          <w:szCs w:val="13"/>
          <w:color w:val="auto"/>
        </w:rPr>
        <w:t>.</w:t>
      </w:r>
    </w:p>
    <w:p>
      <w:pPr>
        <w:spacing w:after="0" w:line="94"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15"/>
          <w:szCs w:val="15"/>
          <w:color w:val="auto"/>
        </w:rPr>
        <w:t>1.38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Series B Preferred Stock</w:t>
      </w:r>
      <w:r>
        <w:rPr>
          <w:rFonts w:ascii="Arial" w:cs="Arial" w:eastAsia="Arial" w:hAnsi="Arial"/>
          <w:sz w:val="13"/>
          <w:szCs w:val="13"/>
          <w:color w:val="auto"/>
        </w:rPr>
        <w:t>” means shares of the Company’s Series B Preferred Stock, par value $0.001 per share.</w:t>
      </w:r>
    </w:p>
    <w:p>
      <w:pPr>
        <w:spacing w:after="0" w:line="179"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15"/>
          <w:szCs w:val="15"/>
          <w:color w:val="auto"/>
        </w:rPr>
        <w:t>1.39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Surveyor</w:t>
      </w:r>
      <w:r>
        <w:rPr>
          <w:rFonts w:ascii="Arial" w:cs="Arial" w:eastAsia="Arial" w:hAnsi="Arial"/>
          <w:sz w:val="13"/>
          <w:szCs w:val="13"/>
          <w:color w:val="auto"/>
        </w:rPr>
        <w:t>” means Citadel Multi-Strategy Equities Master Fund Ltd.</w:t>
      </w:r>
    </w:p>
    <w:p>
      <w:pPr>
        <w:spacing w:after="0" w:line="179" w:lineRule="exact"/>
        <w:rPr>
          <w:sz w:val="20"/>
          <w:szCs w:val="20"/>
          <w:color w:val="auto"/>
        </w:rPr>
      </w:pPr>
    </w:p>
    <w:p>
      <w:pPr>
        <w:ind w:left="460" w:firstLine="1055"/>
        <w:spacing w:after="0" w:line="269" w:lineRule="auto"/>
        <w:rPr>
          <w:sz w:val="20"/>
          <w:szCs w:val="20"/>
          <w:color w:val="auto"/>
        </w:rPr>
      </w:pPr>
      <w:r>
        <w:rPr>
          <w:rFonts w:ascii="Arial" w:cs="Arial" w:eastAsia="Arial" w:hAnsi="Arial"/>
          <w:sz w:val="15"/>
          <w:szCs w:val="15"/>
          <w:color w:val="auto"/>
        </w:rPr>
        <w:t>1.40 “</w:t>
      </w:r>
      <w:r>
        <w:rPr>
          <w:rFonts w:ascii="Arial" w:cs="Arial" w:eastAsia="Arial" w:hAnsi="Arial"/>
          <w:sz w:val="15"/>
          <w:szCs w:val="15"/>
          <w:b w:val="1"/>
          <w:bCs w:val="1"/>
          <w:color w:val="auto"/>
        </w:rPr>
        <w:t>T. Rowe Price</w:t>
      </w:r>
      <w:r>
        <w:rPr>
          <w:rFonts w:ascii="Arial" w:cs="Arial" w:eastAsia="Arial" w:hAnsi="Arial"/>
          <w:sz w:val="15"/>
          <w:szCs w:val="15"/>
          <w:color w:val="auto"/>
        </w:rPr>
        <w:t>” means, collectively, T. Rowe Price Health Sciences Fund, Inc., TD Mutual Funds – TD Health Sciences Fund and T. Rowe Price Health Sciences Portfolio.</w:t>
      </w:r>
    </w:p>
    <w:p>
      <w:pPr>
        <w:spacing w:after="0" w:line="145" w:lineRule="exact"/>
        <w:rPr>
          <w:sz w:val="20"/>
          <w:szCs w:val="20"/>
          <w:color w:val="auto"/>
        </w:rPr>
      </w:pPr>
    </w:p>
    <w:p>
      <w:pPr>
        <w:ind w:left="1300" w:hanging="765"/>
        <w:spacing w:after="0"/>
        <w:tabs>
          <w:tab w:leader="none" w:pos="1300" w:val="left"/>
        </w:tabs>
        <w:numPr>
          <w:ilvl w:val="0"/>
          <w:numId w:val="118"/>
        </w:numPr>
        <w:rPr>
          <w:rFonts w:ascii="Arial" w:cs="Arial" w:eastAsia="Arial" w:hAnsi="Arial"/>
          <w:sz w:val="15"/>
          <w:szCs w:val="15"/>
          <w:color w:val="auto"/>
        </w:rPr>
      </w:pPr>
      <w:r>
        <w:rPr>
          <w:rFonts w:ascii="Arial" w:cs="Arial" w:eastAsia="Arial" w:hAnsi="Arial"/>
          <w:sz w:val="15"/>
          <w:szCs w:val="15"/>
          <w:u w:val="single" w:color="auto"/>
          <w:color w:val="auto"/>
        </w:rPr>
        <w:t>Registration Rights</w:t>
      </w:r>
      <w:r>
        <w:rPr>
          <w:rFonts w:ascii="Arial" w:cs="Arial" w:eastAsia="Arial" w:hAnsi="Arial"/>
          <w:sz w:val="15"/>
          <w:szCs w:val="15"/>
          <w:color w:val="auto"/>
        </w:rPr>
        <w:t>. The Company covenants and agrees as follows:</w:t>
      </w:r>
    </w:p>
    <w:p>
      <w:pPr>
        <w:spacing w:after="0" w:line="179" w:lineRule="exact"/>
        <w:rPr>
          <w:sz w:val="20"/>
          <w:szCs w:val="20"/>
          <w:color w:val="auto"/>
        </w:rPr>
      </w:pPr>
    </w:p>
    <w:p>
      <w:pPr>
        <w:ind w:left="1520"/>
        <w:spacing w:after="0"/>
        <w:tabs>
          <w:tab w:leader="none" w:pos="228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3"/>
          <w:szCs w:val="13"/>
          <w:u w:val="single" w:color="auto"/>
          <w:color w:val="auto"/>
        </w:rPr>
        <w:t>Demand Registration</w:t>
      </w:r>
      <w:r>
        <w:rPr>
          <w:rFonts w:ascii="Arial" w:cs="Arial" w:eastAsia="Arial" w:hAnsi="Arial"/>
          <w:sz w:val="13"/>
          <w:szCs w:val="13"/>
          <w:color w:val="auto"/>
        </w:rPr>
        <w:t>.</w:t>
      </w:r>
    </w:p>
    <w:p>
      <w:pPr>
        <w:spacing w:after="0" w:line="179" w:lineRule="exact"/>
        <w:rPr>
          <w:sz w:val="20"/>
          <w:szCs w:val="20"/>
          <w:color w:val="auto"/>
        </w:rPr>
      </w:pPr>
    </w:p>
    <w:p>
      <w:pPr>
        <w:jc w:val="both"/>
        <w:ind w:firstLine="1590"/>
        <w:spacing w:after="0" w:line="292" w:lineRule="auto"/>
        <w:tabs>
          <w:tab w:leader="none" w:pos="2378"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Form S-1 Demand</w:t>
      </w:r>
      <w:r>
        <w:rPr>
          <w:rFonts w:ascii="Arial" w:cs="Arial" w:eastAsia="Arial" w:hAnsi="Arial"/>
          <w:sz w:val="13"/>
          <w:szCs w:val="13"/>
          <w:color w:val="auto"/>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having an anticipated aggregate offering price, net of Selling Expenses, of at least $15 million, then the Company shall (x) within ten (10) days after the date such request is given, give notice thereof (the “</w:t>
      </w:r>
      <w:r>
        <w:rPr>
          <w:rFonts w:ascii="Arial" w:cs="Arial" w:eastAsia="Arial" w:hAnsi="Arial"/>
          <w:sz w:val="13"/>
          <w:szCs w:val="13"/>
          <w:b w:val="1"/>
          <w:bCs w:val="1"/>
          <w:color w:val="auto"/>
        </w:rPr>
        <w:t>Demand Notice</w:t>
      </w:r>
      <w:r>
        <w:rPr>
          <w:rFonts w:ascii="Arial" w:cs="Arial" w:eastAsia="Arial" w:hAnsi="Arial"/>
          <w:sz w:val="13"/>
          <w:szCs w:val="13"/>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3"/>
          <w:szCs w:val="13"/>
          <w:u w:val="single" w:color="auto"/>
          <w:color w:val="auto"/>
        </w:rPr>
        <w:t>Subsections 2.1(c)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2.3.</w:t>
      </w:r>
    </w:p>
    <w:p>
      <w:pPr>
        <w:spacing w:after="0" w:line="133" w:lineRule="exact"/>
        <w:rPr>
          <w:rFonts w:ascii="Arial" w:cs="Arial" w:eastAsia="Arial" w:hAnsi="Arial"/>
          <w:sz w:val="13"/>
          <w:szCs w:val="13"/>
          <w:color w:val="auto"/>
        </w:rPr>
      </w:pPr>
    </w:p>
    <w:p>
      <w:pPr>
        <w:jc w:val="both"/>
        <w:ind w:firstLine="1590"/>
        <w:spacing w:after="0" w:line="294" w:lineRule="auto"/>
        <w:tabs>
          <w:tab w:leader="none" w:pos="2317"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Form S-3 Demand</w:t>
      </w:r>
      <w:r>
        <w:rPr>
          <w:rFonts w:ascii="Arial" w:cs="Arial" w:eastAsia="Arial" w:hAnsi="Arial"/>
          <w:sz w:val="13"/>
          <w:szCs w:val="13"/>
          <w:color w:val="auto"/>
        </w:rPr>
        <w:t xml:space="preserve">.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3"/>
          <w:szCs w:val="13"/>
          <w:u w:val="single" w:color="auto"/>
          <w:color w:val="auto"/>
        </w:rPr>
        <w:t>Subsections 2.1(c)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2.3</w:t>
      </w:r>
      <w:r>
        <w:rPr>
          <w:rFonts w:ascii="Arial" w:cs="Arial" w:eastAsia="Arial" w:hAnsi="Arial"/>
          <w:sz w:val="13"/>
          <w:szCs w:val="13"/>
          <w:color w:val="auto"/>
        </w:rPr>
        <w:t>.</w:t>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39" w:name="page240"/>
    <w:bookmarkEnd w:id="239"/>
    <w:p>
      <w:pPr>
        <w:jc w:val="both"/>
        <w:ind w:firstLine="1590"/>
        <w:spacing w:after="0" w:line="287" w:lineRule="auto"/>
        <w:tabs>
          <w:tab w:leader="none" w:pos="2378" w:val="left"/>
        </w:tabs>
        <w:numPr>
          <w:ilvl w:val="1"/>
          <w:numId w:val="120"/>
        </w:numPr>
        <w:rPr>
          <w:rFonts w:ascii="Arial" w:cs="Arial" w:eastAsia="Arial" w:hAnsi="Arial"/>
          <w:sz w:val="13"/>
          <w:szCs w:val="13"/>
          <w:color w:val="auto"/>
        </w:rPr>
      </w:pPr>
      <w:r>
        <w:rPr>
          <w:rFonts w:ascii="Arial" w:cs="Arial" w:eastAsia="Arial" w:hAnsi="Arial"/>
          <w:sz w:val="13"/>
          <w:szCs w:val="13"/>
          <w:color w:val="auto"/>
        </w:rPr>
        <w:t xml:space="preserve">Notwithstanding the foregoing obligations, if the Company furnishes to Holders requesting a registration pursuant to this </w:t>
      </w:r>
      <w:r>
        <w:rPr>
          <w:rFonts w:ascii="Arial" w:cs="Arial" w:eastAsia="Arial" w:hAnsi="Arial"/>
          <w:sz w:val="13"/>
          <w:szCs w:val="13"/>
          <w:u w:val="single" w:color="auto"/>
          <w:color w:val="auto"/>
        </w:rPr>
        <w:t>Subsection 2.1</w:t>
      </w:r>
      <w:r>
        <w:rPr>
          <w:rFonts w:ascii="Arial" w:cs="Arial" w:eastAsia="Arial" w:hAnsi="Arial"/>
          <w:sz w:val="13"/>
          <w:szCs w:val="13"/>
          <w:color w:val="auto"/>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w:t>
      </w:r>
    </w:p>
    <w:p>
      <w:pPr>
        <w:spacing w:after="0" w:line="1" w:lineRule="exact"/>
        <w:rPr>
          <w:rFonts w:ascii="Arial" w:cs="Arial" w:eastAsia="Arial" w:hAnsi="Arial"/>
          <w:sz w:val="13"/>
          <w:szCs w:val="13"/>
          <w:color w:val="auto"/>
        </w:rPr>
      </w:pPr>
    </w:p>
    <w:p>
      <w:pPr>
        <w:jc w:val="both"/>
        <w:ind w:firstLine="8"/>
        <w:spacing w:after="0" w:line="245" w:lineRule="auto"/>
        <w:tabs>
          <w:tab w:leader="none" w:pos="17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 xml:space="preserve">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sixty (60) days after the request of the Initiating Holders is given;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Company may not invoke this right more than once in any twelve (12) month period;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Company shall not register any securities for its own account or that of any other stockholder during such sixty (60) day period other than an Excluded Registration.</w:t>
      </w:r>
    </w:p>
    <w:p>
      <w:pPr>
        <w:spacing w:after="0" w:line="163" w:lineRule="exact"/>
        <w:rPr>
          <w:rFonts w:ascii="Arial" w:cs="Arial" w:eastAsia="Arial" w:hAnsi="Arial"/>
          <w:sz w:val="15"/>
          <w:szCs w:val="15"/>
          <w:color w:val="auto"/>
        </w:rPr>
      </w:pPr>
    </w:p>
    <w:p>
      <w:pPr>
        <w:jc w:val="both"/>
        <w:ind w:firstLine="1590"/>
        <w:spacing w:after="0" w:line="265" w:lineRule="auto"/>
        <w:tabs>
          <w:tab w:leader="none" w:pos="2328" w:val="left"/>
        </w:tabs>
        <w:numPr>
          <w:ilvl w:val="1"/>
          <w:numId w:val="121"/>
        </w:numPr>
        <w:rPr>
          <w:rFonts w:ascii="Arial" w:cs="Arial" w:eastAsia="Arial" w:hAnsi="Arial"/>
          <w:sz w:val="14"/>
          <w:szCs w:val="14"/>
          <w:color w:val="auto"/>
        </w:rPr>
      </w:pPr>
      <w:r>
        <w:rPr>
          <w:rFonts w:ascii="Arial" w:cs="Arial" w:eastAsia="Arial" w:hAnsi="Arial"/>
          <w:sz w:val="14"/>
          <w:szCs w:val="14"/>
          <w:color w:val="auto"/>
        </w:rPr>
        <w:t xml:space="preserve">The Company shall not be obligated to effect, or to take any action to effect, any registration pursuant to </w:t>
      </w:r>
      <w:r>
        <w:rPr>
          <w:rFonts w:ascii="Arial" w:cs="Arial" w:eastAsia="Arial" w:hAnsi="Arial"/>
          <w:sz w:val="14"/>
          <w:szCs w:val="14"/>
          <w:u w:val="single" w:color="auto"/>
          <w:color w:val="auto"/>
        </w:rPr>
        <w:t>Subsection 2.1(a)(i)</w:t>
      </w:r>
      <w:r>
        <w:rPr>
          <w:rFonts w:ascii="Arial" w:cs="Arial" w:eastAsia="Arial" w:hAnsi="Arial"/>
          <w:sz w:val="14"/>
          <w:szCs w:val="14"/>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is actively employing in good faith commercially reasonable efforts to cause such registration statement to become effective; (ii) after the Company has effected one registration pursuant to </w:t>
      </w:r>
      <w:r>
        <w:rPr>
          <w:rFonts w:ascii="Arial" w:cs="Arial" w:eastAsia="Arial" w:hAnsi="Arial"/>
          <w:sz w:val="14"/>
          <w:szCs w:val="14"/>
          <w:u w:val="single" w:color="auto"/>
          <w:color w:val="auto"/>
        </w:rPr>
        <w:t>Subsection 2.1(a)</w:t>
      </w:r>
      <w:r>
        <w:rPr>
          <w:rFonts w:ascii="Arial" w:cs="Arial" w:eastAsia="Arial" w:hAnsi="Arial"/>
          <w:sz w:val="14"/>
          <w:szCs w:val="14"/>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4"/>
          <w:szCs w:val="14"/>
          <w:u w:val="single" w:color="auto"/>
          <w:color w:val="auto"/>
        </w:rPr>
        <w:t>Subsection 2.1 (b)</w:t>
      </w:r>
      <w:r>
        <w:rPr>
          <w:rFonts w:ascii="Arial" w:cs="Arial" w:eastAsia="Arial" w:hAnsi="Arial"/>
          <w:sz w:val="14"/>
          <w:szCs w:val="14"/>
          <w:color w:val="auto"/>
        </w:rPr>
        <w:t xml:space="preserve">. The Company shall not be obligated to effect, or to take any action to effect, any registration pursuant to </w:t>
      </w:r>
      <w:r>
        <w:rPr>
          <w:rFonts w:ascii="Arial" w:cs="Arial" w:eastAsia="Arial" w:hAnsi="Arial"/>
          <w:sz w:val="14"/>
          <w:szCs w:val="14"/>
          <w:u w:val="single" w:color="auto"/>
          <w:color w:val="auto"/>
        </w:rPr>
        <w:t>Subsection 2.1 (b)</w:t>
      </w:r>
      <w:r>
        <w:rPr>
          <w:rFonts w:ascii="Arial" w:cs="Arial" w:eastAsia="Arial" w:hAnsi="Arial"/>
          <w:sz w:val="14"/>
          <w:szCs w:val="14"/>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4"/>
          <w:szCs w:val="14"/>
          <w:u w:val="single" w:color="auto"/>
          <w:color w:val="auto"/>
        </w:rPr>
        <w:t>Subsection 2.1 (b)</w:t>
      </w:r>
      <w:r>
        <w:rPr>
          <w:rFonts w:ascii="Arial" w:cs="Arial" w:eastAsia="Arial" w:hAnsi="Arial"/>
          <w:sz w:val="14"/>
          <w:szCs w:val="14"/>
          <w:color w:val="auto"/>
        </w:rPr>
        <w:t xml:space="preserve"> within the twelve (12) month period immediately preceding the date of such request. A registration shall not be counted as “effected” for purposes of this </w:t>
      </w:r>
      <w:r>
        <w:rPr>
          <w:rFonts w:ascii="Arial" w:cs="Arial" w:eastAsia="Arial" w:hAnsi="Arial"/>
          <w:sz w:val="14"/>
          <w:szCs w:val="14"/>
          <w:u w:val="single" w:color="auto"/>
          <w:color w:val="auto"/>
        </w:rPr>
        <w:t>Subsection 2.1(d)</w:t>
      </w:r>
      <w:r>
        <w:rPr>
          <w:rFonts w:ascii="Arial" w:cs="Arial" w:eastAsia="Arial" w:hAnsi="Arial"/>
          <w:sz w:val="14"/>
          <w:szCs w:val="14"/>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4"/>
          <w:szCs w:val="14"/>
          <w:u w:val="single" w:color="auto"/>
          <w:color w:val="auto"/>
        </w:rPr>
        <w:t>Subsection 2.6</w:t>
      </w:r>
      <w:r>
        <w:rPr>
          <w:rFonts w:ascii="Arial" w:cs="Arial" w:eastAsia="Arial" w:hAnsi="Arial"/>
          <w:sz w:val="14"/>
          <w:szCs w:val="14"/>
          <w:color w:val="auto"/>
        </w:rPr>
        <w:t xml:space="preserve">, in which case such withdrawn registration statement shall be counted as “effected” for purposes of this </w:t>
      </w:r>
      <w:r>
        <w:rPr>
          <w:rFonts w:ascii="Arial" w:cs="Arial" w:eastAsia="Arial" w:hAnsi="Arial"/>
          <w:sz w:val="14"/>
          <w:szCs w:val="14"/>
          <w:u w:val="single" w:color="auto"/>
          <w:color w:val="auto"/>
        </w:rPr>
        <w:t>Subsection 2.1(d)</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withdrawal is during a period the Company has deferred taking action pursuant to </w:t>
      </w:r>
      <w:r>
        <w:rPr>
          <w:rFonts w:ascii="Arial" w:cs="Arial" w:eastAsia="Arial" w:hAnsi="Arial"/>
          <w:sz w:val="14"/>
          <w:szCs w:val="14"/>
          <w:u w:val="single" w:color="auto"/>
          <w:color w:val="auto"/>
        </w:rPr>
        <w:t>Subsection 2.1(c)</w:t>
      </w:r>
      <w:r>
        <w:rPr>
          <w:rFonts w:ascii="Arial" w:cs="Arial" w:eastAsia="Arial" w:hAnsi="Arial"/>
          <w:sz w:val="14"/>
          <w:szCs w:val="14"/>
          <w:color w:val="auto"/>
        </w:rPr>
        <w:t xml:space="preserve">, then the Initiating Holders may withdraw their request for registration and such registration will not be counted as “effected” for purposes of this </w:t>
      </w:r>
      <w:r>
        <w:rPr>
          <w:rFonts w:ascii="Arial" w:cs="Arial" w:eastAsia="Arial" w:hAnsi="Arial"/>
          <w:sz w:val="14"/>
          <w:szCs w:val="14"/>
          <w:u w:val="single" w:color="auto"/>
          <w:color w:val="auto"/>
        </w:rPr>
        <w:t>Subsection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2.1(d)</w:t>
      </w:r>
      <w:r>
        <w:rPr>
          <w:rFonts w:ascii="Arial" w:cs="Arial" w:eastAsia="Arial" w:hAnsi="Arial"/>
          <w:sz w:val="14"/>
          <w:szCs w:val="14"/>
          <w:color w:val="auto"/>
        </w:rPr>
        <w:t>.</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40" w:name="page241"/>
    <w:bookmarkEnd w:id="240"/>
    <w:p>
      <w:pPr>
        <w:jc w:val="both"/>
        <w:ind w:left="460" w:firstLine="1055"/>
        <w:spacing w:after="0" w:line="268"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Company Registration</w:t>
      </w:r>
      <w:r>
        <w:rPr>
          <w:rFonts w:ascii="Arial" w:cs="Arial" w:eastAsia="Arial" w:hAnsi="Arial"/>
          <w:sz w:val="14"/>
          <w:szCs w:val="14"/>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4"/>
          <w:szCs w:val="14"/>
          <w:u w:val="single" w:color="auto"/>
          <w:color w:val="auto"/>
        </w:rPr>
        <w:t>Subsection 2.3</w:t>
      </w:r>
      <w:r>
        <w:rPr>
          <w:rFonts w:ascii="Arial" w:cs="Arial" w:eastAsia="Arial" w:hAnsi="Arial"/>
          <w:sz w:val="14"/>
          <w:szCs w:val="14"/>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4"/>
          <w:szCs w:val="14"/>
          <w:u w:val="single" w:color="auto"/>
          <w:color w:val="auto"/>
        </w:rPr>
        <w:t>Subsection 2.2</w:t>
      </w:r>
      <w:r>
        <w:rPr>
          <w:rFonts w:ascii="Arial" w:cs="Arial" w:eastAsia="Arial" w:hAnsi="Arial"/>
          <w:sz w:val="14"/>
          <w:szCs w:val="14"/>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4"/>
          <w:szCs w:val="14"/>
          <w:u w:val="single" w:color="auto"/>
          <w:color w:val="auto"/>
        </w:rPr>
        <w:t>Subsection 2.6</w:t>
      </w:r>
      <w:r>
        <w:rPr>
          <w:rFonts w:ascii="Arial" w:cs="Arial" w:eastAsia="Arial" w:hAnsi="Arial"/>
          <w:sz w:val="14"/>
          <w:szCs w:val="14"/>
          <w:color w:val="auto"/>
        </w:rPr>
        <w:t>.</w:t>
      </w:r>
    </w:p>
    <w:p>
      <w:pPr>
        <w:spacing w:after="0" w:line="148" w:lineRule="exact"/>
        <w:rPr>
          <w:sz w:val="20"/>
          <w:szCs w:val="20"/>
          <w:color w:val="auto"/>
        </w:rPr>
      </w:pPr>
    </w:p>
    <w:p>
      <w:pPr>
        <w:ind w:left="1520"/>
        <w:spacing w:after="0"/>
        <w:tabs>
          <w:tab w:leader="none" w:pos="228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u w:val="single" w:color="auto"/>
          <w:color w:val="auto"/>
        </w:rPr>
        <w:t>Underwriting Requirements</w:t>
      </w:r>
      <w:r>
        <w:rPr>
          <w:rFonts w:ascii="Arial" w:cs="Arial" w:eastAsia="Arial" w:hAnsi="Arial"/>
          <w:sz w:val="13"/>
          <w:szCs w:val="13"/>
          <w:color w:val="auto"/>
        </w:rPr>
        <w:t>.</w:t>
      </w:r>
    </w:p>
    <w:p>
      <w:pPr>
        <w:spacing w:after="0" w:line="179" w:lineRule="exact"/>
        <w:rPr>
          <w:sz w:val="20"/>
          <w:szCs w:val="20"/>
          <w:color w:val="auto"/>
        </w:rPr>
      </w:pPr>
    </w:p>
    <w:p>
      <w:pPr>
        <w:jc w:val="both"/>
        <w:ind w:firstLine="1590"/>
        <w:spacing w:after="0" w:line="287" w:lineRule="auto"/>
        <w:tabs>
          <w:tab w:leader="none" w:pos="229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xml:space="preserve">If, pursuant to </w:t>
      </w:r>
      <w:r>
        <w:rPr>
          <w:rFonts w:ascii="Arial" w:cs="Arial" w:eastAsia="Arial" w:hAnsi="Arial"/>
          <w:sz w:val="13"/>
          <w:szCs w:val="13"/>
          <w:u w:val="single" w:color="auto"/>
          <w:color w:val="auto"/>
        </w:rPr>
        <w:t>Subsection 2.1</w:t>
      </w:r>
      <w:r>
        <w:rPr>
          <w:rFonts w:ascii="Arial" w:cs="Arial" w:eastAsia="Arial" w:hAnsi="Arial"/>
          <w:sz w:val="13"/>
          <w:szCs w:val="13"/>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3"/>
          <w:szCs w:val="13"/>
          <w:u w:val="single" w:color="auto"/>
          <w:color w:val="auto"/>
        </w:rPr>
        <w:t>Subsection 2.1</w:t>
      </w:r>
      <w:r>
        <w:rPr>
          <w:rFonts w:ascii="Arial" w:cs="Arial" w:eastAsia="Arial" w:hAnsi="Arial"/>
          <w:sz w:val="13"/>
          <w:szCs w:val="13"/>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3"/>
          <w:szCs w:val="13"/>
          <w:u w:val="single" w:color="auto"/>
          <w:color w:val="auto"/>
        </w:rPr>
        <w:t>Subsection 2.4(e)</w:t>
      </w:r>
      <w:r>
        <w:rPr>
          <w:rFonts w:ascii="Arial" w:cs="Arial" w:eastAsia="Arial" w:hAnsi="Arial"/>
          <w:sz w:val="13"/>
          <w:szCs w:val="13"/>
          <w:color w:val="auto"/>
        </w:rPr>
        <w:t xml:space="preserve">) enter into an underwriting agreement in customary form with the underwriter(s) selected for such underwriting. Notwithstanding any other provision of this </w:t>
      </w:r>
      <w:r>
        <w:rPr>
          <w:rFonts w:ascii="Arial" w:cs="Arial" w:eastAsia="Arial" w:hAnsi="Arial"/>
          <w:sz w:val="13"/>
          <w:szCs w:val="13"/>
          <w:u w:val="single" w:color="auto"/>
          <w:color w:val="auto"/>
        </w:rPr>
        <w:t>Subsection 2.3</w:t>
      </w:r>
      <w:r>
        <w:rPr>
          <w:rFonts w:ascii="Arial" w:cs="Arial" w:eastAsia="Arial" w:hAnsi="Arial"/>
          <w:sz w:val="13"/>
          <w:szCs w:val="13"/>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41" w:name="page242"/>
    <w:bookmarkEnd w:id="241"/>
    <w:p>
      <w:pPr>
        <w:jc w:val="both"/>
        <w:ind w:firstLine="1590"/>
        <w:spacing w:after="0" w:line="286" w:lineRule="auto"/>
        <w:tabs>
          <w:tab w:leader="none" w:pos="22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 xml:space="preserve">In connection with any offering involving an underwriting of shares of the Company’s capital stock pursuant to </w:t>
      </w:r>
      <w:r>
        <w:rPr>
          <w:rFonts w:ascii="Arial" w:cs="Arial" w:eastAsia="Arial" w:hAnsi="Arial"/>
          <w:sz w:val="13"/>
          <w:szCs w:val="13"/>
          <w:u w:val="single" w:color="auto"/>
          <w:color w:val="auto"/>
        </w:rPr>
        <w:t>Subsection 2.2</w:t>
      </w:r>
      <w:r>
        <w:rPr>
          <w:rFonts w:ascii="Arial" w:cs="Arial" w:eastAsia="Arial" w:hAnsi="Arial"/>
          <w:sz w:val="13"/>
          <w:szCs w:val="13"/>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twenty-five percent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3"/>
          <w:szCs w:val="13"/>
          <w:u w:val="single" w:color="auto"/>
          <w:color w:val="auto"/>
        </w:rPr>
        <w:t>Subsection 2.3 (b)</w:t>
      </w:r>
      <w:r>
        <w:rPr>
          <w:rFonts w:ascii="Arial" w:cs="Arial" w:eastAsia="Arial" w:hAnsi="Arial"/>
          <w:sz w:val="13"/>
          <w:szCs w:val="13"/>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14" w:lineRule="exact"/>
        <w:rPr>
          <w:sz w:val="20"/>
          <w:szCs w:val="20"/>
          <w:color w:val="auto"/>
        </w:rPr>
      </w:pPr>
    </w:p>
    <w:p>
      <w:pPr>
        <w:ind w:left="460" w:firstLine="1055"/>
        <w:spacing w:after="0" w:line="26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Obligations of the Company</w:t>
      </w:r>
      <w:r>
        <w:rPr>
          <w:rFonts w:ascii="Arial" w:cs="Arial" w:eastAsia="Arial" w:hAnsi="Arial"/>
          <w:sz w:val="15"/>
          <w:szCs w:val="15"/>
          <w:color w:val="auto"/>
        </w:rPr>
        <w:t xml:space="preserve">. Whenever required under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to effect the registration of any Registrable Securities, the Company shall, as expeditiously as reasonably possible:</w:t>
      </w:r>
    </w:p>
    <w:p>
      <w:pPr>
        <w:spacing w:after="0" w:line="148" w:lineRule="exact"/>
        <w:rPr>
          <w:sz w:val="20"/>
          <w:szCs w:val="20"/>
          <w:color w:val="auto"/>
        </w:rPr>
      </w:pPr>
    </w:p>
    <w:p>
      <w:pPr>
        <w:jc w:val="both"/>
        <w:ind w:firstLine="1590"/>
        <w:spacing w:after="0" w:line="249" w:lineRule="auto"/>
        <w:tabs>
          <w:tab w:leader="none" w:pos="2356" w:val="left"/>
        </w:tabs>
        <w:numPr>
          <w:ilvl w:val="0"/>
          <w:numId w:val="124"/>
        </w:numPr>
        <w:rPr>
          <w:rFonts w:ascii="Arial" w:cs="Arial" w:eastAsia="Arial" w:hAnsi="Arial"/>
          <w:sz w:val="15"/>
          <w:szCs w:val="15"/>
          <w:color w:val="auto"/>
        </w:rPr>
      </w:pPr>
      <w:r>
        <w:rPr>
          <w:rFonts w:ascii="Arial" w:cs="Arial" w:eastAsia="Arial" w:hAnsi="Arial"/>
          <w:sz w:val="15"/>
          <w:szCs w:val="15"/>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42" w:name="page243"/>
    <w:bookmarkEnd w:id="242"/>
    <w:p>
      <w:pPr>
        <w:ind w:right="20" w:firstLine="1590"/>
        <w:spacing w:after="0" w:line="300" w:lineRule="auto"/>
        <w:tabs>
          <w:tab w:leader="none" w:pos="246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24" w:lineRule="exact"/>
        <w:rPr>
          <w:rFonts w:ascii="Arial" w:cs="Arial" w:eastAsia="Arial" w:hAnsi="Arial"/>
          <w:sz w:val="14"/>
          <w:szCs w:val="14"/>
          <w:color w:val="auto"/>
        </w:rPr>
      </w:pPr>
    </w:p>
    <w:p>
      <w:pPr>
        <w:ind w:firstLine="1590"/>
        <w:spacing w:after="0" w:line="264" w:lineRule="auto"/>
        <w:tabs>
          <w:tab w:leader="none" w:pos="2356" w:val="left"/>
        </w:tabs>
        <w:numPr>
          <w:ilvl w:val="0"/>
          <w:numId w:val="125"/>
        </w:numPr>
        <w:rPr>
          <w:rFonts w:ascii="Arial" w:cs="Arial" w:eastAsia="Arial" w:hAnsi="Arial"/>
          <w:sz w:val="15"/>
          <w:szCs w:val="15"/>
          <w:color w:val="auto"/>
        </w:rPr>
      </w:pPr>
      <w:r>
        <w:rPr>
          <w:rFonts w:ascii="Arial" w:cs="Arial" w:eastAsia="Arial" w:hAnsi="Arial"/>
          <w:sz w:val="15"/>
          <w:szCs w:val="15"/>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47" w:lineRule="exact"/>
        <w:rPr>
          <w:rFonts w:ascii="Arial" w:cs="Arial" w:eastAsia="Arial" w:hAnsi="Arial"/>
          <w:sz w:val="15"/>
          <w:szCs w:val="15"/>
          <w:color w:val="auto"/>
        </w:rPr>
      </w:pPr>
    </w:p>
    <w:p>
      <w:pPr>
        <w:jc w:val="both"/>
        <w:ind w:firstLine="1590"/>
        <w:spacing w:after="0" w:line="311" w:lineRule="auto"/>
        <w:tabs>
          <w:tab w:leader="none" w:pos="2342" w:val="left"/>
        </w:tabs>
        <w:numPr>
          <w:ilvl w:val="0"/>
          <w:numId w:val="125"/>
        </w:numPr>
        <w:rPr>
          <w:rFonts w:ascii="Arial" w:cs="Arial" w:eastAsia="Arial" w:hAnsi="Arial"/>
          <w:sz w:val="13"/>
          <w:szCs w:val="13"/>
          <w:color w:val="auto"/>
        </w:rPr>
      </w:pPr>
      <w:r>
        <w:rPr>
          <w:rFonts w:ascii="Arial" w:cs="Arial" w:eastAsia="Arial" w:hAnsi="Arial"/>
          <w:sz w:val="13"/>
          <w:szCs w:val="13"/>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21" w:lineRule="exact"/>
        <w:rPr>
          <w:rFonts w:ascii="Arial" w:cs="Arial" w:eastAsia="Arial" w:hAnsi="Arial"/>
          <w:sz w:val="13"/>
          <w:szCs w:val="13"/>
          <w:color w:val="auto"/>
        </w:rPr>
      </w:pPr>
    </w:p>
    <w:p>
      <w:pPr>
        <w:ind w:firstLine="1590"/>
        <w:spacing w:after="0" w:line="264" w:lineRule="auto"/>
        <w:tabs>
          <w:tab w:leader="none" w:pos="2334"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in the event of any underwritten public offering, enter into and perform its obligations under an underwriting agreement, in usual and customary form, with the underwriter(s) of such offering;</w:t>
      </w:r>
    </w:p>
    <w:p>
      <w:pPr>
        <w:spacing w:after="0" w:line="147" w:lineRule="exact"/>
        <w:rPr>
          <w:rFonts w:ascii="Arial" w:cs="Arial" w:eastAsia="Arial" w:hAnsi="Arial"/>
          <w:sz w:val="15"/>
          <w:szCs w:val="15"/>
          <w:color w:val="auto"/>
        </w:rPr>
      </w:pPr>
    </w:p>
    <w:p>
      <w:pPr>
        <w:ind w:firstLine="1590"/>
        <w:spacing w:after="0" w:line="300" w:lineRule="auto"/>
        <w:tabs>
          <w:tab w:leader="none" w:pos="2288" w:val="left"/>
        </w:tabs>
        <w:numPr>
          <w:ilvl w:val="0"/>
          <w:numId w:val="125"/>
        </w:numPr>
        <w:rPr>
          <w:rFonts w:ascii="Arial" w:cs="Arial" w:eastAsia="Arial" w:hAnsi="Arial"/>
          <w:sz w:val="14"/>
          <w:szCs w:val="14"/>
          <w:color w:val="auto"/>
        </w:rPr>
      </w:pPr>
      <w:r>
        <w:rPr>
          <w:rFonts w:ascii="Arial" w:cs="Arial" w:eastAsia="Arial" w:hAnsi="Arial"/>
          <w:sz w:val="14"/>
          <w:szCs w:val="14"/>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24" w:lineRule="exact"/>
        <w:rPr>
          <w:rFonts w:ascii="Arial" w:cs="Arial" w:eastAsia="Arial" w:hAnsi="Arial"/>
          <w:sz w:val="14"/>
          <w:szCs w:val="14"/>
          <w:color w:val="auto"/>
        </w:rPr>
      </w:pPr>
    </w:p>
    <w:p>
      <w:pPr>
        <w:ind w:right="20" w:firstLine="1590"/>
        <w:spacing w:after="0" w:line="264" w:lineRule="auto"/>
        <w:tabs>
          <w:tab w:leader="none" w:pos="243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47" w:lineRule="exact"/>
        <w:rPr>
          <w:rFonts w:ascii="Arial" w:cs="Arial" w:eastAsia="Arial" w:hAnsi="Arial"/>
          <w:sz w:val="15"/>
          <w:szCs w:val="15"/>
          <w:color w:val="auto"/>
        </w:rPr>
      </w:pPr>
    </w:p>
    <w:p>
      <w:pPr>
        <w:jc w:val="both"/>
        <w:ind w:firstLine="1590"/>
        <w:spacing w:after="0" w:line="249" w:lineRule="auto"/>
        <w:tabs>
          <w:tab w:leader="none" w:pos="2276"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9" w:lineRule="exact"/>
        <w:rPr>
          <w:rFonts w:ascii="Arial" w:cs="Arial" w:eastAsia="Arial" w:hAnsi="Arial"/>
          <w:sz w:val="15"/>
          <w:szCs w:val="15"/>
          <w:color w:val="auto"/>
        </w:rPr>
      </w:pPr>
    </w:p>
    <w:p>
      <w:pPr>
        <w:ind w:right="20" w:firstLine="1590"/>
        <w:spacing w:after="0" w:line="264" w:lineRule="auto"/>
        <w:tabs>
          <w:tab w:leader="none" w:pos="227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43" w:name="page244"/>
    <w:bookmarkEnd w:id="243"/>
    <w:p>
      <w:pPr>
        <w:ind w:left="2320" w:hanging="730"/>
        <w:spacing w:after="0"/>
        <w:tabs>
          <w:tab w:leader="none" w:pos="23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after such registration statement becomes effective, notify each selling Holder of any request by the SEC that the Company amend or supplement such</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registration statement or prospectus.</w:t>
      </w:r>
    </w:p>
    <w:p>
      <w:pPr>
        <w:spacing w:after="0" w:line="168" w:lineRule="exact"/>
        <w:rPr>
          <w:sz w:val="20"/>
          <w:szCs w:val="20"/>
          <w:color w:val="auto"/>
        </w:rPr>
      </w:pPr>
    </w:p>
    <w:p>
      <w:pPr>
        <w:ind w:firstLine="1055"/>
        <w:spacing w:after="0" w:line="300" w:lineRule="auto"/>
        <w:rPr>
          <w:sz w:val="20"/>
          <w:szCs w:val="20"/>
          <w:color w:val="auto"/>
        </w:rPr>
      </w:pPr>
      <w:r>
        <w:rPr>
          <w:rFonts w:ascii="Arial" w:cs="Arial" w:eastAsia="Arial" w:hAnsi="Arial"/>
          <w:sz w:val="14"/>
          <w:szCs w:val="14"/>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25" w:lineRule="exact"/>
        <w:rPr>
          <w:sz w:val="20"/>
          <w:szCs w:val="20"/>
          <w:color w:val="auto"/>
        </w:rPr>
      </w:pPr>
    </w:p>
    <w:p>
      <w:pPr>
        <w:jc w:val="both"/>
        <w:ind w:left="460" w:firstLine="1055"/>
        <w:spacing w:after="0" w:line="281"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Furnish Information</w:t>
      </w:r>
      <w:r>
        <w:rPr>
          <w:rFonts w:ascii="Arial" w:cs="Arial" w:eastAsia="Arial" w:hAnsi="Arial"/>
          <w:sz w:val="14"/>
          <w:szCs w:val="14"/>
          <w:color w:val="auto"/>
        </w:rPr>
        <w:t xml:space="preserve">. It shall be a condition precedent to the obligations of the Company to take any action pursuant to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38" w:lineRule="exact"/>
        <w:rPr>
          <w:sz w:val="20"/>
          <w:szCs w:val="20"/>
          <w:color w:val="auto"/>
        </w:rPr>
      </w:pPr>
    </w:p>
    <w:p>
      <w:pPr>
        <w:jc w:val="both"/>
        <w:ind w:left="460" w:firstLine="1055"/>
        <w:spacing w:after="0" w:line="266"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Expenses of Registration</w:t>
      </w:r>
      <w:r>
        <w:rPr>
          <w:rFonts w:ascii="Arial" w:cs="Arial" w:eastAsia="Arial" w:hAnsi="Arial"/>
          <w:sz w:val="14"/>
          <w:szCs w:val="14"/>
          <w:color w:val="auto"/>
        </w:rPr>
        <w:t xml:space="preserve">. All expenses (other than Selling Expenses) incurred in connection with registrations, filings, or qualifications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including all registration, filing, and qualification fees; printers’ and accounting fees; fees and disbursements of counsel for the Company; and the reasonable fees and disbursements, not to exceed $35,000, of one counsel for the selling Holders (“</w:t>
      </w:r>
      <w:r>
        <w:rPr>
          <w:rFonts w:ascii="Arial" w:cs="Arial" w:eastAsia="Arial" w:hAnsi="Arial"/>
          <w:sz w:val="14"/>
          <w:szCs w:val="14"/>
          <w:b w:val="1"/>
          <w:bCs w:val="1"/>
          <w:color w:val="auto"/>
        </w:rPr>
        <w:t>Selling Holder Counsel</w:t>
      </w:r>
      <w:r>
        <w:rPr>
          <w:rFonts w:ascii="Arial" w:cs="Arial" w:eastAsia="Arial" w:hAnsi="Arial"/>
          <w:sz w:val="14"/>
          <w:szCs w:val="14"/>
          <w:color w:val="auto"/>
        </w:rPr>
        <w:t xml:space="preserve">”), shall be borne and paid by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Company shall not be required to pay for any expenses of any registration proceeding begun pursuant to </w:t>
      </w:r>
      <w:r>
        <w:rPr>
          <w:rFonts w:ascii="Arial" w:cs="Arial" w:eastAsia="Arial" w:hAnsi="Arial"/>
          <w:sz w:val="14"/>
          <w:szCs w:val="14"/>
          <w:u w:val="single" w:color="auto"/>
          <w:color w:val="auto"/>
        </w:rPr>
        <w:t>Subsection 2.1</w:t>
      </w:r>
      <w:r>
        <w:rPr>
          <w:rFonts w:ascii="Arial" w:cs="Arial" w:eastAsia="Arial" w:hAnsi="Arial"/>
          <w:sz w:val="14"/>
          <w:szCs w:val="14"/>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4"/>
          <w:szCs w:val="14"/>
          <w:u w:val="single" w:color="auto"/>
          <w:color w:val="auto"/>
        </w:rPr>
        <w:t>Subsections 2.1(a)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2.1(b)</w:t>
      </w:r>
      <w:r>
        <w:rPr>
          <w:rFonts w:ascii="Arial" w:cs="Arial" w:eastAsia="Arial" w:hAnsi="Arial"/>
          <w:sz w:val="14"/>
          <w:szCs w:val="14"/>
          <w:color w:val="auto"/>
        </w:rPr>
        <w:t xml:space="preserve">, as the case may be, then the Holders shall not be required to pay any of such expenses and shall not forfeit their right to one registration pursuant to </w:t>
      </w:r>
      <w:r>
        <w:rPr>
          <w:rFonts w:ascii="Arial" w:cs="Arial" w:eastAsia="Arial" w:hAnsi="Arial"/>
          <w:sz w:val="14"/>
          <w:szCs w:val="14"/>
          <w:u w:val="single" w:color="auto"/>
          <w:color w:val="auto"/>
        </w:rPr>
        <w:t>Subsections 2.1(a)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2.1(b)</w:t>
      </w:r>
      <w:r>
        <w:rPr>
          <w:rFonts w:ascii="Arial" w:cs="Arial" w:eastAsia="Arial" w:hAnsi="Arial"/>
          <w:sz w:val="14"/>
          <w:szCs w:val="14"/>
          <w:color w:val="auto"/>
        </w:rPr>
        <w:t xml:space="preserve">. All Selling Expenses relating to Registrable Securities registered pursuant to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shall be borne and paid by the Holders pro rata on the basis of the number of Registrable Securities registered on their behalf.</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900" w:type="dxa"/>
            <w:vAlign w:val="bottom"/>
          </w:tcPr>
          <w:p>
            <w:pPr>
              <w:jc w:val="right"/>
              <w:ind w:right="587"/>
              <w:spacing w:after="0"/>
              <w:rPr>
                <w:sz w:val="20"/>
                <w:szCs w:val="20"/>
                <w:color w:val="auto"/>
              </w:rPr>
            </w:pPr>
            <w:r>
              <w:rPr>
                <w:rFonts w:ascii="Arial" w:cs="Arial" w:eastAsia="Arial" w:hAnsi="Arial"/>
                <w:sz w:val="15"/>
                <w:szCs w:val="15"/>
                <w:color w:val="auto"/>
              </w:rPr>
              <w:t>2.7</w:t>
            </w:r>
          </w:p>
        </w:tc>
        <w:tc>
          <w:tcPr>
            <w:tcW w:w="8920" w:type="dxa"/>
            <w:vAlign w:val="bottom"/>
            <w:gridSpan w:val="6"/>
          </w:tcPr>
          <w:p>
            <w:pPr>
              <w:spacing w:after="0"/>
              <w:rPr>
                <w:sz w:val="20"/>
                <w:szCs w:val="20"/>
                <w:color w:val="auto"/>
              </w:rPr>
            </w:pPr>
            <w:r>
              <w:rPr>
                <w:rFonts w:ascii="Arial" w:cs="Arial" w:eastAsia="Arial" w:hAnsi="Arial"/>
                <w:sz w:val="15"/>
                <w:szCs w:val="15"/>
                <w:color w:val="auto"/>
                <w:w w:val="90"/>
              </w:rPr>
              <w:t>Delay of Registration. No Holder shall have any right to obtain or seek an injunction restraining or otherwise delaying any registration pursuant to this</w:t>
            </w:r>
          </w:p>
        </w:tc>
      </w:tr>
      <w:tr>
        <w:trPr>
          <w:trHeight w:val="20"/>
        </w:trPr>
        <w:tc>
          <w:tcPr>
            <w:tcW w:w="1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56"/>
        </w:trPr>
        <w:tc>
          <w:tcPr>
            <w:tcW w:w="10820" w:type="dxa"/>
            <w:vAlign w:val="bottom"/>
            <w:gridSpan w:val="7"/>
          </w:tcPr>
          <w:p>
            <w:pPr>
              <w:spacing w:after="0" w:line="156" w:lineRule="exact"/>
              <w:rPr>
                <w:sz w:val="20"/>
                <w:szCs w:val="20"/>
                <w:color w:val="auto"/>
              </w:rPr>
            </w:pPr>
            <w:r>
              <w:rPr>
                <w:rFonts w:ascii="Arial" w:cs="Arial" w:eastAsia="Arial" w:hAnsi="Arial"/>
                <w:sz w:val="15"/>
                <w:szCs w:val="15"/>
                <w:color w:val="auto"/>
              </w:rPr>
              <w:t>Agreement as the result of any controversy that might arise with respect to the interpretation or implementation of this Section 2.</w:t>
            </w:r>
          </w:p>
        </w:tc>
      </w:tr>
      <w:tr>
        <w:trPr>
          <w:trHeight w:val="20"/>
        </w:trPr>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2"/>
        </w:trPr>
        <w:tc>
          <w:tcPr>
            <w:tcW w:w="1900" w:type="dxa"/>
            <w:vAlign w:val="bottom"/>
          </w:tcPr>
          <w:p>
            <w:pPr>
              <w:jc w:val="right"/>
              <w:ind w:right="587"/>
              <w:spacing w:after="0"/>
              <w:rPr>
                <w:sz w:val="20"/>
                <w:szCs w:val="20"/>
                <w:color w:val="auto"/>
              </w:rPr>
            </w:pPr>
            <w:r>
              <w:rPr>
                <w:rFonts w:ascii="Arial" w:cs="Arial" w:eastAsia="Arial" w:hAnsi="Arial"/>
                <w:sz w:val="15"/>
                <w:szCs w:val="15"/>
                <w:color w:val="auto"/>
              </w:rPr>
              <w:t>2.8</w:t>
            </w:r>
          </w:p>
        </w:tc>
        <w:tc>
          <w:tcPr>
            <w:tcW w:w="8920" w:type="dxa"/>
            <w:vAlign w:val="bottom"/>
            <w:gridSpan w:val="6"/>
          </w:tcPr>
          <w:p>
            <w:pPr>
              <w:spacing w:after="0"/>
              <w:rPr>
                <w:sz w:val="20"/>
                <w:szCs w:val="20"/>
                <w:color w:val="auto"/>
              </w:rPr>
            </w:pPr>
            <w:r>
              <w:rPr>
                <w:rFonts w:ascii="Arial" w:cs="Arial" w:eastAsia="Arial" w:hAnsi="Arial"/>
                <w:sz w:val="15"/>
                <w:szCs w:val="15"/>
                <w:color w:val="auto"/>
              </w:rPr>
              <w:t>Indemnification. If any Registrable Securities are included in a registration statement under this Section 2:</w:t>
            </w: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1590"/>
        <w:spacing w:after="0" w:line="290" w:lineRule="auto"/>
        <w:tabs>
          <w:tab w:leader="none" w:pos="2323" w:val="left"/>
        </w:tabs>
        <w:numPr>
          <w:ilvl w:val="0"/>
          <w:numId w:val="127"/>
        </w:numPr>
        <w:rPr>
          <w:rFonts w:ascii="Arial" w:cs="Arial" w:eastAsia="Arial" w:hAnsi="Arial"/>
          <w:sz w:val="13"/>
          <w:szCs w:val="13"/>
          <w:color w:val="auto"/>
        </w:rPr>
      </w:pPr>
      <w:r>
        <w:rPr>
          <w:rFonts w:ascii="Arial" w:cs="Arial" w:eastAsia="Arial" w:hAnsi="Arial"/>
          <w:sz w:val="13"/>
          <w:szCs w:val="13"/>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indemnity agreement contained in this </w:t>
      </w:r>
      <w:r>
        <w:rPr>
          <w:rFonts w:ascii="Arial" w:cs="Arial" w:eastAsia="Arial" w:hAnsi="Arial"/>
          <w:sz w:val="13"/>
          <w:szCs w:val="13"/>
          <w:u w:val="single" w:color="auto"/>
          <w:color w:val="auto"/>
        </w:rPr>
        <w:t>Subsection 2.8 (a)</w:t>
      </w:r>
      <w:r>
        <w:rPr>
          <w:rFonts w:ascii="Arial" w:cs="Arial" w:eastAsia="Arial" w:hAnsi="Arial"/>
          <w:sz w:val="13"/>
          <w:szCs w:val="13"/>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244" w:name="page245"/>
    <w:bookmarkEnd w:id="244"/>
    <w:p>
      <w:pPr>
        <w:jc w:val="both"/>
        <w:ind w:firstLine="1590"/>
        <w:spacing w:after="0" w:line="266" w:lineRule="auto"/>
        <w:tabs>
          <w:tab w:leader="none" w:pos="2295" w:val="left"/>
        </w:tabs>
        <w:numPr>
          <w:ilvl w:val="0"/>
          <w:numId w:val="128"/>
        </w:numPr>
        <w:rPr>
          <w:rFonts w:ascii="Arial" w:cs="Arial" w:eastAsia="Arial" w:hAnsi="Arial"/>
          <w:sz w:val="14"/>
          <w:szCs w:val="14"/>
          <w:color w:val="auto"/>
        </w:rPr>
      </w:pPr>
      <w:r>
        <w:rPr>
          <w:rFonts w:ascii="Arial" w:cs="Arial" w:eastAsia="Arial" w:hAnsi="Arial"/>
          <w:sz w:val="14"/>
          <w:szCs w:val="14"/>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indemnity agreement contained in this </w:t>
      </w:r>
      <w:r>
        <w:rPr>
          <w:rFonts w:ascii="Arial" w:cs="Arial" w:eastAsia="Arial" w:hAnsi="Arial"/>
          <w:sz w:val="14"/>
          <w:szCs w:val="14"/>
          <w:u w:val="single" w:color="auto"/>
          <w:color w:val="auto"/>
        </w:rPr>
        <w:t>Subsection 2.8 (b)</w:t>
      </w:r>
      <w:r>
        <w:rPr>
          <w:rFonts w:ascii="Arial" w:cs="Arial" w:eastAsia="Arial" w:hAnsi="Arial"/>
          <w:sz w:val="14"/>
          <w:szCs w:val="14"/>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in no event shall the aggregate amounts payable by any Holder by way of indemnity or contribution under </w:t>
      </w:r>
      <w:r>
        <w:rPr>
          <w:rFonts w:ascii="Arial" w:cs="Arial" w:eastAsia="Arial" w:hAnsi="Arial"/>
          <w:sz w:val="14"/>
          <w:szCs w:val="14"/>
          <w:u w:val="single" w:color="auto"/>
          <w:color w:val="auto"/>
        </w:rPr>
        <w:t>Subsections 2.8 (b)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2.8(d)</w:t>
      </w:r>
      <w:r>
        <w:rPr>
          <w:rFonts w:ascii="Arial" w:cs="Arial" w:eastAsia="Arial" w:hAnsi="Arial"/>
          <w:sz w:val="14"/>
          <w:szCs w:val="14"/>
          <w:color w:val="auto"/>
        </w:rPr>
        <w:t xml:space="preserve"> exceed the proceeds from the offering received by such Holder (net of any Selling Expenses paid by such Holder), except in the case of fraud or willful misconduct by such Holder.</w:t>
      </w:r>
    </w:p>
    <w:p>
      <w:pPr>
        <w:spacing w:after="0" w:line="149" w:lineRule="exact"/>
        <w:rPr>
          <w:rFonts w:ascii="Arial" w:cs="Arial" w:eastAsia="Arial" w:hAnsi="Arial"/>
          <w:sz w:val="14"/>
          <w:szCs w:val="14"/>
          <w:color w:val="auto"/>
        </w:rPr>
      </w:pPr>
    </w:p>
    <w:p>
      <w:pPr>
        <w:jc w:val="both"/>
        <w:ind w:firstLine="1590"/>
        <w:spacing w:after="0" w:line="266" w:lineRule="auto"/>
        <w:tabs>
          <w:tab w:leader="none" w:pos="2389" w:val="left"/>
        </w:tabs>
        <w:numPr>
          <w:ilvl w:val="0"/>
          <w:numId w:val="128"/>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w:t>
      </w:r>
      <w:r>
        <w:rPr>
          <w:rFonts w:ascii="Arial" w:cs="Arial" w:eastAsia="Arial" w:hAnsi="Arial"/>
          <w:sz w:val="14"/>
          <w:szCs w:val="14"/>
          <w:u w:val="single" w:color="auto"/>
          <w:color w:val="auto"/>
        </w:rPr>
        <w:t>Subsection 2.8</w:t>
      </w:r>
      <w:r>
        <w:rPr>
          <w:rFonts w:ascii="Arial" w:cs="Arial" w:eastAsia="Arial" w:hAnsi="Arial"/>
          <w:sz w:val="14"/>
          <w:szCs w:val="14"/>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4"/>
          <w:szCs w:val="14"/>
          <w:u w:val="single" w:color="auto"/>
          <w:color w:val="auto"/>
        </w:rPr>
        <w:t>Subsection 2.8</w:t>
      </w:r>
      <w:r>
        <w:rPr>
          <w:rFonts w:ascii="Arial" w:cs="Arial" w:eastAsia="Arial" w:hAnsi="Arial"/>
          <w:sz w:val="14"/>
          <w:szCs w:val="14"/>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4"/>
          <w:szCs w:val="14"/>
          <w:u w:val="single" w:color="auto"/>
          <w:color w:val="auto"/>
        </w:rPr>
        <w:t>Subsection 2.8</w:t>
      </w:r>
      <w:r>
        <w:rPr>
          <w:rFonts w:ascii="Arial" w:cs="Arial" w:eastAsia="Arial" w:hAnsi="Arial"/>
          <w:sz w:val="14"/>
          <w:szCs w:val="14"/>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4"/>
          <w:szCs w:val="14"/>
          <w:u w:val="single" w:color="auto"/>
          <w:color w:val="auto"/>
        </w:rPr>
        <w:t>Subsection 2.8</w:t>
      </w:r>
      <w:r>
        <w:rPr>
          <w:rFonts w:ascii="Arial" w:cs="Arial" w:eastAsia="Arial" w:hAnsi="Arial"/>
          <w:sz w:val="14"/>
          <w:szCs w:val="14"/>
          <w:color w:val="auto"/>
        </w:rPr>
        <w:t>.</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45" w:name="page246"/>
    <w:bookmarkEnd w:id="245"/>
    <w:p>
      <w:pPr>
        <w:jc w:val="both"/>
        <w:ind w:firstLine="1590"/>
        <w:spacing w:after="0" w:line="286" w:lineRule="auto"/>
        <w:tabs>
          <w:tab w:leader="none" w:pos="2375"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3"/>
          <w:szCs w:val="13"/>
          <w:u w:val="single" w:color="auto"/>
          <w:color w:val="auto"/>
        </w:rPr>
        <w:t>Subsection 2.8</w:t>
      </w:r>
      <w:r>
        <w:rPr>
          <w:rFonts w:ascii="Arial" w:cs="Arial" w:eastAsia="Arial" w:hAnsi="Arial"/>
          <w:sz w:val="13"/>
          <w:szCs w:val="13"/>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3"/>
          <w:szCs w:val="13"/>
          <w:u w:val="single" w:color="auto"/>
          <w:color w:val="auto"/>
        </w:rPr>
        <w:t>Subsection 2.8</w:t>
      </w:r>
      <w:r>
        <w:rPr>
          <w:rFonts w:ascii="Arial" w:cs="Arial" w:eastAsia="Arial" w:hAnsi="Arial"/>
          <w:sz w:val="13"/>
          <w:szCs w:val="13"/>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3"/>
          <w:szCs w:val="13"/>
          <w:u w:val="single" w:color="auto"/>
          <w:color w:val="auto"/>
        </w:rPr>
        <w:t>Subsection 2.8</w:t>
      </w:r>
      <w:r>
        <w:rPr>
          <w:rFonts w:ascii="Arial" w:cs="Arial" w:eastAsia="Arial" w:hAnsi="Arial"/>
          <w:sz w:val="13"/>
          <w:szCs w:val="13"/>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in no event shall a Holder’s liability pursuant to this </w:t>
      </w:r>
      <w:r>
        <w:rPr>
          <w:rFonts w:ascii="Arial" w:cs="Arial" w:eastAsia="Arial" w:hAnsi="Arial"/>
          <w:sz w:val="13"/>
          <w:szCs w:val="13"/>
          <w:u w:val="single" w:color="auto"/>
          <w:color w:val="auto"/>
        </w:rPr>
        <w:t>Subsection 2.8 (d)</w:t>
      </w:r>
      <w:r>
        <w:rPr>
          <w:rFonts w:ascii="Arial" w:cs="Arial" w:eastAsia="Arial" w:hAnsi="Arial"/>
          <w:sz w:val="13"/>
          <w:szCs w:val="13"/>
          <w:color w:val="auto"/>
        </w:rPr>
        <w:t xml:space="preserve">, when combined with the amounts paid or payable by such Holder pursuant to </w:t>
      </w:r>
      <w:r>
        <w:rPr>
          <w:rFonts w:ascii="Arial" w:cs="Arial" w:eastAsia="Arial" w:hAnsi="Arial"/>
          <w:sz w:val="13"/>
          <w:szCs w:val="13"/>
          <w:u w:val="single" w:color="auto"/>
          <w:color w:val="auto"/>
        </w:rPr>
        <w:t>Subsection 2.8 (b)</w:t>
      </w:r>
      <w:r>
        <w:rPr>
          <w:rFonts w:ascii="Arial" w:cs="Arial" w:eastAsia="Arial" w:hAnsi="Arial"/>
          <w:sz w:val="13"/>
          <w:szCs w:val="13"/>
          <w:color w:val="auto"/>
        </w:rPr>
        <w:t>, exceed the proceeds from the offering received by such Holder (net of any Selling Expenses paid by such Holder), except in the case of willful misconduct or fraud by such Holder.</w:t>
      </w:r>
    </w:p>
    <w:p>
      <w:pPr>
        <w:spacing w:after="0" w:line="142" w:lineRule="exact"/>
        <w:rPr>
          <w:rFonts w:ascii="Arial" w:cs="Arial" w:eastAsia="Arial" w:hAnsi="Arial"/>
          <w:sz w:val="13"/>
          <w:szCs w:val="13"/>
          <w:color w:val="auto"/>
        </w:rPr>
      </w:pPr>
    </w:p>
    <w:p>
      <w:pPr>
        <w:ind w:firstLine="1590"/>
        <w:spacing w:after="0" w:line="300" w:lineRule="auto"/>
        <w:tabs>
          <w:tab w:leader="none" w:pos="2257" w:val="left"/>
        </w:tabs>
        <w:numPr>
          <w:ilvl w:val="0"/>
          <w:numId w:val="129"/>
        </w:numPr>
        <w:rPr>
          <w:rFonts w:ascii="Arial" w:cs="Arial" w:eastAsia="Arial" w:hAnsi="Arial"/>
          <w:sz w:val="14"/>
          <w:szCs w:val="14"/>
          <w:color w:val="auto"/>
        </w:rPr>
      </w:pPr>
      <w:r>
        <w:rPr>
          <w:rFonts w:ascii="Arial" w:cs="Arial" w:eastAsia="Arial" w:hAnsi="Arial"/>
          <w:sz w:val="14"/>
          <w:szCs w:val="14"/>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24" w:lineRule="exact"/>
        <w:rPr>
          <w:rFonts w:ascii="Arial" w:cs="Arial" w:eastAsia="Arial" w:hAnsi="Arial"/>
          <w:sz w:val="14"/>
          <w:szCs w:val="14"/>
          <w:color w:val="auto"/>
        </w:rPr>
      </w:pPr>
    </w:p>
    <w:p>
      <w:pPr>
        <w:jc w:val="both"/>
        <w:ind w:firstLine="1590"/>
        <w:spacing w:after="0" w:line="254" w:lineRule="auto"/>
        <w:tabs>
          <w:tab w:leader="none" w:pos="242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5"/>
          <w:szCs w:val="15"/>
          <w:u w:val="single" w:color="auto"/>
          <w:color w:val="auto"/>
        </w:rPr>
        <w:t>Subsection 2.8</w:t>
      </w:r>
      <w:r>
        <w:rPr>
          <w:rFonts w:ascii="Arial" w:cs="Arial" w:eastAsia="Arial" w:hAnsi="Arial"/>
          <w:sz w:val="15"/>
          <w:szCs w:val="15"/>
          <w:color w:val="auto"/>
        </w:rPr>
        <w:t xml:space="preserve"> shall survive the completion of any offering of Registrable Securities in a registration under this </w:t>
      </w:r>
      <w:r>
        <w:rPr>
          <w:rFonts w:ascii="Arial" w:cs="Arial" w:eastAsia="Arial" w:hAnsi="Arial"/>
          <w:sz w:val="15"/>
          <w:szCs w:val="15"/>
          <w:u w:val="single" w:color="auto"/>
          <w:color w:val="auto"/>
        </w:rPr>
        <w:t>Section 2</w:t>
      </w:r>
      <w:r>
        <w:rPr>
          <w:rFonts w:ascii="Arial" w:cs="Arial" w:eastAsia="Arial" w:hAnsi="Arial"/>
          <w:sz w:val="15"/>
          <w:szCs w:val="15"/>
          <w:color w:val="auto"/>
        </w:rPr>
        <w:t>, and otherwise shall survive the termination of this Agreement.</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46" w:name="page247"/>
    <w:bookmarkEnd w:id="246"/>
    <w:p>
      <w:pPr>
        <w:ind w:left="460" w:firstLine="1055"/>
        <w:spacing w:after="0" w:line="300" w:lineRule="auto"/>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Reports Under Exchange Act</w:t>
      </w:r>
      <w:r>
        <w:rPr>
          <w:rFonts w:ascii="Arial" w:cs="Arial" w:eastAsia="Arial" w:hAnsi="Arial"/>
          <w:sz w:val="14"/>
          <w:szCs w:val="14"/>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25" w:lineRule="exact"/>
        <w:rPr>
          <w:sz w:val="20"/>
          <w:szCs w:val="20"/>
          <w:color w:val="auto"/>
        </w:rPr>
      </w:pPr>
    </w:p>
    <w:p>
      <w:pPr>
        <w:ind w:firstLine="1590"/>
        <w:spacing w:after="0" w:line="264" w:lineRule="auto"/>
        <w:tabs>
          <w:tab w:leader="none" w:pos="21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47" w:lineRule="exact"/>
        <w:rPr>
          <w:rFonts w:ascii="Arial" w:cs="Arial" w:eastAsia="Arial" w:hAnsi="Arial"/>
          <w:sz w:val="15"/>
          <w:szCs w:val="15"/>
          <w:color w:val="auto"/>
        </w:rPr>
      </w:pPr>
    </w:p>
    <w:p>
      <w:pPr>
        <w:ind w:firstLine="1590"/>
        <w:spacing w:after="0" w:line="264" w:lineRule="auto"/>
        <w:tabs>
          <w:tab w:leader="none" w:pos="2115" w:val="left"/>
        </w:tabs>
        <w:numPr>
          <w:ilvl w:val="0"/>
          <w:numId w:val="130"/>
        </w:numPr>
        <w:rPr>
          <w:rFonts w:ascii="Arial" w:cs="Arial" w:eastAsia="Arial" w:hAnsi="Arial"/>
          <w:sz w:val="15"/>
          <w:szCs w:val="15"/>
          <w:color w:val="auto"/>
        </w:rPr>
      </w:pPr>
      <w:r>
        <w:rPr>
          <w:rFonts w:ascii="Arial" w:cs="Arial" w:eastAsia="Arial" w:hAnsi="Arial"/>
          <w:sz w:val="15"/>
          <w:szCs w:val="15"/>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7" w:lineRule="exact"/>
        <w:rPr>
          <w:rFonts w:ascii="Arial" w:cs="Arial" w:eastAsia="Arial" w:hAnsi="Arial"/>
          <w:sz w:val="15"/>
          <w:szCs w:val="15"/>
          <w:color w:val="auto"/>
        </w:rPr>
      </w:pPr>
    </w:p>
    <w:p>
      <w:pPr>
        <w:jc w:val="both"/>
        <w:ind w:firstLine="1590"/>
        <w:spacing w:after="0" w:line="247" w:lineRule="auto"/>
        <w:tabs>
          <w:tab w:leader="none" w:pos="21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4" w:lineRule="exact"/>
        <w:rPr>
          <w:sz w:val="20"/>
          <w:szCs w:val="20"/>
          <w:color w:val="auto"/>
        </w:rPr>
      </w:pPr>
    </w:p>
    <w:p>
      <w:pPr>
        <w:jc w:val="both"/>
        <w:ind w:left="460" w:firstLine="1055"/>
        <w:spacing w:after="0" w:line="297"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Limitations on Subsequent Registration Rights</w:t>
      </w:r>
      <w:r>
        <w:rPr>
          <w:rFonts w:ascii="Arial" w:cs="Arial" w:eastAsia="Arial" w:hAnsi="Arial"/>
          <w:sz w:val="13"/>
          <w:szCs w:val="13"/>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this limitation shall not apply to Registrable Securities acquired by any additional Investor that becomes a party to this Agreement in accordance with </w:t>
      </w:r>
      <w:r>
        <w:rPr>
          <w:rFonts w:ascii="Arial" w:cs="Arial" w:eastAsia="Arial" w:hAnsi="Arial"/>
          <w:sz w:val="13"/>
          <w:szCs w:val="13"/>
          <w:u w:val="single" w:color="auto"/>
          <w:color w:val="auto"/>
        </w:rPr>
        <w:t>Subsection 6.9</w:t>
      </w:r>
      <w:r>
        <w:rPr>
          <w:rFonts w:ascii="Arial" w:cs="Arial" w:eastAsia="Arial" w:hAnsi="Arial"/>
          <w:sz w:val="13"/>
          <w:szCs w:val="13"/>
          <w:color w:val="auto"/>
        </w:rPr>
        <w: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247" w:name="page248"/>
    <w:bookmarkEnd w:id="247"/>
    <w:p>
      <w:pPr>
        <w:jc w:val="both"/>
        <w:ind w:left="460" w:firstLine="1055"/>
        <w:spacing w:after="0" w:line="285"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“Market Stand-off” Agreement</w:t>
      </w:r>
      <w:r>
        <w:rPr>
          <w:rFonts w:ascii="Arial" w:cs="Arial" w:eastAsia="Arial" w:hAnsi="Arial"/>
          <w:sz w:val="13"/>
          <w:szCs w:val="13"/>
          <w:color w:val="auto"/>
        </w:rPr>
        <w:t xml:space="preserve">. Each Holder hereby agrees that it will not, without the prior written consent of the managing underwriter, during the period commencing on the date of the final prospectus relating to the IPO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3"/>
          <w:szCs w:val="13"/>
          <w:u w:val="single" w:color="auto"/>
          <w:color w:val="auto"/>
        </w:rPr>
        <w:t>Subsection 2.11</w:t>
      </w:r>
      <w:r>
        <w:rPr>
          <w:rFonts w:ascii="Arial" w:cs="Arial" w:eastAsia="Arial" w:hAnsi="Arial"/>
          <w:sz w:val="13"/>
          <w:szCs w:val="13"/>
          <w:color w:val="auto"/>
        </w:rPr>
        <w:t xml:space="preserve"> shall apply only to the IPO,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trustee of the trust agrees to be bound in writing by the restrictions set forth herein,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any such transfer shall not involve a disposition for value, and shall be applicable to the Holders only if all officers, directors and stockholders individually owning one percent (1%) or more of the Company’s outstanding Common Stock (after giving effect to conversion into Common Stock of all outstanding Preferred Stock) are subject to the same restrictions. The underwriters in connection with such registration are intended third-party beneficiaries of this </w:t>
      </w:r>
      <w:r>
        <w:rPr>
          <w:rFonts w:ascii="Arial" w:cs="Arial" w:eastAsia="Arial" w:hAnsi="Arial"/>
          <w:sz w:val="13"/>
          <w:szCs w:val="13"/>
          <w:u w:val="single" w:color="auto"/>
          <w:color w:val="auto"/>
        </w:rPr>
        <w:t>Subsection 2.11</w:t>
      </w:r>
      <w:r>
        <w:rPr>
          <w:rFonts w:ascii="Arial" w:cs="Arial" w:eastAsia="Arial" w:hAnsi="Arial"/>
          <w:sz w:val="13"/>
          <w:szCs w:val="13"/>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3"/>
          <w:szCs w:val="13"/>
          <w:u w:val="single" w:color="auto"/>
          <w:color w:val="auto"/>
        </w:rPr>
        <w:t>Subsection 2.11</w:t>
      </w:r>
      <w:r>
        <w:rPr>
          <w:rFonts w:ascii="Arial" w:cs="Arial" w:eastAsia="Arial" w:hAnsi="Arial"/>
          <w:sz w:val="13"/>
          <w:szCs w:val="13"/>
          <w:color w:val="auto"/>
        </w:rPr>
        <w:t xml:space="preserve"> or that are necessary to give further effect thereto. In the event that the Company or the managing underwriter waives or terminates any of the restrictions contained in this </w:t>
      </w:r>
      <w:r>
        <w:rPr>
          <w:rFonts w:ascii="Arial" w:cs="Arial" w:eastAsia="Arial" w:hAnsi="Arial"/>
          <w:sz w:val="13"/>
          <w:szCs w:val="13"/>
          <w:u w:val="single" w:color="auto"/>
          <w:color w:val="auto"/>
        </w:rPr>
        <w:t>Subsection 2.11</w:t>
      </w:r>
      <w:r>
        <w:rPr>
          <w:rFonts w:ascii="Arial" w:cs="Arial" w:eastAsia="Arial" w:hAnsi="Arial"/>
          <w:sz w:val="13"/>
          <w:szCs w:val="13"/>
          <w:color w:val="auto"/>
        </w:rPr>
        <w:t xml:space="preserve"> or in a lock-up agreement with respect to the securities of any Holder, officer, director than one-percent or greater stockholder of the Company (in any such case, the “</w:t>
      </w:r>
      <w:r>
        <w:rPr>
          <w:rFonts w:ascii="Arial" w:cs="Arial" w:eastAsia="Arial" w:hAnsi="Arial"/>
          <w:sz w:val="13"/>
          <w:szCs w:val="13"/>
          <w:b w:val="1"/>
          <w:bCs w:val="1"/>
          <w:color w:val="auto"/>
        </w:rPr>
        <w:t>Released Securities</w:t>
      </w:r>
      <w:r>
        <w:rPr>
          <w:rFonts w:ascii="Arial" w:cs="Arial" w:eastAsia="Arial" w:hAnsi="Arial"/>
          <w:sz w:val="13"/>
          <w:szCs w:val="13"/>
          <w:color w:val="auto"/>
        </w:rPr>
        <w:t xml:space="preserve">”), the restrictions contained in this </w:t>
      </w:r>
      <w:r>
        <w:rPr>
          <w:rFonts w:ascii="Arial" w:cs="Arial" w:eastAsia="Arial" w:hAnsi="Arial"/>
          <w:sz w:val="13"/>
          <w:szCs w:val="13"/>
          <w:u w:val="single" w:color="auto"/>
          <w:color w:val="auto"/>
        </w:rPr>
        <w:t>Subsection 2.11</w:t>
      </w:r>
      <w:r>
        <w:rPr>
          <w:rFonts w:ascii="Arial" w:cs="Arial" w:eastAsia="Arial" w:hAnsi="Arial"/>
          <w:sz w:val="13"/>
          <w:szCs w:val="13"/>
          <w:color w:val="auto"/>
        </w:rPr>
        <w:t xml:space="preserve"> and in any lock-up agreements executed by the Investors shall be waived or terminated, as applicable, to the same extent and with respect to the same percentage of securities of each Investor as the percentage of Released Securities represent with respect to the securities held by the applicable Holder, officer, director than one-percent or greater stockholder. Notwithstanding anything herein to the contrary, the provisions of this </w:t>
      </w:r>
      <w:r>
        <w:rPr>
          <w:rFonts w:ascii="Arial" w:cs="Arial" w:eastAsia="Arial" w:hAnsi="Arial"/>
          <w:sz w:val="13"/>
          <w:szCs w:val="13"/>
          <w:u w:val="single" w:color="auto"/>
          <w:color w:val="auto"/>
        </w:rPr>
        <w:t>Subsection 2.11</w:t>
      </w:r>
      <w:r>
        <w:rPr>
          <w:rFonts w:ascii="Arial" w:cs="Arial" w:eastAsia="Arial" w:hAnsi="Arial"/>
          <w:sz w:val="13"/>
          <w:szCs w:val="13"/>
          <w:color w:val="auto"/>
        </w:rPr>
        <w:t xml:space="preserve"> shall not apply to transactions (including, without limitation, any swap, hedge or similar agreement or arrangement) or announcements, in each case, relating to securities acquired in the IPO or securities acquired in open market or other transactions from and after the IPO or that otherwise do not involve or relate to securities of the Company owned by a Holder prior to the IPO.</w:t>
      </w:r>
    </w:p>
    <w:p>
      <w:pPr>
        <w:spacing w:after="0" w:line="319" w:lineRule="exact"/>
        <w:rPr>
          <w:sz w:val="20"/>
          <w:szCs w:val="20"/>
          <w:color w:val="auto"/>
        </w:rPr>
      </w:pPr>
    </w:p>
    <w:p>
      <w:pPr>
        <w:ind w:left="1520"/>
        <w:spacing w:after="0"/>
        <w:tabs>
          <w:tab w:leader="none" w:pos="2080" w:val="left"/>
        </w:tabs>
        <w:rPr>
          <w:sz w:val="20"/>
          <w:szCs w:val="20"/>
          <w:color w:val="auto"/>
        </w:rPr>
      </w:pPr>
      <w:r>
        <w:rPr>
          <w:rFonts w:ascii="Arial" w:cs="Arial" w:eastAsia="Arial" w:hAnsi="Arial"/>
          <w:sz w:val="15"/>
          <w:szCs w:val="15"/>
          <w:color w:val="auto"/>
        </w:rPr>
        <w:t>2.12</w:t>
      </w:r>
      <w:r>
        <w:rPr>
          <w:sz w:val="20"/>
          <w:szCs w:val="20"/>
          <w:color w:val="auto"/>
        </w:rPr>
        <w:tab/>
      </w:r>
      <w:r>
        <w:rPr>
          <w:rFonts w:ascii="Arial" w:cs="Arial" w:eastAsia="Arial" w:hAnsi="Arial"/>
          <w:sz w:val="13"/>
          <w:szCs w:val="13"/>
          <w:u w:val="single" w:color="auto"/>
          <w:color w:val="auto"/>
        </w:rPr>
        <w:t>Restrictions on Transfer</w:t>
      </w:r>
      <w:r>
        <w:rPr>
          <w:rFonts w:ascii="Arial" w:cs="Arial" w:eastAsia="Arial" w:hAnsi="Arial"/>
          <w:sz w:val="13"/>
          <w:szCs w:val="13"/>
          <w:color w:val="auto"/>
        </w:rPr>
        <w:t>.</w:t>
      </w:r>
    </w:p>
    <w:p>
      <w:pPr>
        <w:spacing w:after="0" w:line="179" w:lineRule="exact"/>
        <w:rPr>
          <w:sz w:val="20"/>
          <w:szCs w:val="20"/>
          <w:color w:val="auto"/>
        </w:rPr>
      </w:pPr>
    </w:p>
    <w:p>
      <w:pPr>
        <w:jc w:val="both"/>
        <w:ind w:firstLine="1590"/>
        <w:spacing w:after="0" w:line="297" w:lineRule="auto"/>
        <w:tabs>
          <w:tab w:leader="none" w:pos="2096"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to be bound by the terms of this Agreement.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248" w:name="page249"/>
    <w:bookmarkEnd w:id="248"/>
    <w:p>
      <w:pPr>
        <w:jc w:val="both"/>
        <w:ind w:firstLine="1590"/>
        <w:spacing w:after="0" w:line="254" w:lineRule="auto"/>
        <w:tabs>
          <w:tab w:leader="none" w:pos="2104"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5"/>
          <w:szCs w:val="15"/>
          <w:u w:val="single" w:color="auto"/>
          <w:color w:val="auto"/>
        </w:rPr>
        <w:t>Subsection 2.12 (c)</w:t>
      </w:r>
      <w:r>
        <w:rPr>
          <w:rFonts w:ascii="Arial" w:cs="Arial" w:eastAsia="Arial" w:hAnsi="Arial"/>
          <w:sz w:val="15"/>
          <w:szCs w:val="15"/>
          <w:color w:val="auto"/>
        </w:rPr>
        <w:t>) be notated with a legend substantially in the following form:</w:t>
      </w:r>
    </w:p>
    <w:p>
      <w:pPr>
        <w:spacing w:after="0" w:line="156" w:lineRule="exact"/>
        <w:rPr>
          <w:sz w:val="20"/>
          <w:szCs w:val="20"/>
          <w:color w:val="auto"/>
        </w:rPr>
      </w:pPr>
    </w:p>
    <w:p>
      <w:pPr>
        <w:jc w:val="both"/>
        <w:ind w:left="540" w:right="520"/>
        <w:spacing w:after="0" w:line="254" w:lineRule="auto"/>
        <w:rPr>
          <w:sz w:val="20"/>
          <w:szCs w:val="20"/>
          <w:color w:val="auto"/>
        </w:rPr>
      </w:pPr>
      <w:r>
        <w:rPr>
          <w:rFonts w:ascii="Arial" w:cs="Arial" w:eastAsia="Arial" w:hAnsi="Arial"/>
          <w:sz w:val="15"/>
          <w:szCs w:val="15"/>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56" w:lineRule="exact"/>
        <w:rPr>
          <w:sz w:val="20"/>
          <w:szCs w:val="20"/>
          <w:color w:val="auto"/>
        </w:rPr>
      </w:pPr>
    </w:p>
    <w:p>
      <w:pPr>
        <w:jc w:val="both"/>
        <w:ind w:left="540" w:right="540"/>
        <w:spacing w:after="0" w:line="264" w:lineRule="auto"/>
        <w:rPr>
          <w:sz w:val="20"/>
          <w:szCs w:val="20"/>
          <w:color w:val="auto"/>
        </w:rPr>
      </w:pPr>
      <w:r>
        <w:rPr>
          <w:rFonts w:ascii="Arial" w:cs="Arial" w:eastAsia="Arial" w:hAnsi="Arial"/>
          <w:sz w:val="15"/>
          <w:szCs w:val="15"/>
          <w:color w:val="auto"/>
        </w:rPr>
        <w:t>THE SECURITIES REPRESENTED HEREBY MAY BE TRANSFERRED ONLY IN ACCORDANCE WITH THE TERMS OF AN AGREEMENT BETWEEN THE COMPANY AND THE STOCKHOLDER, A COPY OF WHICH IS ON FILE WITH THE SECRETARY OF THE COMPANY.</w:t>
      </w:r>
    </w:p>
    <w:p>
      <w:pPr>
        <w:spacing w:after="0" w:line="148" w:lineRule="exact"/>
        <w:rPr>
          <w:sz w:val="20"/>
          <w:szCs w:val="20"/>
          <w:color w:val="auto"/>
        </w:rPr>
      </w:pPr>
    </w:p>
    <w:p>
      <w:pPr>
        <w:ind w:firstLine="1055"/>
        <w:spacing w:after="0" w:line="264" w:lineRule="auto"/>
        <w:rPr>
          <w:sz w:val="20"/>
          <w:szCs w:val="20"/>
          <w:color w:val="auto"/>
        </w:rPr>
      </w:pPr>
      <w:r>
        <w:rPr>
          <w:rFonts w:ascii="Arial" w:cs="Arial" w:eastAsia="Arial" w:hAnsi="Arial"/>
          <w:sz w:val="15"/>
          <w:szCs w:val="15"/>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48" w:lineRule="exact"/>
        <w:rPr>
          <w:sz w:val="20"/>
          <w:szCs w:val="20"/>
          <w:color w:val="auto"/>
        </w:rPr>
      </w:pPr>
    </w:p>
    <w:p>
      <w:pPr>
        <w:jc w:val="both"/>
        <w:ind w:firstLine="1590"/>
        <w:spacing w:after="0" w:line="285" w:lineRule="auto"/>
        <w:tabs>
          <w:tab w:leader="none" w:pos="2107"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The holder of such Restricted Securities, by acceptance of ownership thereof, agrees to comply in all respects with the provisions of this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(y) in any transaction in which such Holder distributes Restricted Securities to an Affiliate of such Holder for no consideration or (z) in any internal transaction in which such Holder transfers Restricted Securities to an Affiliate of such Holder that is an entity and that is ultimately controlled by the same parent company as the Holder (or is the ultimate parent company of the Holder);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clauses (y) and (z), other than in connection with a transaction in compliance with SEC Rule 144 following the IPO, each transferee agrees in writing to be subject to the terms of this </w:t>
      </w:r>
      <w:r>
        <w:rPr>
          <w:rFonts w:ascii="Arial" w:cs="Arial" w:eastAsia="Arial" w:hAnsi="Arial"/>
          <w:sz w:val="13"/>
          <w:szCs w:val="13"/>
          <w:u w:val="single" w:color="auto"/>
          <w:color w:val="auto"/>
        </w:rPr>
        <w:t>Subsection 2.12</w:t>
      </w:r>
      <w:r>
        <w:rPr>
          <w:rFonts w:ascii="Arial" w:cs="Arial" w:eastAsia="Arial" w:hAnsi="Arial"/>
          <w:sz w:val="13"/>
          <w:szCs w:val="13"/>
          <w:color w:val="auto"/>
        </w:rPr>
        <w:t xml:space="preserve">. Notwithstanding the foregoing, the Company shall be obligated to reissue promptly unlegended certificates or book entries at the request of any Holder thereof if the Company has completed its IPO and the Holder shall have obtained an opinion of counsel (which counsel may be counsel to the Company) to the effect that the securities proposed to be disposed of may lawfully be so disposed of without registration, qualification and legend, provided that the second legend listed above shall be removed only at such time as the Holder of such certificate is no longer subject to any restrictions hereunder.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Arial" w:cs="Arial" w:eastAsia="Arial" w:hAnsi="Arial"/>
          <w:sz w:val="13"/>
          <w:szCs w:val="13"/>
          <w:u w:val="single" w:color="auto"/>
          <w:color w:val="auto"/>
        </w:rPr>
        <w:t>Subsection 2.12 (b)</w:t>
      </w:r>
      <w:r>
        <w:rPr>
          <w:rFonts w:ascii="Arial" w:cs="Arial" w:eastAsia="Arial" w:hAnsi="Arial"/>
          <w:sz w:val="13"/>
          <w:szCs w:val="13"/>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49" w:name="page250"/>
    <w:bookmarkEnd w:id="249"/>
    <w:p>
      <w:pPr>
        <w:ind w:left="1520"/>
        <w:spacing w:after="0"/>
        <w:tabs>
          <w:tab w:leader="none" w:pos="218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3"/>
          <w:szCs w:val="13"/>
          <w:u w:val="single" w:color="auto"/>
          <w:color w:val="auto"/>
        </w:rPr>
        <w:t>Termination of Registration Rights</w:t>
      </w:r>
      <w:r>
        <w:rPr>
          <w:rFonts w:ascii="Arial" w:cs="Arial" w:eastAsia="Arial" w:hAnsi="Arial"/>
          <w:sz w:val="13"/>
          <w:szCs w:val="13"/>
          <w:color w:val="auto"/>
        </w:rPr>
        <w:t>. The right of any Holder to request registration or inclusion of Registrable Securities in any registration pursuant to</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Subsections 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2.2</w:t>
      </w:r>
      <w:r>
        <w:rPr>
          <w:rFonts w:ascii="Arial" w:cs="Arial" w:eastAsia="Arial" w:hAnsi="Arial"/>
          <w:sz w:val="15"/>
          <w:szCs w:val="15"/>
          <w:color w:val="auto"/>
        </w:rPr>
        <w:t xml:space="preserve"> shall terminate upon the earliest to occur of:</w:t>
      </w:r>
    </w:p>
    <w:p>
      <w:pPr>
        <w:spacing w:after="0" w:line="168" w:lineRule="exact"/>
        <w:rPr>
          <w:sz w:val="20"/>
          <w:szCs w:val="20"/>
          <w:color w:val="auto"/>
        </w:rPr>
      </w:pPr>
    </w:p>
    <w:p>
      <w:pPr>
        <w:ind w:left="2080" w:hanging="490"/>
        <w:spacing w:after="0"/>
        <w:tabs>
          <w:tab w:leader="none" w:pos="208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Following the closing of a Deemed Liquidation Event, as such term is defined in the Certificate of Incorporation;</w:t>
      </w:r>
    </w:p>
    <w:p>
      <w:pPr>
        <w:spacing w:after="0" w:line="179" w:lineRule="exact"/>
        <w:rPr>
          <w:rFonts w:ascii="Arial" w:cs="Arial" w:eastAsia="Arial" w:hAnsi="Arial"/>
          <w:sz w:val="15"/>
          <w:szCs w:val="15"/>
          <w:color w:val="auto"/>
        </w:rPr>
      </w:pPr>
    </w:p>
    <w:p>
      <w:pPr>
        <w:ind w:firstLine="1590"/>
        <w:spacing w:after="0" w:line="264" w:lineRule="auto"/>
        <w:tabs>
          <w:tab w:leader="none" w:pos="217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such time after consummation of the IPO as SEC Rule 144 or another similar exemption under the Securities Act is available for the sale of all of such Holder’s shares without limitation during a three-month period without registration;</w:t>
      </w:r>
    </w:p>
    <w:p>
      <w:pPr>
        <w:spacing w:after="0" w:line="147" w:lineRule="exact"/>
        <w:rPr>
          <w:rFonts w:ascii="Arial" w:cs="Arial" w:eastAsia="Arial" w:hAnsi="Arial"/>
          <w:sz w:val="15"/>
          <w:szCs w:val="15"/>
          <w:color w:val="auto"/>
        </w:rPr>
      </w:pPr>
    </w:p>
    <w:p>
      <w:pPr>
        <w:ind w:left="2120" w:hanging="530"/>
        <w:spacing w:after="0"/>
        <w:tabs>
          <w:tab w:leader="none" w:pos="212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the first anniversary of the IPO.</w:t>
      </w:r>
    </w:p>
    <w:p>
      <w:pPr>
        <w:spacing w:after="0" w:line="179" w:lineRule="exact"/>
        <w:rPr>
          <w:rFonts w:ascii="Arial" w:cs="Arial" w:eastAsia="Arial" w:hAnsi="Arial"/>
          <w:sz w:val="15"/>
          <w:szCs w:val="15"/>
          <w:color w:val="auto"/>
        </w:rPr>
      </w:pPr>
    </w:p>
    <w:p>
      <w:pPr>
        <w:ind w:left="1040" w:hanging="505"/>
        <w:spacing w:after="0"/>
        <w:tabs>
          <w:tab w:leader="none" w:pos="1040"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Information Rights</w:t>
      </w:r>
      <w:r>
        <w:rPr>
          <w:rFonts w:ascii="Arial" w:cs="Arial" w:eastAsia="Arial" w:hAnsi="Arial"/>
          <w:sz w:val="15"/>
          <w:szCs w:val="15"/>
          <w:color w:val="auto"/>
        </w:rPr>
        <w:t>.</w:t>
      </w:r>
    </w:p>
    <w:p>
      <w:pPr>
        <w:spacing w:after="0" w:line="179" w:lineRule="exact"/>
        <w:rPr>
          <w:sz w:val="20"/>
          <w:szCs w:val="20"/>
          <w:color w:val="auto"/>
        </w:rPr>
      </w:pPr>
    </w:p>
    <w:p>
      <w:pPr>
        <w:ind w:left="460" w:firstLine="1055"/>
        <w:spacing w:after="0" w:line="264"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Delivery of Financial Statements</w:t>
      </w:r>
      <w:r>
        <w:rPr>
          <w:rFonts w:ascii="Arial" w:cs="Arial" w:eastAsia="Arial" w:hAnsi="Arial"/>
          <w:sz w:val="15"/>
          <w:szCs w:val="15"/>
          <w:color w:val="auto"/>
        </w:rPr>
        <w:t xml:space="preserve">. The Company shall deliver to each Major Investor,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Board of Directors has not reasonably determined that such Major Investor is a Competitor of the Company:</w:t>
      </w:r>
    </w:p>
    <w:p>
      <w:pPr>
        <w:spacing w:after="0" w:line="148" w:lineRule="exact"/>
        <w:rPr>
          <w:sz w:val="20"/>
          <w:szCs w:val="20"/>
          <w:color w:val="auto"/>
        </w:rPr>
      </w:pPr>
    </w:p>
    <w:p>
      <w:pPr>
        <w:jc w:val="both"/>
        <w:ind w:firstLine="1590"/>
        <w:spacing w:after="0" w:line="274" w:lineRule="auto"/>
        <w:tabs>
          <w:tab w:leader="none" w:pos="210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as soon as practicable, but in any event within one hundred thirty-five (135)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Arial" w:cs="Arial" w:eastAsia="Arial" w:hAnsi="Arial"/>
          <w:sz w:val="14"/>
          <w:szCs w:val="14"/>
          <w:u w:val="single" w:color="auto"/>
          <w:color w:val="auto"/>
        </w:rPr>
        <w:t>Subsection 3.1(e)</w:t>
      </w:r>
      <w:r>
        <w:rPr>
          <w:rFonts w:ascii="Arial" w:cs="Arial" w:eastAsia="Arial" w:hAnsi="Arial"/>
          <w:sz w:val="14"/>
          <w:szCs w:val="14"/>
          <w:color w:val="auto"/>
        </w:rPr>
        <w:t>) for such year, and (iii) a statement of stockholders’ equity as of the end of such year, all such financial statements audited and certified by independent public accountants of nationally or regionally recognized standing selected by the Company;</w:t>
      </w:r>
    </w:p>
    <w:p>
      <w:pPr>
        <w:spacing w:after="0" w:line="143" w:lineRule="exact"/>
        <w:rPr>
          <w:rFonts w:ascii="Arial" w:cs="Arial" w:eastAsia="Arial" w:hAnsi="Arial"/>
          <w:sz w:val="14"/>
          <w:szCs w:val="14"/>
          <w:color w:val="auto"/>
        </w:rPr>
      </w:pPr>
    </w:p>
    <w:p>
      <w:pPr>
        <w:jc w:val="both"/>
        <w:ind w:firstLine="1590"/>
        <w:spacing w:after="0" w:line="249" w:lineRule="auto"/>
        <w:tabs>
          <w:tab w:leader="none" w:pos="2203"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as soon as practicable, but in any event within thirty (30) days after the end of each of the first three (3) quarters of each fiscal year of the Company, unaudited statements of income and cash flows for such fiscal quarter, and a comparison between (x) the actual amounts as of and for such fiscal quarter and (y) the comparable amounts as included in the Budget (as defined in </w:t>
      </w:r>
      <w:r>
        <w:rPr>
          <w:rFonts w:ascii="Arial" w:cs="Arial" w:eastAsia="Arial" w:hAnsi="Arial"/>
          <w:sz w:val="15"/>
          <w:szCs w:val="15"/>
          <w:u w:val="single" w:color="auto"/>
          <w:color w:val="auto"/>
        </w:rPr>
        <w:t>Subsection 3.1(e)</w:t>
      </w:r>
      <w:r>
        <w:rPr>
          <w:rFonts w:ascii="Arial" w:cs="Arial" w:eastAsia="Arial" w:hAnsi="Arial"/>
          <w:sz w:val="15"/>
          <w:szCs w:val="15"/>
          <w:color w:val="auto"/>
        </w:rPr>
        <w:t>) for such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50" w:name="page251"/>
    <w:bookmarkEnd w:id="250"/>
    <w:p>
      <w:pPr>
        <w:jc w:val="both"/>
        <w:ind w:firstLine="1590"/>
        <w:spacing w:after="0" w:line="268" w:lineRule="auto"/>
        <w:tabs>
          <w:tab w:leader="none" w:pos="2151"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as soon as practicable, but in any event within thirty (30)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 provided, however, that no delivery needs to be made under this </w:t>
      </w:r>
      <w:r>
        <w:rPr>
          <w:rFonts w:ascii="Arial" w:cs="Arial" w:eastAsia="Arial" w:hAnsi="Arial"/>
          <w:sz w:val="14"/>
          <w:szCs w:val="14"/>
          <w:u w:val="single" w:color="auto"/>
          <w:color w:val="auto"/>
        </w:rPr>
        <w:t>Section 3.1(c)</w:t>
      </w:r>
      <w:r>
        <w:rPr>
          <w:rFonts w:ascii="Arial" w:cs="Arial" w:eastAsia="Arial" w:hAnsi="Arial"/>
          <w:sz w:val="14"/>
          <w:szCs w:val="14"/>
          <w:color w:val="auto"/>
        </w:rPr>
        <w:t xml:space="preserve"> for as long as the Major Investor has access to the Company’s capitalization table on Carta or another similar electronic capitalization table management platform that shows the information set forth in this </w:t>
      </w:r>
      <w:r>
        <w:rPr>
          <w:rFonts w:ascii="Arial" w:cs="Arial" w:eastAsia="Arial" w:hAnsi="Arial"/>
          <w:sz w:val="14"/>
          <w:szCs w:val="14"/>
          <w:u w:val="single" w:color="auto"/>
          <w:color w:val="auto"/>
        </w:rPr>
        <w:t>Section 3.1(c)</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jc w:val="both"/>
        <w:ind w:firstLine="1590"/>
        <w:spacing w:after="0" w:line="274" w:lineRule="auto"/>
        <w:tabs>
          <w:tab w:leader="none" w:pos="214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as soon as practicable, but in any event within thirty (30) days of the end of each month, an unaudited income statement and statement of cash flows for such month, and a comparison between (x) the actual amounts as of and for such month and (y) the comparable amounts as included in the Budget (as defined in </w:t>
      </w:r>
      <w:r>
        <w:rPr>
          <w:rFonts w:ascii="Arial" w:cs="Arial" w:eastAsia="Arial" w:hAnsi="Arial"/>
          <w:sz w:val="14"/>
          <w:szCs w:val="14"/>
          <w:u w:val="single" w:color="auto"/>
          <w:color w:val="auto"/>
        </w:rPr>
        <w:t>Subsection 3.1(e)</w:t>
      </w:r>
      <w:r>
        <w:rPr>
          <w:rFonts w:ascii="Arial" w:cs="Arial" w:eastAsia="Arial" w:hAnsi="Arial"/>
          <w:sz w:val="14"/>
          <w:szCs w:val="14"/>
          <w:color w:val="auto"/>
        </w:rPr>
        <w:t>)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 and</w:t>
      </w:r>
    </w:p>
    <w:p>
      <w:pPr>
        <w:spacing w:after="0" w:line="143" w:lineRule="exact"/>
        <w:rPr>
          <w:rFonts w:ascii="Arial" w:cs="Arial" w:eastAsia="Arial" w:hAnsi="Arial"/>
          <w:sz w:val="14"/>
          <w:szCs w:val="14"/>
          <w:color w:val="auto"/>
        </w:rPr>
      </w:pPr>
    </w:p>
    <w:p>
      <w:pPr>
        <w:jc w:val="both"/>
        <w:ind w:firstLine="1590"/>
        <w:spacing w:after="0" w:line="254" w:lineRule="auto"/>
        <w:tabs>
          <w:tab w:leader="none" w:pos="211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as soon as practicable, but in any event thirty (30) days before the end of each fiscal year, a budget and business plan for the next fiscal year (collectively, the “</w:t>
      </w:r>
      <w:r>
        <w:rPr>
          <w:rFonts w:ascii="Arial" w:cs="Arial" w:eastAsia="Arial" w:hAnsi="Arial"/>
          <w:sz w:val="15"/>
          <w:szCs w:val="15"/>
          <w:b w:val="1"/>
          <w:bCs w:val="1"/>
          <w:color w:val="auto"/>
        </w:rPr>
        <w:t>Budget</w:t>
      </w:r>
      <w:r>
        <w:rPr>
          <w:rFonts w:ascii="Arial" w:cs="Arial" w:eastAsia="Arial" w:hAnsi="Arial"/>
          <w:sz w:val="15"/>
          <w:szCs w:val="15"/>
          <w:color w:val="auto"/>
        </w:rPr>
        <w:t>”), approved by the Board of Directors (including all of the Preferred Directors) and prepared on a monthly basis, including balance sheets, income statements, and statements of cash flow for such months and, promptly after prepared, any other budgets or revised budgets prepared by the Company; and</w:t>
      </w:r>
    </w:p>
    <w:p>
      <w:pPr>
        <w:spacing w:after="0" w:line="155" w:lineRule="exact"/>
        <w:rPr>
          <w:rFonts w:ascii="Arial" w:cs="Arial" w:eastAsia="Arial" w:hAnsi="Arial"/>
          <w:sz w:val="15"/>
          <w:szCs w:val="15"/>
          <w:color w:val="auto"/>
        </w:rPr>
      </w:pPr>
    </w:p>
    <w:p>
      <w:pPr>
        <w:jc w:val="both"/>
        <w:ind w:firstLine="1590"/>
        <w:spacing w:after="0" w:line="249" w:lineRule="auto"/>
        <w:tabs>
          <w:tab w:leader="none" w:pos="2094"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as soon as practicable, but in any event within twenty-five (25) days after the end of each quarter of each fiscal year of the Company, such other information relating to the financial condition, business, scientific developments, prospects, and corporate affairs of the Company as any Major Investor may from time to time reasonably request;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Company shall not be obligated under this </w:t>
      </w:r>
      <w:r>
        <w:rPr>
          <w:rFonts w:ascii="Arial" w:cs="Arial" w:eastAsia="Arial" w:hAnsi="Arial"/>
          <w:sz w:val="15"/>
          <w:szCs w:val="15"/>
          <w:u w:val="single" w:color="auto"/>
          <w:color w:val="auto"/>
        </w:rPr>
        <w:t>Subsection 3.1</w:t>
      </w:r>
      <w:r>
        <w:rPr>
          <w:rFonts w:ascii="Arial" w:cs="Arial" w:eastAsia="Arial" w:hAnsi="Arial"/>
          <w:sz w:val="15"/>
          <w:szCs w:val="15"/>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51" w:name="page252"/>
    <w:bookmarkEnd w:id="251"/>
    <w:p>
      <w:pPr>
        <w:jc w:val="both"/>
        <w:ind w:firstLine="1055"/>
        <w:spacing w:after="0" w:line="300" w:lineRule="auto"/>
        <w:rPr>
          <w:sz w:val="20"/>
          <w:szCs w:val="20"/>
          <w:color w:val="auto"/>
        </w:rPr>
      </w:pPr>
      <w:r>
        <w:rPr>
          <w:rFonts w:ascii="Arial" w:cs="Arial" w:eastAsia="Arial" w:hAnsi="Arial"/>
          <w:sz w:val="14"/>
          <w:szCs w:val="14"/>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25" w:lineRule="exact"/>
        <w:rPr>
          <w:sz w:val="20"/>
          <w:szCs w:val="20"/>
          <w:color w:val="auto"/>
        </w:rPr>
      </w:pPr>
    </w:p>
    <w:p>
      <w:pPr>
        <w:jc w:val="both"/>
        <w:ind w:firstLine="1055"/>
        <w:spacing w:after="0" w:line="274" w:lineRule="auto"/>
        <w:rPr>
          <w:sz w:val="20"/>
          <w:szCs w:val="20"/>
          <w:color w:val="auto"/>
        </w:rPr>
      </w:pPr>
      <w:r>
        <w:rPr>
          <w:rFonts w:ascii="Arial" w:cs="Arial" w:eastAsia="Arial" w:hAnsi="Arial"/>
          <w:sz w:val="14"/>
          <w:szCs w:val="14"/>
          <w:color w:val="auto"/>
        </w:rPr>
        <w:t xml:space="preserve">Notwithstanding anything else in this </w:t>
      </w:r>
      <w:r>
        <w:rPr>
          <w:rFonts w:ascii="Arial" w:cs="Arial" w:eastAsia="Arial" w:hAnsi="Arial"/>
          <w:sz w:val="14"/>
          <w:szCs w:val="14"/>
          <w:u w:val="single" w:color="auto"/>
          <w:color w:val="auto"/>
        </w:rPr>
        <w:t>Subsection 3.1</w:t>
      </w:r>
      <w:r>
        <w:rPr>
          <w:rFonts w:ascii="Arial" w:cs="Arial" w:eastAsia="Arial" w:hAnsi="Arial"/>
          <w:sz w:val="14"/>
          <w:szCs w:val="14"/>
          <w:color w:val="auto"/>
        </w:rPr>
        <w:t xml:space="preserve"> to the contrary, the Company may cease providing the information set forth in this </w:t>
      </w:r>
      <w:r>
        <w:rPr>
          <w:rFonts w:ascii="Arial" w:cs="Arial" w:eastAsia="Arial" w:hAnsi="Arial"/>
          <w:sz w:val="14"/>
          <w:szCs w:val="14"/>
          <w:u w:val="single" w:color="auto"/>
          <w:color w:val="auto"/>
        </w:rPr>
        <w:t>Subsection 3.1</w:t>
      </w:r>
      <w:r>
        <w:rPr>
          <w:rFonts w:ascii="Arial" w:cs="Arial" w:eastAsia="Arial" w:hAnsi="Arial"/>
          <w:sz w:val="14"/>
          <w:szCs w:val="14"/>
          <w:color w:val="auto"/>
        </w:rPr>
        <w:t xml:space="preserve"> during the period starting with the date forty-five (45)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Company’s covenants under this </w:t>
      </w:r>
      <w:r>
        <w:rPr>
          <w:rFonts w:ascii="Arial" w:cs="Arial" w:eastAsia="Arial" w:hAnsi="Arial"/>
          <w:sz w:val="14"/>
          <w:szCs w:val="14"/>
          <w:u w:val="single" w:color="auto"/>
          <w:color w:val="auto"/>
        </w:rPr>
        <w:t>Subsection 3.1</w:t>
      </w:r>
      <w:r>
        <w:rPr>
          <w:rFonts w:ascii="Arial" w:cs="Arial" w:eastAsia="Arial" w:hAnsi="Arial"/>
          <w:sz w:val="14"/>
          <w:szCs w:val="14"/>
          <w:color w:val="auto"/>
        </w:rPr>
        <w:t xml:space="preserve"> shall be reinstated at such time as the Company is no longer actively employing its commercially reasonable efforts to cause such registration statement to become effective.</w:t>
      </w:r>
    </w:p>
    <w:p>
      <w:pPr>
        <w:spacing w:after="0" w:line="144" w:lineRule="exact"/>
        <w:rPr>
          <w:sz w:val="20"/>
          <w:szCs w:val="20"/>
          <w:color w:val="auto"/>
        </w:rPr>
      </w:pPr>
    </w:p>
    <w:p>
      <w:pPr>
        <w:jc w:val="both"/>
        <w:ind w:left="460" w:firstLine="1055"/>
        <w:spacing w:after="0" w:line="248"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Inspection</w:t>
      </w:r>
      <w:r>
        <w:rPr>
          <w:rFonts w:ascii="Arial" w:cs="Arial" w:eastAsia="Arial" w:hAnsi="Arial"/>
          <w:sz w:val="15"/>
          <w:szCs w:val="15"/>
          <w:color w:val="auto"/>
        </w:rPr>
        <w:t>. The Company shall permit each Major Investor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Company shall not be obligated pursuant to this </w:t>
      </w:r>
      <w:r>
        <w:rPr>
          <w:rFonts w:ascii="Arial" w:cs="Arial" w:eastAsia="Arial" w:hAnsi="Arial"/>
          <w:sz w:val="15"/>
          <w:szCs w:val="15"/>
          <w:u w:val="single" w:color="auto"/>
          <w:color w:val="auto"/>
        </w:rPr>
        <w:t>Subsection 3.2</w:t>
      </w:r>
      <w:r>
        <w:rPr>
          <w:rFonts w:ascii="Arial" w:cs="Arial" w:eastAsia="Arial" w:hAnsi="Arial"/>
          <w:sz w:val="15"/>
          <w:szCs w:val="15"/>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61" w:lineRule="exact"/>
        <w:rPr>
          <w:sz w:val="20"/>
          <w:szCs w:val="20"/>
          <w:color w:val="auto"/>
        </w:rPr>
      </w:pPr>
    </w:p>
    <w:p>
      <w:pPr>
        <w:jc w:val="both"/>
        <w:ind w:left="460" w:firstLine="1055"/>
        <w:spacing w:after="0" w:line="266"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Observer Rights</w:t>
      </w:r>
      <w:r>
        <w:rPr>
          <w:rFonts w:ascii="Arial" w:cs="Arial" w:eastAsia="Arial" w:hAnsi="Arial"/>
          <w:sz w:val="14"/>
          <w:szCs w:val="14"/>
          <w:color w:val="auto"/>
        </w:rPr>
        <w:t xml:space="preserve">. As long as Surveyor owns not less than fifty percent of the shares of the Series B Preferred Stock it is purchasing under the Purchase Agreement (or an equivalent amount of Common Stock issued upon conversion thereof), the Company shall invite a representative of Surveyor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all information so provided or learned in any meeting of the Board of Directors and to not use any such information for any purpose other than to monitor Surveyor’s investment in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Notwithstanding the foregoing, Surveyor shall not exercise its rights pursuant to this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unless and until the Company has confirmed in writing to Surveyor at any time after the Initial Closing (as defined in the Purchase Agreement) that the Company does not engage in the design, fabrication, development, testing, production or manufacture of critical technologies within the meaning of DPA (as defined in the Purchase Agreement).</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252" w:name="page253"/>
    <w:bookmarkEnd w:id="252"/>
    <w:p>
      <w:pPr>
        <w:jc w:val="both"/>
        <w:ind w:firstLine="1055"/>
        <w:spacing w:after="0" w:line="281"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Termination of Information Rights</w:t>
      </w:r>
      <w:r>
        <w:rPr>
          <w:rFonts w:ascii="Arial" w:cs="Arial" w:eastAsia="Arial" w:hAnsi="Arial"/>
          <w:sz w:val="14"/>
          <w:szCs w:val="14"/>
          <w:color w:val="auto"/>
        </w:rPr>
        <w:t>. The covenants set forth in Subsection 3.1, Subsection 3.2 and Subsection 3.3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38" w:lineRule="exact"/>
        <w:rPr>
          <w:sz w:val="20"/>
          <w:szCs w:val="20"/>
          <w:color w:val="auto"/>
        </w:rPr>
      </w:pPr>
    </w:p>
    <w:p>
      <w:pPr>
        <w:jc w:val="both"/>
        <w:ind w:firstLine="1055"/>
        <w:spacing w:after="0" w:line="265"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Confidentiality</w:t>
      </w:r>
      <w:r>
        <w:rPr>
          <w:rFonts w:ascii="Arial" w:cs="Arial" w:eastAsia="Arial" w:hAnsi="Arial"/>
          <w:sz w:val="14"/>
          <w:szCs w:val="14"/>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4"/>
          <w:szCs w:val="14"/>
          <w:u w:val="single" w:color="auto"/>
          <w:color w:val="auto"/>
        </w:rPr>
        <w:t>Subsection 3.5</w:t>
      </w:r>
      <w:r>
        <w:rPr>
          <w:rFonts w:ascii="Arial" w:cs="Arial" w:eastAsia="Arial" w:hAnsi="Arial"/>
          <w:sz w:val="14"/>
          <w:szCs w:val="14"/>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4"/>
          <w:szCs w:val="14"/>
          <w:u w:val="single" w:color="auto"/>
          <w:color w:val="auto"/>
        </w:rPr>
        <w:t>Subsection 3.5</w:t>
      </w:r>
      <w:r>
        <w:rPr>
          <w:rFonts w:ascii="Arial" w:cs="Arial" w:eastAsia="Arial" w:hAnsi="Arial"/>
          <w:sz w:val="14"/>
          <w:szCs w:val="14"/>
          <w:color w:val="auto"/>
        </w:rPr>
        <w:t xml:space="preserve">; (iii) to any Affiliate, partner, member, stockholder, or wholly owned subsidiary of such Investor in the ordinary course of business,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Investor informs such Person that such information is confidential and directs such Person to maintain the confidentiality of such information; (iv) to the extent required in connection with any routine or periodic examination or similar process by any regulatory or self-regulatory body or authority not specifically directed at the Company or the confidential information obtained from the Company pursuant to the terms of the Agreement, including, without limitation, quarterly or annual reports or (v) as may otherwise be required by law, regulation, rule, court order or subpoena,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 with respect to this clause (v), such Investor promptly notifies the Company of such disclosure and takes reasonable steps to minimize the extent of any such required disclosure.</w:t>
      </w:r>
    </w:p>
    <w:p>
      <w:pPr>
        <w:spacing w:after="0" w:line="150"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4"/>
          <w:szCs w:val="14"/>
          <w:u w:val="single" w:color="auto"/>
          <w:color w:val="auto"/>
        </w:rPr>
        <w:t>Material Non-Public Information</w:t>
      </w:r>
      <w:r>
        <w:rPr>
          <w:rFonts w:ascii="Arial" w:cs="Arial" w:eastAsia="Arial" w:hAnsi="Arial"/>
          <w:sz w:val="14"/>
          <w:szCs w:val="14"/>
          <w:color w:val="auto"/>
        </w:rPr>
        <w:t>.</w:t>
      </w:r>
    </w:p>
    <w:p>
      <w:pPr>
        <w:spacing w:after="0" w:line="179" w:lineRule="exact"/>
        <w:rPr>
          <w:sz w:val="20"/>
          <w:szCs w:val="20"/>
          <w:color w:val="auto"/>
        </w:rPr>
      </w:pPr>
    </w:p>
    <w:p>
      <w:pPr>
        <w:jc w:val="both"/>
        <w:ind w:left="80" w:firstLine="1050"/>
        <w:spacing w:after="0" w:line="269" w:lineRule="auto"/>
        <w:tabs>
          <w:tab w:leader="none" w:pos="1682"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Company understands and acknowledges that in the regular course of Surveyor’s businesses, Surveyor and its Affiliates will invest in companies that have issued securities that are publicly traded (each, a “</w:t>
      </w:r>
      <w:r>
        <w:rPr>
          <w:rFonts w:ascii="Arial" w:cs="Arial" w:eastAsia="Arial" w:hAnsi="Arial"/>
          <w:sz w:val="14"/>
          <w:szCs w:val="14"/>
          <w:b w:val="1"/>
          <w:bCs w:val="1"/>
          <w:color w:val="auto"/>
        </w:rPr>
        <w:t>Public Company</w:t>
      </w:r>
      <w:r>
        <w:rPr>
          <w:rFonts w:ascii="Arial" w:cs="Arial" w:eastAsia="Arial" w:hAnsi="Arial"/>
          <w:sz w:val="14"/>
          <w:szCs w:val="14"/>
          <w:color w:val="auto"/>
        </w:rPr>
        <w:t>”). Accordingly, the Company covenants and agrees that before providing any material non-public information about a Public Company (“</w:t>
      </w:r>
      <w:r>
        <w:rPr>
          <w:rFonts w:ascii="Arial" w:cs="Arial" w:eastAsia="Arial" w:hAnsi="Arial"/>
          <w:sz w:val="14"/>
          <w:szCs w:val="14"/>
          <w:b w:val="1"/>
          <w:bCs w:val="1"/>
          <w:color w:val="auto"/>
        </w:rPr>
        <w:t>Public Company Information</w:t>
      </w:r>
      <w:r>
        <w:rPr>
          <w:rFonts w:ascii="Arial" w:cs="Arial" w:eastAsia="Arial" w:hAnsi="Arial"/>
          <w:sz w:val="14"/>
          <w:szCs w:val="14"/>
          <w:color w:val="auto"/>
        </w:rPr>
        <w:t>”) to Surveyor or its representatives (or any of their respective Affiliates), the Company shall provide written notice of such Public Company Information to Surveyor’s compliance officer at SCComplianceAppvl@citadel.com describing such Public Company Information in reasonable detail. The Company shall not disclose Public Company Information to Surveyor or its representatives (or any of their respective Affiliates) without prior written authorization from Surveyor’s compliance officer listed above.</w:t>
      </w:r>
    </w:p>
    <w:p>
      <w:pPr>
        <w:spacing w:after="0" w:line="324"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8890</wp:posOffset>
            </wp:positionV>
            <wp:extent cx="715772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820"/>
          </w:cols>
          <w:pgMar w:left="760" w:top="766" w:right="319" w:bottom="1440" w:gutter="0" w:footer="0" w:header="0"/>
        </w:sectPr>
      </w:pPr>
    </w:p>
    <w:bookmarkStart w:id="253" w:name="page254"/>
    <w:bookmarkEnd w:id="253"/>
    <w:p>
      <w:pPr>
        <w:ind w:left="540" w:firstLine="1050"/>
        <w:spacing w:after="0" w:line="300" w:lineRule="auto"/>
        <w:tabs>
          <w:tab w:leader="none" w:pos="2106" w:val="left"/>
        </w:tabs>
        <w:numPr>
          <w:ilvl w:val="1"/>
          <w:numId w:val="139"/>
        </w:numPr>
        <w:rPr>
          <w:rFonts w:ascii="Arial" w:cs="Arial" w:eastAsia="Arial" w:hAnsi="Arial"/>
          <w:sz w:val="14"/>
          <w:szCs w:val="14"/>
          <w:color w:val="auto"/>
        </w:rPr>
      </w:pPr>
      <w:r>
        <w:rPr>
          <w:rFonts w:ascii="Arial" w:cs="Arial" w:eastAsia="Arial" w:hAnsi="Arial"/>
          <w:sz w:val="14"/>
          <w:szCs w:val="14"/>
          <w:color w:val="auto"/>
        </w:rPr>
        <w:t>The Company acknowledges and agrees that in no event shall any Investor’s confidentiality and non-use obligations hereunder in any manner be deemed or construed as limiting such Investor or its representatives (or any of their respective Affiliates) ability to trade any security of a Public Company.</w:t>
      </w:r>
    </w:p>
    <w:p>
      <w:pPr>
        <w:spacing w:after="0" w:line="124" w:lineRule="exact"/>
        <w:rPr>
          <w:rFonts w:ascii="Arial" w:cs="Arial" w:eastAsia="Arial" w:hAnsi="Arial"/>
          <w:sz w:val="14"/>
          <w:szCs w:val="14"/>
          <w:color w:val="auto"/>
        </w:rPr>
      </w:pPr>
    </w:p>
    <w:p>
      <w:pPr>
        <w:ind w:left="1040" w:hanging="505"/>
        <w:spacing w:after="0"/>
        <w:tabs>
          <w:tab w:leader="none" w:pos="1040"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t>Rights to Future Stock Issuances</w:t>
      </w:r>
      <w:r>
        <w:rPr>
          <w:rFonts w:ascii="Arial" w:cs="Arial" w:eastAsia="Arial" w:hAnsi="Arial"/>
          <w:sz w:val="15"/>
          <w:szCs w:val="15"/>
          <w:color w:val="auto"/>
        </w:rPr>
        <w:t>.</w:t>
      </w:r>
    </w:p>
    <w:p>
      <w:pPr>
        <w:spacing w:after="0" w:line="179" w:lineRule="exact"/>
        <w:rPr>
          <w:sz w:val="20"/>
          <w:szCs w:val="20"/>
          <w:color w:val="auto"/>
        </w:rPr>
      </w:pPr>
    </w:p>
    <w:p>
      <w:pPr>
        <w:jc w:val="both"/>
        <w:ind w:left="460" w:firstLine="1055"/>
        <w:spacing w:after="0" w:line="285"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Right of First Offer</w:t>
      </w:r>
      <w:r>
        <w:rPr>
          <w:rFonts w:ascii="Arial" w:cs="Arial" w:eastAsia="Arial" w:hAnsi="Arial"/>
          <w:sz w:val="13"/>
          <w:szCs w:val="13"/>
          <w:color w:val="auto"/>
        </w:rPr>
        <w:t xml:space="preserve">. Subject to the terms and conditions of this </w:t>
      </w:r>
      <w:r>
        <w:rPr>
          <w:rFonts w:ascii="Arial" w:cs="Arial" w:eastAsia="Arial" w:hAnsi="Arial"/>
          <w:sz w:val="13"/>
          <w:szCs w:val="13"/>
          <w:u w:val="single" w:color="auto"/>
          <w:color w:val="auto"/>
        </w:rPr>
        <w:t>Subsection 4.1</w:t>
      </w:r>
      <w:r>
        <w:rPr>
          <w:rFonts w:ascii="Arial" w:cs="Arial" w:eastAsia="Arial" w:hAnsi="Arial"/>
          <w:sz w:val="13"/>
          <w:szCs w:val="13"/>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Arial" w:cs="Arial" w:eastAsia="Arial" w:hAnsi="Arial"/>
          <w:sz w:val="13"/>
          <w:szCs w:val="13"/>
          <w:b w:val="1"/>
          <w:bCs w:val="1"/>
          <w:color w:val="auto"/>
        </w:rPr>
        <w:t>Investor Beneficial Owners</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such Affiliate or Investor Beneficial Owner (x) is not a Competitor or FOIA Party, unless such party’s purchase of New Securities is otherwise consented to by the Board of Directors and</w:t>
      </w:r>
    </w:p>
    <w:p>
      <w:pPr>
        <w:spacing w:after="0" w:line="2" w:lineRule="exact"/>
        <w:rPr>
          <w:sz w:val="20"/>
          <w:szCs w:val="20"/>
          <w:color w:val="auto"/>
        </w:rPr>
      </w:pPr>
    </w:p>
    <w:p>
      <w:pPr>
        <w:jc w:val="both"/>
        <w:ind w:left="460" w:firstLine="9"/>
        <w:spacing w:after="0" w:line="246" w:lineRule="auto"/>
        <w:tabs>
          <w:tab w:leader="none" w:pos="672"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agrees to enter into this Agreement and each of the Voting Agreement and Right of First Refusal and Co-Sale Agreement of even date herewith among the Company, the Investors and the other parties named therein, as an “</w:t>
      </w:r>
      <w:r>
        <w:rPr>
          <w:rFonts w:ascii="Arial" w:cs="Arial" w:eastAsia="Arial" w:hAnsi="Arial"/>
          <w:sz w:val="15"/>
          <w:szCs w:val="15"/>
          <w:b w:val="1"/>
          <w:bCs w:val="1"/>
          <w:color w:val="auto"/>
        </w:rPr>
        <w:t>Investor</w:t>
      </w:r>
      <w:r>
        <w:rPr>
          <w:rFonts w:ascii="Arial" w:cs="Arial" w:eastAsia="Arial" w:hAnsi="Arial"/>
          <w:sz w:val="15"/>
          <w:szCs w:val="15"/>
          <w:color w:val="auto"/>
        </w:rPr>
        <w:t>” under each such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Competitor or FOIA Party shall not be entitled to any rights as a Major Investor under </w:t>
      </w:r>
      <w:r>
        <w:rPr>
          <w:rFonts w:ascii="Arial" w:cs="Arial" w:eastAsia="Arial" w:hAnsi="Arial"/>
          <w:sz w:val="15"/>
          <w:szCs w:val="15"/>
          <w:u w:val="single" w:color="auto"/>
          <w:color w:val="auto"/>
        </w:rPr>
        <w:t>Subsections 3.1</w:t>
      </w:r>
      <w:r>
        <w:rPr>
          <w:rFonts w:ascii="Arial" w:cs="Arial" w:eastAsia="Arial" w:hAnsi="Arial"/>
          <w:sz w:val="15"/>
          <w:szCs w:val="15"/>
          <w:color w:val="auto"/>
        </w:rPr>
        <w:t xml:space="preserve">, </w:t>
      </w:r>
      <w:r>
        <w:rPr>
          <w:rFonts w:ascii="Arial" w:cs="Arial" w:eastAsia="Arial" w:hAnsi="Arial"/>
          <w:sz w:val="15"/>
          <w:szCs w:val="15"/>
          <w:u w:val="single" w:color="auto"/>
          <w:color w:val="auto"/>
        </w:rPr>
        <w:t>3.2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4.1</w:t>
      </w:r>
      <w:r>
        <w:rPr>
          <w:rFonts w:ascii="Arial" w:cs="Arial" w:eastAsia="Arial" w:hAnsi="Arial"/>
          <w:sz w:val="15"/>
          <w:szCs w:val="15"/>
          <w:color w:val="auto"/>
        </w:rPr>
        <w:t xml:space="preserve"> hereof).</w:t>
      </w:r>
    </w:p>
    <w:p>
      <w:pPr>
        <w:spacing w:after="0" w:line="158" w:lineRule="exact"/>
        <w:rPr>
          <w:rFonts w:ascii="Arial" w:cs="Arial" w:eastAsia="Arial" w:hAnsi="Arial"/>
          <w:sz w:val="15"/>
          <w:szCs w:val="15"/>
          <w:color w:val="auto"/>
        </w:rPr>
      </w:pPr>
    </w:p>
    <w:p>
      <w:pPr>
        <w:ind w:firstLine="1590"/>
        <w:spacing w:after="0" w:line="269" w:lineRule="auto"/>
        <w:tabs>
          <w:tab w:leader="none" w:pos="2133" w:val="left"/>
        </w:tabs>
        <w:numPr>
          <w:ilvl w:val="2"/>
          <w:numId w:val="141"/>
        </w:numPr>
        <w:rPr>
          <w:rFonts w:ascii="Arial" w:cs="Arial" w:eastAsia="Arial" w:hAnsi="Arial"/>
          <w:sz w:val="15"/>
          <w:szCs w:val="15"/>
          <w:color w:val="auto"/>
        </w:rPr>
      </w:pPr>
      <w:r>
        <w:rPr>
          <w:rFonts w:ascii="Arial" w:cs="Arial" w:eastAsia="Arial" w:hAnsi="Arial"/>
          <w:sz w:val="15"/>
          <w:szCs w:val="15"/>
          <w:color w:val="auto"/>
        </w:rPr>
        <w:t>The Company shall give notice (the “</w:t>
      </w:r>
      <w:r>
        <w:rPr>
          <w:rFonts w:ascii="Arial" w:cs="Arial" w:eastAsia="Arial" w:hAnsi="Arial"/>
          <w:sz w:val="15"/>
          <w:szCs w:val="15"/>
          <w:b w:val="1"/>
          <w:bCs w:val="1"/>
          <w:color w:val="auto"/>
        </w:rPr>
        <w:t>Offer Notice</w:t>
      </w:r>
      <w:r>
        <w:rPr>
          <w:rFonts w:ascii="Arial" w:cs="Arial" w:eastAsia="Arial" w:hAnsi="Arial"/>
          <w:sz w:val="15"/>
          <w:szCs w:val="15"/>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44" w:lineRule="exact"/>
        <w:rPr>
          <w:rFonts w:ascii="Arial" w:cs="Arial" w:eastAsia="Arial" w:hAnsi="Arial"/>
          <w:sz w:val="15"/>
          <w:szCs w:val="15"/>
          <w:color w:val="auto"/>
        </w:rPr>
      </w:pPr>
    </w:p>
    <w:p>
      <w:pPr>
        <w:jc w:val="both"/>
        <w:ind w:firstLine="1590"/>
        <w:spacing w:after="0" w:line="283" w:lineRule="auto"/>
        <w:tabs>
          <w:tab w:leader="none" w:pos="2115" w:val="left"/>
        </w:tabs>
        <w:numPr>
          <w:ilvl w:val="2"/>
          <w:numId w:val="141"/>
        </w:numPr>
        <w:rPr>
          <w:rFonts w:ascii="Arial" w:cs="Arial" w:eastAsia="Arial" w:hAnsi="Arial"/>
          <w:sz w:val="13"/>
          <w:szCs w:val="13"/>
          <w:color w:val="auto"/>
        </w:rPr>
      </w:pPr>
      <w:r>
        <w:rPr>
          <w:rFonts w:ascii="Arial" w:cs="Arial" w:eastAsia="Arial" w:hAnsi="Arial"/>
          <w:sz w:val="13"/>
          <w:szCs w:val="13"/>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Arial" w:cs="Arial" w:eastAsia="Arial" w:hAnsi="Arial"/>
          <w:sz w:val="13"/>
          <w:szCs w:val="13"/>
          <w:b w:val="1"/>
          <w:bCs w:val="1"/>
          <w:color w:val="auto"/>
        </w:rPr>
        <w:t>Fully Exercising Investor</w:t>
      </w:r>
      <w:r>
        <w:rPr>
          <w:rFonts w:ascii="Arial" w:cs="Arial" w:eastAsia="Arial" w:hAnsi="Arial"/>
          <w:sz w:val="13"/>
          <w:szCs w:val="13"/>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3"/>
          <w:szCs w:val="13"/>
          <w:u w:val="single" w:color="auto"/>
          <w:color w:val="auto"/>
        </w:rPr>
        <w:t>Subsection 4.1(b)</w:t>
      </w:r>
      <w:r>
        <w:rPr>
          <w:rFonts w:ascii="Arial" w:cs="Arial" w:eastAsia="Arial" w:hAnsi="Arial"/>
          <w:sz w:val="13"/>
          <w:szCs w:val="13"/>
          <w:color w:val="auto"/>
        </w:rPr>
        <w:t xml:space="preserve"> shall occur within the later of one hundred and twenty</w:t>
      </w:r>
    </w:p>
    <w:p>
      <w:pPr>
        <w:spacing w:after="0" w:line="5" w:lineRule="exact"/>
        <w:rPr>
          <w:rFonts w:ascii="Arial" w:cs="Arial" w:eastAsia="Arial" w:hAnsi="Arial"/>
          <w:sz w:val="13"/>
          <w:szCs w:val="13"/>
          <w:color w:val="auto"/>
        </w:rPr>
      </w:pPr>
    </w:p>
    <w:p>
      <w:pPr>
        <w:ind w:left="360" w:hanging="352"/>
        <w:spacing w:after="0"/>
        <w:tabs>
          <w:tab w:leader="none" w:pos="3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 xml:space="preserve">days of the date that the Offer Notice is given and the date of initial sale of New Securities pursuant to </w:t>
      </w:r>
      <w:r>
        <w:rPr>
          <w:rFonts w:ascii="Arial" w:cs="Arial" w:eastAsia="Arial" w:hAnsi="Arial"/>
          <w:sz w:val="15"/>
          <w:szCs w:val="15"/>
          <w:u w:val="single" w:color="auto"/>
          <w:color w:val="auto"/>
        </w:rPr>
        <w:t>Subsection 4.1(c)</w:t>
      </w:r>
      <w:r>
        <w:rPr>
          <w:rFonts w:ascii="Arial" w:cs="Arial" w:eastAsia="Arial" w:hAnsi="Arial"/>
          <w:sz w:val="15"/>
          <w:szCs w:val="15"/>
          <w:color w:val="auto"/>
        </w:rPr>
        <w:t>.</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54" w:name="page255"/>
    <w:bookmarkEnd w:id="254"/>
    <w:p>
      <w:pPr>
        <w:jc w:val="both"/>
        <w:ind w:firstLine="1590"/>
        <w:spacing w:after="0" w:line="271" w:lineRule="auto"/>
        <w:tabs>
          <w:tab w:leader="none" w:pos="2096"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xml:space="preserve">If all New Securities referred to in the Offer Notice are not elected to be purchased or acquired as provided in </w:t>
      </w:r>
      <w:r>
        <w:rPr>
          <w:rFonts w:ascii="Arial" w:cs="Arial" w:eastAsia="Arial" w:hAnsi="Arial"/>
          <w:sz w:val="14"/>
          <w:szCs w:val="14"/>
          <w:u w:val="single" w:color="auto"/>
          <w:color w:val="auto"/>
        </w:rPr>
        <w:t>Subsection 4.1(b)</w:t>
      </w:r>
      <w:r>
        <w:rPr>
          <w:rFonts w:ascii="Arial" w:cs="Arial" w:eastAsia="Arial" w:hAnsi="Arial"/>
          <w:sz w:val="14"/>
          <w:szCs w:val="14"/>
          <w:color w:val="auto"/>
        </w:rPr>
        <w:t xml:space="preserve">, the Company may, during the ninety (90) day period following the expiration of the periods provided in </w:t>
      </w:r>
      <w:r>
        <w:rPr>
          <w:rFonts w:ascii="Arial" w:cs="Arial" w:eastAsia="Arial" w:hAnsi="Arial"/>
          <w:sz w:val="14"/>
          <w:szCs w:val="14"/>
          <w:u w:val="single" w:color="auto"/>
          <w:color w:val="auto"/>
        </w:rPr>
        <w:t>Subsection 4.1(b)</w:t>
      </w:r>
      <w:r>
        <w:rPr>
          <w:rFonts w:ascii="Arial" w:cs="Arial" w:eastAsia="Arial" w:hAnsi="Arial"/>
          <w:sz w:val="14"/>
          <w:szCs w:val="14"/>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4"/>
          <w:szCs w:val="14"/>
          <w:u w:val="single" w:color="auto"/>
          <w:color w:val="auto"/>
        </w:rPr>
        <w:t>Subsection 4.1</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firstLine="1590"/>
        <w:spacing w:after="0" w:line="300" w:lineRule="auto"/>
        <w:tabs>
          <w:tab w:leader="none" w:pos="2104"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xml:space="preserve">The right of first offer in this </w:t>
      </w:r>
      <w:r>
        <w:rPr>
          <w:rFonts w:ascii="Arial" w:cs="Arial" w:eastAsia="Arial" w:hAnsi="Arial"/>
          <w:sz w:val="14"/>
          <w:szCs w:val="14"/>
          <w:u w:val="single" w:color="auto"/>
          <w:color w:val="auto"/>
        </w:rPr>
        <w:t>Subsection 4.1</w:t>
      </w:r>
      <w:r>
        <w:rPr>
          <w:rFonts w:ascii="Arial" w:cs="Arial" w:eastAsia="Arial" w:hAnsi="Arial"/>
          <w:sz w:val="14"/>
          <w:szCs w:val="14"/>
          <w:color w:val="auto"/>
        </w:rPr>
        <w:t xml:space="preserve"> shall not be applicable to (i) Exempted Securities (as defined in the Certificate of Incorporation); (ii) shares of Common Stock issued in the IPO; and (iii) the issuance of shares of Series B Preferred Stock pursuant to </w:t>
      </w:r>
      <w:r>
        <w:rPr>
          <w:rFonts w:ascii="Arial" w:cs="Arial" w:eastAsia="Arial" w:hAnsi="Arial"/>
          <w:sz w:val="14"/>
          <w:szCs w:val="14"/>
          <w:u w:val="single" w:color="auto"/>
          <w:color w:val="auto"/>
        </w:rPr>
        <w:t>Subsection 1.3</w:t>
      </w:r>
      <w:r>
        <w:rPr>
          <w:rFonts w:ascii="Arial" w:cs="Arial" w:eastAsia="Arial" w:hAnsi="Arial"/>
          <w:sz w:val="14"/>
          <w:szCs w:val="14"/>
          <w:color w:val="auto"/>
        </w:rPr>
        <w:t xml:space="preserve"> of the Purchase Agreement.</w:t>
      </w:r>
    </w:p>
    <w:p>
      <w:pPr>
        <w:spacing w:after="0" w:line="125" w:lineRule="exact"/>
        <w:rPr>
          <w:sz w:val="20"/>
          <w:szCs w:val="20"/>
          <w:color w:val="auto"/>
        </w:rPr>
      </w:pPr>
    </w:p>
    <w:p>
      <w:pPr>
        <w:jc w:val="both"/>
        <w:ind w:left="460" w:firstLine="1055"/>
        <w:spacing w:after="0" w:line="254"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The covenants set forth in </w:t>
      </w:r>
      <w:r>
        <w:rPr>
          <w:rFonts w:ascii="Arial" w:cs="Arial" w:eastAsia="Arial" w:hAnsi="Arial"/>
          <w:sz w:val="15"/>
          <w:szCs w:val="15"/>
          <w:u w:val="single" w:color="auto"/>
          <w:color w:val="auto"/>
        </w:rPr>
        <w:t>Subsection 4.1</w:t>
      </w:r>
      <w:r>
        <w:rPr>
          <w:rFonts w:ascii="Arial" w:cs="Arial" w:eastAsia="Arial" w:hAnsi="Arial"/>
          <w:sz w:val="15"/>
          <w:szCs w:val="15"/>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56" w:lineRule="exact"/>
        <w:rPr>
          <w:sz w:val="20"/>
          <w:szCs w:val="20"/>
          <w:color w:val="auto"/>
        </w:rPr>
      </w:pPr>
    </w:p>
    <w:p>
      <w:pPr>
        <w:ind w:left="1040" w:hanging="505"/>
        <w:spacing w:after="0"/>
        <w:tabs>
          <w:tab w:leader="none" w:pos="1040"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Additional Covenants</w:t>
      </w:r>
      <w:r>
        <w:rPr>
          <w:rFonts w:ascii="Arial" w:cs="Arial" w:eastAsia="Arial" w:hAnsi="Arial"/>
          <w:sz w:val="15"/>
          <w:szCs w:val="15"/>
          <w:color w:val="auto"/>
        </w:rPr>
        <w:t>.</w:t>
      </w:r>
    </w:p>
    <w:p>
      <w:pPr>
        <w:spacing w:after="0" w:line="179" w:lineRule="exact"/>
        <w:rPr>
          <w:sz w:val="20"/>
          <w:szCs w:val="20"/>
          <w:color w:val="auto"/>
        </w:rPr>
      </w:pPr>
    </w:p>
    <w:p>
      <w:pPr>
        <w:jc w:val="both"/>
        <w:ind w:firstLine="1516"/>
        <w:spacing w:after="0" w:line="268"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Insurance</w:t>
      </w:r>
      <w:r>
        <w:rPr>
          <w:rFonts w:ascii="Arial" w:cs="Arial" w:eastAsia="Arial" w:hAnsi="Arial"/>
          <w:sz w:val="14"/>
          <w:szCs w:val="14"/>
          <w:color w:val="auto"/>
        </w:rPr>
        <w:t>. The Company has obtained from financially sound and reputable insurers Directors and Officers liability insurance in an amount and on terms and conditions satisfactory to the Board of Directors, including all of the Preferred Directors, and will use commercially reasonable efforts to cause such insurance policies to be maintained until such time as the Board of Directors determines that such insurance should be discontinued. The Company shall obtain, within thirty (30) days of the date hereof, from financially sound and reputable insurers term “key-person” insurance on Benjamin J. Zeskind, in an amount of five million dollars ($5,000,000) or any other amount satisfactory to the Board of Directors and on terms and conditions satisfactory to the Board of Directors, and will use commercially reasonable efforts to cause such insurance policies to be maintained until such time as the Board of Directors determines that such insurance should be discontinued. The key-person policy shall name the Company as loss payee, and neither policy shall be cancelable by the Company without prior approval by the Board of Directors, including all of the Preferred Directors.</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55" w:name="page256"/>
    <w:bookmarkEnd w:id="255"/>
    <w:p>
      <w:pPr>
        <w:ind w:firstLine="1582"/>
        <w:spacing w:after="0" w:line="290"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Employee Agreements</w:t>
      </w:r>
      <w:r>
        <w:rPr>
          <w:rFonts w:ascii="Arial" w:cs="Arial" w:eastAsia="Arial" w:hAnsi="Arial"/>
          <w:sz w:val="13"/>
          <w:szCs w:val="13"/>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w:t>
      </w:r>
    </w:p>
    <w:p>
      <w:pPr>
        <w:spacing w:after="0" w:line="1" w:lineRule="exact"/>
        <w:rPr>
          <w:sz w:val="20"/>
          <w:szCs w:val="20"/>
          <w:color w:val="auto"/>
        </w:rPr>
      </w:pPr>
    </w:p>
    <w:p>
      <w:pPr>
        <w:jc w:val="both"/>
        <w:ind w:firstLine="8"/>
        <w:spacing w:after="0" w:line="269" w:lineRule="auto"/>
        <w:tabs>
          <w:tab w:leader="none" w:pos="217" w:val="left"/>
        </w:tabs>
        <w:numPr>
          <w:ilvl w:val="0"/>
          <w:numId w:val="145"/>
        </w:numPr>
        <w:rPr>
          <w:rFonts w:ascii="Arial" w:cs="Arial" w:eastAsia="Arial" w:hAnsi="Arial"/>
          <w:sz w:val="14"/>
          <w:szCs w:val="14"/>
          <w:color w:val="auto"/>
        </w:rPr>
      </w:pPr>
      <w:r>
        <w:rPr>
          <w:rFonts w:ascii="Arial" w:cs="Arial" w:eastAsia="Arial" w:hAnsi="Arial"/>
          <w:sz w:val="14"/>
          <w:szCs w:val="14"/>
          <w:color w:val="auto"/>
        </w:rPr>
        <w:t xml:space="preserve">each Key Employee to enter into a one (1) year noncompetition and nonsolicitation agreement, substantially in the form approved by the Board of Directors. The Company has delivered to the Investors copies of all existing agreements between current employees and consultants, and the Investors agree that these agreements satisfy the requirements of this </w:t>
      </w:r>
      <w:r>
        <w:rPr>
          <w:rFonts w:ascii="Arial" w:cs="Arial" w:eastAsia="Arial" w:hAnsi="Arial"/>
          <w:sz w:val="14"/>
          <w:szCs w:val="14"/>
          <w:u w:val="single" w:color="auto"/>
          <w:color w:val="auto"/>
        </w:rPr>
        <w:t>Section 5.2</w:t>
      </w:r>
      <w:r>
        <w:rPr>
          <w:rFonts w:ascii="Arial" w:cs="Arial" w:eastAsia="Arial" w:hAnsi="Arial"/>
          <w:sz w:val="14"/>
          <w:szCs w:val="14"/>
          <w:color w:val="auto"/>
        </w:rPr>
        <w:t>. In addition, the Company shall not amend, modify, terminate, waive, or otherwise alter, in whole or in part, any of the above-referenced agreements or any restricted stock agreement between the Company and any employee, without the approval of the Board of Directors, including all of the Preferred Directors.</w:t>
      </w:r>
    </w:p>
    <w:p>
      <w:pPr>
        <w:spacing w:after="0" w:line="146" w:lineRule="exact"/>
        <w:rPr>
          <w:sz w:val="20"/>
          <w:szCs w:val="20"/>
          <w:color w:val="auto"/>
        </w:rPr>
      </w:pPr>
    </w:p>
    <w:p>
      <w:pPr>
        <w:jc w:val="both"/>
        <w:ind w:firstLine="1582"/>
        <w:spacing w:after="0" w:line="249"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Employee Stock</w:t>
      </w:r>
      <w:r>
        <w:rPr>
          <w:rFonts w:ascii="Arial" w:cs="Arial" w:eastAsia="Arial" w:hAnsi="Arial"/>
          <w:sz w:val="15"/>
          <w:szCs w:val="15"/>
          <w:color w:val="auto"/>
        </w:rPr>
        <w:t xml:space="preserve">. Unless otherwise approved by the Board of Directors, including all of the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15"/>
          <w:szCs w:val="15"/>
          <w:u w:val="single" w:color="auto"/>
          <w:color w:val="auto"/>
        </w:rPr>
        <w:t>Subsection 2.11</w:t>
      </w:r>
      <w:r>
        <w:rPr>
          <w:rFonts w:ascii="Arial" w:cs="Arial" w:eastAsia="Arial" w:hAnsi="Arial"/>
          <w:sz w:val="15"/>
          <w:szCs w:val="15"/>
          <w:color w:val="auto"/>
        </w:rPr>
        <w:t>.</w:t>
      </w:r>
    </w:p>
    <w:p>
      <w:pPr>
        <w:spacing w:after="0" w:line="160" w:lineRule="exact"/>
        <w:rPr>
          <w:sz w:val="20"/>
          <w:szCs w:val="20"/>
          <w:color w:val="auto"/>
        </w:rPr>
      </w:pPr>
    </w:p>
    <w:p>
      <w:pPr>
        <w:jc w:val="both"/>
        <w:ind w:firstLine="1582"/>
        <w:spacing w:after="0" w:line="254"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Matters Requiring Investor Director Approval</w:t>
      </w:r>
      <w:r>
        <w:rPr>
          <w:rFonts w:ascii="Arial" w:cs="Arial" w:eastAsia="Arial" w:hAnsi="Arial"/>
          <w:sz w:val="15"/>
          <w:szCs w:val="15"/>
          <w:color w:val="auto"/>
        </w:rPr>
        <w:t>. So long as the holders of Series B Preferred Stock are entitled to elect a Preferred Director, the Company hereby covenants and agrees with each of the Investors that it shall not, without approval of the Board of Directors, which approval must include the affirmative vote of all of the Preferred Directors:</w:t>
      </w:r>
    </w:p>
    <w:p>
      <w:pPr>
        <w:spacing w:after="0" w:line="156" w:lineRule="exact"/>
        <w:rPr>
          <w:sz w:val="20"/>
          <w:szCs w:val="20"/>
          <w:color w:val="auto"/>
        </w:rPr>
      </w:pPr>
    </w:p>
    <w:p>
      <w:pPr>
        <w:ind w:left="2260" w:hanging="670"/>
        <w:spacing w:after="0"/>
        <w:tabs>
          <w:tab w:leader="none" w:pos="226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Effect or consummate a public offering of any Capital Stock of the company or any of its subsidiaries, or engage any investment banking firm or</w:t>
      </w:r>
    </w:p>
    <w:p>
      <w:pPr>
        <w:spacing w:after="0" w:line="2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underwriter in connection therewith;</w:t>
      </w:r>
    </w:p>
    <w:p>
      <w:pPr>
        <w:spacing w:after="0" w:line="168" w:lineRule="exact"/>
        <w:rPr>
          <w:rFonts w:ascii="Arial" w:cs="Arial" w:eastAsia="Arial" w:hAnsi="Arial"/>
          <w:sz w:val="14"/>
          <w:szCs w:val="14"/>
          <w:color w:val="auto"/>
        </w:rPr>
      </w:pPr>
    </w:p>
    <w:p>
      <w:pPr>
        <w:ind w:firstLine="1590"/>
        <w:spacing w:after="0" w:line="264" w:lineRule="auto"/>
        <w:tabs>
          <w:tab w:leader="none" w:pos="2104" w:val="left"/>
        </w:tabs>
        <w:numPr>
          <w:ilvl w:val="0"/>
          <w:numId w:val="146"/>
        </w:numPr>
        <w:rPr>
          <w:rFonts w:ascii="Arial" w:cs="Arial" w:eastAsia="Arial" w:hAnsi="Arial"/>
          <w:sz w:val="15"/>
          <w:szCs w:val="15"/>
          <w:color w:val="auto"/>
        </w:rPr>
      </w:pPr>
      <w:r>
        <w:rPr>
          <w:rFonts w:ascii="Arial" w:cs="Arial" w:eastAsia="Arial" w:hAnsi="Arial"/>
          <w:sz w:val="15"/>
          <w:szCs w:val="15"/>
          <w:color w:val="auto"/>
        </w:rPr>
        <w:t>make, or permit any subsidiary to make, any loan or advance to, or own any stock or other securities of, any subsidiary or other corporation, partnership, or other entity unless it is wholly owned by the Company;</w:t>
      </w:r>
    </w:p>
    <w:p>
      <w:pPr>
        <w:spacing w:after="0" w:line="147" w:lineRule="exact"/>
        <w:rPr>
          <w:rFonts w:ascii="Arial" w:cs="Arial" w:eastAsia="Arial" w:hAnsi="Arial"/>
          <w:sz w:val="15"/>
          <w:szCs w:val="15"/>
          <w:color w:val="auto"/>
        </w:rPr>
      </w:pPr>
    </w:p>
    <w:p>
      <w:pPr>
        <w:ind w:firstLine="1590"/>
        <w:spacing w:after="0" w:line="341" w:lineRule="auto"/>
        <w:tabs>
          <w:tab w:leader="none" w:pos="2096" w:val="left"/>
        </w:tabs>
        <w:numPr>
          <w:ilvl w:val="0"/>
          <w:numId w:val="146"/>
        </w:numPr>
        <w:rPr>
          <w:rFonts w:ascii="Arial" w:cs="Arial" w:eastAsia="Arial" w:hAnsi="Arial"/>
          <w:sz w:val="13"/>
          <w:szCs w:val="13"/>
          <w:color w:val="auto"/>
        </w:rPr>
      </w:pPr>
      <w:r>
        <w:rPr>
          <w:rFonts w:ascii="Arial" w:cs="Arial" w:eastAsia="Arial" w:hAnsi="Arial"/>
          <w:sz w:val="13"/>
          <w:szCs w:val="13"/>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02" w:lineRule="exact"/>
        <w:rPr>
          <w:rFonts w:ascii="Arial" w:cs="Arial" w:eastAsia="Arial" w:hAnsi="Arial"/>
          <w:sz w:val="13"/>
          <w:szCs w:val="13"/>
          <w:color w:val="auto"/>
        </w:rPr>
      </w:pPr>
    </w:p>
    <w:p>
      <w:pPr>
        <w:ind w:firstLine="1590"/>
        <w:spacing w:after="0" w:line="264" w:lineRule="auto"/>
        <w:tabs>
          <w:tab w:leader="none" w:pos="2079" w:val="left"/>
        </w:tabs>
        <w:numPr>
          <w:ilvl w:val="0"/>
          <w:numId w:val="146"/>
        </w:numPr>
        <w:rPr>
          <w:rFonts w:ascii="Arial" w:cs="Arial" w:eastAsia="Arial" w:hAnsi="Arial"/>
          <w:sz w:val="15"/>
          <w:szCs w:val="15"/>
          <w:color w:val="auto"/>
        </w:rPr>
      </w:pPr>
      <w:r>
        <w:rPr>
          <w:rFonts w:ascii="Arial" w:cs="Arial" w:eastAsia="Arial" w:hAnsi="Arial"/>
          <w:sz w:val="15"/>
          <w:szCs w:val="15"/>
          <w:color w:val="auto"/>
        </w:rPr>
        <w:t>guarantee, directly or indirectly, or permit any subsidiary to guarantee, directly or indirectly, any indebtedness except for trade accounts of the Company or any subsidiary arising in the ordinary course of business;</w:t>
      </w:r>
    </w:p>
    <w:p>
      <w:pPr>
        <w:spacing w:after="0" w:line="147" w:lineRule="exact"/>
        <w:rPr>
          <w:rFonts w:ascii="Arial" w:cs="Arial" w:eastAsia="Arial" w:hAnsi="Arial"/>
          <w:sz w:val="15"/>
          <w:szCs w:val="15"/>
          <w:color w:val="auto"/>
        </w:rPr>
      </w:pPr>
    </w:p>
    <w:p>
      <w:pPr>
        <w:ind w:left="2080" w:hanging="490"/>
        <w:spacing w:after="0"/>
        <w:tabs>
          <w:tab w:leader="none" w:pos="208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make any investment inconsistent with any investment policy approved by the Board of Directors;</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56" w:name="page257"/>
    <w:bookmarkEnd w:id="256"/>
    <w:p>
      <w:pPr>
        <w:ind w:firstLine="1590"/>
        <w:spacing w:after="0" w:line="264" w:lineRule="auto"/>
        <w:tabs>
          <w:tab w:leader="none" w:pos="2127"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incur any aggregate indebtedness in excess of $250,000 that is not already included in a budget approved by the Board of Directors, other than trade credit incurred in the ordinary course of business;</w:t>
      </w:r>
    </w:p>
    <w:p>
      <w:pPr>
        <w:spacing w:after="0" w:line="147" w:lineRule="exact"/>
        <w:rPr>
          <w:rFonts w:ascii="Arial" w:cs="Arial" w:eastAsia="Arial" w:hAnsi="Arial"/>
          <w:sz w:val="15"/>
          <w:szCs w:val="15"/>
          <w:color w:val="auto"/>
        </w:rPr>
      </w:pPr>
    </w:p>
    <w:p>
      <w:pPr>
        <w:ind w:left="2180" w:hanging="590"/>
        <w:spacing w:after="0"/>
        <w:tabs>
          <w:tab w:leader="none" w:pos="21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make any capital expenditures (including expenditures under capitalized leases) that in the aggregate are more than 10% in excess of the annual budget</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approved by the Board;;</w:t>
      </w:r>
    </w:p>
    <w:p>
      <w:pPr>
        <w:spacing w:after="0" w:line="168" w:lineRule="exact"/>
        <w:rPr>
          <w:rFonts w:ascii="Arial" w:cs="Arial" w:eastAsia="Arial" w:hAnsi="Arial"/>
          <w:sz w:val="13"/>
          <w:szCs w:val="13"/>
          <w:color w:val="auto"/>
        </w:rPr>
      </w:pPr>
    </w:p>
    <w:p>
      <w:pPr>
        <w:jc w:val="both"/>
        <w:ind w:firstLine="1590"/>
        <w:spacing w:after="0" w:line="254" w:lineRule="auto"/>
        <w:tabs>
          <w:tab w:leader="none" w:pos="211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otherwise enter into or be a party to any transaction with any director, officer, or employee of the Company or any “associate” (as defined in Rule 12b-2 promulgated under the Exchange Act) of any such Person, except transactions made in the ordinary course of business, pursuant to reasonable requirements of the Company’s business and upon fair and reasonable terms that are approved by the Board of Directors;</w:t>
      </w:r>
    </w:p>
    <w:p>
      <w:pPr>
        <w:spacing w:after="0" w:line="155" w:lineRule="exact"/>
        <w:rPr>
          <w:rFonts w:ascii="Arial" w:cs="Arial" w:eastAsia="Arial" w:hAnsi="Arial"/>
          <w:sz w:val="15"/>
          <w:szCs w:val="15"/>
          <w:color w:val="auto"/>
        </w:rPr>
      </w:pPr>
    </w:p>
    <w:p>
      <w:pPr>
        <w:ind w:left="2140" w:hanging="550"/>
        <w:spacing w:after="0"/>
        <w:tabs>
          <w:tab w:leader="none" w:pos="21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hire, terminate, or change the compensation of the executive officers, including approving any option grants or stock awards to executive officers;</w:t>
      </w:r>
    </w:p>
    <w:p>
      <w:pPr>
        <w:spacing w:after="0" w:line="190" w:lineRule="exact"/>
        <w:rPr>
          <w:rFonts w:ascii="Arial" w:cs="Arial" w:eastAsia="Arial" w:hAnsi="Arial"/>
          <w:sz w:val="14"/>
          <w:szCs w:val="14"/>
          <w:color w:val="auto"/>
        </w:rPr>
      </w:pPr>
    </w:p>
    <w:p>
      <w:pPr>
        <w:ind w:left="2140" w:hanging="550"/>
        <w:spacing w:after="0"/>
        <w:tabs>
          <w:tab w:leader="none" w:pos="21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change the principal business of the Company, enter unrelated lines of business, or exit the current line of business;</w:t>
      </w:r>
    </w:p>
    <w:p>
      <w:pPr>
        <w:spacing w:after="0" w:line="179" w:lineRule="exact"/>
        <w:rPr>
          <w:rFonts w:ascii="Arial" w:cs="Arial" w:eastAsia="Arial" w:hAnsi="Arial"/>
          <w:sz w:val="15"/>
          <w:szCs w:val="15"/>
          <w:color w:val="auto"/>
        </w:rPr>
      </w:pPr>
    </w:p>
    <w:p>
      <w:pPr>
        <w:ind w:left="2180" w:hanging="590"/>
        <w:spacing w:after="0"/>
        <w:tabs>
          <w:tab w:leader="none" w:pos="21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sell, assign, license, pledge, or encumber material technology or intellectual property, other than the sale of products, services or licenses granted in the</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ordinary course of business;</w:t>
      </w:r>
    </w:p>
    <w:p>
      <w:pPr>
        <w:spacing w:after="0" w:line="168" w:lineRule="exact"/>
        <w:rPr>
          <w:rFonts w:ascii="Arial" w:cs="Arial" w:eastAsia="Arial" w:hAnsi="Arial"/>
          <w:sz w:val="13"/>
          <w:szCs w:val="13"/>
          <w:color w:val="auto"/>
        </w:rPr>
      </w:pPr>
    </w:p>
    <w:p>
      <w:pPr>
        <w:ind w:firstLine="1590"/>
        <w:spacing w:after="0" w:line="264" w:lineRule="auto"/>
        <w:tabs>
          <w:tab w:leader="none" w:pos="215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enter into any corporate strategic relationship involving the payment, contribution, or assignment by the Company or to the Company of money or assets greater than $200,000, other than agreements for the provision of the Company’s services entered into in the ordinary course of business;</w:t>
      </w:r>
    </w:p>
    <w:p>
      <w:pPr>
        <w:spacing w:after="0" w:line="147" w:lineRule="exact"/>
        <w:rPr>
          <w:rFonts w:ascii="Arial" w:cs="Arial" w:eastAsia="Arial" w:hAnsi="Arial"/>
          <w:sz w:val="15"/>
          <w:szCs w:val="15"/>
          <w:color w:val="auto"/>
        </w:rPr>
      </w:pPr>
    </w:p>
    <w:p>
      <w:pPr>
        <w:ind w:left="2140" w:hanging="550"/>
        <w:spacing w:after="0"/>
        <w:tabs>
          <w:tab w:leader="none" w:pos="21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increase or decrease the size of the Board of Directors;</w:t>
      </w:r>
    </w:p>
    <w:p>
      <w:pPr>
        <w:spacing w:after="0" w:line="179" w:lineRule="exact"/>
        <w:rPr>
          <w:rFonts w:ascii="Arial" w:cs="Arial" w:eastAsia="Arial" w:hAnsi="Arial"/>
          <w:sz w:val="15"/>
          <w:szCs w:val="15"/>
          <w:color w:val="auto"/>
        </w:rPr>
      </w:pPr>
    </w:p>
    <w:p>
      <w:pPr>
        <w:ind w:left="2100" w:hanging="510"/>
        <w:spacing w:after="0"/>
        <w:tabs>
          <w:tab w:leader="none" w:pos="21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increase or decrease the amount of the Directors and Officers liability insurance;</w:t>
      </w:r>
    </w:p>
    <w:p>
      <w:pPr>
        <w:spacing w:after="0" w:line="179" w:lineRule="exact"/>
        <w:rPr>
          <w:rFonts w:ascii="Arial" w:cs="Arial" w:eastAsia="Arial" w:hAnsi="Arial"/>
          <w:sz w:val="15"/>
          <w:szCs w:val="15"/>
          <w:color w:val="auto"/>
        </w:rPr>
      </w:pPr>
    </w:p>
    <w:p>
      <w:pPr>
        <w:ind w:left="2100" w:hanging="510"/>
        <w:spacing w:after="0"/>
        <w:tabs>
          <w:tab w:leader="none" w:pos="21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amend, modify, terminate, waive, or otherwise alter, in whole or in part, the election procedure of the Board of Directors;</w:t>
      </w:r>
    </w:p>
    <w:p>
      <w:pPr>
        <w:spacing w:after="0" w:line="179" w:lineRule="exact"/>
        <w:rPr>
          <w:rFonts w:ascii="Arial" w:cs="Arial" w:eastAsia="Arial" w:hAnsi="Arial"/>
          <w:sz w:val="15"/>
          <w:szCs w:val="15"/>
          <w:color w:val="auto"/>
        </w:rPr>
      </w:pPr>
    </w:p>
    <w:p>
      <w:pPr>
        <w:ind w:left="2100" w:hanging="510"/>
        <w:spacing w:after="0"/>
        <w:tabs>
          <w:tab w:leader="none" w:pos="21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adopt any plan, or any amendment of any plan, for issuance of any capital stock to employees, directors and consultants; or</w:t>
      </w:r>
    </w:p>
    <w:p>
      <w:pPr>
        <w:spacing w:after="0" w:line="179" w:lineRule="exact"/>
        <w:rPr>
          <w:rFonts w:ascii="Arial" w:cs="Arial" w:eastAsia="Arial" w:hAnsi="Arial"/>
          <w:sz w:val="15"/>
          <w:szCs w:val="15"/>
          <w:color w:val="auto"/>
        </w:rPr>
      </w:pPr>
    </w:p>
    <w:p>
      <w:pPr>
        <w:ind w:left="2100" w:hanging="510"/>
        <w:spacing w:after="0"/>
        <w:tabs>
          <w:tab w:leader="none" w:pos="21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approve the Budget or adopt any material changes or increases cumulatively greater than 15%.</w:t>
      </w:r>
    </w:p>
    <w:p>
      <w:pPr>
        <w:spacing w:after="0" w:line="179" w:lineRule="exact"/>
        <w:rPr>
          <w:sz w:val="20"/>
          <w:szCs w:val="20"/>
          <w:color w:val="auto"/>
        </w:rPr>
      </w:pPr>
    </w:p>
    <w:p>
      <w:pPr>
        <w:ind w:firstLine="1582"/>
        <w:spacing w:after="0" w:line="300"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Board Matters</w:t>
      </w:r>
      <w:r>
        <w:rPr>
          <w:rFonts w:ascii="Arial" w:cs="Arial" w:eastAsia="Arial" w:hAnsi="Arial"/>
          <w:sz w:val="14"/>
          <w:szCs w:val="14"/>
          <w:color w:val="auto"/>
        </w:rPr>
        <w:t>. Unless otherwise determined by the vote of a majority of the directors then in office, the Board of Directors shall meet at least quarterly in accordance with an agreed-upon schedule. Each Preferred Director shall be entitled in such person’s discretion to be a member of any committee of the Board of Directors.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57" w:name="page258"/>
    <w:bookmarkEnd w:id="257"/>
    <w:p>
      <w:pPr>
        <w:jc w:val="both"/>
        <w:ind w:firstLine="1582"/>
        <w:spacing w:after="0" w:line="251"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Successor Indemnification</w:t>
      </w:r>
      <w:r>
        <w:rPr>
          <w:rFonts w:ascii="Arial" w:cs="Arial" w:eastAsia="Arial" w:hAnsi="Arial"/>
          <w:sz w:val="15"/>
          <w:szCs w:val="15"/>
          <w:color w:val="auto"/>
        </w:rPr>
        <w:t>. If the Company or any of its successors or assignees consolidates with or merges into any other Person and is not the continuing or surviving corporation or entity of such consolidation or merger, then to the extent necessary, proper provisions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57" w:lineRule="exact"/>
        <w:rPr>
          <w:sz w:val="20"/>
          <w:szCs w:val="20"/>
          <w:color w:val="auto"/>
        </w:rPr>
      </w:pPr>
    </w:p>
    <w:p>
      <w:pPr>
        <w:jc w:val="both"/>
        <w:ind w:firstLine="1582"/>
        <w:spacing w:after="0" w:line="287"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Indemnification Matters</w:t>
      </w:r>
      <w:r>
        <w:rPr>
          <w:rFonts w:ascii="Arial" w:cs="Arial" w:eastAsia="Arial" w:hAnsi="Arial"/>
          <w:sz w:val="13"/>
          <w:szCs w:val="13"/>
          <w:color w:val="auto"/>
        </w:rPr>
        <w:t>. The Company hereby acknowledges that one (1) or more of the Preferred Directors nominated to serve on the Board of Directors by one (1) or more Investors may have certain rights to indemnification, advancement of expenses and/or insurance provided by one (1) or more of the Investors and certain of their Affiliates (collectively, the “</w:t>
      </w:r>
      <w:r>
        <w:rPr>
          <w:rFonts w:ascii="Arial" w:cs="Arial" w:eastAsia="Arial" w:hAnsi="Arial"/>
          <w:sz w:val="13"/>
          <w:szCs w:val="13"/>
          <w:b w:val="1"/>
          <w:bCs w:val="1"/>
          <w:color w:val="auto"/>
        </w:rPr>
        <w:t>Investor Indemnitors</w:t>
      </w:r>
      <w:r>
        <w:rPr>
          <w:rFonts w:ascii="Arial" w:cs="Arial" w:eastAsia="Arial" w:hAnsi="Arial"/>
          <w:sz w:val="13"/>
          <w:szCs w:val="13"/>
          <w:color w:val="auto"/>
        </w:rPr>
        <w:t>”). The Company hereby agrees (a) that it is the indemnitor of first resort (</w:t>
      </w:r>
      <w:r>
        <w:rPr>
          <w:rFonts w:ascii="Arial" w:cs="Arial" w:eastAsia="Arial" w:hAnsi="Arial"/>
          <w:sz w:val="13"/>
          <w:szCs w:val="13"/>
          <w:i w:val="1"/>
          <w:iCs w:val="1"/>
          <w:color w:val="auto"/>
        </w:rPr>
        <w:t>i.e.</w:t>
      </w:r>
      <w:r>
        <w:rPr>
          <w:rFonts w:ascii="Arial" w:cs="Arial" w:eastAsia="Arial" w:hAnsi="Arial"/>
          <w:sz w:val="13"/>
          <w:szCs w:val="13"/>
          <w:color w:val="auto"/>
        </w:rPr>
        <w:t xml:space="preserve">, its obligations to any such Preferred Director are primary and any obligation of the Investor Indemnitors to advance expenses or to provide indemnification for the same expenses or liabilities incurred by such Preferred Director are secondary), (b)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Certificate of Incorporation or Bylaws of the Company (or any agreement between the Company and such Preferred Director), without regard to any rights such Preferred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 have a right of contribution and/or be subrogated to the extent of such advancement or payment to all of the rights of recovery of such Preferred Director against the Company. The Preferred Directors and the Investor Indemnitors are intended third-party beneficiaries of this </w:t>
      </w:r>
      <w:r>
        <w:rPr>
          <w:rFonts w:ascii="Arial" w:cs="Arial" w:eastAsia="Arial" w:hAnsi="Arial"/>
          <w:sz w:val="13"/>
          <w:szCs w:val="13"/>
          <w:u w:val="single" w:color="auto"/>
          <w:color w:val="auto"/>
        </w:rPr>
        <w:t>Section 5.7</w:t>
      </w:r>
      <w:r>
        <w:rPr>
          <w:rFonts w:ascii="Arial" w:cs="Arial" w:eastAsia="Arial" w:hAnsi="Arial"/>
          <w:sz w:val="13"/>
          <w:szCs w:val="13"/>
          <w:color w:val="auto"/>
        </w:rPr>
        <w:t xml:space="preserve"> and shall have the right, power and authority to enforce the provisions of this </w:t>
      </w:r>
      <w:r>
        <w:rPr>
          <w:rFonts w:ascii="Arial" w:cs="Arial" w:eastAsia="Arial" w:hAnsi="Arial"/>
          <w:sz w:val="13"/>
          <w:szCs w:val="13"/>
          <w:u w:val="single" w:color="auto"/>
          <w:color w:val="auto"/>
        </w:rPr>
        <w:t>Section 5.7</w:t>
      </w:r>
      <w:r>
        <w:rPr>
          <w:rFonts w:ascii="Arial" w:cs="Arial" w:eastAsia="Arial" w:hAnsi="Arial"/>
          <w:sz w:val="13"/>
          <w:szCs w:val="13"/>
          <w:color w:val="auto"/>
        </w:rPr>
        <w:t xml:space="preserve"> as though they were a party to this Agreement.</w:t>
      </w:r>
    </w:p>
    <w:p>
      <w:pPr>
        <w:spacing w:after="0" w:line="140" w:lineRule="exact"/>
        <w:rPr>
          <w:sz w:val="20"/>
          <w:szCs w:val="20"/>
          <w:color w:val="auto"/>
        </w:rPr>
      </w:pPr>
    </w:p>
    <w:p>
      <w:pPr>
        <w:jc w:val="both"/>
        <w:ind w:firstLine="1582"/>
        <w:spacing w:after="0" w:line="266"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Right to Conduct Activities</w:t>
      </w:r>
      <w:r>
        <w:rPr>
          <w:rFonts w:ascii="Arial" w:cs="Arial" w:eastAsia="Arial" w:hAnsi="Arial"/>
          <w:sz w:val="14"/>
          <w:szCs w:val="14"/>
          <w:color w:val="auto"/>
        </w:rPr>
        <w:t>. The Company hereby agrees and acknowledges that (i) Boxcar or any of its Affiliates, (ii) Cormorant or any of its Affiliates, (iii) Surveyor or any of its Affiliates, (iv) Rock Springs or any of its Affiliates, (vi) BlackRock or any of its Affiliates, (v) T. Rowe Price or any of its Affiliates, (vii) LYFE Capital or any of its Affiliates or (viii) Perceptive or any of its Affiliates (collectively, the “</w:t>
      </w:r>
      <w:r>
        <w:rPr>
          <w:rFonts w:ascii="Arial" w:cs="Arial" w:eastAsia="Arial" w:hAnsi="Arial"/>
          <w:sz w:val="14"/>
          <w:szCs w:val="14"/>
          <w:b w:val="1"/>
          <w:bCs w:val="1"/>
          <w:color w:val="auto"/>
        </w:rPr>
        <w:t>Professional Investment Organizations</w:t>
      </w:r>
      <w:r>
        <w:rPr>
          <w:rFonts w:ascii="Arial" w:cs="Arial" w:eastAsia="Arial" w:hAnsi="Arial"/>
          <w:sz w:val="14"/>
          <w:szCs w:val="14"/>
          <w:color w:val="auto"/>
        </w:rPr>
        <w:t>”) are professional investment organizations, and as such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the Professional Investment Organizations shall not be liable to the Company for any claim arising out of, or based upon, (i) the investment by the Professional Investment Organizations in any entity competitive with the Company, or (ii) actions taken by any partner, officer, employee or other representative of the Professional Investment Organizations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258" w:name="page259"/>
    <w:bookmarkEnd w:id="258"/>
    <w:p>
      <w:pPr>
        <w:jc w:val="both"/>
        <w:ind w:firstLine="1582"/>
        <w:spacing w:after="0" w:line="251"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u w:val="single" w:color="auto"/>
          <w:color w:val="auto"/>
        </w:rPr>
        <w:t>Defense Production Act</w:t>
      </w:r>
      <w:r>
        <w:rPr>
          <w:rFonts w:ascii="Arial" w:cs="Arial" w:eastAsia="Arial" w:hAnsi="Arial"/>
          <w:sz w:val="15"/>
          <w:szCs w:val="15"/>
          <w:color w:val="auto"/>
        </w:rPr>
        <w:t>. To the extent that the Company learns that it engages in the design, fabrication, development, testing, production or manufacture of critical technologies within the meaning of Section 721 of the Defense Production Act of 1950, as amended (50 U.S.C. § 4565), and all rules and regulations thereunder, including as codified at 31 C.F.R. Part 800, whether because of a new categorization of technology by the U.S. government or otherwise, the Company shall promptly provide notice to Surveyor.</w:t>
      </w:r>
    </w:p>
    <w:p>
      <w:pPr>
        <w:spacing w:after="0" w:line="157" w:lineRule="exact"/>
        <w:rPr>
          <w:sz w:val="20"/>
          <w:szCs w:val="20"/>
          <w:color w:val="auto"/>
        </w:rPr>
      </w:pPr>
    </w:p>
    <w:p>
      <w:pPr>
        <w:jc w:val="both"/>
        <w:ind w:firstLine="1582"/>
        <w:spacing w:after="0" w:line="264"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Class B Common Stock</w:t>
      </w:r>
      <w:r>
        <w:rPr>
          <w:rFonts w:ascii="Arial" w:cs="Arial" w:eastAsia="Arial" w:hAnsi="Arial"/>
          <w:sz w:val="15"/>
          <w:szCs w:val="15"/>
          <w:color w:val="auto"/>
        </w:rPr>
        <w:t>. The Company shall not cause any shares of Class B Common Stock to become subject to the periodic reporting requirements of Section 12(b) or 12(g) of the Exchange Act without the prior written consent of Surveyor.</w:t>
      </w:r>
    </w:p>
    <w:p>
      <w:pPr>
        <w:spacing w:after="0" w:line="148" w:lineRule="exact"/>
        <w:rPr>
          <w:sz w:val="20"/>
          <w:szCs w:val="20"/>
          <w:color w:val="auto"/>
        </w:rPr>
      </w:pPr>
    </w:p>
    <w:p>
      <w:pPr>
        <w:ind w:left="1600"/>
        <w:spacing w:after="0"/>
        <w:tabs>
          <w:tab w:leader="none" w:pos="2180" w:val="left"/>
        </w:tabs>
        <w:rPr>
          <w:sz w:val="20"/>
          <w:szCs w:val="20"/>
          <w:color w:val="auto"/>
        </w:rPr>
      </w:pPr>
      <w:r>
        <w:rPr>
          <w:rFonts w:ascii="Arial" w:cs="Arial" w:eastAsia="Arial" w:hAnsi="Arial"/>
          <w:sz w:val="15"/>
          <w:szCs w:val="15"/>
          <w:color w:val="auto"/>
        </w:rPr>
        <w:t>5.11</w:t>
      </w:r>
      <w:r>
        <w:rPr>
          <w:sz w:val="20"/>
          <w:szCs w:val="20"/>
          <w:color w:val="auto"/>
        </w:rPr>
        <w:tab/>
      </w:r>
      <w:r>
        <w:rPr>
          <w:rFonts w:ascii="Arial" w:cs="Arial" w:eastAsia="Arial" w:hAnsi="Arial"/>
          <w:sz w:val="13"/>
          <w:szCs w:val="13"/>
          <w:u w:val="single" w:color="auto"/>
          <w:color w:val="auto"/>
        </w:rPr>
        <w:t>Termination of Covenants</w:t>
      </w:r>
      <w:r>
        <w:rPr>
          <w:rFonts w:ascii="Arial" w:cs="Arial" w:eastAsia="Arial" w:hAnsi="Arial"/>
          <w:sz w:val="13"/>
          <w:szCs w:val="13"/>
          <w:color w:val="auto"/>
        </w:rPr>
        <w:t>. The covenants set forth in this</w:t>
      </w:r>
      <w:r>
        <w:rPr>
          <w:rFonts w:ascii="Arial" w:cs="Arial" w:eastAsia="Arial" w:hAnsi="Arial"/>
          <w:sz w:val="13"/>
          <w:szCs w:val="13"/>
          <w:u w:val="single" w:color="auto"/>
          <w:color w:val="auto"/>
        </w:rPr>
        <w:t xml:space="preserve"> Section 5</w:t>
      </w:r>
      <w:r>
        <w:rPr>
          <w:rFonts w:ascii="Arial" w:cs="Arial" w:eastAsia="Arial" w:hAnsi="Arial"/>
          <w:sz w:val="13"/>
          <w:szCs w:val="13"/>
          <w:color w:val="auto"/>
        </w:rPr>
        <w:t>, except for</w:t>
      </w:r>
      <w:r>
        <w:rPr>
          <w:rFonts w:ascii="Arial" w:cs="Arial" w:eastAsia="Arial" w:hAnsi="Arial"/>
          <w:sz w:val="13"/>
          <w:szCs w:val="13"/>
          <w:u w:val="single" w:color="auto"/>
          <w:color w:val="auto"/>
        </w:rPr>
        <w:t xml:space="preserve"> Subsections 5.6 </w:t>
      </w:r>
      <w:r>
        <w:rPr>
          <w:rFonts w:ascii="Arial" w:cs="Arial" w:eastAsia="Arial" w:hAnsi="Arial"/>
          <w:sz w:val="13"/>
          <w:szCs w:val="13"/>
          <w:color w:val="auto"/>
        </w:rPr>
        <w:t>and</w:t>
      </w:r>
      <w:r>
        <w:rPr>
          <w:rFonts w:ascii="Arial" w:cs="Arial" w:eastAsia="Arial" w:hAnsi="Arial"/>
          <w:sz w:val="13"/>
          <w:szCs w:val="13"/>
          <w:u w:val="single" w:color="auto"/>
          <w:color w:val="auto"/>
        </w:rPr>
        <w:t xml:space="preserve"> 5.7</w:t>
      </w:r>
      <w:r>
        <w:rPr>
          <w:rFonts w:ascii="Arial" w:cs="Arial" w:eastAsia="Arial" w:hAnsi="Arial"/>
          <w:sz w:val="13"/>
          <w:szCs w:val="13"/>
          <w:color w:val="auto"/>
        </w:rPr>
        <w:t>, shall terminate and be of no further force or effect</w:t>
      </w:r>
    </w:p>
    <w:p>
      <w:pPr>
        <w:spacing w:after="0" w:line="14" w:lineRule="exact"/>
        <w:rPr>
          <w:sz w:val="20"/>
          <w:szCs w:val="20"/>
          <w:color w:val="auto"/>
        </w:rPr>
      </w:pPr>
    </w:p>
    <w:p>
      <w:pPr>
        <w:ind w:firstLine="8"/>
        <w:spacing w:after="0" w:line="249" w:lineRule="auto"/>
        <w:tabs>
          <w:tab w:leader="none" w:pos="176" w:val="left"/>
        </w:tabs>
        <w:numPr>
          <w:ilvl w:val="0"/>
          <w:numId w:val="148"/>
        </w:numPr>
        <w:rPr>
          <w:rFonts w:ascii="Arial" w:cs="Arial" w:eastAsia="Arial" w:hAnsi="Arial"/>
          <w:sz w:val="15"/>
          <w:szCs w:val="15"/>
          <w:color w:val="auto"/>
        </w:rPr>
      </w:pPr>
      <w:r>
        <w:rPr>
          <w:rFonts w:ascii="Arial" w:cs="Arial" w:eastAsia="Arial" w:hAnsi="Arial"/>
          <w:sz w:val="15"/>
          <w:szCs w:val="15"/>
          <w:color w:val="auto"/>
        </w:rPr>
        <w:t>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158" w:lineRule="exact"/>
        <w:rPr>
          <w:rFonts w:ascii="Arial" w:cs="Arial" w:eastAsia="Arial" w:hAnsi="Arial"/>
          <w:sz w:val="15"/>
          <w:szCs w:val="15"/>
          <w:color w:val="auto"/>
        </w:rPr>
      </w:pPr>
    </w:p>
    <w:p>
      <w:pPr>
        <w:ind w:left="1300" w:hanging="765"/>
        <w:spacing w:after="0"/>
        <w:tabs>
          <w:tab w:leader="none" w:pos="1300" w:val="left"/>
        </w:tabs>
        <w:numPr>
          <w:ilvl w:val="1"/>
          <w:numId w:val="148"/>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79" w:lineRule="exact"/>
        <w:rPr>
          <w:sz w:val="20"/>
          <w:szCs w:val="20"/>
          <w:color w:val="auto"/>
        </w:rPr>
      </w:pPr>
    </w:p>
    <w:p>
      <w:pPr>
        <w:jc w:val="both"/>
        <w:ind w:left="460" w:firstLine="1055"/>
        <w:spacing w:after="0" w:line="265"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143,022 shares of Registrable Securities (subject to appropriate adjustment for stock splits, stock dividends, combinations, and other recapitalizations) or, if less, all of the Registrable Securities held by such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4"/>
          <w:szCs w:val="14"/>
          <w:u w:val="single" w:color="auto"/>
          <w:color w:val="auto"/>
        </w:rPr>
        <w:t>Subsection 2.11</w:t>
      </w:r>
      <w:r>
        <w:rPr>
          <w:rFonts w:ascii="Arial" w:cs="Arial" w:eastAsia="Arial" w:hAnsi="Arial"/>
          <w:sz w:val="14"/>
          <w:szCs w:val="14"/>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259" w:name="page260"/>
    <w:bookmarkEnd w:id="259"/>
    <w:p>
      <w:pPr>
        <w:jc w:val="both"/>
        <w:ind w:left="460" w:firstLine="1055"/>
        <w:spacing w:after="0" w:line="251"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and any controversy arising out of or relating to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57" w:lineRule="exact"/>
        <w:rPr>
          <w:sz w:val="20"/>
          <w:szCs w:val="20"/>
          <w:color w:val="auto"/>
        </w:rPr>
      </w:pPr>
    </w:p>
    <w:p>
      <w:pPr>
        <w:jc w:val="both"/>
        <w:ind w:left="460" w:firstLine="1055"/>
        <w:spacing w:after="0" w:line="251"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Counterparts</w:t>
      </w:r>
      <w:r>
        <w:rPr>
          <w:rFonts w:ascii="Arial" w:cs="Arial" w:eastAsia="Arial" w:hAnsi="Arial"/>
          <w:sz w:val="15"/>
          <w:szCs w:val="15"/>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5"/>
          <w:szCs w:val="15"/>
          <w:i w:val="1"/>
          <w:iCs w:val="1"/>
          <w:color w:val="auto"/>
        </w:rPr>
        <w:t>e.g.</w:t>
      </w:r>
      <w:r>
        <w:rPr>
          <w:rFonts w:ascii="Arial" w:cs="Arial" w:eastAsia="Arial" w:hAnsi="Arial"/>
          <w:sz w:val="15"/>
          <w:szCs w:val="15"/>
          <w:color w:val="auto"/>
        </w:rPr>
        <w:t>, www.docusign.com) or other transmission method and any counterpart so delivered shall be deemed to have been duly and validly delivered and be valid and effective for all purposes</w:t>
      </w:r>
      <w:r>
        <w:rPr>
          <w:rFonts w:ascii="Arial" w:cs="Arial" w:eastAsia="Arial" w:hAnsi="Arial"/>
          <w:sz w:val="15"/>
          <w:szCs w:val="15"/>
          <w:b w:val="1"/>
          <w:bCs w:val="1"/>
          <w:color w:val="auto"/>
        </w:rPr>
        <w: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860" w:type="dxa"/>
            <w:vAlign w:val="bottom"/>
          </w:tcPr>
          <w:p>
            <w:pPr>
              <w:jc w:val="right"/>
              <w:ind w:right="547"/>
              <w:spacing w:after="0"/>
              <w:rPr>
                <w:sz w:val="20"/>
                <w:szCs w:val="20"/>
                <w:color w:val="auto"/>
              </w:rPr>
            </w:pPr>
            <w:r>
              <w:rPr>
                <w:rFonts w:ascii="Arial" w:cs="Arial" w:eastAsia="Arial" w:hAnsi="Arial"/>
                <w:sz w:val="15"/>
                <w:szCs w:val="15"/>
                <w:color w:val="auto"/>
              </w:rPr>
              <w:t>6.4</w:t>
            </w:r>
          </w:p>
        </w:tc>
        <w:tc>
          <w:tcPr>
            <w:tcW w:w="8960" w:type="dxa"/>
            <w:vAlign w:val="bottom"/>
            <w:gridSpan w:val="4"/>
          </w:tcPr>
          <w:p>
            <w:pPr>
              <w:ind w:left="80"/>
              <w:spacing w:after="0"/>
              <w:rPr>
                <w:sz w:val="20"/>
                <w:szCs w:val="20"/>
                <w:color w:val="auto"/>
              </w:rPr>
            </w:pPr>
            <w:r>
              <w:rPr>
                <w:rFonts w:ascii="Arial" w:cs="Arial" w:eastAsia="Arial" w:hAnsi="Arial"/>
                <w:sz w:val="15"/>
                <w:szCs w:val="15"/>
                <w:color w:val="auto"/>
                <w:w w:val="89"/>
              </w:rPr>
              <w:t>Titles and Subtitles. The titles and subtitles used in this Agreement are for convenience only and are not to be considered in construing or interpreting</w:t>
            </w:r>
          </w:p>
        </w:tc>
      </w:tr>
      <w:tr>
        <w:trPr>
          <w:trHeight w:val="189"/>
        </w:trPr>
        <w:tc>
          <w:tcPr>
            <w:tcW w:w="1860" w:type="dxa"/>
            <w:vAlign w:val="bottom"/>
          </w:tcPr>
          <w:p>
            <w:pPr>
              <w:jc w:val="right"/>
              <w:ind w:right="847"/>
              <w:spacing w:after="0"/>
              <w:rPr>
                <w:sz w:val="20"/>
                <w:szCs w:val="20"/>
                <w:color w:val="auto"/>
              </w:rPr>
            </w:pPr>
            <w:r>
              <w:rPr>
                <w:rFonts w:ascii="Arial" w:cs="Arial" w:eastAsia="Arial" w:hAnsi="Arial"/>
                <w:sz w:val="15"/>
                <w:szCs w:val="15"/>
                <w:color w:val="auto"/>
                <w:w w:val="87"/>
              </w:rPr>
              <w:t>this Agreement.</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760" w:type="dxa"/>
            <w:vAlign w:val="bottom"/>
          </w:tcPr>
          <w:p>
            <w:pPr>
              <w:spacing w:after="0"/>
              <w:rPr>
                <w:sz w:val="16"/>
                <w:szCs w:val="16"/>
                <w:color w:val="auto"/>
              </w:rPr>
            </w:pPr>
          </w:p>
        </w:tc>
      </w:tr>
      <w:tr>
        <w:trPr>
          <w:trHeight w:val="319"/>
        </w:trPr>
        <w:tc>
          <w:tcPr>
            <w:tcW w:w="1860" w:type="dxa"/>
            <w:vAlign w:val="bottom"/>
          </w:tcPr>
          <w:p>
            <w:pPr>
              <w:jc w:val="right"/>
              <w:ind w:right="547"/>
              <w:spacing w:after="0"/>
              <w:rPr>
                <w:sz w:val="20"/>
                <w:szCs w:val="20"/>
                <w:color w:val="auto"/>
              </w:rPr>
            </w:pPr>
            <w:r>
              <w:rPr>
                <w:rFonts w:ascii="Arial" w:cs="Arial" w:eastAsia="Arial" w:hAnsi="Arial"/>
                <w:sz w:val="15"/>
                <w:szCs w:val="15"/>
                <w:color w:val="auto"/>
              </w:rPr>
              <w:t>6.5</w:t>
            </w:r>
          </w:p>
        </w:tc>
        <w:tc>
          <w:tcPr>
            <w:tcW w:w="8960" w:type="dxa"/>
            <w:vAlign w:val="bottom"/>
            <w:gridSpan w:val="4"/>
          </w:tcPr>
          <w:p>
            <w:pPr>
              <w:spacing w:after="0"/>
              <w:rPr>
                <w:sz w:val="20"/>
                <w:szCs w:val="20"/>
                <w:color w:val="auto"/>
              </w:rPr>
            </w:pPr>
            <w:r>
              <w:rPr>
                <w:rFonts w:ascii="Arial" w:cs="Arial" w:eastAsia="Arial" w:hAnsi="Arial"/>
                <w:sz w:val="15"/>
                <w:szCs w:val="15"/>
                <w:color w:val="auto"/>
              </w:rPr>
              <w:t>Notices.</w:t>
            </w:r>
          </w:p>
        </w:tc>
      </w:tr>
      <w:tr>
        <w:trPr>
          <w:trHeight w:val="20"/>
        </w:trPr>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1590"/>
        <w:spacing w:after="0" w:line="266" w:lineRule="auto"/>
        <w:tabs>
          <w:tab w:leader="none" w:pos="2425"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4"/>
          <w:szCs w:val="14"/>
          <w:u w:val="single" w:color="auto"/>
          <w:color w:val="auto"/>
        </w:rPr>
        <w:t>Subsection 6.5</w:t>
      </w:r>
      <w:r>
        <w:rPr>
          <w:rFonts w:ascii="Arial" w:cs="Arial" w:eastAsia="Arial" w:hAnsi="Arial"/>
          <w:sz w:val="14"/>
          <w:szCs w:val="14"/>
          <w:color w:val="auto"/>
        </w:rPr>
        <w:t>. If notice is given to the Company, a copy shall also be sent to Latham &amp; Watkins LLP, 200 Clarendon Street, 27th Floor, Boston, MA 02116, Attention: Evan G. Smith, Esq. and if notice is given to Investors, a copy shall also be given to: (x) Greenberg Traurig, LLP, One International Place Suite 2000, Boston, MA 02110, Attention Bradley A. Jacobson, Esq., and (y) Wiggin and Dana LLP, One Century Tower, 265 Church Street, New Haven, Connecticut 06510, Attention Evan S. Kipperman, Esq.</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60" w:name="page261"/>
    <w:bookmarkEnd w:id="260"/>
    <w:p>
      <w:pPr>
        <w:jc w:val="both"/>
        <w:ind w:firstLine="1590"/>
        <w:spacing w:after="0" w:line="251" w:lineRule="auto"/>
        <w:tabs>
          <w:tab w:leader="none" w:pos="2489"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Consent to Electronic Notice</w:t>
      </w:r>
      <w:r>
        <w:rPr>
          <w:rFonts w:ascii="Arial" w:cs="Arial" w:eastAsia="Arial" w:hAnsi="Arial"/>
          <w:sz w:val="15"/>
          <w:szCs w:val="15"/>
          <w:color w:val="auto"/>
        </w:rPr>
        <w:t>. Each Investor and Key Holder consents to the delivery of any stockholder notice pursuant to the Delaware General Corporation Law (the “DGCL”), as amended or superseded from time to time, by electronic transmission pursuant to Section 232 of the DGCL (or any successor thereto) at the electronic mail address as on the books of the Company. Each Investor agrees to promptly notify the Company of any change in such stockholder’s electronic mail address, and that failure to do so shall not affect the foregoing.</w:t>
      </w:r>
    </w:p>
    <w:p>
      <w:pPr>
        <w:spacing w:after="0" w:line="157" w:lineRule="exact"/>
        <w:rPr>
          <w:sz w:val="20"/>
          <w:szCs w:val="20"/>
          <w:color w:val="auto"/>
        </w:rPr>
      </w:pPr>
    </w:p>
    <w:p>
      <w:pPr>
        <w:jc w:val="both"/>
        <w:ind w:left="460" w:firstLine="1055"/>
        <w:spacing w:after="0" w:line="285"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Amendments and Waivers</w:t>
      </w:r>
      <w:r>
        <w:rPr>
          <w:rFonts w:ascii="Arial" w:cs="Arial" w:eastAsia="Arial" w:hAnsi="Arial"/>
          <w:sz w:val="13"/>
          <w:szCs w:val="13"/>
          <w:color w:val="auto"/>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may in its sole discretion waive compliance with </w:t>
      </w:r>
      <w:r>
        <w:rPr>
          <w:rFonts w:ascii="Arial" w:cs="Arial" w:eastAsia="Arial" w:hAnsi="Arial"/>
          <w:sz w:val="13"/>
          <w:szCs w:val="13"/>
          <w:u w:val="single" w:color="auto"/>
          <w:color w:val="auto"/>
        </w:rPr>
        <w:t>Subsection 2.12(c)</w:t>
      </w:r>
      <w:r>
        <w:rPr>
          <w:rFonts w:ascii="Arial" w:cs="Arial" w:eastAsia="Arial" w:hAnsi="Arial"/>
          <w:sz w:val="13"/>
          <w:szCs w:val="13"/>
          <w:color w:val="auto"/>
        </w:rPr>
        <w:t xml:space="preserve"> (and the Company’s failure to object promptly in writing after notification of a proposed assignment allegedly in violation of </w:t>
      </w:r>
      <w:r>
        <w:rPr>
          <w:rFonts w:ascii="Arial" w:cs="Arial" w:eastAsia="Arial" w:hAnsi="Arial"/>
          <w:sz w:val="13"/>
          <w:szCs w:val="13"/>
          <w:u w:val="single" w:color="auto"/>
          <w:color w:val="auto"/>
        </w:rPr>
        <w:t>Subsection 2.12(c)</w:t>
      </w:r>
      <w:r>
        <w:rPr>
          <w:rFonts w:ascii="Arial" w:cs="Arial" w:eastAsia="Arial" w:hAnsi="Arial"/>
          <w:sz w:val="13"/>
          <w:szCs w:val="13"/>
          <w:color w:val="auto"/>
        </w:rPr>
        <w:t xml:space="preserve"> shall be deemed to be a waiver);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(including, without limitation, </w:t>
      </w:r>
      <w:r>
        <w:rPr>
          <w:rFonts w:ascii="Arial" w:cs="Arial" w:eastAsia="Arial" w:hAnsi="Arial"/>
          <w:sz w:val="13"/>
          <w:szCs w:val="13"/>
          <w:u w:val="single" w:color="auto"/>
          <w:color w:val="auto"/>
        </w:rPr>
        <w:t>Sections 1.6</w:t>
      </w:r>
      <w:r>
        <w:rPr>
          <w:rFonts w:ascii="Arial" w:cs="Arial" w:eastAsia="Arial" w:hAnsi="Arial"/>
          <w:sz w:val="13"/>
          <w:szCs w:val="13"/>
          <w:color w:val="auto"/>
        </w:rPr>
        <w:t xml:space="preserve">, </w:t>
      </w:r>
      <w:r>
        <w:rPr>
          <w:rFonts w:ascii="Arial" w:cs="Arial" w:eastAsia="Arial" w:hAnsi="Arial"/>
          <w:sz w:val="13"/>
          <w:szCs w:val="13"/>
          <w:u w:val="single" w:color="auto"/>
          <w:color w:val="auto"/>
        </w:rPr>
        <w:t>1.7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5.4</w:t>
      </w:r>
      <w:r>
        <w:rPr>
          <w:rFonts w:ascii="Arial" w:cs="Arial" w:eastAsia="Arial" w:hAnsi="Arial"/>
          <w:sz w:val="13"/>
          <w:szCs w:val="13"/>
          <w:color w:val="auto"/>
        </w:rPr>
        <w:t xml:space="preserve">)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that if the rights of a Major Investor under </w:t>
      </w: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with respect to an offering of New Securities are waived without the consent of such Major Investor, and any Major Investor actually purchases any New Securities in any such offering, then each Major Investor who did not consent to such waiver shall be permitted to participate in such offering on a pro rata basis (based on the level of participation of the Major Investor purchasing the largest portion of such Major Investor’s pro rata share) (b) </w:t>
      </w:r>
      <w:r>
        <w:rPr>
          <w:rFonts w:ascii="Arial" w:cs="Arial" w:eastAsia="Arial" w:hAnsi="Arial"/>
          <w:sz w:val="13"/>
          <w:szCs w:val="13"/>
          <w:u w:val="single" w:color="auto"/>
          <w:color w:val="auto"/>
        </w:rPr>
        <w:t>Sections 1.35</w:t>
      </w:r>
      <w:r>
        <w:rPr>
          <w:rFonts w:ascii="Arial" w:cs="Arial" w:eastAsia="Arial" w:hAnsi="Arial"/>
          <w:sz w:val="13"/>
          <w:szCs w:val="13"/>
          <w:color w:val="auto"/>
        </w:rPr>
        <w:t xml:space="preserve">, </w:t>
      </w:r>
      <w:r>
        <w:rPr>
          <w:rFonts w:ascii="Arial" w:cs="Arial" w:eastAsia="Arial" w:hAnsi="Arial"/>
          <w:sz w:val="13"/>
          <w:szCs w:val="13"/>
          <w:u w:val="single" w:color="auto"/>
          <w:color w:val="auto"/>
        </w:rPr>
        <w:t>3.3</w:t>
      </w:r>
      <w:r>
        <w:rPr>
          <w:rFonts w:ascii="Arial" w:cs="Arial" w:eastAsia="Arial" w:hAnsi="Arial"/>
          <w:sz w:val="13"/>
          <w:szCs w:val="13"/>
          <w:color w:val="auto"/>
        </w:rPr>
        <w:t xml:space="preserve">, </w:t>
      </w:r>
      <w:r>
        <w:rPr>
          <w:rFonts w:ascii="Arial" w:cs="Arial" w:eastAsia="Arial" w:hAnsi="Arial"/>
          <w:sz w:val="13"/>
          <w:szCs w:val="13"/>
          <w:u w:val="single" w:color="auto"/>
          <w:color w:val="auto"/>
        </w:rPr>
        <w:t>5.9</w:t>
      </w:r>
      <w:r>
        <w:rPr>
          <w:rFonts w:ascii="Arial" w:cs="Arial" w:eastAsia="Arial" w:hAnsi="Arial"/>
          <w:sz w:val="13"/>
          <w:szCs w:val="13"/>
          <w:color w:val="auto"/>
        </w:rPr>
        <w:t xml:space="preserve">, </w:t>
      </w:r>
      <w:r>
        <w:rPr>
          <w:rFonts w:ascii="Arial" w:cs="Arial" w:eastAsia="Arial" w:hAnsi="Arial"/>
          <w:sz w:val="13"/>
          <w:szCs w:val="13"/>
          <w:u w:val="single" w:color="auto"/>
          <w:color w:val="auto"/>
        </w:rPr>
        <w:t>5.10</w:t>
      </w:r>
      <w:r>
        <w:rPr>
          <w:rFonts w:ascii="Arial" w:cs="Arial" w:eastAsia="Arial" w:hAnsi="Arial"/>
          <w:sz w:val="13"/>
          <w:szCs w:val="13"/>
          <w:color w:val="auto"/>
        </w:rPr>
        <w:t xml:space="preserve"> and this clause (b) of this </w:t>
      </w:r>
      <w:r>
        <w:rPr>
          <w:rFonts w:ascii="Arial" w:cs="Arial" w:eastAsia="Arial" w:hAnsi="Arial"/>
          <w:sz w:val="13"/>
          <w:szCs w:val="13"/>
          <w:u w:val="single" w:color="auto"/>
          <w:color w:val="auto"/>
        </w:rPr>
        <w:t>Subsection 6.6</w:t>
      </w:r>
      <w:r>
        <w:rPr>
          <w:rFonts w:ascii="Arial" w:cs="Arial" w:eastAsia="Arial" w:hAnsi="Arial"/>
          <w:sz w:val="13"/>
          <w:szCs w:val="13"/>
          <w:color w:val="auto"/>
        </w:rPr>
        <w:t xml:space="preserve"> may not be amended, modified, terminated or waived without the written consent of Surveyor; and (c) </w:t>
      </w:r>
      <w:r>
        <w:rPr>
          <w:rFonts w:ascii="Arial" w:cs="Arial" w:eastAsia="Arial" w:hAnsi="Arial"/>
          <w:sz w:val="13"/>
          <w:szCs w:val="13"/>
          <w:u w:val="single" w:color="auto"/>
          <w:color w:val="auto"/>
        </w:rPr>
        <w:t>Subsections 3.1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3.2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and any other section of this Agreement applicable to the Major Investors (including this clause (c) of this </w:t>
      </w:r>
      <w:r>
        <w:rPr>
          <w:rFonts w:ascii="Arial" w:cs="Arial" w:eastAsia="Arial" w:hAnsi="Arial"/>
          <w:sz w:val="13"/>
          <w:szCs w:val="13"/>
          <w:u w:val="single" w:color="auto"/>
          <w:color w:val="auto"/>
        </w:rPr>
        <w:t>Subsection 6.6</w:t>
      </w:r>
      <w:r>
        <w:rPr>
          <w:rFonts w:ascii="Arial" w:cs="Arial" w:eastAsia="Arial" w:hAnsi="Arial"/>
          <w:sz w:val="13"/>
          <w:szCs w:val="13"/>
          <w:color w:val="auto"/>
        </w:rPr>
        <w:t xml:space="preserve">) may not be amended, modified, terminated or waived without the written consent of the holders of a majority of the Registrable Securities then outstanding and held by the Major Investors. Notwithstanding the foregoing,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hereto may be amended by the Company from time to time to add transferees of any Registrable Securities in compliance with the terms of this Agreement without the consent of the other parties; and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Arial" w:cs="Arial" w:eastAsia="Arial" w:hAnsi="Arial"/>
          <w:sz w:val="13"/>
          <w:szCs w:val="13"/>
          <w:u w:val="single" w:color="auto"/>
          <w:color w:val="auto"/>
        </w:rPr>
        <w:t>Subsection 6.9</w:t>
      </w:r>
      <w:r>
        <w:rPr>
          <w:rFonts w:ascii="Arial" w:cs="Arial" w:eastAsia="Arial" w:hAnsi="Arial"/>
          <w:sz w:val="13"/>
          <w:szCs w:val="13"/>
          <w:color w:val="auto"/>
        </w:rPr>
        <w:t xml:space="preserve">. 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Arial" w:cs="Arial" w:eastAsia="Arial" w:hAnsi="Arial"/>
          <w:sz w:val="13"/>
          <w:szCs w:val="13"/>
          <w:u w:val="single" w:color="auto"/>
          <w:color w:val="auto"/>
        </w:rPr>
        <w:t>Subsection 6.6</w:t>
      </w:r>
      <w:r>
        <w:rPr>
          <w:rFonts w:ascii="Arial" w:cs="Arial" w:eastAsia="Arial" w:hAnsi="Arial"/>
          <w:sz w:val="13"/>
          <w:szCs w:val="13"/>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61" w:name="page262"/>
    <w:bookmarkEnd w:id="261"/>
    <w:p>
      <w:pPr>
        <w:jc w:val="both"/>
        <w:ind w:firstLine="1055"/>
        <w:spacing w:after="0" w:line="254"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Severability</w:t>
      </w:r>
      <w:r>
        <w:rPr>
          <w:rFonts w:ascii="Arial" w:cs="Arial" w:eastAsia="Arial" w:hAnsi="Arial"/>
          <w:sz w:val="15"/>
          <w:szCs w:val="15"/>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jc w:val="right"/>
              <w:ind w:right="647"/>
              <w:spacing w:after="0"/>
              <w:rPr>
                <w:sz w:val="20"/>
                <w:szCs w:val="20"/>
                <w:color w:val="auto"/>
              </w:rPr>
            </w:pPr>
            <w:r>
              <w:rPr>
                <w:rFonts w:ascii="Arial" w:cs="Arial" w:eastAsia="Arial" w:hAnsi="Arial"/>
                <w:sz w:val="15"/>
                <w:szCs w:val="15"/>
                <w:color w:val="auto"/>
              </w:rPr>
              <w:t>6.8</w:t>
            </w:r>
          </w:p>
        </w:tc>
        <w:tc>
          <w:tcPr>
            <w:tcW w:w="8860" w:type="dxa"/>
            <w:vAlign w:val="bottom"/>
            <w:gridSpan w:val="2"/>
          </w:tcPr>
          <w:p>
            <w:pPr>
              <w:jc w:val="right"/>
              <w:spacing w:after="0"/>
              <w:rPr>
                <w:sz w:val="20"/>
                <w:szCs w:val="20"/>
                <w:color w:val="auto"/>
              </w:rPr>
            </w:pPr>
            <w:r>
              <w:rPr>
                <w:rFonts w:ascii="Arial" w:cs="Arial" w:eastAsia="Arial" w:hAnsi="Arial"/>
                <w:sz w:val="15"/>
                <w:szCs w:val="15"/>
                <w:color w:val="auto"/>
                <w:w w:val="88"/>
              </w:rPr>
              <w:t>Aggregation of Stock. All shares of Registrable Securities held or acquired by Affiliates shall be aggregated together for the purpose of determining the</w:t>
            </w:r>
          </w:p>
        </w:tc>
      </w:tr>
      <w:tr>
        <w:trPr>
          <w:trHeight w:val="20"/>
        </w:trPr>
        <w:tc>
          <w:tcPr>
            <w:tcW w:w="196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189"/>
        </w:trPr>
        <w:tc>
          <w:tcPr>
            <w:tcW w:w="10820" w:type="dxa"/>
            <w:vAlign w:val="bottom"/>
            <w:gridSpan w:val="3"/>
          </w:tcPr>
          <w:p>
            <w:pPr>
              <w:jc w:val="right"/>
              <w:ind w:right="1340"/>
              <w:spacing w:after="0"/>
              <w:rPr>
                <w:sz w:val="20"/>
                <w:szCs w:val="20"/>
                <w:color w:val="auto"/>
              </w:rPr>
            </w:pPr>
            <w:r>
              <w:rPr>
                <w:rFonts w:ascii="Arial" w:cs="Arial" w:eastAsia="Arial" w:hAnsi="Arial"/>
                <w:sz w:val="15"/>
                <w:szCs w:val="15"/>
                <w:color w:val="auto"/>
                <w:w w:val="88"/>
              </w:rPr>
              <w:t>availability of any rights under this Agreement and such Affiliated persons may apportion such rights as among themselves in any manner they deem appropriate.</w:t>
            </w:r>
          </w:p>
        </w:tc>
      </w:tr>
      <w:tr>
        <w:trPr>
          <w:trHeight w:val="319"/>
        </w:trPr>
        <w:tc>
          <w:tcPr>
            <w:tcW w:w="1960" w:type="dxa"/>
            <w:vAlign w:val="bottom"/>
          </w:tcPr>
          <w:p>
            <w:pPr>
              <w:jc w:val="right"/>
              <w:ind w:right="647"/>
              <w:spacing w:after="0"/>
              <w:rPr>
                <w:sz w:val="20"/>
                <w:szCs w:val="20"/>
                <w:color w:val="auto"/>
              </w:rPr>
            </w:pPr>
            <w:r>
              <w:rPr>
                <w:rFonts w:ascii="Arial" w:cs="Arial" w:eastAsia="Arial" w:hAnsi="Arial"/>
                <w:sz w:val="15"/>
                <w:szCs w:val="15"/>
                <w:color w:val="auto"/>
              </w:rPr>
              <w:t>6.9</w:t>
            </w:r>
          </w:p>
        </w:tc>
        <w:tc>
          <w:tcPr>
            <w:tcW w:w="8860" w:type="dxa"/>
            <w:vAlign w:val="bottom"/>
            <w:gridSpan w:val="2"/>
          </w:tcPr>
          <w:p>
            <w:pPr>
              <w:jc w:val="right"/>
              <w:spacing w:after="0"/>
              <w:rPr>
                <w:sz w:val="20"/>
                <w:szCs w:val="20"/>
                <w:color w:val="auto"/>
              </w:rPr>
            </w:pPr>
            <w:r>
              <w:rPr>
                <w:rFonts w:ascii="Arial" w:cs="Arial" w:eastAsia="Arial" w:hAnsi="Arial"/>
                <w:sz w:val="15"/>
                <w:szCs w:val="15"/>
                <w:color w:val="auto"/>
                <w:w w:val="89"/>
              </w:rPr>
              <w:t>Additional Investors. Notwithstanding anything to the contrary contained herein, if the Company issues additional shares of the Company’s Preferred</w:t>
            </w:r>
          </w:p>
        </w:tc>
      </w:tr>
      <w:tr>
        <w:trPr>
          <w:trHeight w:val="20"/>
        </w:trPr>
        <w:tc>
          <w:tcPr>
            <w:tcW w:w="1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38" w:lineRule="exact"/>
        <w:rPr>
          <w:sz w:val="20"/>
          <w:szCs w:val="20"/>
          <w:color w:val="auto"/>
        </w:rPr>
      </w:pPr>
    </w:p>
    <w:p>
      <w:pPr>
        <w:jc w:val="both"/>
        <w:ind w:firstLine="1055"/>
        <w:spacing w:after="0" w:line="341"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03" w:lineRule="exact"/>
        <w:rPr>
          <w:sz w:val="20"/>
          <w:szCs w:val="20"/>
          <w:color w:val="auto"/>
        </w:rPr>
      </w:pPr>
    </w:p>
    <w:p>
      <w:pPr>
        <w:jc w:val="both"/>
        <w:ind w:firstLine="1055"/>
        <w:spacing w:after="0" w:line="294"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Dispute Resolution</w:t>
      </w:r>
      <w:r>
        <w:rPr>
          <w:rFonts w:ascii="Arial" w:cs="Arial" w:eastAsia="Arial" w:hAnsi="Arial"/>
          <w:sz w:val="13"/>
          <w:szCs w:val="13"/>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8890</wp:posOffset>
            </wp:positionV>
            <wp:extent cx="7157720"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820"/>
          </w:cols>
          <w:pgMar w:left="760" w:top="766" w:right="319" w:bottom="1440" w:gutter="0" w:footer="0" w:header="0"/>
        </w:sectPr>
      </w:pPr>
    </w:p>
    <w:bookmarkStart w:id="262" w:name="page263"/>
    <w:bookmarkEnd w:id="262"/>
    <w:p>
      <w:pPr>
        <w:jc w:val="both"/>
        <w:ind w:firstLine="1055"/>
        <w:spacing w:after="0" w:line="247" w:lineRule="auto"/>
        <w:rPr>
          <w:sz w:val="20"/>
          <w:szCs w:val="20"/>
          <w:color w:val="auto"/>
        </w:rPr>
      </w:pPr>
      <w:r>
        <w:rPr>
          <w:rFonts w:ascii="Arial" w:cs="Arial" w:eastAsia="Arial" w:hAnsi="Arial"/>
          <w:sz w:val="15"/>
          <w:szCs w:val="15"/>
          <w:color w:val="auto"/>
        </w:rPr>
        <w:t xml:space="preserve">6.12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xml:space="preserve"> EACH PARTY HEREBY WAIVES ITS RIGHTS TO A JURY TRIAL OF ANY CLAIM OR CAUSE OF ACTION BASED UPON OR ARISING OUT OF THIS AGREEMENT OR THE SUBJECT MATTER HEREOF. THE SCOPE OF THIS WAIVER IS INTENDED TO BE ALL-ENCOMPASSING OF ANY AND ALL DISPUTES THAT MAY BE FILED IN ANY COURT AND THAT RELATE TO THE SUBJECT MATTER OF THIS AGREEMENT,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62" w:lineRule="exact"/>
        <w:rPr>
          <w:sz w:val="20"/>
          <w:szCs w:val="20"/>
          <w:color w:val="auto"/>
        </w:rPr>
      </w:pPr>
    </w:p>
    <w:p>
      <w:pPr>
        <w:jc w:val="both"/>
        <w:ind w:firstLine="1055"/>
        <w:spacing w:after="0" w:line="249" w:lineRule="auto"/>
        <w:rPr>
          <w:sz w:val="20"/>
          <w:szCs w:val="20"/>
          <w:color w:val="auto"/>
        </w:rPr>
      </w:pPr>
      <w:r>
        <w:rPr>
          <w:rFonts w:ascii="Arial" w:cs="Arial" w:eastAsia="Arial" w:hAnsi="Arial"/>
          <w:sz w:val="15"/>
          <w:szCs w:val="15"/>
          <w:color w:val="auto"/>
        </w:rPr>
        <w:t xml:space="preserve">6.13 </w:t>
      </w:r>
      <w:r>
        <w:rPr>
          <w:rFonts w:ascii="Arial" w:cs="Arial" w:eastAsia="Arial" w:hAnsi="Arial"/>
          <w:sz w:val="15"/>
          <w:szCs w:val="15"/>
          <w:u w:val="single" w:color="auto"/>
          <w:color w:val="auto"/>
        </w:rPr>
        <w:t>Delays or Omissions</w:t>
      </w:r>
      <w:r>
        <w:rPr>
          <w:rFonts w:ascii="Arial" w:cs="Arial" w:eastAsia="Arial" w:hAnsi="Arial"/>
          <w:sz w:val="15"/>
          <w:szCs w:val="15"/>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0"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[Remainder of Page Intentionally Left Blank]</w:t>
      </w:r>
    </w:p>
    <w:p>
      <w:pPr>
        <w:spacing w:after="0" w:line="355"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8890</wp:posOffset>
            </wp:positionV>
            <wp:extent cx="715772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820"/>
          </w:cols>
          <w:pgMar w:left="760" w:top="766" w:right="319" w:bottom="1440" w:gutter="0" w:footer="0" w:header="0"/>
        </w:sectPr>
      </w:pPr>
    </w:p>
    <w:bookmarkStart w:id="263" w:name="page264"/>
    <w:bookmarkEnd w:id="263"/>
    <w:p>
      <w:pPr>
        <w:spacing w:after="0"/>
        <w:rPr>
          <w:sz w:val="20"/>
          <w:szCs w:val="20"/>
          <w:color w:val="auto"/>
        </w:rPr>
      </w:pPr>
      <w:r>
        <w:rPr>
          <w:rFonts w:ascii="Arial" w:cs="Arial" w:eastAsia="Arial" w:hAnsi="Arial"/>
          <w:sz w:val="15"/>
          <w:szCs w:val="15"/>
          <w:color w:val="auto"/>
        </w:rPr>
        <w:t>IN WITNESS WHEREOF, the parties have executed this Agreement as of the date first written above.</w:t>
      </w:r>
    </w:p>
    <w:p>
      <w:pPr>
        <w:spacing w:after="0" w:line="17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IMMUNEERING CORPORATION</w:t>
      </w:r>
    </w:p>
    <w:p>
      <w:pPr>
        <w:spacing w:after="0" w:line="183" w:lineRule="exact"/>
        <w:rPr>
          <w:sz w:val="20"/>
          <w:szCs w:val="20"/>
          <w:color w:val="auto"/>
        </w:rPr>
      </w:pPr>
    </w:p>
    <w:p>
      <w:pPr>
        <w:ind w:left="4600"/>
        <w:spacing w:after="0"/>
        <w:tabs>
          <w:tab w:leader="none" w:pos="4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Benjamin J. Zeskind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8890</wp:posOffset>
            </wp:positionV>
            <wp:extent cx="336296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5"/>
          <w:szCs w:val="15"/>
          <w:color w:val="auto"/>
        </w:rPr>
        <w:t>Name: Benjamin J. Zeskind</w:t>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Chief Executive Officer</w:t>
      </w:r>
    </w:p>
    <w:p>
      <w:pPr>
        <w:spacing w:after="0" w:line="164"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360045</wp:posOffset>
            </wp:positionV>
            <wp:extent cx="715772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99"/>
          </w:cols>
          <w:pgMar w:left="1360" w:top="766" w:right="1440" w:bottom="1440" w:gutter="0" w:footer="0" w:header="0"/>
        </w:sectPr>
      </w:pPr>
    </w:p>
    <w:bookmarkStart w:id="264" w:name="page265"/>
    <w:bookmarkEnd w:id="264"/>
    <w:p>
      <w:pPr>
        <w:ind w:left="452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CORMORANT PRIVATE HEALTHCARE FUND III, LP</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Cormorant Private Healthcare GP III, LLC</w:t>
      </w:r>
    </w:p>
    <w:p>
      <w:pPr>
        <w:spacing w:after="0" w:line="179"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Bihua Chen</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Managing Member</w:t>
      </w:r>
    </w:p>
    <w:p>
      <w:pPr>
        <w:spacing w:after="0" w:line="16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CORMORANT GLOBAL HEALTHCARE MASTER FUND, LP</w:t>
      </w:r>
    </w:p>
    <w:p>
      <w:pPr>
        <w:spacing w:after="0" w:line="19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Cormorant Global Healthcare GP, LLC</w:t>
      </w:r>
    </w:p>
    <w:p>
      <w:pPr>
        <w:spacing w:after="0" w:line="179"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Bihua Chen</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Managing Member</w:t>
      </w:r>
    </w:p>
    <w:p>
      <w:pPr>
        <w:spacing w:after="0" w:line="164"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CRMA SPV, L.P.</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Cormorant Asset Management, LP</w:t>
      </w:r>
    </w:p>
    <w:p>
      <w:pPr>
        <w:spacing w:after="0" w:line="179"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Bihua Chen</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Attorney-in-fact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65" w:name="page266"/>
    <w:bookmarkEnd w:id="265"/>
    <w:p>
      <w:pPr>
        <w:ind w:left="4520"/>
        <w:spacing w:after="0"/>
        <w:rPr>
          <w:sz w:val="20"/>
          <w:szCs w:val="20"/>
          <w:color w:val="auto"/>
        </w:rPr>
      </w:pPr>
      <w:r>
        <w:rPr>
          <w:rFonts w:ascii="Arial" w:cs="Arial" w:eastAsia="Arial" w:hAnsi="Arial"/>
          <w:sz w:val="15"/>
          <w:szCs w:val="15"/>
          <w:color w:val="auto"/>
        </w:rPr>
        <w:t>INVESTORS:</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BLACKROCK HEALTH SCIENCES TRUST II</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By: BlackRock Advisors, LLC, its Investment Adviser</w:t>
      </w:r>
    </w:p>
    <w:p>
      <w:pPr>
        <w:spacing w:after="0" w:line="202"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Hongying Erin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Hongying Erin Xie</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Managing Director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66" w:name="page267"/>
    <w:bookmarkEnd w:id="266"/>
    <w:p>
      <w:pPr>
        <w:ind w:left="4520"/>
        <w:spacing w:after="0"/>
        <w:rPr>
          <w:sz w:val="20"/>
          <w:szCs w:val="20"/>
          <w:color w:val="auto"/>
        </w:rPr>
      </w:pPr>
      <w:r>
        <w:rPr>
          <w:rFonts w:ascii="Arial" w:cs="Arial" w:eastAsia="Arial" w:hAnsi="Arial"/>
          <w:sz w:val="15"/>
          <w:szCs w:val="15"/>
          <w:color w:val="auto"/>
        </w:rPr>
        <w:t>INVESTORS:</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BOXCAR PMJ, LLC</w:t>
      </w:r>
    </w:p>
    <w:p>
      <w:pPr>
        <w:spacing w:after="0" w:line="183"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Joseph Kekst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Joseph Kekst</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Manager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67" w:name="page268"/>
    <w:bookmarkEnd w:id="267"/>
    <w:p>
      <w:pPr>
        <w:ind w:left="4520"/>
        <w:spacing w:after="0"/>
        <w:rPr>
          <w:sz w:val="20"/>
          <w:szCs w:val="20"/>
          <w:color w:val="auto"/>
        </w:rPr>
      </w:pPr>
      <w:r>
        <w:rPr>
          <w:rFonts w:ascii="Arial" w:cs="Arial" w:eastAsia="Arial" w:hAnsi="Arial"/>
          <w:sz w:val="15"/>
          <w:szCs w:val="15"/>
          <w:b w:val="1"/>
          <w:bCs w:val="1"/>
          <w:color w:val="auto"/>
        </w:rPr>
        <w:t>PEF LLC</w:t>
      </w:r>
    </w:p>
    <w:p>
      <w:pPr>
        <w:spacing w:after="0" w:line="183"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Peter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Title: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938" w:right="1440" w:bottom="1440" w:gutter="0" w:footer="0" w:header="0"/>
        </w:sectPr>
      </w:pPr>
    </w:p>
    <w:bookmarkStart w:id="268" w:name="page269"/>
    <w:bookmarkEnd w:id="268"/>
    <w:p>
      <w:pPr>
        <w:ind w:left="4520"/>
        <w:spacing w:after="0"/>
        <w:rPr>
          <w:sz w:val="20"/>
          <w:szCs w:val="20"/>
          <w:color w:val="auto"/>
        </w:rPr>
      </w:pPr>
      <w:r>
        <w:rPr>
          <w:rFonts w:ascii="Arial" w:cs="Arial" w:eastAsia="Arial" w:hAnsi="Arial"/>
          <w:sz w:val="15"/>
          <w:szCs w:val="15"/>
          <w:b w:val="1"/>
          <w:bCs w:val="1"/>
          <w:color w:val="auto"/>
        </w:rPr>
        <w:t>PF ASSOCIATES L.P.</w:t>
      </w:r>
    </w:p>
    <w:p>
      <w:pPr>
        <w:spacing w:after="0" w:line="183"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Peter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Title: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471805</wp:posOffset>
            </wp:positionV>
            <wp:extent cx="715772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3" w:right="1440" w:bottom="1440" w:gutter="0" w:footer="0" w:header="0"/>
        </w:sectPr>
      </w:pPr>
    </w:p>
    <w:bookmarkStart w:id="269" w:name="page270"/>
    <w:bookmarkEnd w:id="269"/>
    <w:p>
      <w:pPr>
        <w:ind w:left="4520"/>
        <w:spacing w:after="0"/>
        <w:rPr>
          <w:sz w:val="20"/>
          <w:szCs w:val="20"/>
          <w:color w:val="auto"/>
        </w:rPr>
      </w:pPr>
      <w:r>
        <w:rPr>
          <w:rFonts w:ascii="Arial" w:cs="Arial" w:eastAsia="Arial" w:hAnsi="Arial"/>
          <w:sz w:val="15"/>
          <w:szCs w:val="15"/>
          <w:b w:val="1"/>
          <w:bCs w:val="1"/>
          <w:color w:val="auto"/>
        </w:rPr>
        <w:t>S4K INVESTMENTS LLC</w:t>
      </w:r>
    </w:p>
    <w:p>
      <w:pPr>
        <w:spacing w:after="0" w:line="183"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Peter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Title: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2" w:right="1440" w:bottom="1440" w:gutter="0" w:footer="0" w:header="0"/>
        </w:sectPr>
      </w:pPr>
    </w:p>
    <w:bookmarkStart w:id="270" w:name="page271"/>
    <w:bookmarkEnd w:id="270"/>
    <w:p>
      <w:pPr>
        <w:ind w:left="4520"/>
        <w:spacing w:after="0"/>
        <w:rPr>
          <w:sz w:val="20"/>
          <w:szCs w:val="20"/>
          <w:color w:val="auto"/>
        </w:rPr>
      </w:pPr>
      <w:r>
        <w:rPr>
          <w:rFonts w:ascii="Arial" w:cs="Arial" w:eastAsia="Arial" w:hAnsi="Arial"/>
          <w:sz w:val="15"/>
          <w:szCs w:val="15"/>
          <w:color w:val="auto"/>
        </w:rPr>
        <w:t>INVESTORS:</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SAGE CREST LLC</w:t>
      </w:r>
    </w:p>
    <w:p>
      <w:pPr>
        <w:spacing w:after="0" w:line="183"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Joseph Kekst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Joseph Kekst</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Manager</w:t>
      </w:r>
    </w:p>
    <w:p>
      <w:pPr>
        <w:spacing w:after="0" w:line="164"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TSKEK IM LLC</w:t>
      </w:r>
    </w:p>
    <w:p>
      <w:pPr>
        <w:spacing w:after="0" w:line="183"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Joseph Kekst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Joseph Kekst</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Manager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71" w:name="page272"/>
    <w:bookmarkEnd w:id="271"/>
    <w:p>
      <w:pPr>
        <w:ind w:left="4520"/>
        <w:spacing w:after="0"/>
        <w:rPr>
          <w:sz w:val="20"/>
          <w:szCs w:val="20"/>
          <w:color w:val="auto"/>
        </w:rPr>
      </w:pPr>
      <w:r>
        <w:rPr>
          <w:rFonts w:ascii="Arial" w:cs="Arial" w:eastAsia="Arial" w:hAnsi="Arial"/>
          <w:sz w:val="14"/>
          <w:szCs w:val="14"/>
          <w:b w:val="1"/>
          <w:bCs w:val="1"/>
          <w:color w:val="auto"/>
        </w:rPr>
        <w:t>ZBC CAPITAL PARTNERS LLC</w:t>
      </w:r>
    </w:p>
    <w:p>
      <w:pPr>
        <w:spacing w:after="0" w:line="195"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Marc Hurwitz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8890</wp:posOffset>
            </wp:positionV>
            <wp:extent cx="336296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Marc Hurwitz</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President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2" w:right="1440" w:bottom="1440" w:gutter="0" w:footer="0" w:header="0"/>
        </w:sectPr>
      </w:pPr>
    </w:p>
    <w:bookmarkStart w:id="272" w:name="page273"/>
    <w:bookmarkEnd w:id="272"/>
    <w:p>
      <w:pPr>
        <w:ind w:left="452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VALUEQUEST PARTNERS, LLC</w:t>
      </w:r>
    </w:p>
    <w:p>
      <w:pPr>
        <w:spacing w:after="0" w:line="19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8890</wp:posOffset>
            </wp:positionV>
            <wp:extent cx="321627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8890</wp:posOffset>
            </wp:positionV>
            <wp:extent cx="321627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8890</wp:posOffset>
            </wp:positionV>
            <wp:extent cx="321627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273" w:name="page274"/>
    <w:bookmarkEnd w:id="273"/>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Robert J.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Robert J. Carpenter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74" w:name="page275"/>
    <w:bookmarkEnd w:id="274"/>
    <w:p>
      <w:pPr>
        <w:ind w:left="474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740"/>
        <w:spacing w:after="0"/>
        <w:rPr>
          <w:sz w:val="20"/>
          <w:szCs w:val="20"/>
          <w:color w:val="auto"/>
        </w:rPr>
      </w:pPr>
      <w:r>
        <w:rPr>
          <w:rFonts w:ascii="Arial" w:cs="Arial" w:eastAsia="Arial" w:hAnsi="Arial"/>
          <w:sz w:val="15"/>
          <w:szCs w:val="15"/>
          <w:color w:val="auto"/>
        </w:rPr>
        <w:t>/s/ Benjamin J. Zeskind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8890</wp:posOffset>
            </wp:positionV>
            <wp:extent cx="343217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5"/>
          <w:szCs w:val="15"/>
          <w:color w:val="auto"/>
        </w:rPr>
        <w:t>Benjamin J. Zeskind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75" w:name="page276"/>
    <w:bookmarkEnd w:id="275"/>
    <w:p>
      <w:pPr>
        <w:ind w:left="452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MERRIN INVESTORS LLC</w:t>
      </w:r>
    </w:p>
    <w:p>
      <w:pPr>
        <w:spacing w:after="0" w:line="18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Seth Merrin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8890</wp:posOffset>
            </wp:positionV>
            <wp:extent cx="328612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286125"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Seth Merrin</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General Partner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942" w:right="1440" w:bottom="1440" w:gutter="0" w:footer="0" w:header="0"/>
        </w:sectPr>
      </w:pPr>
    </w:p>
    <w:bookmarkStart w:id="276" w:name="page277"/>
    <w:bookmarkEnd w:id="276"/>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Martin Lipton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Martin Lipton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277" w:name="page278"/>
    <w:bookmarkEnd w:id="277"/>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Harold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Harold Levy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 PAGE TO AMENDED AND RESTATED INVESTORS</w:t>
      </w:r>
      <w:r>
        <w:rPr>
          <w:rFonts w:ascii="Arial" w:cs="Arial" w:eastAsia="Arial" w:hAnsi="Arial"/>
          <w:sz w:val="15"/>
          <w:szCs w:val="15"/>
          <w:b w:val="1"/>
          <w:bCs w:val="1"/>
          <w:color w:val="auto"/>
        </w:rPr>
        <w:t xml:space="preserve">’ </w:t>
      </w:r>
      <w:r>
        <w:rPr>
          <w:rFonts w:ascii="Arial" w:cs="Arial" w:eastAsia="Arial" w:hAnsi="Arial"/>
          <w:sz w:val="9"/>
          <w:szCs w:val="9"/>
          <w:b w:val="1"/>
          <w:b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78" w:name="page279"/>
    <w:bookmarkEnd w:id="278"/>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Brett M.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Brett M. Hall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 PAGE TO AMENDED AND RESTATED INVESTORS</w:t>
      </w:r>
      <w:r>
        <w:rPr>
          <w:rFonts w:ascii="Arial" w:cs="Arial" w:eastAsia="Arial" w:hAnsi="Arial"/>
          <w:sz w:val="15"/>
          <w:szCs w:val="15"/>
          <w:b w:val="1"/>
          <w:bCs w:val="1"/>
          <w:color w:val="auto"/>
        </w:rPr>
        <w:t xml:space="preserve">’ </w:t>
      </w:r>
      <w:r>
        <w:rPr>
          <w:rFonts w:ascii="Arial" w:cs="Arial" w:eastAsia="Arial" w:hAnsi="Arial"/>
          <w:sz w:val="9"/>
          <w:szCs w:val="9"/>
          <w:b w:val="1"/>
          <w:b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79" w:name="page280"/>
    <w:bookmarkEnd w:id="279"/>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Howard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Howard Kaufman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 PAGE TO AMENDED AND RESTATED INVESTORS</w:t>
      </w:r>
      <w:r>
        <w:rPr>
          <w:rFonts w:ascii="Arial" w:cs="Arial" w:eastAsia="Arial" w:hAnsi="Arial"/>
          <w:sz w:val="15"/>
          <w:szCs w:val="15"/>
          <w:b w:val="1"/>
          <w:bCs w:val="1"/>
          <w:color w:val="auto"/>
        </w:rPr>
        <w:t xml:space="preserve">’ </w:t>
      </w:r>
      <w:r>
        <w:rPr>
          <w:rFonts w:ascii="Arial" w:cs="Arial" w:eastAsia="Arial" w:hAnsi="Arial"/>
          <w:sz w:val="9"/>
          <w:szCs w:val="9"/>
          <w:b w:val="1"/>
          <w:b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80" w:name="page281"/>
    <w:bookmarkEnd w:id="280"/>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Joseph Shenker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Joseph Shenker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 PAGE TO AMENDED AND RESTATED INVESTORS</w:t>
      </w:r>
      <w:r>
        <w:rPr>
          <w:rFonts w:ascii="Arial" w:cs="Arial" w:eastAsia="Arial" w:hAnsi="Arial"/>
          <w:sz w:val="15"/>
          <w:szCs w:val="15"/>
          <w:b w:val="1"/>
          <w:bCs w:val="1"/>
          <w:color w:val="auto"/>
        </w:rPr>
        <w:t xml:space="preserve">’ </w:t>
      </w:r>
      <w:r>
        <w:rPr>
          <w:rFonts w:ascii="Arial" w:cs="Arial" w:eastAsia="Arial" w:hAnsi="Arial"/>
          <w:sz w:val="9"/>
          <w:szCs w:val="9"/>
          <w:b w:val="1"/>
          <w:b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81" w:name="page282"/>
    <w:bookmarkEnd w:id="281"/>
    <w:p>
      <w:pPr>
        <w:ind w:left="452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ELI PINEWSKI FAMILY LLC</w:t>
      </w:r>
    </w:p>
    <w:p>
      <w:pPr>
        <w:spacing w:after="0" w:line="18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Alan Pines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8890</wp:posOffset>
            </wp:positionV>
            <wp:extent cx="328612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286125"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Alan Pines</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Member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 PAGE TO AMENDED AND RESTATED INVESTORS</w:t>
      </w:r>
      <w:r>
        <w:rPr>
          <w:rFonts w:ascii="Arial" w:cs="Arial" w:eastAsia="Arial" w:hAnsi="Arial"/>
          <w:sz w:val="15"/>
          <w:szCs w:val="15"/>
          <w:b w:val="1"/>
          <w:bCs w:val="1"/>
          <w:color w:val="auto"/>
        </w:rPr>
        <w:t xml:space="preserve">’ </w:t>
      </w:r>
      <w:r>
        <w:rPr>
          <w:rFonts w:ascii="Arial" w:cs="Arial" w:eastAsia="Arial" w:hAnsi="Arial"/>
          <w:sz w:val="9"/>
          <w:szCs w:val="9"/>
          <w:b w:val="1"/>
          <w:b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82" w:name="page283"/>
    <w:bookmarkEnd w:id="282"/>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Kenneth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Kenneth Gruber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 PAGE TO AMENDED AND RESTATED INVESTORS</w:t>
      </w:r>
      <w:r>
        <w:rPr>
          <w:rFonts w:ascii="Arial" w:cs="Arial" w:eastAsia="Arial" w:hAnsi="Arial"/>
          <w:sz w:val="15"/>
          <w:szCs w:val="15"/>
          <w:b w:val="1"/>
          <w:bCs w:val="1"/>
          <w:color w:val="auto"/>
        </w:rPr>
        <w:t xml:space="preserve">’ </w:t>
      </w:r>
      <w:r>
        <w:rPr>
          <w:rFonts w:ascii="Arial" w:cs="Arial" w:eastAsia="Arial" w:hAnsi="Arial"/>
          <w:sz w:val="9"/>
          <w:szCs w:val="9"/>
          <w:b w:val="1"/>
          <w:b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283" w:name="page284"/>
    <w:bookmarkEnd w:id="283"/>
    <w:p>
      <w:pPr>
        <w:ind w:left="452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CITADEL MULTI-STRATEGY EQUITIES MASTER FUND LTD.</w:t>
      </w:r>
    </w:p>
    <w:p>
      <w:pPr>
        <w:spacing w:after="0" w:line="19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Citadel Advisors LLC, its portfolio manager</w:t>
      </w:r>
    </w:p>
    <w:p>
      <w:pPr>
        <w:spacing w:after="0" w:line="17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Shellane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8890</wp:posOffset>
            </wp:positionV>
            <wp:extent cx="328612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286125"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 Authorized Signatory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 PAGE TO AMENDED AND RESTATED INVESTORS</w:t>
      </w:r>
      <w:r>
        <w:rPr>
          <w:rFonts w:ascii="Arial" w:cs="Arial" w:eastAsia="Arial" w:hAnsi="Arial"/>
          <w:sz w:val="15"/>
          <w:szCs w:val="15"/>
          <w:b w:val="1"/>
          <w:bCs w:val="1"/>
          <w:color w:val="auto"/>
        </w:rPr>
        <w:t xml:space="preserve">’ </w:t>
      </w:r>
      <w:r>
        <w:rPr>
          <w:rFonts w:ascii="Arial" w:cs="Arial" w:eastAsia="Arial" w:hAnsi="Arial"/>
          <w:sz w:val="9"/>
          <w:szCs w:val="9"/>
          <w:b w:val="1"/>
          <w:bCs w:val="1"/>
          <w:color w:val="auto"/>
        </w:rPr>
        <w:t>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84" w:name="page285"/>
    <w:bookmarkEnd w:id="284"/>
    <w:p>
      <w:pPr>
        <w:ind w:left="448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ROCK SPRINGS CAPITAL MASTER FUND LP</w:t>
      </w:r>
    </w:p>
    <w:p>
      <w:pPr>
        <w:spacing w:after="0" w:line="183"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By: Rock Springs General Partner LLC, its general partner</w:t>
      </w:r>
    </w:p>
    <w:p>
      <w:pPr>
        <w:spacing w:after="0" w:line="202"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Kris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 Kris Jenner</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Title: Member</w:t>
      </w:r>
    </w:p>
    <w:p>
      <w:pPr>
        <w:spacing w:after="0" w:line="164"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FOUR PINES MASTER FUND LP</w:t>
      </w:r>
    </w:p>
    <w:p>
      <w:pPr>
        <w:spacing w:after="0" w:line="183"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By: Four Pines General Partner LLC, its general partner</w:t>
      </w:r>
    </w:p>
    <w:p>
      <w:pPr>
        <w:spacing w:after="0" w:line="202"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Kris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 Kris Jenner</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Title: Member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942" w:right="1440" w:bottom="1440" w:gutter="0" w:footer="0" w:header="0"/>
        </w:sectPr>
      </w:pPr>
    </w:p>
    <w:bookmarkStart w:id="285" w:name="page286"/>
    <w:bookmarkEnd w:id="285"/>
    <w:p>
      <w:pPr>
        <w:ind w:left="448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T. ROWE PRICE HEALTH SCIENCES FUND, INC.</w:t>
      </w:r>
    </w:p>
    <w:p>
      <w:pPr>
        <w:spacing w:after="0" w:line="18"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TD MUTUAL FUNDS - TD HEALTH SCIENCES FUND</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T. ROWE PRICE HEALTH SCIENCES PORTFOLIO</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Each account, severally and not jointly</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By: T. Rowe Price Associates, Inc., Investment Adviser or Subadviser, as applicable</w:t>
      </w:r>
    </w:p>
    <w:p>
      <w:pPr>
        <w:spacing w:after="0" w:line="355"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 Andrew Baek</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Title: Vice President</w:t>
      </w:r>
    </w:p>
    <w:p>
      <w:pPr>
        <w:spacing w:after="0" w:line="164"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400"/>
          </w:cols>
          <w:pgMar w:left="1440" w:top="766" w:right="1059" w:bottom="1440" w:gutter="0" w:footer="0" w:header="0"/>
        </w:sectPr>
      </w:pPr>
    </w:p>
    <w:bookmarkStart w:id="286" w:name="page287"/>
    <w:bookmarkEnd w:id="286"/>
    <w:p>
      <w:pPr>
        <w:ind w:left="448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LYFE CAPITAL FUND III (PHOENIX), L.P.</w:t>
      </w:r>
    </w:p>
    <w:p>
      <w:pPr>
        <w:spacing w:after="0" w:line="195"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Yao Li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 Yao Li Ho</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Title: Member of the General Partner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87" w:name="page288"/>
    <w:bookmarkEnd w:id="287"/>
    <w:p>
      <w:pPr>
        <w:ind w:left="448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PERCEPTIVE LIFE SCIENCES MASTER FUND, LTD.</w:t>
      </w:r>
    </w:p>
    <w:p>
      <w:pPr>
        <w:spacing w:after="0" w:line="195"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 James H. Mannix</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Title: Chief Operating Officer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288" w:name="page289"/>
    <w:bookmarkEnd w:id="288"/>
    <w:p>
      <w:pPr>
        <w:ind w:left="448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BM LINDSEY, INC.</w:t>
      </w:r>
    </w:p>
    <w:p>
      <w:pPr>
        <w:spacing w:after="0" w:line="18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Bryan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 Bryan Murphy</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Title: Director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89" w:name="page290"/>
    <w:bookmarkEnd w:id="289"/>
    <w:p>
      <w:pPr>
        <w:ind w:left="448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FEINBERG INVESTMENT TRUST LLC</w:t>
      </w:r>
    </w:p>
    <w:p>
      <w:pPr>
        <w:spacing w:after="0" w:line="195"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Lori Kany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Title: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90" w:name="page291"/>
    <w:bookmarkEnd w:id="290"/>
    <w:p>
      <w:pPr>
        <w:ind w:left="4480"/>
        <w:spacing w:after="0"/>
        <w:rPr>
          <w:sz w:val="20"/>
          <w:szCs w:val="20"/>
          <w:color w:val="auto"/>
        </w:rPr>
      </w:pPr>
      <w:r>
        <w:rPr>
          <w:rFonts w:ascii="Arial" w:cs="Arial" w:eastAsia="Arial" w:hAnsi="Arial"/>
          <w:sz w:val="15"/>
          <w:szCs w:val="15"/>
          <w:color w:val="auto"/>
        </w:rPr>
        <w:t>INVESTOR:</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BRIDGELINKS LLC</w:t>
      </w:r>
    </w:p>
    <w:p>
      <w:pPr>
        <w:spacing w:after="0" w:line="18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 /s/ Peter Langerman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8890</wp:posOffset>
            </wp:positionV>
            <wp:extent cx="341820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 Peter Langerman</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Title: President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91" w:name="page292"/>
    <w:bookmarkEnd w:id="291"/>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Rebecca Kusko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Rebecca Kusko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942" w:right="1440" w:bottom="1440" w:gutter="0" w:footer="0" w:header="0"/>
        </w:sectPr>
      </w:pPr>
    </w:p>
    <w:bookmarkStart w:id="292" w:name="page293"/>
    <w:bookmarkEnd w:id="292"/>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Dana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Dana Levy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293" w:name="page294"/>
    <w:bookmarkEnd w:id="293"/>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Jonathan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Jonathan Levy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94" w:name="page295"/>
    <w:bookmarkEnd w:id="294"/>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Jenna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Jenna Levy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95" w:name="page296"/>
    <w:bookmarkEnd w:id="295"/>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Ilonna 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Ilonna Rimm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96" w:name="page297"/>
    <w:bookmarkEnd w:id="296"/>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Josef von Rickenbach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Josef von Rickenbach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297" w:name="page298"/>
    <w:bookmarkEnd w:id="297"/>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Benjamin Kany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Benjamin Kany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298" w:name="page299"/>
    <w:bookmarkEnd w:id="298"/>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Samantha Kany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Samantha Kany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299" w:name="page300"/>
    <w:bookmarkEnd w:id="299"/>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Mark Zucker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Mark Zucker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300" w:name="page301"/>
    <w:bookmarkEnd w:id="300"/>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Peter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Peter King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301" w:name="page302"/>
    <w:bookmarkEnd w:id="301"/>
    <w:p>
      <w:pPr>
        <w:ind w:left="450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Scott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7886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Scott Barrett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942" w:right="1440" w:bottom="1440" w:gutter="0" w:footer="0" w:header="0"/>
        </w:sectPr>
      </w:pPr>
    </w:p>
    <w:bookmarkStart w:id="302" w:name="page303"/>
    <w:bookmarkEnd w:id="302"/>
    <w:p>
      <w:pPr>
        <w:ind w:left="4440"/>
        <w:spacing w:after="0"/>
        <w:rPr>
          <w:sz w:val="20"/>
          <w:szCs w:val="20"/>
          <w:color w:val="auto"/>
        </w:rPr>
      </w:pPr>
      <w:r>
        <w:rPr>
          <w:rFonts w:ascii="Arial" w:cs="Arial" w:eastAsia="Arial" w:hAnsi="Arial"/>
          <w:sz w:val="15"/>
          <w:szCs w:val="15"/>
          <w:color w:val="auto"/>
        </w:rPr>
        <w:t>INVESTOR:</w:t>
      </w:r>
    </w:p>
    <w:p>
      <w:pPr>
        <w:spacing w:after="0" w:line="179"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Investor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120650</wp:posOffset>
            </wp:positionV>
            <wp:extent cx="361378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613785" cy="6985"/>
                    </a:xfrm>
                    <a:prstGeom prst="rect">
                      <a:avLst/>
                    </a:prstGeom>
                    <a:noFill/>
                  </pic:spPr>
                </pic:pic>
              </a:graphicData>
            </a:graphic>
          </wp:anchor>
        </w:drawing>
      </w:r>
    </w:p>
    <w:p>
      <w:pPr>
        <w:spacing w:after="0" w:line="335"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8890</wp:posOffset>
            </wp:positionV>
            <wp:extent cx="347408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spacing w:after="0" w:line="159" w:lineRule="exact"/>
        <w:rPr>
          <w:sz w:val="20"/>
          <w:szCs w:val="20"/>
          <w:color w:val="auto"/>
        </w:rPr>
      </w:pPr>
    </w:p>
    <w:p>
      <w:pPr>
        <w:jc w:val="right"/>
        <w:ind w:right="2139"/>
        <w:spacing w:after="0"/>
        <w:rPr>
          <w:sz w:val="20"/>
          <w:szCs w:val="20"/>
          <w:color w:val="auto"/>
        </w:rPr>
      </w:pPr>
      <w:r>
        <w:rPr>
          <w:rFonts w:ascii="Arial" w:cs="Arial" w:eastAsia="Arial" w:hAnsi="Arial"/>
          <w:sz w:val="15"/>
          <w:szCs w:val="15"/>
          <w:color w:val="auto"/>
        </w:rPr>
        <w:t>Signatory Name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120650</wp:posOffset>
            </wp:positionV>
            <wp:extent cx="361378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613785" cy="6985"/>
                    </a:xfrm>
                    <a:prstGeom prst="rect">
                      <a:avLst/>
                    </a:prstGeom>
                    <a:noFill/>
                  </pic:spPr>
                </pic:pic>
              </a:graphicData>
            </a:graphic>
          </wp:anchor>
        </w:drawing>
      </w:r>
    </w:p>
    <w:p>
      <w:pPr>
        <w:spacing w:after="0" w:line="346"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Title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120650</wp:posOffset>
            </wp:positionV>
            <wp:extent cx="361378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613785" cy="6985"/>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9"/>
          <w:szCs w:val="9"/>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AGE</w:t>
      </w:r>
      <w:r>
        <w:rPr>
          <w:rFonts w:ascii="Arial" w:cs="Arial" w:eastAsia="Arial" w:hAnsi="Arial"/>
          <w:sz w:val="15"/>
          <w:szCs w:val="15"/>
          <w:b w:val="1"/>
          <w:bCs w:val="1"/>
          <w:color w:val="auto"/>
        </w:rPr>
        <w:t xml:space="preserve"> T</w:t>
      </w:r>
      <w:r>
        <w:rPr>
          <w:rFonts w:ascii="Arial" w:cs="Arial" w:eastAsia="Arial" w:hAnsi="Arial"/>
          <w:sz w:val="9"/>
          <w:szCs w:val="9"/>
          <w:b w:val="1"/>
          <w:bCs w:val="1"/>
          <w:color w:val="auto"/>
        </w:rPr>
        <w:t>O</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9"/>
          <w:szCs w:val="9"/>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9"/>
          <w:szCs w:val="9"/>
          <w:b w:val="1"/>
          <w:bCs w:val="1"/>
          <w:color w:val="auto"/>
        </w:rPr>
        <w:t>NVESTORS</w:t>
      </w:r>
      <w:r>
        <w:rPr>
          <w:rFonts w:ascii="Arial" w:cs="Arial" w:eastAsia="Arial" w:hAnsi="Arial"/>
          <w:sz w:val="15"/>
          <w:szCs w:val="15"/>
          <w:b w:val="1"/>
          <w:bCs w:val="1"/>
          <w:color w:val="auto"/>
        </w:rPr>
        <w:t>’ R</w:t>
      </w:r>
      <w:r>
        <w:rPr>
          <w:rFonts w:ascii="Arial" w:cs="Arial" w:eastAsia="Arial" w:hAnsi="Arial"/>
          <w:sz w:val="9"/>
          <w:szCs w:val="9"/>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57720"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303" w:name="page304"/>
    <w:bookmarkEnd w:id="303"/>
    <w:p>
      <w:pPr>
        <w:jc w:val="center"/>
        <w:ind w:right="-1040"/>
        <w:spacing w:after="0"/>
        <w:rPr>
          <w:sz w:val="20"/>
          <w:szCs w:val="20"/>
          <w:color w:val="auto"/>
        </w:rPr>
      </w:pPr>
      <w:r>
        <w:rPr>
          <w:rFonts w:ascii="Arial" w:cs="Arial" w:eastAsia="Arial" w:hAnsi="Arial"/>
          <w:sz w:val="14"/>
          <w:szCs w:val="14"/>
          <w:b w:val="1"/>
          <w:bCs w:val="1"/>
          <w:color w:val="auto"/>
        </w:rPr>
        <w:t>SCHEDULE A</w:t>
      </w:r>
    </w:p>
    <w:p>
      <w:pPr>
        <w:spacing w:after="0" w:line="29" w:lineRule="exact"/>
        <w:rPr>
          <w:sz w:val="20"/>
          <w:szCs w:val="20"/>
          <w:color w:val="auto"/>
        </w:rPr>
      </w:pPr>
    </w:p>
    <w:p>
      <w:pPr>
        <w:jc w:val="center"/>
        <w:ind w:right="-1040"/>
        <w:spacing w:after="0"/>
        <w:rPr>
          <w:sz w:val="20"/>
          <w:szCs w:val="20"/>
          <w:color w:val="auto"/>
        </w:rPr>
      </w:pPr>
      <w:r>
        <w:rPr>
          <w:rFonts w:ascii="Arial" w:cs="Arial" w:eastAsia="Arial" w:hAnsi="Arial"/>
          <w:sz w:val="15"/>
          <w:szCs w:val="15"/>
          <w:b w:val="1"/>
          <w:bCs w:val="1"/>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113665</wp:posOffset>
            </wp:positionV>
            <wp:extent cx="7157720" cy="26092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260921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and Address of Investor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Cormorant Private Healthcare Fund III,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Cormorant Global Healthcare Master Fund,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CRMA SPV,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Robert J. Carpenter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Martin Lipton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Josef von Rickenbach</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BM Lindsey,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448310</wp:posOffset>
            </wp:positionV>
            <wp:extent cx="7157720"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62" w:right="1440" w:bottom="1440" w:gutter="0" w:footer="0" w:header="0"/>
        </w:sectPr>
      </w:pPr>
    </w:p>
    <w:bookmarkStart w:id="304" w:name="page305"/>
    <w:bookmarkEnd w:id="30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494030</wp:posOffset>
            </wp:positionV>
            <wp:extent cx="7157720" cy="317436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3174365"/>
                    </a:xfrm>
                    <a:prstGeom prst="rect">
                      <a:avLst/>
                    </a:prstGeom>
                    <a:noFill/>
                  </pic:spPr>
                </pic:pic>
              </a:graphicData>
            </a:graphic>
          </wp:anchor>
        </w:drawing>
        <w:t>PEF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Tskek IM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Marc A Hurwitz 2012 Dynasty Trust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Feinberg Investment Trust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PF Associates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S4K Investments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SAGE Crest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ZBC Capital Partners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Benjamin J. Zeskind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560070</wp:posOffset>
            </wp:positionV>
            <wp:extent cx="715772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05" w:name="page306"/>
    <w:bookmarkEnd w:id="30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493395</wp:posOffset>
            </wp:positionV>
            <wp:extent cx="7157720" cy="27209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2720975"/>
                    </a:xfrm>
                    <a:prstGeom prst="rect">
                      <a:avLst/>
                    </a:prstGeom>
                    <a:noFill/>
                  </pic:spPr>
                </pic:pic>
              </a:graphicData>
            </a:graphic>
          </wp:anchor>
        </w:drawing>
        <w:t>Robert J. Carpenter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Rebecca Kusko</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Brett M. Hall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Merrin Investors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ValueQuest Partners, LLC</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Ken Gruber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Dr. Mark Zucker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Eli Pinewski Family LLC</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448310</wp:posOffset>
            </wp:positionV>
            <wp:extent cx="715772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06" w:name="page307"/>
    <w:bookmarkEnd w:id="30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493395</wp:posOffset>
            </wp:positionV>
            <wp:extent cx="7157720" cy="27209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2720975"/>
                    </a:xfrm>
                    <a:prstGeom prst="rect">
                      <a:avLst/>
                    </a:prstGeom>
                    <a:noFill/>
                  </pic:spPr>
                </pic:pic>
              </a:graphicData>
            </a:graphic>
          </wp:anchor>
        </w:drawing>
        <w:t>Brent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William Sahlman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Bridgelinks LLC</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Harold Levy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Dana Levy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Jonathan Levy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Jenna Levy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Haya Taitel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448310</wp:posOffset>
            </wp:positionV>
            <wp:extent cx="7157720"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07" w:name="page308"/>
    <w:bookmarkEnd w:id="30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493395</wp:posOffset>
            </wp:positionV>
            <wp:extent cx="7157720" cy="272097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2720975"/>
                    </a:xfrm>
                    <a:prstGeom prst="rect">
                      <a:avLst/>
                    </a:prstGeom>
                    <a:noFill/>
                  </pic:spPr>
                </pic:pic>
              </a:graphicData>
            </a:graphic>
          </wp:anchor>
        </w:drawing>
        <w:t>Mike Hornbuckle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Jon Mann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PENSCO IRA account Eric Bodner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Josh &amp; Aliza Katz</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Linda Jesselson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Bruce A. Bauman and Denise D. Selden, Tenants in Common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CARRAL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Premier Trust Custodian FBO David Koster IRA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448310</wp:posOffset>
            </wp:positionV>
            <wp:extent cx="715772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08" w:name="page309"/>
    <w:bookmarkEnd w:id="30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493395</wp:posOffset>
            </wp:positionV>
            <wp:extent cx="7157720" cy="27000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2700020"/>
                    </a:xfrm>
                    <a:prstGeom prst="rect">
                      <a:avLst/>
                    </a:prstGeom>
                    <a:noFill/>
                  </pic:spPr>
                </pic:pic>
              </a:graphicData>
            </a:graphic>
          </wp:anchor>
        </w:drawing>
        <w:t>Julio Triana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Rochelle Gut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Tyseth Holdings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Blue River Associates,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Eric F. Saltzman Revocable Trust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Daniel Giachin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Boxcar PMJ,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Adross Insights,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448310</wp:posOffset>
            </wp:positionV>
            <wp:extent cx="715772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09" w:name="page310"/>
    <w:bookmarkEnd w:id="30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605155</wp:posOffset>
            </wp:positionV>
            <wp:extent cx="7157720" cy="274193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7720" cy="2741930"/>
                    </a:xfrm>
                    <a:prstGeom prst="rect">
                      <a:avLst/>
                    </a:prstGeom>
                    <a:noFill/>
                  </pic:spPr>
                </pic:pic>
              </a:graphicData>
            </a:graphic>
          </wp:anchor>
        </w:drawing>
        <w:t>ST Detroit Enterprises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Elisa and Yoel Wagner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Livio Giachin Family Trust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Business Technology Advisors, LLC</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Benjamin Kany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Samantha Kany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Robert and Susan Okin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IRA Services Trust Company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469265</wp:posOffset>
            </wp:positionV>
            <wp:extent cx="715772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953" w:right="1440" w:bottom="1440" w:gutter="0" w:footer="0" w:header="0"/>
        </w:sectPr>
      </w:pPr>
    </w:p>
    <w:bookmarkStart w:id="310" w:name="page311"/>
    <w:bookmarkEnd w:id="310"/>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493395</wp:posOffset>
            </wp:positionV>
            <wp:extent cx="7157720" cy="308356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3083560"/>
                    </a:xfrm>
                    <a:prstGeom prst="rect">
                      <a:avLst/>
                    </a:prstGeom>
                    <a:noFill/>
                  </pic:spPr>
                </pic:pic>
              </a:graphicData>
            </a:graphic>
          </wp:anchor>
        </w:drawing>
        <w:t>The Kekst Family Living Trust u/a/d (David J. Kekst)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Scott Barrett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Peter King</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Ilana’s Trust UT Gershon Kekst Annuity Trust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Ronald G. Weiner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55 Pine Street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Kenneth Mandelbaum</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ParkEcho Genetica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Louis Feinberg</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469265</wp:posOffset>
            </wp:positionV>
            <wp:extent cx="7157720"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11" w:name="page312"/>
    <w:bookmarkEnd w:id="31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493395</wp:posOffset>
            </wp:positionV>
            <wp:extent cx="7157720" cy="308356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3083560"/>
                    </a:xfrm>
                    <a:prstGeom prst="rect">
                      <a:avLst/>
                    </a:prstGeom>
                    <a:noFill/>
                  </pic:spPr>
                </pic:pic>
              </a:graphicData>
            </a:graphic>
          </wp:anchor>
        </w:drawing>
        <w:t>Joseph C. Shenker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Raizi Simons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Hali Simons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Zelda Gruber Family Trust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Pam Genet and Elliot Barsh</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Ira Rosenberg</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Jeremy Triana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Howard Kaufman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Marc A Hurwitz 2012 Dynasty Trust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469265</wp:posOffset>
            </wp:positionV>
            <wp:extent cx="7157720"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12" w:name="page313"/>
    <w:bookmarkEnd w:id="31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494030</wp:posOffset>
            </wp:positionV>
            <wp:extent cx="7157720" cy="171640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1716405"/>
                    </a:xfrm>
                    <a:prstGeom prst="rect">
                      <a:avLst/>
                    </a:prstGeom>
                    <a:noFill/>
                  </pic:spPr>
                </pic:pic>
              </a:graphicData>
            </a:graphic>
          </wp:anchor>
        </w:drawing>
        <w:t>T. Rowe Price Health Sciences Fund,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TD Mutual Funds - TD Health Sciences Fund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 Rowe Price Health Sciences Portfolio</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Citadel Multi-Strategy Equities Master Fund Ltd.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Rock Springs Capital Master Fund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469265</wp:posOffset>
            </wp:positionV>
            <wp:extent cx="7157720"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13" w:name="page314"/>
    <w:bookmarkEnd w:id="31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494030</wp:posOffset>
            </wp:positionV>
            <wp:extent cx="7157720" cy="171640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1716405"/>
                    </a:xfrm>
                    <a:prstGeom prst="rect">
                      <a:avLst/>
                    </a:prstGeom>
                    <a:noFill/>
                  </pic:spPr>
                </pic:pic>
              </a:graphicData>
            </a:graphic>
          </wp:anchor>
        </w:drawing>
        <w:t>Four Pines Master Fund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Blackrock Health Sciences Trust II</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LYFE Capital Fund III (Phoenix),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Perceptive Life Sciences Master Fund, Ltd.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Ilonna Rimm</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469265</wp:posOffset>
            </wp:positionV>
            <wp:extent cx="715772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059"/>
          </w:cols>
          <w:pgMar w:left="400" w:top="777" w:right="1440" w:bottom="1440" w:gutter="0" w:footer="0" w:header="0"/>
        </w:sectPr>
      </w:pPr>
    </w:p>
    <w:bookmarkStart w:id="314" w:name="page315"/>
    <w:bookmarkEnd w:id="314"/>
    <w:p>
      <w:pPr>
        <w:jc w:val="right"/>
        <w:spacing w:after="0"/>
        <w:rPr>
          <w:sz w:val="20"/>
          <w:szCs w:val="20"/>
          <w:color w:val="auto"/>
        </w:rPr>
      </w:pPr>
      <w:r>
        <w:rPr>
          <w:rFonts w:ascii="Arial" w:cs="Arial" w:eastAsia="Arial" w:hAnsi="Arial"/>
          <w:sz w:val="15"/>
          <w:szCs w:val="15"/>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1901825</wp:posOffset>
            </wp:positionV>
            <wp:extent cx="6006465"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006465" cy="6985"/>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123190</wp:posOffset>
            </wp:positionV>
            <wp:extent cx="4667250" cy="15557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667250"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hanging="208"/>
        <w:spacing w:after="0"/>
        <w:tabs>
          <w:tab w:leader="none" w:pos="5240" w:val="left"/>
        </w:tabs>
        <w:numPr>
          <w:ilvl w:val="1"/>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BioArkive, LLC</w:t>
      </w:r>
    </w:p>
    <w:p>
      <w:pPr>
        <w:spacing w:after="0" w:line="179" w:lineRule="exact"/>
        <w:rPr>
          <w:rFonts w:ascii="Arial" w:cs="Arial" w:eastAsia="Arial" w:hAnsi="Arial"/>
          <w:sz w:val="15"/>
          <w:szCs w:val="15"/>
          <w:b w:val="1"/>
          <w:bCs w:val="1"/>
          <w:color w:val="auto"/>
        </w:rPr>
      </w:pPr>
    </w:p>
    <w:p>
      <w:pPr>
        <w:ind w:left="5520" w:hanging="189"/>
        <w:spacing w:after="0"/>
        <w:tabs>
          <w:tab w:leader="none" w:pos="5520" w:val="left"/>
        </w:tabs>
        <w:numPr>
          <w:ilvl w:val="2"/>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and  -</w:t>
      </w:r>
    </w:p>
    <w:p>
      <w:pPr>
        <w:spacing w:after="0" w:line="179" w:lineRule="exact"/>
        <w:rPr>
          <w:rFonts w:ascii="Arial" w:cs="Arial" w:eastAsia="Arial" w:hAnsi="Arial"/>
          <w:sz w:val="15"/>
          <w:szCs w:val="15"/>
          <w:b w:val="1"/>
          <w:bCs w:val="1"/>
          <w:color w:val="auto"/>
        </w:rPr>
      </w:pPr>
    </w:p>
    <w:p>
      <w:pPr>
        <w:ind w:left="4860" w:hanging="208"/>
        <w:spacing w:after="0"/>
        <w:tabs>
          <w:tab w:leader="none" w:pos="4860"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color w:val="auto"/>
        </w:rPr>
        <w:t>Immuneering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123190</wp:posOffset>
            </wp:positionV>
            <wp:extent cx="2860040"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860040" cy="6985"/>
                    </a:xfrm>
                    <a:prstGeom prst="rect">
                      <a:avLst/>
                    </a:prstGeom>
                    <a:noFill/>
                  </pic:spPr>
                </pic:pic>
              </a:graphicData>
            </a:graphic>
          </wp:anchor>
        </w:drawing>
      </w: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MASTER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123190</wp:posOffset>
            </wp:positionV>
            <wp:extent cx="2860040"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860040" cy="698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1/11</w:t>
            </w:r>
          </w:p>
        </w:tc>
      </w:tr>
    </w:tbl>
    <w:p>
      <w:pPr>
        <w:sectPr>
          <w:pgSz w:w="11900" w:h="16838" w:orient="portrait"/>
          <w:cols w:equalWidth="0" w:num="1">
            <w:col w:w="11280"/>
          </w:cols>
          <w:pgMar w:left="300" w:top="323" w:right="31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5"/>
          <w:szCs w:val="15"/>
          <w:b w:val="1"/>
          <w:bCs w:val="1"/>
          <w:u w:val="single" w:color="auto"/>
          <w:color w:val="auto"/>
        </w:rPr>
        <w:t>MASTER SERVICES AGREEMENT</w:t>
      </w:r>
    </w:p>
    <w:p>
      <w:pPr>
        <w:spacing w:after="0" w:line="185" w:lineRule="exact"/>
        <w:rPr>
          <w:sz w:val="20"/>
          <w:szCs w:val="20"/>
          <w:color w:val="auto"/>
        </w:rPr>
      </w:pPr>
    </w:p>
    <w:p>
      <w:pPr>
        <w:jc w:val="both"/>
        <w:ind w:firstLine="1055"/>
        <w:spacing w:after="0" w:line="225" w:lineRule="auto"/>
        <w:rPr>
          <w:sz w:val="20"/>
          <w:szCs w:val="20"/>
          <w:color w:val="auto"/>
        </w:rPr>
      </w:pPr>
      <w:r>
        <w:rPr>
          <w:rFonts w:ascii="Arial" w:cs="Arial" w:eastAsia="Arial" w:hAnsi="Arial"/>
          <w:sz w:val="15"/>
          <w:szCs w:val="15"/>
          <w:color w:val="auto"/>
        </w:rPr>
        <w:t>This Master Services Agreement (“</w:t>
      </w:r>
      <w:r>
        <w:rPr>
          <w:rFonts w:ascii="Arial" w:cs="Arial" w:eastAsia="Arial" w:hAnsi="Arial"/>
          <w:sz w:val="15"/>
          <w:szCs w:val="15"/>
          <w:b w:val="1"/>
          <w:bCs w:val="1"/>
          <w:color w:val="auto"/>
        </w:rPr>
        <w:t>Agreement</w:t>
      </w:r>
      <w:r>
        <w:rPr>
          <w:rFonts w:ascii="Arial" w:cs="Arial" w:eastAsia="Arial" w:hAnsi="Arial"/>
          <w:sz w:val="15"/>
          <w:szCs w:val="15"/>
          <w:color w:val="auto"/>
        </w:rPr>
        <w:t>”), effective as of August 5</w:t>
      </w:r>
      <w:r>
        <w:rPr>
          <w:rFonts w:ascii="Arial" w:cs="Arial" w:eastAsia="Arial" w:hAnsi="Arial"/>
          <w:sz w:val="24"/>
          <w:szCs w:val="24"/>
          <w:color w:val="auto"/>
          <w:vertAlign w:val="superscript"/>
        </w:rPr>
        <w:t>th</w:t>
      </w:r>
      <w:r>
        <w:rPr>
          <w:rFonts w:ascii="Arial" w:cs="Arial" w:eastAsia="Arial" w:hAnsi="Arial"/>
          <w:sz w:val="15"/>
          <w:szCs w:val="15"/>
          <w:color w:val="auto"/>
        </w:rPr>
        <w:t>, 2019 (“</w:t>
      </w:r>
      <w:r>
        <w:rPr>
          <w:rFonts w:ascii="Arial" w:cs="Arial" w:eastAsia="Arial" w:hAnsi="Arial"/>
          <w:sz w:val="15"/>
          <w:szCs w:val="15"/>
          <w:b w:val="1"/>
          <w:bCs w:val="1"/>
          <w:color w:val="auto"/>
        </w:rPr>
        <w:t>Effective Date</w:t>
      </w:r>
      <w:r>
        <w:rPr>
          <w:rFonts w:ascii="Arial" w:cs="Arial" w:eastAsia="Arial" w:hAnsi="Arial"/>
          <w:sz w:val="15"/>
          <w:szCs w:val="15"/>
          <w:color w:val="auto"/>
        </w:rPr>
        <w:t>”), is made by and between Bioarkive LLC, a limited liability company under the laws of California, USA, having its registered offices and principal place of business at 11421 W Bernardo Court (Suite 200), San Diego, CA 92127 (hereinafter referred to as “</w:t>
      </w:r>
      <w:r>
        <w:rPr>
          <w:rFonts w:ascii="Arial" w:cs="Arial" w:eastAsia="Arial" w:hAnsi="Arial"/>
          <w:sz w:val="15"/>
          <w:szCs w:val="15"/>
          <w:b w:val="1"/>
          <w:bCs w:val="1"/>
          <w:color w:val="auto"/>
        </w:rPr>
        <w:t>Bioarkive</w:t>
      </w:r>
      <w:r>
        <w:rPr>
          <w:rFonts w:ascii="Arial" w:cs="Arial" w:eastAsia="Arial" w:hAnsi="Arial"/>
          <w:sz w:val="15"/>
          <w:szCs w:val="15"/>
          <w:color w:val="auto"/>
        </w:rPr>
        <w:t>”); and Immuneering Corporation, a corporation</w:t>
      </w:r>
      <w:r>
        <w:rPr>
          <w:rFonts w:ascii="Arial" w:cs="Arial" w:eastAsia="Arial" w:hAnsi="Arial"/>
          <w:sz w:val="15"/>
          <w:szCs w:val="15"/>
          <w:b w:val="1"/>
          <w:bCs w:val="1"/>
          <w:color w:val="auto"/>
        </w:rPr>
        <w:t>,</w:t>
      </w:r>
      <w:r>
        <w:rPr>
          <w:rFonts w:ascii="Arial" w:cs="Arial" w:eastAsia="Arial" w:hAnsi="Arial"/>
          <w:sz w:val="15"/>
          <w:szCs w:val="15"/>
          <w:color w:val="auto"/>
        </w:rPr>
        <w:t xml:space="preserve"> incorporated under the laws of Delaware, USA, having its registered offices and principal place of business at 245 Main St, Second Floor, Cambridge, MA 02142 (hereinafter referred to as “</w:t>
      </w:r>
      <w:r>
        <w:rPr>
          <w:rFonts w:ascii="Arial" w:cs="Arial" w:eastAsia="Arial" w:hAnsi="Arial"/>
          <w:sz w:val="15"/>
          <w:szCs w:val="15"/>
          <w:b w:val="1"/>
          <w:bCs w:val="1"/>
          <w:color w:val="auto"/>
        </w:rPr>
        <w:t>Client</w:t>
      </w:r>
      <w:r>
        <w:rPr>
          <w:rFonts w:ascii="Arial" w:cs="Arial" w:eastAsia="Arial" w:hAnsi="Arial"/>
          <w:sz w:val="15"/>
          <w:szCs w:val="15"/>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Hereinafter each party may also individually be referred to as a “</w:t>
      </w:r>
      <w:r>
        <w:rPr>
          <w:rFonts w:ascii="Arial" w:cs="Arial" w:eastAsia="Arial" w:hAnsi="Arial"/>
          <w:sz w:val="15"/>
          <w:szCs w:val="15"/>
          <w:b w:val="1"/>
          <w:b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Client is engaged in the field of drug discovery;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Bioarkive is engaged in business in the field of preclinical research services and biorepository services;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Bioarkive is willing to provide contract research and development services, as defined below and hereby represents that this undertaking does not conflict with its duties and</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any other agreement to which it is a party, including any agreement with any other company or institution, and</w:t>
      </w:r>
    </w:p>
    <w:p>
      <w:pPr>
        <w:spacing w:after="0" w:line="141" w:lineRule="exact"/>
        <w:rPr>
          <w:sz w:val="20"/>
          <w:szCs w:val="20"/>
          <w:color w:val="auto"/>
        </w:rPr>
      </w:pPr>
    </w:p>
    <w:p>
      <w:pPr>
        <w:jc w:val="both"/>
        <w:spacing w:after="0" w:line="348"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Client and/or its affiliated companies as the case may be, wish to engage Bioarkive for the purpose of literature study, molecular and cell biology research, assay development,</w:t>
      </w:r>
      <w:r>
        <w:rPr>
          <w:rFonts w:ascii="Arial" w:cs="Arial" w:eastAsia="Arial" w:hAnsi="Arial"/>
          <w:sz w:val="13"/>
          <w:szCs w:val="13"/>
          <w:b w:val="1"/>
          <w:bCs w:val="1"/>
          <w:color w:val="auto"/>
        </w:rPr>
        <w:t xml:space="preserve"> </w:t>
      </w:r>
      <w:r>
        <w:rPr>
          <w:rFonts w:ascii="Arial" w:cs="Arial" w:eastAsia="Arial" w:hAnsi="Arial"/>
          <w:sz w:val="13"/>
          <w:szCs w:val="13"/>
          <w:color w:val="auto"/>
        </w:rPr>
        <w:t>biostorage, data analysis, and testing therapeutic agents as further specified in a related Project Proposal or related services which Bioarkive may offer on a project-by-project basis.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NOW, THEREFORE, IT IS AGREED AS FOLLOWS:</w:t>
      </w:r>
    </w:p>
    <w:p>
      <w:pPr>
        <w:spacing w:after="0" w:line="355"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5"/>
          <w:szCs w:val="15"/>
          <w:b w:val="1"/>
          <w:bCs w:val="1"/>
          <w:color w:val="auto"/>
        </w:rPr>
        <w:t>1.0</w:t>
      </w:r>
      <w:r>
        <w:rPr>
          <w:sz w:val="20"/>
          <w:szCs w:val="20"/>
          <w:color w:val="auto"/>
        </w:rPr>
        <w:tab/>
      </w:r>
      <w:r>
        <w:rPr>
          <w:rFonts w:ascii="Arial" w:cs="Arial" w:eastAsia="Arial" w:hAnsi="Arial"/>
          <w:sz w:val="14"/>
          <w:szCs w:val="14"/>
          <w:b w:val="1"/>
          <w:bCs w:val="1"/>
          <w:u w:val="single" w:color="auto"/>
          <w:color w:val="auto"/>
        </w:rPr>
        <w:t>BIOARKIVE SERVICES</w:t>
      </w:r>
    </w:p>
    <w:p>
      <w:pPr>
        <w:spacing w:after="0" w:line="179" w:lineRule="exact"/>
        <w:rPr>
          <w:sz w:val="20"/>
          <w:szCs w:val="20"/>
          <w:color w:val="auto"/>
        </w:rPr>
      </w:pPr>
    </w:p>
    <w:p>
      <w:pPr>
        <w:jc w:val="both"/>
        <w:ind w:firstLine="527"/>
        <w:spacing w:after="0" w:line="273" w:lineRule="auto"/>
        <w:rPr>
          <w:sz w:val="20"/>
          <w:szCs w:val="20"/>
          <w:color w:val="auto"/>
        </w:rPr>
      </w:pPr>
      <w:r>
        <w:rPr>
          <w:rFonts w:ascii="Arial" w:cs="Arial" w:eastAsia="Arial" w:hAnsi="Arial"/>
          <w:sz w:val="14"/>
          <w:szCs w:val="14"/>
          <w:color w:val="auto"/>
        </w:rPr>
        <w:t>1.1 Upon engagement by Client hereunder, Bioarkive, (hereinafter referred as to as the “</w:t>
      </w:r>
      <w:r>
        <w:rPr>
          <w:rFonts w:ascii="Arial" w:cs="Arial" w:eastAsia="Arial" w:hAnsi="Arial"/>
          <w:sz w:val="14"/>
          <w:szCs w:val="14"/>
          <w:b w:val="1"/>
          <w:bCs w:val="1"/>
          <w:color w:val="auto"/>
        </w:rPr>
        <w:t>Service Provider</w:t>
      </w:r>
      <w:r>
        <w:rPr>
          <w:rFonts w:ascii="Arial" w:cs="Arial" w:eastAsia="Arial" w:hAnsi="Arial"/>
          <w:sz w:val="14"/>
          <w:szCs w:val="14"/>
          <w:color w:val="auto"/>
        </w:rPr>
        <w:t>”), shall perform preclinical services, including (but not limited to) molecular and cellular biology assays and/or early process research services which may include (but not limited to) literature study, molecular modeling and assay design, feasibility studies and other related services (collectively, the “</w:t>
      </w:r>
      <w:r>
        <w:rPr>
          <w:rFonts w:ascii="Arial" w:cs="Arial" w:eastAsia="Arial" w:hAnsi="Arial"/>
          <w:sz w:val="14"/>
          <w:szCs w:val="14"/>
          <w:b w:val="1"/>
          <w:bCs w:val="1"/>
          <w:color w:val="auto"/>
        </w:rPr>
        <w:t>Services</w:t>
      </w:r>
      <w:r>
        <w:rPr>
          <w:rFonts w:ascii="Arial" w:cs="Arial" w:eastAsia="Arial" w:hAnsi="Arial"/>
          <w:sz w:val="14"/>
          <w:szCs w:val="14"/>
          <w:color w:val="auto"/>
        </w:rPr>
        <w:t>”) for Client. The Service Provider will prepare a quotation or project proposal (“</w:t>
      </w:r>
      <w:r>
        <w:rPr>
          <w:rFonts w:ascii="Arial" w:cs="Arial" w:eastAsia="Arial" w:hAnsi="Arial"/>
          <w:sz w:val="14"/>
          <w:szCs w:val="14"/>
          <w:b w:val="1"/>
          <w:bCs w:val="1"/>
          <w:color w:val="auto"/>
        </w:rPr>
        <w:t>Project Proposal</w:t>
      </w:r>
      <w:r>
        <w:rPr>
          <w:rFonts w:ascii="Arial" w:cs="Arial" w:eastAsia="Arial" w:hAnsi="Arial"/>
          <w:sz w:val="14"/>
          <w:szCs w:val="14"/>
          <w:color w:val="auto"/>
        </w:rPr>
        <w:t>”) for each request from Client in which, as appropriate, the project goal and/or purpose, the information desired, the experimental procedures or general synthetic approach (derived from literature, patents or other sources of information), the estimated duration of the project, the price, payment terms and payment schedule and all other relevant matters will be described.</w:t>
      </w:r>
    </w:p>
    <w:p>
      <w:pPr>
        <w:spacing w:after="0" w:line="139" w:lineRule="exact"/>
        <w:rPr>
          <w:sz w:val="20"/>
          <w:szCs w:val="20"/>
          <w:color w:val="auto"/>
        </w:rPr>
      </w:pPr>
    </w:p>
    <w:p>
      <w:pPr>
        <w:jc w:val="both"/>
        <w:ind w:firstLine="527"/>
        <w:spacing w:after="0" w:line="269" w:lineRule="auto"/>
        <w:rPr>
          <w:sz w:val="20"/>
          <w:szCs w:val="20"/>
          <w:color w:val="auto"/>
        </w:rPr>
      </w:pPr>
      <w:r>
        <w:rPr>
          <w:rFonts w:ascii="Arial" w:cs="Arial" w:eastAsia="Arial" w:hAnsi="Arial"/>
          <w:sz w:val="14"/>
          <w:szCs w:val="14"/>
          <w:color w:val="auto"/>
        </w:rPr>
        <w:t>1.2 The nature of the Services to be performed by the Service Provider with respect to any individual project as described in a Project Proposal (“</w:t>
      </w:r>
      <w:r>
        <w:rPr>
          <w:rFonts w:ascii="Arial" w:cs="Arial" w:eastAsia="Arial" w:hAnsi="Arial"/>
          <w:sz w:val="14"/>
          <w:szCs w:val="14"/>
          <w:b w:val="1"/>
          <w:bCs w:val="1"/>
          <w:color w:val="auto"/>
        </w:rPr>
        <w:t>Project</w:t>
      </w:r>
      <w:r>
        <w:rPr>
          <w:rFonts w:ascii="Arial" w:cs="Arial" w:eastAsia="Arial" w:hAnsi="Arial"/>
          <w:sz w:val="14"/>
          <w:szCs w:val="14"/>
          <w:color w:val="auto"/>
        </w:rPr>
        <w:t>”) shall be mutually agreed by the Parties and set forth in a Project Proposal that will become an attachment to this Agreement and will be signed by the Client and the relevant Service Provider. An example of the highlights of a Project Proposal is attached to this Agreement as Appendix 1. Each accepted Project Proposal or any other written assignment related to a Project Proposal shall be subject to all of the terms and conditions of this Agreement. To the extent any terms or provisions of a Project Proposal conflict with the terms and provisions of this Agreement, the terms and provisions of this Agreement shall prevail unless the Project Proposal, signed by both Parties, expressly states to the contrary. Bioarkive agrees that during the term of this Agreement, there is neither a minimum number of Projects for which Client is obligated to utilize Bioarkive, nor does this Agreement in any way limit Client’s right to contract with any other Party to provide services similar to that which Bioarkive provides under this Agreement.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2/11</w:t>
            </w:r>
          </w:p>
        </w:tc>
      </w:tr>
    </w:tbl>
    <w:p>
      <w:pPr>
        <w:sectPr>
          <w:pgSz w:w="11900" w:h="16838" w:orient="portrait"/>
          <w:cols w:equalWidth="0" w:num="1">
            <w:col w:w="11280"/>
          </w:cols>
          <w:pgMar w:left="300" w:top="762" w:right="319" w:bottom="1440" w:gutter="0" w:footer="0" w:header="0"/>
        </w:sectPr>
      </w:pPr>
    </w:p>
    <w:bookmarkStart w:id="316" w:name="page317"/>
    <w:bookmarkEnd w:id="316"/>
    <w:p>
      <w:pPr>
        <w:jc w:val="both"/>
        <w:ind w:firstLine="527"/>
        <w:spacing w:after="0" w:line="264" w:lineRule="auto"/>
        <w:rPr>
          <w:sz w:val="20"/>
          <w:szCs w:val="20"/>
          <w:color w:val="auto"/>
        </w:rPr>
      </w:pPr>
      <w:r>
        <w:rPr>
          <w:rFonts w:ascii="Arial" w:cs="Arial" w:eastAsia="Arial" w:hAnsi="Arial"/>
          <w:sz w:val="15"/>
          <w:szCs w:val="15"/>
          <w:color w:val="auto"/>
        </w:rPr>
        <w:t>1.3 In the event that Bioarkive perform any work or Services prior to execution by the Parties of an accepted Project Proposal for such work or Services, the terms and conditions of this Agreement shall also apply to any such work and Services performed by Bioarkive.</w:t>
      </w:r>
    </w:p>
    <w:p>
      <w:pPr>
        <w:spacing w:after="0" w:line="148"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1.4 In consideration of the Services that are performed by the Service Provider under this Agreement, Client will pay the Service Provider the price that has been agreed upon for each accepted Project Proposal or any other written assignment related to a Project Proposal.</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Payment and/or reimbursement shall be (a) in accordance with the terms of the accepted Project Proposal or any other written assignment related to a Project Proposal and (b) accompanied by an invoice from the Service Provider reasonably documenting actual costs charged and/or fees earned. All fees and reimbursable expenses relating to the Services described in an accepted Project Proposal shall be payable and invoiced upon completion of all Services or according to the agreed payment schedule as outlined in the accepted Project Proposal. Invoices received and thereafter approved for payment by Client shall be paid to the Service Provider within thirty (30) days after date of invoice.</w:t>
      </w:r>
    </w:p>
    <w:p>
      <w:pPr>
        <w:spacing w:after="0" w:line="144"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1.5 If requested by Client, the Service Provider shall consult with Client to assist Client in describing the Project goal and/or purpose. Bioarkive represents that the Service Provider will provide all reasonable efforts to assist Client in a manner consistent with current regulatory guidelines.</w:t>
      </w:r>
    </w:p>
    <w:p>
      <w:pPr>
        <w:spacing w:after="0" w:line="148" w:lineRule="exact"/>
        <w:rPr>
          <w:sz w:val="20"/>
          <w:szCs w:val="20"/>
          <w:color w:val="auto"/>
        </w:rPr>
      </w:pPr>
    </w:p>
    <w:p>
      <w:pPr>
        <w:jc w:val="both"/>
        <w:ind w:firstLine="527"/>
        <w:spacing w:after="0" w:line="300" w:lineRule="auto"/>
        <w:rPr>
          <w:sz w:val="20"/>
          <w:szCs w:val="20"/>
          <w:color w:val="auto"/>
        </w:rPr>
      </w:pPr>
      <w:r>
        <w:rPr>
          <w:rFonts w:ascii="Arial" w:cs="Arial" w:eastAsia="Arial" w:hAnsi="Arial"/>
          <w:sz w:val="14"/>
          <w:szCs w:val="14"/>
          <w:color w:val="auto"/>
        </w:rPr>
        <w:t>1.6 The Service Provider shall appoint a "Project Manager" to be responsible for a Project performed for Client. The Project Manager shall coordinate performance of the Project with a representative designated by Client, which representative shall have responsibility over all matters related to the outcome of the Project on behalf of Client.</w:t>
      </w:r>
    </w:p>
    <w:p>
      <w:pPr>
        <w:spacing w:after="0" w:line="125"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1.7 The Service Provider will communicate with Client scientists and with Client on a regular basis, and will respond upon all reasonable requests, regarding all Projects. The Service Provider will provide written reports to Client at regular, defined and mutually agreeable intervals describing the results and including full experimental procedures, as further set forth in the Project Proposal.</w:t>
      </w:r>
    </w:p>
    <w:p>
      <w:pPr>
        <w:spacing w:after="0" w:line="156"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1.8 The Service Provider shall retain for a period of at least five (5) years from the completion of a Project or such mandatory period as defined by applicable laws, whichever is longer, (a) experimental records and laboratory notebooks containing experimental descriptions and data generated from such Project and may store (b) research samples, where applicable, for reference purposes.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3/11</w:t>
            </w:r>
          </w:p>
        </w:tc>
      </w:tr>
    </w:tbl>
    <w:p>
      <w:pPr>
        <w:sectPr>
          <w:pgSz w:w="11900" w:h="16838" w:orient="portrait"/>
          <w:cols w:equalWidth="0" w:num="1">
            <w:col w:w="11280"/>
          </w:cols>
          <w:pgMar w:left="300" w:top="766" w:right="319" w:bottom="1440" w:gutter="0" w:footer="0" w:header="0"/>
        </w:sectPr>
      </w:pPr>
    </w:p>
    <w:bookmarkStart w:id="317" w:name="page318"/>
    <w:bookmarkEnd w:id="317"/>
    <w:p>
      <w:pPr>
        <w:ind w:left="520"/>
        <w:spacing w:after="0"/>
        <w:tabs>
          <w:tab w:leader="none" w:pos="940" w:val="left"/>
        </w:tabs>
        <w:rPr>
          <w:sz w:val="20"/>
          <w:szCs w:val="20"/>
          <w:color w:val="auto"/>
        </w:rPr>
      </w:pPr>
      <w:r>
        <w:rPr>
          <w:rFonts w:ascii="Arial" w:cs="Arial" w:eastAsia="Arial" w:hAnsi="Arial"/>
          <w:sz w:val="15"/>
          <w:szCs w:val="15"/>
          <w:b w:val="1"/>
          <w:bCs w:val="1"/>
          <w:color w:val="auto"/>
        </w:rPr>
        <w:t>2.0</w:t>
      </w:r>
      <w:r>
        <w:rPr>
          <w:sz w:val="20"/>
          <w:szCs w:val="20"/>
          <w:color w:val="auto"/>
        </w:rPr>
        <w:tab/>
      </w:r>
      <w:r>
        <w:rPr>
          <w:rFonts w:ascii="Arial" w:cs="Arial" w:eastAsia="Arial" w:hAnsi="Arial"/>
          <w:sz w:val="15"/>
          <w:szCs w:val="15"/>
          <w:b w:val="1"/>
          <w:bCs w:val="1"/>
          <w:u w:val="single" w:color="auto"/>
          <w:color w:val="auto"/>
        </w:rPr>
        <w:t>COMPLIANCE WITH GOVERNMENT REGULATIONS</w:t>
      </w:r>
    </w:p>
    <w:p>
      <w:pPr>
        <w:spacing w:after="0" w:line="183" w:lineRule="exact"/>
        <w:rPr>
          <w:sz w:val="20"/>
          <w:szCs w:val="20"/>
          <w:color w:val="auto"/>
        </w:rPr>
      </w:pPr>
    </w:p>
    <w:p>
      <w:pPr>
        <w:jc w:val="both"/>
        <w:ind w:firstLine="527"/>
        <w:spacing w:after="0" w:line="274" w:lineRule="auto"/>
        <w:rPr>
          <w:sz w:val="20"/>
          <w:szCs w:val="20"/>
          <w:color w:val="auto"/>
        </w:rPr>
      </w:pPr>
      <w:r>
        <w:rPr>
          <w:rFonts w:ascii="Arial" w:cs="Arial" w:eastAsia="Arial" w:hAnsi="Arial"/>
          <w:sz w:val="14"/>
          <w:szCs w:val="14"/>
          <w:color w:val="auto"/>
        </w:rPr>
        <w:t>2.1 The Service Provider shall perform each Project in accordance with applicable laws, regulations, the current state of the laboratory research art and the relevant Project Proposal. The Service Provider shall also comply with all applicable current government regulatory requirements. In the event Client requires any special procedures to be undertaken by the Service Provider (e.g., to satisfy foreign standards or requirements or otherwise) such procedures ("Client Procedures") will be provided in writing by Client to the Service Provider and require prior written approval by the Service Provider. Service Provider shall perform each Project in accordance with all agreed-upon Client Procedures.</w:t>
      </w:r>
    </w:p>
    <w:p>
      <w:pPr>
        <w:spacing w:after="0" w:line="144"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The Service Provider shall provide the following for each Project:</w:t>
      </w:r>
    </w:p>
    <w:p>
      <w:pPr>
        <w:spacing w:after="0" w:line="179" w:lineRule="exact"/>
        <w:rPr>
          <w:sz w:val="20"/>
          <w:szCs w:val="20"/>
          <w:color w:val="auto"/>
        </w:rPr>
      </w:pPr>
    </w:p>
    <w:p>
      <w:pPr>
        <w:ind w:left="1600" w:hanging="537"/>
        <w:spacing w:after="0"/>
        <w:tabs>
          <w:tab w:leader="none" w:pos="16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Labor, facilities and materials</w:t>
      </w:r>
    </w:p>
    <w:p>
      <w:pPr>
        <w:spacing w:after="0" w:line="179" w:lineRule="exact"/>
        <w:rPr>
          <w:rFonts w:ascii="Arial" w:cs="Arial" w:eastAsia="Arial" w:hAnsi="Arial"/>
          <w:sz w:val="15"/>
          <w:szCs w:val="15"/>
          <w:color w:val="auto"/>
        </w:rPr>
      </w:pPr>
    </w:p>
    <w:p>
      <w:pPr>
        <w:ind w:left="1600" w:hanging="537"/>
        <w:spacing w:after="0"/>
        <w:tabs>
          <w:tab w:leader="none" w:pos="16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Preclinical data analysis experiments completed during a Project including an interim summary report;</w:t>
      </w:r>
    </w:p>
    <w:p>
      <w:pPr>
        <w:spacing w:after="0" w:line="179" w:lineRule="exact"/>
        <w:rPr>
          <w:rFonts w:ascii="Arial" w:cs="Arial" w:eastAsia="Arial" w:hAnsi="Arial"/>
          <w:sz w:val="15"/>
          <w:szCs w:val="15"/>
          <w:color w:val="auto"/>
        </w:rPr>
      </w:pPr>
    </w:p>
    <w:p>
      <w:pPr>
        <w:ind w:left="1600" w:hanging="537"/>
        <w:spacing w:after="0"/>
        <w:tabs>
          <w:tab w:leader="none" w:pos="16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Subject to section 1.8 and upon request of Client any data and other research materials resulting from a Project;</w:t>
      </w:r>
    </w:p>
    <w:p>
      <w:pPr>
        <w:spacing w:after="0" w:line="179" w:lineRule="exact"/>
        <w:rPr>
          <w:rFonts w:ascii="Arial" w:cs="Arial" w:eastAsia="Arial" w:hAnsi="Arial"/>
          <w:sz w:val="15"/>
          <w:szCs w:val="15"/>
          <w:color w:val="auto"/>
        </w:rPr>
      </w:pPr>
    </w:p>
    <w:p>
      <w:pPr>
        <w:ind w:left="1600" w:hanging="537"/>
        <w:spacing w:after="0"/>
        <w:tabs>
          <w:tab w:leader="none" w:pos="16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 final report setting forth a full summary of the results of a Project, including a summary of all relevant data; and</w:t>
      </w:r>
    </w:p>
    <w:p>
      <w:pPr>
        <w:spacing w:after="0" w:line="179" w:lineRule="exact"/>
        <w:rPr>
          <w:rFonts w:ascii="Arial" w:cs="Arial" w:eastAsia="Arial" w:hAnsi="Arial"/>
          <w:sz w:val="15"/>
          <w:szCs w:val="15"/>
          <w:color w:val="auto"/>
        </w:rPr>
      </w:pPr>
    </w:p>
    <w:p>
      <w:pPr>
        <w:ind w:left="1600" w:hanging="537"/>
        <w:spacing w:after="0"/>
        <w:tabs>
          <w:tab w:leader="none" w:pos="16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Necessary professional and support personnel for a Project.</w:t>
      </w:r>
    </w:p>
    <w:p>
      <w:pPr>
        <w:spacing w:after="0" w:line="179"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color w:val="auto"/>
        </w:rPr>
        <w:t>Bioarkive shall assure compliance with all applicable laws and regulations regarding the disposal of hazardous materials.</w:t>
      </w:r>
    </w:p>
    <w:p>
      <w:pPr>
        <w:spacing w:after="0" w:line="175"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5"/>
          <w:szCs w:val="15"/>
          <w:b w:val="1"/>
          <w:bCs w:val="1"/>
          <w:color w:val="auto"/>
        </w:rPr>
        <w:t>3.0</w:t>
      </w:r>
      <w:r>
        <w:rPr>
          <w:sz w:val="20"/>
          <w:szCs w:val="20"/>
          <w:color w:val="auto"/>
        </w:rPr>
        <w:tab/>
      </w:r>
      <w:r>
        <w:rPr>
          <w:rFonts w:ascii="Arial" w:cs="Arial" w:eastAsia="Arial" w:hAnsi="Arial"/>
          <w:sz w:val="15"/>
          <w:szCs w:val="15"/>
          <w:b w:val="1"/>
          <w:bCs w:val="1"/>
          <w:u w:val="single" w:color="auto"/>
          <w:color w:val="auto"/>
        </w:rPr>
        <w:t>CONFIDENTIAL INFORMATION</w:t>
      </w:r>
    </w:p>
    <w:p>
      <w:pPr>
        <w:spacing w:after="0" w:line="183"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3.1 During the Term of this Agreement and for a period of seven (7) years following the termination or expiration, either Party agrees to retain in confidence and to refrain from disclosing or using for its benefit or the benefit of any third party, any and all information, test materials or data disclosed to such Party by the other Party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This restriction shall not apply to Confidential Information:</w:t>
      </w:r>
    </w:p>
    <w:p>
      <w:pPr>
        <w:spacing w:after="0" w:line="156" w:lineRule="exact"/>
        <w:rPr>
          <w:sz w:val="20"/>
          <w:szCs w:val="20"/>
          <w:color w:val="auto"/>
        </w:rPr>
      </w:pPr>
    </w:p>
    <w:p>
      <w:pPr>
        <w:ind w:left="1600" w:hanging="537"/>
        <w:spacing w:after="0"/>
        <w:tabs>
          <w:tab w:leader="none" w:pos="16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in or entering the public domain (through no fault of the receiving Party);</w:t>
      </w:r>
    </w:p>
    <w:p>
      <w:pPr>
        <w:spacing w:after="0" w:line="179" w:lineRule="exact"/>
        <w:rPr>
          <w:rFonts w:ascii="Arial" w:cs="Arial" w:eastAsia="Arial" w:hAnsi="Arial"/>
          <w:sz w:val="15"/>
          <w:szCs w:val="15"/>
          <w:color w:val="auto"/>
        </w:rPr>
      </w:pPr>
    </w:p>
    <w:p>
      <w:pPr>
        <w:ind w:left="1600" w:hanging="537"/>
        <w:spacing w:after="0"/>
        <w:tabs>
          <w:tab w:leader="none" w:pos="16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made available to the receiving Party by an independent third party owing no obligation of confidentiality to the disclosing Party with regard thereto;</w:t>
      </w:r>
    </w:p>
    <w:p>
      <w:pPr>
        <w:spacing w:after="0" w:line="190" w:lineRule="exact"/>
        <w:rPr>
          <w:rFonts w:ascii="Arial" w:cs="Arial" w:eastAsia="Arial" w:hAnsi="Arial"/>
          <w:sz w:val="14"/>
          <w:szCs w:val="14"/>
          <w:color w:val="auto"/>
        </w:rPr>
      </w:pPr>
    </w:p>
    <w:p>
      <w:pPr>
        <w:ind w:left="1600" w:hanging="537"/>
        <w:spacing w:after="0" w:line="264" w:lineRule="auto"/>
        <w:tabs>
          <w:tab w:leader="none" w:pos="16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already in the receiving Party's possession at the time of receipt from the disclosing Party (and such prior possession can be properly demonstrated by the receiving Party);</w:t>
      </w:r>
    </w:p>
    <w:p>
      <w:pPr>
        <w:spacing w:after="0" w:line="147" w:lineRule="exact"/>
        <w:rPr>
          <w:rFonts w:ascii="Arial" w:cs="Arial" w:eastAsia="Arial" w:hAnsi="Arial"/>
          <w:sz w:val="15"/>
          <w:szCs w:val="15"/>
          <w:color w:val="auto"/>
        </w:rPr>
      </w:pPr>
    </w:p>
    <w:p>
      <w:pPr>
        <w:ind w:left="1600" w:hanging="537"/>
        <w:spacing w:after="0" w:line="264" w:lineRule="auto"/>
        <w:tabs>
          <w:tab w:leader="none" w:pos="16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that are independently developed by the receiving Party without the aid, application or use of the Confidential Information (and such independent development can be properly demonstrated by the receiving Party); or</w:t>
      </w:r>
    </w:p>
    <w:p>
      <w:pPr>
        <w:spacing w:after="0" w:line="147" w:lineRule="exact"/>
        <w:rPr>
          <w:rFonts w:ascii="Arial" w:cs="Arial" w:eastAsia="Arial" w:hAnsi="Arial"/>
          <w:sz w:val="15"/>
          <w:szCs w:val="15"/>
          <w:color w:val="auto"/>
        </w:rPr>
      </w:pPr>
    </w:p>
    <w:p>
      <w:pPr>
        <w:jc w:val="both"/>
        <w:ind w:left="1600" w:hanging="537"/>
        <w:spacing w:after="0" w:line="251" w:lineRule="auto"/>
        <w:tabs>
          <w:tab w:leader="none" w:pos="16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 xml:space="preserve">that are required by law, regulation, rule, act, or order of any governmental authority or agency to be disclosed by the receiving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receiving Party (i) gives the disclosing Party sufficient advance written notice to permit it to seek a protective order or other similar order with respect to such Confidential Information received hereunder and (ii) thereafter discloses only the minimum Confidential Information required to be disclosed in order to comply, whether or not a protective order or other similar order is obtained by the disclosing Party.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4/11</w:t>
            </w:r>
          </w:p>
        </w:tc>
      </w:tr>
    </w:tbl>
    <w:p>
      <w:pPr>
        <w:sectPr>
          <w:pgSz w:w="11900" w:h="16838" w:orient="portrait"/>
          <w:cols w:equalWidth="0" w:num="1">
            <w:col w:w="11280"/>
          </w:cols>
          <w:pgMar w:left="300" w:top="762" w:right="319" w:bottom="1440" w:gutter="0" w:footer="0" w:header="0"/>
        </w:sectPr>
      </w:pPr>
    </w:p>
    <w:bookmarkStart w:id="318" w:name="page319"/>
    <w:bookmarkEnd w:id="318"/>
    <w:p>
      <w:pPr>
        <w:jc w:val="both"/>
        <w:spacing w:after="0" w:line="264" w:lineRule="auto"/>
        <w:rPr>
          <w:sz w:val="20"/>
          <w:szCs w:val="20"/>
          <w:color w:val="auto"/>
        </w:rPr>
      </w:pPr>
      <w:r>
        <w:rPr>
          <w:rFonts w:ascii="Arial" w:cs="Arial" w:eastAsia="Arial" w:hAnsi="Arial"/>
          <w:sz w:val="15"/>
          <w:szCs w:val="15"/>
          <w:color w:val="auto"/>
        </w:rPr>
        <w:t>Either Party shall only provide the Confidential Information received from the other Party hereunder to its directors, officers, employees, agents, subcontractors, and consultants who are directly concerned with a Project and who have written obligations of confidentiality with such Party substantially similar to those set forth herein.</w:t>
      </w:r>
    </w:p>
    <w:p>
      <w:pPr>
        <w:spacing w:after="0" w:line="148"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3.2 Upon completion of a Project or at any other time at the disclosing Party's request, the receiving Party shall upon request either destroy or promptly return to the disclosing Party any and all Confidential Information, in any form or media, except that the receiving Party shall be entitled to retain one (1) archival copy of such Confidential Information for legal purposes.</w:t>
      </w:r>
    </w:p>
    <w:p>
      <w:pPr>
        <w:spacing w:after="0" w:line="156"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3.3 The provision contained in this section 3, equally apply to any and all information, test materials or data generated under the Project and owned by Client pursuant to section 4, which information, test materials or data shall be considered Confidential Information of the Client.</w:t>
      </w:r>
    </w:p>
    <w:p>
      <w:pPr>
        <w:spacing w:after="0" w:line="14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5"/>
          <w:szCs w:val="15"/>
          <w:b w:val="1"/>
          <w:bCs w:val="1"/>
          <w:color w:val="auto"/>
        </w:rPr>
        <w:t>4.0</w:t>
      </w:r>
      <w:r>
        <w:rPr>
          <w:sz w:val="20"/>
          <w:szCs w:val="20"/>
          <w:color w:val="auto"/>
        </w:rPr>
        <w:tab/>
      </w:r>
      <w:r>
        <w:rPr>
          <w:rFonts w:ascii="Arial" w:cs="Arial" w:eastAsia="Arial" w:hAnsi="Arial"/>
          <w:sz w:val="14"/>
          <w:szCs w:val="14"/>
          <w:b w:val="1"/>
          <w:bCs w:val="1"/>
          <w:u w:val="single" w:color="auto"/>
          <w:color w:val="auto"/>
        </w:rPr>
        <w:t>PROJECT RESULTS</w:t>
      </w:r>
    </w:p>
    <w:p>
      <w:pPr>
        <w:spacing w:after="0" w:line="183"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4.1 All data and information, including Client Inventions as defined under 5.1, arising from the performance of the Services listed in the accepted Project Proposal hereunder, (including but not limited to records, original experimental reports, other material(s) and data), except to the extent such experimental data and information solely relate to the Bioarkive Property (as defined in section 5.2), shall be deemed the intellectual property of Client (“</w:t>
      </w:r>
      <w:r>
        <w:rPr>
          <w:rFonts w:ascii="Arial" w:cs="Arial" w:eastAsia="Arial" w:hAnsi="Arial"/>
          <w:sz w:val="15"/>
          <w:szCs w:val="15"/>
          <w:b w:val="1"/>
          <w:bCs w:val="1"/>
          <w:color w:val="auto"/>
        </w:rPr>
        <w:t>Client Results</w:t>
      </w:r>
      <w:r>
        <w:rPr>
          <w:rFonts w:ascii="Arial" w:cs="Arial" w:eastAsia="Arial" w:hAnsi="Arial"/>
          <w:sz w:val="15"/>
          <w:szCs w:val="15"/>
          <w:color w:val="auto"/>
        </w:rPr>
        <w:t>”).</w:t>
      </w:r>
    </w:p>
    <w:p>
      <w:pPr>
        <w:spacing w:after="0" w:line="156"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4.2 Client shall retain title to and shall have the right to publish all Client Results. Client Results shall be retained in the Bioarkive archive in compliance with regulatory and legal requirements or at such archival site as determined by Client at Client’s expense.</w:t>
      </w:r>
    </w:p>
    <w:p>
      <w:pPr>
        <w:spacing w:after="0" w:line="148"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5"/>
          <w:szCs w:val="15"/>
          <w:color w:val="auto"/>
        </w:rPr>
        <w:t>4.3 Any and all results generated during or resulting from the Services performed by Bioarkive that solely relate to the Bioarkive Property, shall be deemed the intellectual property of Bioarkive.</w:t>
      </w:r>
    </w:p>
    <w:p>
      <w:pPr>
        <w:spacing w:after="0" w:line="148"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color w:val="auto"/>
        </w:rPr>
        <w:t>Electronic archival, if available, shall be kept in accordance with the industry standard and in compliance with relevant regulatory and legal requirement.</w:t>
      </w:r>
    </w:p>
    <w:p>
      <w:pPr>
        <w:spacing w:after="0" w:line="179" w:lineRule="exact"/>
        <w:rPr>
          <w:sz w:val="20"/>
          <w:szCs w:val="20"/>
          <w:color w:val="auto"/>
        </w:rPr>
      </w:pPr>
    </w:p>
    <w:p>
      <w:pPr>
        <w:jc w:val="both"/>
        <w:ind w:firstLine="519"/>
        <w:spacing w:after="0" w:line="251" w:lineRule="auto"/>
        <w:rPr>
          <w:sz w:val="20"/>
          <w:szCs w:val="20"/>
          <w:color w:val="auto"/>
        </w:rPr>
      </w:pPr>
      <w:r>
        <w:rPr>
          <w:rFonts w:ascii="Arial" w:cs="Arial" w:eastAsia="Arial" w:hAnsi="Arial"/>
          <w:sz w:val="15"/>
          <w:szCs w:val="15"/>
          <w:color w:val="auto"/>
        </w:rPr>
        <w:t>4.5 To the extent that Services to be performed under a Project Proposal include the development of novel, non-standard preclinical assays for use by Client (each, a "Client-Specific Assay"), each Client-Specific Assay shall be owned by Bioarkive but (a) be licensed exclusively by Bioarkive to Client for use exclusively by or on behalf of Client for a period of three years, and (b) thereafter be licensed non-exclusively by Bioarkive to Client thereafter for use by or on behalf of Client. Such license shall at all times be worldwide, perpectual, irrevocable, royalty-free and fully paid-up.</w:t>
      </w:r>
    </w:p>
    <w:p>
      <w:pPr>
        <w:spacing w:after="0" w:line="153"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5"/>
          <w:szCs w:val="15"/>
          <w:b w:val="1"/>
          <w:bCs w:val="1"/>
          <w:color w:val="auto"/>
        </w:rPr>
        <w:t>5.0</w:t>
      </w:r>
      <w:r>
        <w:rPr>
          <w:sz w:val="20"/>
          <w:szCs w:val="20"/>
          <w:color w:val="auto"/>
        </w:rPr>
        <w:tab/>
      </w:r>
      <w:r>
        <w:rPr>
          <w:rFonts w:ascii="Arial" w:cs="Arial" w:eastAsia="Arial" w:hAnsi="Arial"/>
          <w:sz w:val="14"/>
          <w:szCs w:val="14"/>
          <w:b w:val="1"/>
          <w:bCs w:val="1"/>
          <w:u w:val="single" w:color="auto"/>
          <w:color w:val="auto"/>
        </w:rPr>
        <w:t>INVENTIONS AND PATENTS</w:t>
      </w:r>
    </w:p>
    <w:p>
      <w:pPr>
        <w:spacing w:after="0" w:line="183" w:lineRule="exact"/>
        <w:rPr>
          <w:sz w:val="20"/>
          <w:szCs w:val="20"/>
          <w:color w:val="auto"/>
        </w:rPr>
      </w:pPr>
    </w:p>
    <w:p>
      <w:pPr>
        <w:jc w:val="both"/>
        <w:ind w:firstLine="527"/>
        <w:spacing w:after="0" w:line="251" w:lineRule="auto"/>
        <w:rPr>
          <w:sz w:val="20"/>
          <w:szCs w:val="20"/>
          <w:color w:val="auto"/>
        </w:rPr>
      </w:pPr>
      <w:r>
        <w:rPr>
          <w:rFonts w:ascii="Arial" w:cs="Arial" w:eastAsia="Arial" w:hAnsi="Arial"/>
          <w:sz w:val="15"/>
          <w:szCs w:val="15"/>
          <w:color w:val="auto"/>
        </w:rPr>
        <w:t>5.1 Bioarkive shall promptly notify Client in writing of any and all ideas, innovations, inventions, methods, developments or improvements, whether or not patentable, discovered or arising from the performance of a Project conducted hereunder to the extent such experimental data and information do not relate to the Bioarkive Property ("</w:t>
      </w:r>
      <w:r>
        <w:rPr>
          <w:rFonts w:ascii="Arial" w:cs="Arial" w:eastAsia="Arial" w:hAnsi="Arial"/>
          <w:sz w:val="15"/>
          <w:szCs w:val="15"/>
          <w:b w:val="1"/>
          <w:bCs w:val="1"/>
          <w:color w:val="auto"/>
        </w:rPr>
        <w:t>Client Inventions</w:t>
      </w:r>
      <w:r>
        <w:rPr>
          <w:rFonts w:ascii="Arial" w:cs="Arial" w:eastAsia="Arial" w:hAnsi="Arial"/>
          <w:sz w:val="15"/>
          <w:szCs w:val="15"/>
          <w:color w:val="auto"/>
        </w:rPr>
        <w:t>"). Subject to Section 4.5, Bioarkive hereby assigns and agrees to assign to Client all rights, title and interest in and to such Client Inventions. If Client requests, and at Client's expense, Bioarkive shall provide Client with reasonable assistance to obtain patents for such Client Inventions.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5/11</w:t>
            </w:r>
          </w:p>
        </w:tc>
      </w:tr>
    </w:tbl>
    <w:p>
      <w:pPr>
        <w:sectPr>
          <w:pgSz w:w="11900" w:h="16838" w:orient="portrait"/>
          <w:cols w:equalWidth="0" w:num="1">
            <w:col w:w="11280"/>
          </w:cols>
          <w:pgMar w:left="300" w:top="766" w:right="319" w:bottom="1440" w:gutter="0" w:footer="0" w:header="0"/>
        </w:sectPr>
      </w:pPr>
    </w:p>
    <w:bookmarkStart w:id="319" w:name="page320"/>
    <w:bookmarkEnd w:id="319"/>
    <w:p>
      <w:pPr>
        <w:jc w:val="both"/>
        <w:ind w:firstLine="513"/>
        <w:spacing w:after="0" w:line="274" w:lineRule="auto"/>
        <w:rPr>
          <w:sz w:val="20"/>
          <w:szCs w:val="20"/>
          <w:color w:val="auto"/>
        </w:rPr>
      </w:pPr>
      <w:r>
        <w:rPr>
          <w:rFonts w:ascii="Arial" w:cs="Arial" w:eastAsia="Arial" w:hAnsi="Arial"/>
          <w:sz w:val="14"/>
          <w:szCs w:val="14"/>
          <w:color w:val="auto"/>
        </w:rPr>
        <w:t>5.2 The Parties acknowledge and agree that Bioarkive has proprietary testing protocols, processes, programming, methodology, techniques, equipment and know-how existing as of the Effective Date of this Agreement or developed wholly independent of the Services that are its sole and exclusive property (“</w:t>
      </w:r>
      <w:r>
        <w:rPr>
          <w:rFonts w:ascii="Arial" w:cs="Arial" w:eastAsia="Arial" w:hAnsi="Arial"/>
          <w:sz w:val="14"/>
          <w:szCs w:val="14"/>
          <w:b w:val="1"/>
          <w:bCs w:val="1"/>
          <w:color w:val="auto"/>
        </w:rPr>
        <w:t>Bioarkive Property</w:t>
      </w:r>
      <w:r>
        <w:rPr>
          <w:rFonts w:ascii="Arial" w:cs="Arial" w:eastAsia="Arial" w:hAnsi="Arial"/>
          <w:sz w:val="14"/>
          <w:szCs w:val="14"/>
          <w:color w:val="auto"/>
        </w:rPr>
        <w:t>”) and that any ideas, innovations, inventions, developments or improvements, whether or not patentable, solely relating to such testing protocols, processes, programming, methodology, techniques, equipment and know-how conceived solely by Bioarkive shall be and remain the sole and exclusive intellectual property of Bioarkive, subject to Section 4.5.</w:t>
      </w:r>
    </w:p>
    <w:p>
      <w:pPr>
        <w:spacing w:after="0" w:line="140"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5"/>
          <w:szCs w:val="15"/>
          <w:b w:val="1"/>
          <w:bCs w:val="1"/>
          <w:color w:val="auto"/>
        </w:rPr>
        <w:t>6.0</w:t>
      </w:r>
      <w:r>
        <w:rPr>
          <w:sz w:val="20"/>
          <w:szCs w:val="20"/>
          <w:color w:val="auto"/>
        </w:rPr>
        <w:tab/>
      </w:r>
      <w:r>
        <w:rPr>
          <w:rFonts w:ascii="Arial" w:cs="Arial" w:eastAsia="Arial" w:hAnsi="Arial"/>
          <w:sz w:val="15"/>
          <w:szCs w:val="15"/>
          <w:b w:val="1"/>
          <w:bCs w:val="1"/>
          <w:u w:val="single" w:color="auto"/>
          <w:color w:val="auto"/>
        </w:rPr>
        <w:t>LIABILITY</w:t>
      </w:r>
    </w:p>
    <w:p>
      <w:pPr>
        <w:spacing w:after="0" w:line="183" w:lineRule="exact"/>
        <w:rPr>
          <w:sz w:val="20"/>
          <w:szCs w:val="20"/>
          <w:color w:val="auto"/>
        </w:rPr>
      </w:pPr>
    </w:p>
    <w:p>
      <w:pPr>
        <w:jc w:val="both"/>
        <w:ind w:firstLine="519"/>
        <w:spacing w:after="0" w:line="311" w:lineRule="auto"/>
        <w:rPr>
          <w:sz w:val="20"/>
          <w:szCs w:val="20"/>
          <w:color w:val="auto"/>
        </w:rPr>
      </w:pPr>
      <w:r>
        <w:rPr>
          <w:rFonts w:ascii="Arial" w:cs="Arial" w:eastAsia="Arial" w:hAnsi="Arial"/>
          <w:sz w:val="13"/>
          <w:szCs w:val="13"/>
          <w:color w:val="auto"/>
        </w:rPr>
        <w:t>6.1 The Service Provider accepts only liability towards Client in respect of damages resulting from a failure directly attributable to the Service Provider in the performance of its obligations under this Agreement or for gross negligence or willful misconduct. The Service Provider shall not be liable for any damage originating from any materials or information supplied by Client hereunder provided such materials and information are only used by Bioarkive for the performance of its obligations hereunder in its premises under suitable containment conditions.</w:t>
      </w:r>
    </w:p>
    <w:p>
      <w:pPr>
        <w:spacing w:after="0" w:line="122"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5"/>
          <w:szCs w:val="15"/>
          <w:color w:val="auto"/>
        </w:rPr>
        <w:t>6.2 In the event of improper, incorrect performance or performance not in accordance with applicable standards or applicable laws by the Service Provider of the work under the Services, Client shall have the right to demand the Service Provider to re-perform the work without any charge to Client.</w:t>
      </w:r>
    </w:p>
    <w:p>
      <w:pPr>
        <w:spacing w:after="0" w:line="148"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5"/>
          <w:szCs w:val="15"/>
          <w:color w:val="auto"/>
        </w:rPr>
        <w:t>6.3 Except in instances of breaches of confidentiality, gross negligence or willful misconduct, the liability of the Service Provider for any shortcomings in the execution of the Services will be limited to a maximum of the fees for the Services that Service Provider has received for the Services provided hereunder.</w:t>
      </w:r>
    </w:p>
    <w:p>
      <w:pPr>
        <w:spacing w:after="0" w:line="148" w:lineRule="exact"/>
        <w:rPr>
          <w:sz w:val="20"/>
          <w:szCs w:val="20"/>
          <w:color w:val="auto"/>
        </w:rPr>
      </w:pPr>
    </w:p>
    <w:p>
      <w:pPr>
        <w:jc w:val="both"/>
        <w:ind w:firstLine="519"/>
        <w:spacing w:after="0" w:line="271" w:lineRule="auto"/>
        <w:rPr>
          <w:sz w:val="20"/>
          <w:szCs w:val="20"/>
          <w:color w:val="auto"/>
        </w:rPr>
      </w:pPr>
      <w:r>
        <w:rPr>
          <w:rFonts w:ascii="Arial" w:cs="Arial" w:eastAsia="Arial" w:hAnsi="Arial"/>
          <w:sz w:val="14"/>
          <w:szCs w:val="14"/>
          <w:color w:val="auto"/>
        </w:rPr>
        <w:t>6.4 EXCEPT FOR THE WARRANTIES PROVIDED IN THIS AGREEMENT, THE SERVICE PROVIDER MAKES ANY WARRANTY, EXPRESS OR IMPLIED, BY STATUTE OR IN WRITING, REGARDING THE SERVICES OR ANY PRODUCT RESULTING FROM THE SERVICES, INCLUDING WITHOUT LIMITATION ANY WARRANTY REGARDING THEIR FITNESS FOR ANY PURPOSE, THEIR QUALITY, THEIR MERCHANTABILITY OR THEIR NON-INFRINGEMENT OF INTELLECTUAL PROPERTY RIGHTS OF THIRD PARTIES. ANY OTHER REPRESENTATIONS OR WARRANTIES MADE BY ANY PERSON OR ENTITY, INCLUDING EMPLOYEES OR REPRESENTATIVES OF THE SERVICE PROVIDER, THAT ARE INCONSISTENT HEREWITH, SHALL BE DISREGARDED AND SHALL NOT BE BINDING ON THE SERVICE PROVIDER.</w:t>
      </w:r>
    </w:p>
    <w:p>
      <w:pPr>
        <w:spacing w:after="0" w:line="146"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5"/>
          <w:szCs w:val="15"/>
          <w:color w:val="auto"/>
        </w:rPr>
        <w:t>6.5 Except to the extent arising from Bioarkive's gross negligence or willful misconduct, the Client shall indemnify and hold Bioarkive and its affiliated companies harmless from any third-party claims arising out of the use of the Client Results.</w:t>
      </w:r>
    </w:p>
    <w:p>
      <w:pPr>
        <w:spacing w:after="0" w:line="148" w:lineRule="exact"/>
        <w:rPr>
          <w:sz w:val="20"/>
          <w:szCs w:val="20"/>
          <w:color w:val="auto"/>
        </w:rPr>
      </w:pPr>
    </w:p>
    <w:p>
      <w:pPr>
        <w:jc w:val="both"/>
        <w:ind w:firstLine="519"/>
        <w:spacing w:after="0" w:line="254" w:lineRule="auto"/>
        <w:rPr>
          <w:sz w:val="20"/>
          <w:szCs w:val="20"/>
          <w:color w:val="auto"/>
        </w:rPr>
      </w:pPr>
      <w:r>
        <w:rPr>
          <w:rFonts w:ascii="Arial" w:cs="Arial" w:eastAsia="Arial" w:hAnsi="Arial"/>
          <w:sz w:val="15"/>
          <w:szCs w:val="15"/>
          <w:color w:val="auto"/>
        </w:rPr>
        <w:t>6.6 NEITHER PARTY SHALL BE LIABLE TO THE OTHER PARTY FOR INDIRECT, INCIDENTIAL OR CONSEQUENTIAL DAMAGES ARISING OUT ANY TERMS AND CONDITIONS OF THIS AGREEMENT OR WITH RESPECT TO ITS PERFORMANCE HEREUNDER EXCEPT TO THE EXTENT SUCH DAMAGES WERE CAUSED BY GROSS NEGLIGENCE OR WILLFUL MISCONDUCT OF SUCH PARTY.</w:t>
      </w:r>
    </w:p>
    <w:p>
      <w:pPr>
        <w:spacing w:after="0" w:line="156"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6.7 Each Party will secure and maintain in full force and effect throughout the term of this Agreement adequate insurance coverage appropriate for the business of the type that is subject of this Agreement and its obligations under this Agreement. If requested by a Party, the other Party shall provide the first Party with photocopies of the relevant certificates of insurance.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6/11</w:t>
            </w:r>
          </w:p>
        </w:tc>
      </w:tr>
    </w:tbl>
    <w:p>
      <w:pPr>
        <w:sectPr>
          <w:pgSz w:w="11900" w:h="16838" w:orient="portrait"/>
          <w:cols w:equalWidth="0" w:num="1">
            <w:col w:w="11280"/>
          </w:cols>
          <w:pgMar w:left="300" w:top="766" w:right="319" w:bottom="1440" w:gutter="0" w:footer="0" w:header="0"/>
        </w:sectPr>
      </w:pPr>
    </w:p>
    <w:bookmarkStart w:id="320" w:name="page321"/>
    <w:bookmarkEnd w:id="320"/>
    <w:p>
      <w:pPr>
        <w:ind w:left="520"/>
        <w:spacing w:after="0"/>
        <w:tabs>
          <w:tab w:leader="none" w:pos="980" w:val="left"/>
        </w:tabs>
        <w:rPr>
          <w:sz w:val="20"/>
          <w:szCs w:val="20"/>
          <w:color w:val="auto"/>
        </w:rPr>
      </w:pPr>
      <w:r>
        <w:rPr>
          <w:rFonts w:ascii="Arial" w:cs="Arial" w:eastAsia="Arial" w:hAnsi="Arial"/>
          <w:sz w:val="15"/>
          <w:szCs w:val="15"/>
          <w:b w:val="1"/>
          <w:bCs w:val="1"/>
          <w:color w:val="auto"/>
        </w:rPr>
        <w:t>7.0</w:t>
      </w:r>
      <w:r>
        <w:rPr>
          <w:sz w:val="20"/>
          <w:szCs w:val="20"/>
          <w:color w:val="auto"/>
        </w:rPr>
        <w:tab/>
      </w:r>
      <w:r>
        <w:rPr>
          <w:rFonts w:ascii="Arial" w:cs="Arial" w:eastAsia="Arial" w:hAnsi="Arial"/>
          <w:sz w:val="15"/>
          <w:szCs w:val="15"/>
          <w:b w:val="1"/>
          <w:bCs w:val="1"/>
          <w:u w:val="single" w:color="auto"/>
          <w:color w:val="auto"/>
        </w:rPr>
        <w:t>TERM AND TERMINATION</w:t>
      </w:r>
    </w:p>
    <w:p>
      <w:pPr>
        <w:spacing w:after="0" w:line="183"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7.1 The term of the Agreement shall be three (3) years from the Effective Date. Thereafter, the Agreement shall be renewed for successive one (1) year terms, unless terminated upon three (3) months prior notice by either Party before the anniversary of the Agreement.</w:t>
      </w:r>
    </w:p>
    <w:p>
      <w:pPr>
        <w:spacing w:after="0" w:line="148" w:lineRule="exact"/>
        <w:rPr>
          <w:sz w:val="20"/>
          <w:szCs w:val="20"/>
          <w:color w:val="auto"/>
        </w:rPr>
      </w:pPr>
    </w:p>
    <w:p>
      <w:pPr>
        <w:jc w:val="both"/>
        <w:ind w:firstLine="527"/>
        <w:spacing w:after="0" w:line="300" w:lineRule="auto"/>
        <w:rPr>
          <w:sz w:val="20"/>
          <w:szCs w:val="20"/>
          <w:color w:val="auto"/>
        </w:rPr>
      </w:pPr>
      <w:r>
        <w:rPr>
          <w:rFonts w:ascii="Arial" w:cs="Arial" w:eastAsia="Arial" w:hAnsi="Arial"/>
          <w:sz w:val="14"/>
          <w:szCs w:val="14"/>
          <w:color w:val="auto"/>
        </w:rPr>
        <w:t>7.2 If either Party is in breach of its obligations under this Agreement then the Party not in breach is entitled to serve notice in writing to the Party in breach setting out details of the breach, what actions are required to correct the breach and allowing the Party in breach thirty (30) days from the date of notification in writing to correct the breach.</w:t>
      </w:r>
    </w:p>
    <w:p>
      <w:pPr>
        <w:spacing w:after="0" w:line="125"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7.3 Either Party shall have the right to terminate this Agreement and/or an accepted Project Proposal, effective immediately upon written notice to the other Party, should the other Party continue to be in material breach of this Agreement, provided, that a notice of material breach pursuant to Section 7.2 has been served on the Party in material breach and the Party in material breach has failed to correct the material breach within the thirty (30) day cure period.</w:t>
      </w:r>
    </w:p>
    <w:p>
      <w:pPr>
        <w:spacing w:after="0" w:line="156" w:lineRule="exact"/>
        <w:rPr>
          <w:sz w:val="20"/>
          <w:szCs w:val="20"/>
          <w:color w:val="auto"/>
        </w:rPr>
      </w:pPr>
    </w:p>
    <w:p>
      <w:pPr>
        <w:jc w:val="both"/>
        <w:ind w:firstLine="527"/>
        <w:spacing w:after="0" w:line="251" w:lineRule="auto"/>
        <w:rPr>
          <w:sz w:val="20"/>
          <w:szCs w:val="20"/>
          <w:color w:val="auto"/>
        </w:rPr>
      </w:pPr>
      <w:r>
        <w:rPr>
          <w:rFonts w:ascii="Arial" w:cs="Arial" w:eastAsia="Arial" w:hAnsi="Arial"/>
          <w:sz w:val="15"/>
          <w:szCs w:val="15"/>
          <w:color w:val="auto"/>
        </w:rPr>
        <w:t>7.4 Either Party may terminate this Agreement, effective immediately upon written notice to the other Party, if the other Party: (i) files a voluntary petition in bankruptcy or has an involuntary bankruptcy petition filed against it, which is not dismissed within thirty (30) days after its institution, (ii) is adjudged as bankrupt, (iii) becomes insolvent, (iv) has a receiver, trustee, conservator or liquidator appointed for all or a substantial part of its assets, (v) ceases to do business, (vi) commences any dissolution, liquidation or winding up, or (vii) makes an assignment of its assets for the benefit of its creditors.</w:t>
      </w:r>
    </w:p>
    <w:p>
      <w:pPr>
        <w:spacing w:after="0" w:line="157"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3"/>
          <w:szCs w:val="13"/>
          <w:color w:val="auto"/>
        </w:rPr>
        <w:t>An accepted Project Proposal or any other written assignment related to a Project Proposal may be terminated by Client at any time during the term of this Agreement on sixty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(60) days prior written notice to the Service Provider.</w:t>
      </w:r>
    </w:p>
    <w:p>
      <w:pPr>
        <w:spacing w:after="0" w:line="168" w:lineRule="exact"/>
        <w:rPr>
          <w:sz w:val="20"/>
          <w:szCs w:val="20"/>
          <w:color w:val="auto"/>
        </w:rPr>
      </w:pPr>
    </w:p>
    <w:p>
      <w:pPr>
        <w:jc w:val="both"/>
        <w:ind w:firstLine="527"/>
        <w:spacing w:after="0" w:line="251" w:lineRule="auto"/>
        <w:rPr>
          <w:sz w:val="20"/>
          <w:szCs w:val="20"/>
          <w:color w:val="auto"/>
        </w:rPr>
      </w:pPr>
      <w:r>
        <w:rPr>
          <w:rFonts w:ascii="Arial" w:cs="Arial" w:eastAsia="Arial" w:hAnsi="Arial"/>
          <w:sz w:val="15"/>
          <w:szCs w:val="15"/>
          <w:color w:val="auto"/>
        </w:rPr>
        <w:t>7.6 Except in the event of a termination by Client according to Section 7.3, if this Agreement, any particular accepted Project Proposal or any particular other written assignment related to a Project Proposal is terminated before any such Project Proposal or any such other written assignment related to a Project Proposal is completed, Client shall pay Service Provider for all Services performed in accordance with any such affected Project Proposal or any such other written assignment related to a Project Proposal hereunder, and reimburse the Service Provider for all costs and expenses incurred in performing those Services.</w:t>
      </w:r>
    </w:p>
    <w:p>
      <w:pPr>
        <w:spacing w:after="0" w:line="157"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5"/>
          <w:szCs w:val="15"/>
          <w:color w:val="auto"/>
        </w:rPr>
        <w:t>7.7</w:t>
      </w:r>
      <w:r>
        <w:rPr>
          <w:sz w:val="20"/>
          <w:szCs w:val="20"/>
          <w:color w:val="auto"/>
        </w:rPr>
        <w:tab/>
      </w:r>
      <w:r>
        <w:rPr>
          <w:rFonts w:ascii="Arial" w:cs="Arial" w:eastAsia="Arial" w:hAnsi="Arial"/>
          <w:sz w:val="13"/>
          <w:szCs w:val="13"/>
          <w:color w:val="auto"/>
        </w:rPr>
        <w:t>The termination of this Agreement shall not relieve either Party of its obligation to the other with respect to (a) maintaining the confidentiality of information, (b) liability and,</w:t>
      </w:r>
    </w:p>
    <w:p>
      <w:pPr>
        <w:spacing w:after="0" w:line="14" w:lineRule="exact"/>
        <w:rPr>
          <w:sz w:val="20"/>
          <w:szCs w:val="20"/>
          <w:color w:val="auto"/>
        </w:rPr>
      </w:pPr>
    </w:p>
    <w:p>
      <w:pPr>
        <w:ind w:left="200" w:hanging="192"/>
        <w:spacing w:after="0"/>
        <w:tabs>
          <w:tab w:leader="none" w:pos="20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compensation for Services performed through the date of termination.</w:t>
      </w:r>
    </w:p>
    <w:p>
      <w:pPr>
        <w:spacing w:after="0" w:line="164"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5"/>
          <w:szCs w:val="15"/>
          <w:b w:val="1"/>
          <w:bCs w:val="1"/>
          <w:color w:val="auto"/>
        </w:rPr>
        <w:t>8.0</w:t>
      </w:r>
      <w:r>
        <w:rPr>
          <w:rFonts w:ascii="Arial" w:cs="Arial" w:eastAsia="Arial" w:hAnsi="Arial"/>
          <w:sz w:val="14"/>
          <w:szCs w:val="14"/>
          <w:b w:val="1"/>
          <w:bCs w:val="1"/>
          <w:u w:val="single" w:color="auto"/>
          <w:color w:val="auto"/>
        </w:rPr>
        <w:t>MISCELLANEOUS</w:t>
      </w:r>
    </w:p>
    <w:p>
      <w:pPr>
        <w:spacing w:after="0" w:line="183"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Assignment and Subcontracting</w:t>
      </w:r>
      <w:r>
        <w:rPr>
          <w:rFonts w:ascii="Arial" w:cs="Arial" w:eastAsia="Arial" w:hAnsi="Arial"/>
          <w:sz w:val="15"/>
          <w:szCs w:val="15"/>
          <w:color w:val="auto"/>
        </w:rPr>
        <w:t>. This Agreement and any Project shall not be assigned by Bioarkive or its affiliated companies without the prior written consent of Client, except in connection with the sale of the business to which this Agreement pertains.</w:t>
      </w:r>
    </w:p>
    <w:p>
      <w:pPr>
        <w:spacing w:after="0" w:line="144" w:lineRule="exact"/>
        <w:rPr>
          <w:sz w:val="20"/>
          <w:szCs w:val="20"/>
          <w:color w:val="auto"/>
        </w:rPr>
      </w:pPr>
    </w:p>
    <w:p>
      <w:pPr>
        <w:jc w:val="both"/>
        <w:ind w:firstLine="527"/>
        <w:spacing w:after="0" w:line="298" w:lineRule="auto"/>
        <w:rPr>
          <w:sz w:val="20"/>
          <w:szCs w:val="20"/>
          <w:color w:val="auto"/>
        </w:rPr>
      </w:pPr>
      <w:r>
        <w:rPr>
          <w:rFonts w:ascii="Arial" w:cs="Arial" w:eastAsia="Arial" w:hAnsi="Arial"/>
          <w:sz w:val="13"/>
          <w:szCs w:val="13"/>
          <w:color w:val="auto"/>
        </w:rPr>
        <w:t>Bioarkive shall have the right to subcontract or delegate any portion of the Services hereunder to third parties (“</w:t>
      </w:r>
      <w:r>
        <w:rPr>
          <w:rFonts w:ascii="Arial" w:cs="Arial" w:eastAsia="Arial" w:hAnsi="Arial"/>
          <w:sz w:val="13"/>
          <w:szCs w:val="13"/>
          <w:b w:val="1"/>
          <w:bCs w:val="1"/>
          <w:color w:val="auto"/>
        </w:rPr>
        <w:t>Subcontractors</w:t>
      </w:r>
      <w:r>
        <w:rPr>
          <w:rFonts w:ascii="Arial" w:cs="Arial" w:eastAsia="Arial" w:hAnsi="Arial"/>
          <w:sz w:val="13"/>
          <w:szCs w:val="13"/>
          <w:color w:val="auto"/>
        </w:rPr>
        <w:t>”) only with Client’s prior written consent; provided, that no consent shall be necessary for Bioarkive’s delegation to or use of Subcontractors that are set forth in the relevant Project Proposal as performing such Services. In any event, Bioarkive shall remain solely and fully liable for the performance of such Subcontractors to which it delegates the performance of its obligations under this Agreement. Bioarkive shall ensure that each of its Subcontractors performs Bioarkive’s obligations pursuant to the terms of this Agreement. For clarity, to the extent Bioarkive has an obligation under this Agreement to perform an action or to meet a standard, and Bioarkive subcontracts such obligation, Bioarkive shall be responsible for any failure by its Subcontractor to perform the action or meet the standard.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7/11</w:t>
            </w:r>
          </w:p>
        </w:tc>
      </w:tr>
    </w:tbl>
    <w:p>
      <w:pPr>
        <w:sectPr>
          <w:pgSz w:w="11900" w:h="16838" w:orient="portrait"/>
          <w:cols w:equalWidth="0" w:num="1">
            <w:col w:w="11280"/>
          </w:cols>
          <w:pgMar w:left="300" w:top="763" w:right="319" w:bottom="1440" w:gutter="0" w:footer="0" w:header="0"/>
        </w:sectPr>
      </w:pPr>
    </w:p>
    <w:bookmarkStart w:id="321" w:name="page322"/>
    <w:bookmarkEnd w:id="321"/>
    <w:p>
      <w:pPr>
        <w:ind w:left="540"/>
        <w:spacing w:after="0"/>
        <w:tabs>
          <w:tab w:leader="none" w:pos="1000" w:val="left"/>
        </w:tabs>
        <w:rPr>
          <w:sz w:val="20"/>
          <w:szCs w:val="20"/>
          <w:color w:val="auto"/>
        </w:rPr>
      </w:pPr>
      <w:r>
        <w:rPr>
          <w:rFonts w:ascii="Arial" w:cs="Arial" w:eastAsia="Arial" w:hAnsi="Arial"/>
          <w:sz w:val="15"/>
          <w:szCs w:val="15"/>
          <w:color w:val="auto"/>
        </w:rPr>
        <w:t>8.2</w:t>
      </w:r>
      <w:r>
        <w:rPr>
          <w:sz w:val="20"/>
          <w:szCs w:val="20"/>
          <w:color w:val="auto"/>
        </w:rPr>
        <w:tab/>
      </w:r>
      <w:r>
        <w:rPr>
          <w:rFonts w:ascii="Arial" w:cs="Arial" w:eastAsia="Arial" w:hAnsi="Arial"/>
          <w:sz w:val="13"/>
          <w:szCs w:val="13"/>
          <w:u w:val="single" w:color="auto"/>
          <w:color w:val="auto"/>
        </w:rPr>
        <w:t>Notice</w:t>
      </w:r>
      <w:r>
        <w:rPr>
          <w:rFonts w:ascii="Arial" w:cs="Arial" w:eastAsia="Arial" w:hAnsi="Arial"/>
          <w:sz w:val="13"/>
          <w:szCs w:val="13"/>
          <w:color w:val="auto"/>
        </w:rPr>
        <w:t>. All notices required by this Agreement shall be in writing. All notices shall be sent by e-mail confirmed by registered or certified mail to the Parties within three (3)</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business days at the following addresses or such other addresses as may be designated in writing by the respective Parties:</w:t>
      </w:r>
    </w:p>
    <w:p>
      <w:pPr>
        <w:sectPr>
          <w:pgSz w:w="11900" w:h="16838" w:orient="portrait"/>
          <w:cols w:equalWidth="0" w:num="1">
            <w:col w:w="11280"/>
          </w:cols>
          <w:pgMar w:left="300" w:top="767" w:right="319" w:bottom="1440" w:gutter="0" w:footer="0" w:header="0"/>
        </w:sectPr>
      </w:pPr>
    </w:p>
    <w:p>
      <w:pPr>
        <w:spacing w:after="0" w:line="16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Notices to Bioarkive: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Bioarkive, LLC</w:t>
      </w:r>
    </w:p>
    <w:p>
      <w:pPr>
        <w:spacing w:after="0" w:line="191" w:lineRule="exact"/>
        <w:rPr>
          <w:sz w:val="20"/>
          <w:szCs w:val="20"/>
          <w:color w:val="auto"/>
        </w:rPr>
      </w:pPr>
    </w:p>
    <w:p>
      <w:pPr>
        <w:sectPr>
          <w:pgSz w:w="11900" w:h="16838" w:orient="portrait"/>
          <w:cols w:equalWidth="0" w:num="2">
            <w:col w:w="1920" w:space="720"/>
            <w:col w:w="8640"/>
          </w:cols>
          <w:pgMar w:left="300" w:top="767" w:right="319" w:bottom="1440" w:gutter="0" w:footer="0" w:header="0"/>
          <w:type w:val="continuous"/>
        </w:sectPr>
      </w:pPr>
    </w:p>
    <w:p>
      <w:pPr>
        <w:ind w:left="2640"/>
        <w:spacing w:after="0"/>
        <w:rPr>
          <w:sz w:val="20"/>
          <w:szCs w:val="20"/>
          <w:color w:val="auto"/>
        </w:rPr>
      </w:pPr>
      <w:r>
        <w:rPr>
          <w:rFonts w:ascii="Arial" w:cs="Arial" w:eastAsia="Arial" w:hAnsi="Arial"/>
          <w:sz w:val="15"/>
          <w:szCs w:val="15"/>
          <w:color w:val="auto"/>
        </w:rPr>
        <w:t>11421 W Bernardo Court</w:t>
      </w:r>
    </w:p>
    <w:p>
      <w:pPr>
        <w:spacing w:after="0" w:line="14"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Suite 200</w:t>
      </w:r>
    </w:p>
    <w:p>
      <w:pPr>
        <w:spacing w:after="0" w:line="3"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San Diego, CA 92127</w:t>
      </w:r>
    </w:p>
    <w:p>
      <w:pPr>
        <w:spacing w:after="0" w:line="168" w:lineRule="exact"/>
        <w:rPr>
          <w:sz w:val="20"/>
          <w:szCs w:val="20"/>
          <w:color w:val="auto"/>
        </w:rPr>
      </w:pPr>
    </w:p>
    <w:p>
      <w:pPr>
        <w:ind w:left="2640"/>
        <w:spacing w:after="0"/>
        <w:rPr>
          <w:sz w:val="20"/>
          <w:szCs w:val="20"/>
          <w:color w:val="auto"/>
        </w:rPr>
      </w:pPr>
      <w:r>
        <w:rPr>
          <w:rFonts w:ascii="Arial" w:cs="Arial" w:eastAsia="Arial" w:hAnsi="Arial"/>
          <w:sz w:val="13"/>
          <w:szCs w:val="13"/>
          <w:color w:val="auto"/>
        </w:rPr>
        <w:t>Attn. of: Praveen Nair, Ph.D. (CEO)</w:t>
      </w:r>
    </w:p>
    <w:p>
      <w:pPr>
        <w:spacing w:after="0" w:line="37"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E-mail: pnair@bioarkive.com</w:t>
      </w:r>
    </w:p>
    <w:p>
      <w:pPr>
        <w:sectPr>
          <w:pgSz w:w="11900" w:h="16838" w:orient="portrait"/>
          <w:cols w:equalWidth="0" w:num="1">
            <w:col w:w="11280"/>
          </w:cols>
          <w:pgMar w:left="300" w:top="767" w:right="319" w:bottom="1440" w:gutter="0" w:footer="0" w:header="0"/>
          <w:type w:val="continuous"/>
        </w:sectPr>
      </w:pPr>
    </w:p>
    <w:p>
      <w:pPr>
        <w:spacing w:after="0" w:line="16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Notices to Company: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Immuneering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222222"/>
        </w:rPr>
        <w:t>245 Main St, Second Floor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222222"/>
        </w:rPr>
        <w:t>Cambridge, MA 02142</w:t>
      </w:r>
    </w:p>
    <w:p>
      <w:pPr>
        <w:spacing w:after="0" w:line="168" w:lineRule="exact"/>
        <w:rPr>
          <w:sz w:val="20"/>
          <w:szCs w:val="20"/>
          <w:color w:val="auto"/>
        </w:rPr>
      </w:pPr>
    </w:p>
    <w:p>
      <w:pPr>
        <w:sectPr>
          <w:pgSz w:w="11900" w:h="16838" w:orient="portrait"/>
          <w:cols w:equalWidth="0" w:num="2">
            <w:col w:w="1920" w:space="720"/>
            <w:col w:w="8640"/>
          </w:cols>
          <w:pgMar w:left="300" w:top="767" w:right="319" w:bottom="1440" w:gutter="0" w:footer="0" w:header="0"/>
          <w:type w:val="continuous"/>
        </w:sectPr>
      </w:pPr>
    </w:p>
    <w:p>
      <w:pPr>
        <w:ind w:left="2640"/>
        <w:spacing w:after="0"/>
        <w:rPr>
          <w:sz w:val="20"/>
          <w:szCs w:val="20"/>
          <w:color w:val="auto"/>
        </w:rPr>
      </w:pPr>
      <w:r>
        <w:rPr>
          <w:rFonts w:ascii="Arial" w:cs="Arial" w:eastAsia="Arial" w:hAnsi="Arial"/>
          <w:sz w:val="13"/>
          <w:szCs w:val="13"/>
          <w:color w:val="222222"/>
        </w:rPr>
        <w:t>Attn. of: Peter King, Ph.D. (VP Discovery)</w:t>
      </w:r>
    </w:p>
    <w:p>
      <w:pPr>
        <w:spacing w:after="0" w:line="37" w:lineRule="exact"/>
        <w:rPr>
          <w:sz w:val="20"/>
          <w:szCs w:val="20"/>
          <w:color w:val="auto"/>
        </w:rPr>
      </w:pPr>
    </w:p>
    <w:p>
      <w:pPr>
        <w:ind w:left="2640"/>
        <w:spacing w:after="0"/>
        <w:rPr>
          <w:sz w:val="20"/>
          <w:szCs w:val="20"/>
          <w:color w:val="auto"/>
        </w:rPr>
      </w:pPr>
      <w:r>
        <w:rPr>
          <w:rFonts w:ascii="Arial" w:cs="Arial" w:eastAsia="Arial" w:hAnsi="Arial"/>
          <w:sz w:val="15"/>
          <w:szCs w:val="15"/>
          <w:color w:val="222222"/>
        </w:rPr>
        <w:t>E-mail: pking@immuneering.com</w:t>
      </w:r>
    </w:p>
    <w:p>
      <w:pPr>
        <w:sectPr>
          <w:pgSz w:w="11900" w:h="16838" w:orient="portrait"/>
          <w:cols w:equalWidth="0" w:num="1">
            <w:col w:w="11280"/>
          </w:cols>
          <w:pgMar w:left="300" w:top="767" w:right="319" w:bottom="1440" w:gutter="0" w:footer="0" w:header="0"/>
          <w:type w:val="continuous"/>
        </w:sectPr>
      </w:pPr>
    </w:p>
    <w:p>
      <w:pPr>
        <w:spacing w:after="0" w:line="168" w:lineRule="exact"/>
        <w:rPr>
          <w:sz w:val="20"/>
          <w:szCs w:val="20"/>
          <w:color w:val="auto"/>
        </w:rPr>
      </w:pPr>
    </w:p>
    <w:p>
      <w:pPr>
        <w:jc w:val="both"/>
        <w:ind w:firstLine="519"/>
        <w:spacing w:after="0" w:line="297"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Force Majeure</w:t>
      </w:r>
      <w:r>
        <w:rPr>
          <w:rFonts w:ascii="Arial" w:cs="Arial" w:eastAsia="Arial" w:hAnsi="Arial"/>
          <w:sz w:val="13"/>
          <w:szCs w:val="13"/>
          <w:color w:val="auto"/>
        </w:rPr>
        <w:t>. A Party shall be excused from performing its obligations under this Agreement if its performance is delayed or prevented by any cause beyond such Party's control, including but not limited to, acts of God, fire, explosion, disease, weather, war, insurrection, civil strife, riots, government action, or power failure. Performance shall be excused only to the extent of and during the reasonable continuance of such disability. Any deadline or time for performance specified in an accepted Project Proposal that falls due during or subsequent to the occurrence of any of the disabilities referred to herein shall be automatically extended for a period of time equal to the period of such disability. Bioarkive shall immediately notify Client if, by reason of any of the disabilities referred to herein, the Service Provider is unable to meet any deadline or time for performance specified in an accepted Project Proposal.</w:t>
      </w:r>
    </w:p>
    <w:p>
      <w:pPr>
        <w:spacing w:after="0" w:line="130"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Independent Contractor</w:t>
      </w:r>
      <w:r>
        <w:rPr>
          <w:rFonts w:ascii="Arial" w:cs="Arial" w:eastAsia="Arial" w:hAnsi="Arial"/>
          <w:sz w:val="15"/>
          <w:szCs w:val="15"/>
          <w:color w:val="auto"/>
        </w:rPr>
        <w:t>. Bioarkive shall perform each Project as an independent contractor and shall have complete and exclusive control over its employees, consultants and agents. The Services rendered by Bioarkive are those of an independent contractor and not those of Client. No Services rendered pursuant to this Agreement shall be construed to deem Bioarkive or its affiliated companies an employee, agent or joint-venture with Client.</w:t>
      </w:r>
    </w:p>
    <w:p>
      <w:pPr>
        <w:spacing w:after="0" w:line="156"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Waiver</w:t>
      </w:r>
      <w:r>
        <w:rPr>
          <w:rFonts w:ascii="Arial" w:cs="Arial" w:eastAsia="Arial" w:hAnsi="Arial"/>
          <w:sz w:val="15"/>
          <w:szCs w:val="15"/>
          <w:color w:val="auto"/>
        </w:rPr>
        <w:t>. No waiver of any term, provision, or condition of this Agreement, whether by conduct or otherwise, in any one or more instances shall be deemed to be or construed as a further or continuing waiver of any such term, provision, or condition or of any other term, provision, or condition of this Agreement.</w:t>
      </w:r>
    </w:p>
    <w:p>
      <w:pPr>
        <w:spacing w:after="0" w:line="148"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5"/>
          <w:szCs w:val="15"/>
          <w:color w:val="auto"/>
        </w:rPr>
        <w:t>8.6</w:t>
      </w:r>
      <w:r>
        <w:rPr>
          <w:sz w:val="20"/>
          <w:szCs w:val="20"/>
          <w:color w:val="auto"/>
        </w:rPr>
        <w:tab/>
      </w:r>
      <w:r>
        <w:rPr>
          <w:rFonts w:ascii="Arial" w:cs="Arial" w:eastAsia="Arial" w:hAnsi="Arial"/>
          <w:sz w:val="13"/>
          <w:szCs w:val="13"/>
          <w:u w:val="single" w:color="auto"/>
          <w:color w:val="auto"/>
        </w:rPr>
        <w:t>Severability</w:t>
      </w:r>
      <w:r>
        <w:rPr>
          <w:rFonts w:ascii="Arial" w:cs="Arial" w:eastAsia="Arial" w:hAnsi="Arial"/>
          <w:sz w:val="13"/>
          <w:szCs w:val="13"/>
          <w:color w:val="auto"/>
        </w:rPr>
        <w:t>. This Agreement is divisible and separable so that if any provision(s) shall be held to be invalid, such invalidity shall not impair the remaining provisions thereof.</w:t>
      </w:r>
    </w:p>
    <w:p>
      <w:pPr>
        <w:spacing w:after="0" w:line="179" w:lineRule="exact"/>
        <w:rPr>
          <w:sz w:val="20"/>
          <w:szCs w:val="20"/>
          <w:color w:val="auto"/>
        </w:rPr>
      </w:pPr>
    </w:p>
    <w:p>
      <w:pPr>
        <w:jc w:val="both"/>
        <w:ind w:firstLine="527"/>
        <w:spacing w:after="0" w:line="341"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Applicable Law and Competent Court</w:t>
      </w:r>
      <w:r>
        <w:rPr>
          <w:rFonts w:ascii="Arial" w:cs="Arial" w:eastAsia="Arial" w:hAnsi="Arial"/>
          <w:sz w:val="13"/>
          <w:szCs w:val="13"/>
          <w:color w:val="auto"/>
        </w:rPr>
        <w:t>. This Agreement shall be governed by the laws of Delaware, USA. Any claim or controversy arising out of or related to this Agreement or any breach hereof shall be submitted to the competent courts of the state of Delaware, USA, and each Party hereby consents to the exclusive jurisdiction and venue of such court.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8/11</w:t>
            </w:r>
          </w:p>
        </w:tc>
      </w:tr>
    </w:tbl>
    <w:p>
      <w:pPr>
        <w:sectPr>
          <w:pgSz w:w="11900" w:h="16838" w:orient="portrait"/>
          <w:cols w:equalWidth="0" w:num="1">
            <w:col w:w="11280"/>
          </w:cols>
          <w:pgMar w:left="300" w:top="767" w:right="319" w:bottom="1440" w:gutter="0" w:footer="0" w:header="0"/>
          <w:type w:val="continuous"/>
        </w:sectPr>
      </w:pPr>
    </w:p>
    <w:bookmarkStart w:id="322" w:name="page323"/>
    <w:bookmarkEnd w:id="322"/>
    <w:p>
      <w:pPr>
        <w:ind w:firstLine="527"/>
        <w:spacing w:after="0" w:line="264"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its attachments, represents the entire understanding of the Parties with respect to the subject matter hereof and hereby supersedes all prior understanding and agreements, whether oral or written, between the Parties with respect to any Services to be performed.</w:t>
      </w:r>
    </w:p>
    <w:p>
      <w:pPr>
        <w:spacing w:after="0" w:line="148" w:lineRule="exact"/>
        <w:rPr>
          <w:sz w:val="20"/>
          <w:szCs w:val="20"/>
          <w:color w:val="auto"/>
        </w:rPr>
      </w:pPr>
    </w:p>
    <w:p>
      <w:pPr>
        <w:ind w:firstLine="527"/>
        <w:spacing w:after="0" w:line="264" w:lineRule="auto"/>
        <w:rPr>
          <w:sz w:val="20"/>
          <w:szCs w:val="20"/>
          <w:color w:val="auto"/>
        </w:rPr>
      </w:pPr>
      <w:r>
        <w:rPr>
          <w:rFonts w:ascii="Arial" w:cs="Arial" w:eastAsia="Arial" w:hAnsi="Arial"/>
          <w:sz w:val="15"/>
          <w:szCs w:val="15"/>
          <w:color w:val="auto"/>
        </w:rPr>
        <w:t xml:space="preserve">8.9 </w:t>
      </w:r>
      <w:r>
        <w:rPr>
          <w:rFonts w:ascii="Arial" w:cs="Arial" w:eastAsia="Arial" w:hAnsi="Arial"/>
          <w:sz w:val="15"/>
          <w:szCs w:val="15"/>
          <w:u w:val="single" w:color="auto"/>
          <w:color w:val="auto"/>
        </w:rPr>
        <w:t>Attachments/Addenda</w:t>
      </w:r>
      <w:r>
        <w:rPr>
          <w:rFonts w:ascii="Arial" w:cs="Arial" w:eastAsia="Arial" w:hAnsi="Arial"/>
          <w:sz w:val="15"/>
          <w:szCs w:val="15"/>
          <w:color w:val="auto"/>
        </w:rPr>
        <w:t>. Any attachment(s) and/or accepted Project Proposals are deemed to be an integrated part of this Agreement and all references to this Agreement shall be deemed to include all such attachments and accepted Project Proposals.</w:t>
      </w:r>
    </w:p>
    <w:p>
      <w:pPr>
        <w:spacing w:after="0" w:line="148" w:lineRule="exact"/>
        <w:rPr>
          <w:sz w:val="20"/>
          <w:szCs w:val="20"/>
          <w:color w:val="auto"/>
        </w:rPr>
      </w:pPr>
    </w:p>
    <w:p>
      <w:pPr>
        <w:ind w:right="20" w:firstLine="527"/>
        <w:spacing w:after="0" w:line="300" w:lineRule="auto"/>
        <w:rPr>
          <w:sz w:val="20"/>
          <w:szCs w:val="20"/>
          <w:color w:val="auto"/>
        </w:rPr>
      </w:pPr>
      <w:r>
        <w:rPr>
          <w:rFonts w:ascii="Arial" w:cs="Arial" w:eastAsia="Arial" w:hAnsi="Arial"/>
          <w:sz w:val="14"/>
          <w:szCs w:val="14"/>
          <w:color w:val="auto"/>
        </w:rPr>
        <w:t xml:space="preserve">8.10 </w:t>
      </w:r>
      <w:r>
        <w:rPr>
          <w:rFonts w:ascii="Arial" w:cs="Arial" w:eastAsia="Arial" w:hAnsi="Arial"/>
          <w:sz w:val="14"/>
          <w:szCs w:val="14"/>
          <w:u w:val="single" w:color="auto"/>
          <w:color w:val="auto"/>
        </w:rPr>
        <w:t>Security</w:t>
      </w:r>
      <w:r>
        <w:rPr>
          <w:rFonts w:ascii="Arial" w:cs="Arial" w:eastAsia="Arial" w:hAnsi="Arial"/>
          <w:sz w:val="14"/>
          <w:szCs w:val="14"/>
          <w:color w:val="auto"/>
        </w:rPr>
        <w:t>. Bioarkive warrants and represents that it shall maintain adequate security at its facilities for the term of this Agreement to ensure that the Services and each Project are performed within the time frame set forth in an accepted Project Proposal, and such Services and Project shall not be compromised or disrupted by any breach of security.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BioArkive &amp; Immuneering</w:t>
            </w:r>
          </w:p>
        </w:tc>
        <w:tc>
          <w:tcPr>
            <w:tcW w:w="7720" w:type="dxa"/>
            <w:vAlign w:val="bottom"/>
            <w:tcBorders>
              <w:bottom w:val="single" w:sz="8" w:color="auto"/>
            </w:tcBorders>
          </w:tcPr>
          <w:p>
            <w:pPr>
              <w:jc w:val="right"/>
              <w:ind w:right="5427"/>
              <w:spacing w:after="0"/>
              <w:rPr>
                <w:sz w:val="20"/>
                <w:szCs w:val="20"/>
                <w:color w:val="auto"/>
              </w:rPr>
            </w:pPr>
            <w:r>
              <w:rPr>
                <w:rFonts w:ascii="Arial" w:cs="Arial" w:eastAsia="Arial" w:hAnsi="Arial"/>
                <w:sz w:val="15"/>
                <w:szCs w:val="15"/>
                <w:color w:val="auto"/>
              </w:rPr>
              <w:t>9/11</w:t>
            </w:r>
          </w:p>
        </w:tc>
      </w:tr>
    </w:tbl>
    <w:p>
      <w:pPr>
        <w:sectPr>
          <w:pgSz w:w="11900" w:h="16838" w:orient="portrait"/>
          <w:cols w:equalWidth="0" w:num="1">
            <w:col w:w="11280"/>
          </w:cols>
          <w:pgMar w:left="300" w:top="766" w:right="319" w:bottom="1440" w:gutter="0" w:footer="0" w:header="0"/>
        </w:sectPr>
      </w:pPr>
    </w:p>
    <w:bookmarkStart w:id="323" w:name="page324"/>
    <w:bookmarkEnd w:id="3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10820" w:type="dxa"/>
            <w:vAlign w:val="bottom"/>
            <w:gridSpan w:val="4"/>
          </w:tcPr>
          <w:p>
            <w:pPr>
              <w:ind w:left="80"/>
              <w:spacing w:after="0"/>
              <w:rPr>
                <w:sz w:val="20"/>
                <w:szCs w:val="20"/>
                <w:color w:val="auto"/>
              </w:rPr>
            </w:pPr>
            <w:r>
              <w:rPr>
                <w:rFonts w:ascii="Arial" w:cs="Arial" w:eastAsia="Arial" w:hAnsi="Arial"/>
                <w:sz w:val="15"/>
                <w:szCs w:val="15"/>
                <w:color w:val="auto"/>
              </w:rPr>
              <w:t>IN WITNESS WHEREOF, the Parties have caused this Agreement to be executed, by duly authorized representatives on the Effective Date.</w:t>
            </w:r>
          </w:p>
        </w:tc>
      </w:tr>
      <w:tr>
        <w:trPr>
          <w:trHeight w:val="352"/>
        </w:trPr>
        <w:tc>
          <w:tcPr>
            <w:tcW w:w="5320" w:type="dxa"/>
            <w:vAlign w:val="bottom"/>
            <w:gridSpan w:val="3"/>
          </w:tcPr>
          <w:p>
            <w:pPr>
              <w:spacing w:after="0"/>
              <w:rPr>
                <w:sz w:val="20"/>
                <w:szCs w:val="20"/>
                <w:color w:val="auto"/>
              </w:rPr>
            </w:pPr>
            <w:r>
              <w:rPr>
                <w:rFonts w:ascii="Arial" w:cs="Arial" w:eastAsia="Arial" w:hAnsi="Arial"/>
                <w:sz w:val="15"/>
                <w:szCs w:val="15"/>
                <w:color w:val="auto"/>
              </w:rPr>
              <w:t>Bioarkive</w:t>
            </w:r>
          </w:p>
        </w:tc>
        <w:tc>
          <w:tcPr>
            <w:tcW w:w="5960" w:type="dxa"/>
            <w:vAlign w:val="bottom"/>
            <w:gridSpan w:val="2"/>
          </w:tcPr>
          <w:p>
            <w:pPr>
              <w:ind w:left="680"/>
              <w:spacing w:after="0"/>
              <w:rPr>
                <w:sz w:val="20"/>
                <w:szCs w:val="20"/>
                <w:color w:val="auto"/>
              </w:rPr>
            </w:pPr>
            <w:r>
              <w:rPr>
                <w:rFonts w:ascii="Arial" w:cs="Arial" w:eastAsia="Arial" w:hAnsi="Arial"/>
                <w:sz w:val="15"/>
                <w:szCs w:val="15"/>
                <w:color w:val="auto"/>
              </w:rPr>
              <w:t>Immuneering Corporation</w:t>
            </w:r>
          </w:p>
        </w:tc>
      </w:tr>
      <w:tr>
        <w:trPr>
          <w:trHeight w:val="357"/>
        </w:trPr>
        <w:tc>
          <w:tcPr>
            <w:tcW w:w="460" w:type="dxa"/>
            <w:vAlign w:val="bottom"/>
          </w:tcPr>
          <w:p>
            <w:pPr>
              <w:spacing w:after="0"/>
              <w:rPr>
                <w:sz w:val="20"/>
                <w:szCs w:val="20"/>
                <w:color w:val="auto"/>
              </w:rPr>
            </w:pPr>
            <w:r>
              <w:rPr>
                <w:rFonts w:ascii="Arial" w:cs="Arial" w:eastAsia="Arial" w:hAnsi="Arial"/>
                <w:sz w:val="15"/>
                <w:szCs w:val="15"/>
                <w:color w:val="auto"/>
              </w:rPr>
              <w:t>Date:</w:t>
            </w:r>
          </w:p>
        </w:tc>
        <w:tc>
          <w:tcPr>
            <w:tcW w:w="120" w:type="dxa"/>
            <w:vAlign w:val="bottom"/>
          </w:tcPr>
          <w:p>
            <w:pPr>
              <w:spacing w:after="0"/>
              <w:rPr>
                <w:sz w:val="24"/>
                <w:szCs w:val="24"/>
                <w:color w:val="auto"/>
              </w:rPr>
            </w:pPr>
          </w:p>
        </w:tc>
        <w:tc>
          <w:tcPr>
            <w:tcW w:w="47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August 5, 2019</w:t>
            </w:r>
          </w:p>
        </w:tc>
        <w:tc>
          <w:tcPr>
            <w:tcW w:w="1240" w:type="dxa"/>
            <w:vAlign w:val="bottom"/>
          </w:tcPr>
          <w:p>
            <w:pPr>
              <w:ind w:left="680"/>
              <w:spacing w:after="0"/>
              <w:rPr>
                <w:sz w:val="20"/>
                <w:szCs w:val="20"/>
                <w:color w:val="auto"/>
              </w:rPr>
            </w:pPr>
            <w:r>
              <w:rPr>
                <w:rFonts w:ascii="Arial" w:cs="Arial" w:eastAsia="Arial" w:hAnsi="Arial"/>
                <w:sz w:val="15"/>
                <w:szCs w:val="15"/>
                <w:color w:val="auto"/>
              </w:rPr>
              <w:t>Date:</w:t>
            </w:r>
          </w:p>
        </w:tc>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August 5, 2019</w:t>
            </w:r>
          </w:p>
        </w:tc>
      </w:tr>
      <w:tr>
        <w:trPr>
          <w:trHeight w:val="35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120" w:type="dxa"/>
            <w:vAlign w:val="bottom"/>
          </w:tcPr>
          <w:p>
            <w:pPr>
              <w:spacing w:after="0"/>
              <w:rPr>
                <w:sz w:val="24"/>
                <w:szCs w:val="24"/>
                <w:color w:val="auto"/>
              </w:rPr>
            </w:pPr>
          </w:p>
        </w:tc>
        <w:tc>
          <w:tcPr>
            <w:tcW w:w="47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 Praveen Nair</w:t>
            </w:r>
          </w:p>
        </w:tc>
        <w:tc>
          <w:tcPr>
            <w:tcW w:w="1240" w:type="dxa"/>
            <w:vAlign w:val="bottom"/>
          </w:tcPr>
          <w:p>
            <w:pPr>
              <w:ind w:left="680"/>
              <w:spacing w:after="0"/>
              <w:rPr>
                <w:sz w:val="20"/>
                <w:szCs w:val="20"/>
                <w:color w:val="auto"/>
              </w:rPr>
            </w:pPr>
            <w:r>
              <w:rPr>
                <w:rFonts w:ascii="Arial" w:cs="Arial" w:eastAsia="Arial" w:hAnsi="Arial"/>
                <w:sz w:val="15"/>
                <w:szCs w:val="15"/>
                <w:color w:val="auto"/>
              </w:rPr>
              <w:t>By:</w:t>
            </w:r>
          </w:p>
        </w:tc>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 Benjamin J. Zeskind</w:t>
            </w:r>
          </w:p>
        </w:tc>
      </w:tr>
      <w:tr>
        <w:trPr>
          <w:trHeight w:val="354"/>
        </w:trPr>
        <w:tc>
          <w:tcPr>
            <w:tcW w:w="460" w:type="dxa"/>
            <w:vAlign w:val="bottom"/>
          </w:tcPr>
          <w:p>
            <w:pPr>
              <w:spacing w:after="0"/>
              <w:rPr>
                <w:sz w:val="20"/>
                <w:szCs w:val="20"/>
                <w:color w:val="auto"/>
              </w:rPr>
            </w:pPr>
            <w:r>
              <w:rPr>
                <w:rFonts w:ascii="Arial" w:cs="Arial" w:eastAsia="Arial" w:hAnsi="Arial"/>
                <w:sz w:val="15"/>
                <w:szCs w:val="15"/>
                <w:color w:val="auto"/>
                <w:w w:val="99"/>
              </w:rPr>
              <w:t>Name:</w:t>
            </w:r>
          </w:p>
        </w:tc>
        <w:tc>
          <w:tcPr>
            <w:tcW w:w="120" w:type="dxa"/>
            <w:vAlign w:val="bottom"/>
          </w:tcPr>
          <w:p>
            <w:pPr>
              <w:spacing w:after="0"/>
              <w:rPr>
                <w:sz w:val="24"/>
                <w:szCs w:val="24"/>
                <w:color w:val="auto"/>
              </w:rPr>
            </w:pPr>
          </w:p>
        </w:tc>
        <w:tc>
          <w:tcPr>
            <w:tcW w:w="47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Praveen Nair</w:t>
            </w:r>
          </w:p>
        </w:tc>
        <w:tc>
          <w:tcPr>
            <w:tcW w:w="1240" w:type="dxa"/>
            <w:vAlign w:val="bottom"/>
          </w:tcPr>
          <w:p>
            <w:pPr>
              <w:ind w:left="680"/>
              <w:spacing w:after="0"/>
              <w:rPr>
                <w:sz w:val="20"/>
                <w:szCs w:val="20"/>
                <w:color w:val="auto"/>
              </w:rPr>
            </w:pPr>
            <w:r>
              <w:rPr>
                <w:rFonts w:ascii="Arial" w:cs="Arial" w:eastAsia="Arial" w:hAnsi="Arial"/>
                <w:sz w:val="15"/>
                <w:szCs w:val="15"/>
                <w:color w:val="auto"/>
              </w:rPr>
              <w:t>Name:</w:t>
            </w:r>
          </w:p>
        </w:tc>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Benjamin J. Zeskind</w:t>
            </w:r>
          </w:p>
        </w:tc>
      </w:tr>
      <w:tr>
        <w:trPr>
          <w:trHeight w:val="350"/>
        </w:trPr>
        <w:tc>
          <w:tcPr>
            <w:tcW w:w="460" w:type="dxa"/>
            <w:vAlign w:val="bottom"/>
          </w:tcPr>
          <w:p>
            <w:pPr>
              <w:spacing w:after="0"/>
              <w:rPr>
                <w:sz w:val="20"/>
                <w:szCs w:val="20"/>
                <w:color w:val="auto"/>
              </w:rPr>
            </w:pPr>
            <w:r>
              <w:rPr>
                <w:rFonts w:ascii="Arial" w:cs="Arial" w:eastAsia="Arial" w:hAnsi="Arial"/>
                <w:sz w:val="15"/>
                <w:szCs w:val="15"/>
                <w:color w:val="auto"/>
              </w:rPr>
              <w:t>Title:</w:t>
            </w:r>
          </w:p>
        </w:tc>
        <w:tc>
          <w:tcPr>
            <w:tcW w:w="120" w:type="dxa"/>
            <w:vAlign w:val="bottom"/>
          </w:tcPr>
          <w:p>
            <w:pPr>
              <w:spacing w:after="0"/>
              <w:rPr>
                <w:sz w:val="24"/>
                <w:szCs w:val="24"/>
                <w:color w:val="auto"/>
              </w:rPr>
            </w:pPr>
          </w:p>
        </w:tc>
        <w:tc>
          <w:tcPr>
            <w:tcW w:w="47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CEO</w:t>
            </w:r>
          </w:p>
        </w:tc>
        <w:tc>
          <w:tcPr>
            <w:tcW w:w="1240" w:type="dxa"/>
            <w:vAlign w:val="bottom"/>
          </w:tcPr>
          <w:p>
            <w:pPr>
              <w:ind w:left="680"/>
              <w:spacing w:after="0"/>
              <w:rPr>
                <w:sz w:val="20"/>
                <w:szCs w:val="20"/>
                <w:color w:val="auto"/>
              </w:rPr>
            </w:pPr>
            <w:r>
              <w:rPr>
                <w:rFonts w:ascii="Arial" w:cs="Arial" w:eastAsia="Arial" w:hAnsi="Arial"/>
                <w:sz w:val="15"/>
                <w:szCs w:val="15"/>
                <w:color w:val="auto"/>
              </w:rPr>
              <w:t>Title:</w:t>
            </w:r>
          </w:p>
        </w:tc>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CEO</w:t>
            </w:r>
          </w:p>
        </w:tc>
      </w:tr>
      <w:tr>
        <w:trPr>
          <w:trHeight w:val="703"/>
        </w:trPr>
        <w:tc>
          <w:tcPr>
            <w:tcW w:w="460" w:type="dxa"/>
            <w:vAlign w:val="bottom"/>
          </w:tcPr>
          <w:p>
            <w:pPr>
              <w:spacing w:after="0"/>
              <w:rPr>
                <w:sz w:val="20"/>
                <w:szCs w:val="20"/>
                <w:color w:val="auto"/>
              </w:rPr>
            </w:pPr>
            <w:r>
              <w:rPr>
                <w:rFonts w:ascii="Arial" w:cs="Arial" w:eastAsia="Arial" w:hAnsi="Arial"/>
                <w:sz w:val="15"/>
                <w:szCs w:val="15"/>
                <w:color w:val="auto"/>
              </w:rPr>
              <w:t>Date:</w:t>
            </w:r>
          </w:p>
        </w:tc>
        <w:tc>
          <w:tcPr>
            <w:tcW w:w="1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Date:</w:t>
            </w:r>
          </w:p>
        </w:tc>
        <w:tc>
          <w:tcPr>
            <w:tcW w:w="4720" w:type="dxa"/>
            <w:vAlign w:val="bottom"/>
            <w:tcBorders>
              <w:bottom w:val="single" w:sz="8" w:color="auto"/>
            </w:tcBorders>
          </w:tcPr>
          <w:p>
            <w:pPr>
              <w:spacing w:after="0"/>
              <w:rPr>
                <w:sz w:val="24"/>
                <w:szCs w:val="24"/>
                <w:color w:val="auto"/>
              </w:rPr>
            </w:pPr>
          </w:p>
        </w:tc>
      </w:tr>
      <w:tr>
        <w:trPr>
          <w:trHeight w:val="343"/>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1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By:</w:t>
            </w:r>
          </w:p>
        </w:tc>
        <w:tc>
          <w:tcPr>
            <w:tcW w:w="4720" w:type="dxa"/>
            <w:vAlign w:val="bottom"/>
            <w:tcBorders>
              <w:bottom w:val="single" w:sz="8" w:color="auto"/>
            </w:tcBorders>
          </w:tcPr>
          <w:p>
            <w:pPr>
              <w:spacing w:after="0"/>
              <w:rPr>
                <w:sz w:val="24"/>
                <w:szCs w:val="24"/>
                <w:color w:val="auto"/>
              </w:rPr>
            </w:pPr>
          </w:p>
        </w:tc>
      </w:tr>
      <w:tr>
        <w:trPr>
          <w:trHeight w:val="343"/>
        </w:trPr>
        <w:tc>
          <w:tcPr>
            <w:tcW w:w="460" w:type="dxa"/>
            <w:vAlign w:val="bottom"/>
          </w:tcPr>
          <w:p>
            <w:pPr>
              <w:spacing w:after="0"/>
              <w:rPr>
                <w:sz w:val="20"/>
                <w:szCs w:val="20"/>
                <w:color w:val="auto"/>
              </w:rPr>
            </w:pPr>
            <w:r>
              <w:rPr>
                <w:rFonts w:ascii="Arial" w:cs="Arial" w:eastAsia="Arial" w:hAnsi="Arial"/>
                <w:sz w:val="15"/>
                <w:szCs w:val="15"/>
                <w:color w:val="auto"/>
                <w:w w:val="99"/>
              </w:rPr>
              <w:t>Name:</w:t>
            </w:r>
          </w:p>
        </w:tc>
        <w:tc>
          <w:tcPr>
            <w:tcW w:w="1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Name:</w:t>
            </w:r>
          </w:p>
        </w:tc>
        <w:tc>
          <w:tcPr>
            <w:tcW w:w="4720" w:type="dxa"/>
            <w:vAlign w:val="bottom"/>
            <w:tcBorders>
              <w:bottom w:val="single" w:sz="8" w:color="auto"/>
            </w:tcBorders>
          </w:tcPr>
          <w:p>
            <w:pPr>
              <w:spacing w:after="0"/>
              <w:rPr>
                <w:sz w:val="24"/>
                <w:szCs w:val="24"/>
                <w:color w:val="auto"/>
              </w:rPr>
            </w:pPr>
          </w:p>
        </w:tc>
      </w:tr>
      <w:tr>
        <w:trPr>
          <w:trHeight w:val="343"/>
        </w:trPr>
        <w:tc>
          <w:tcPr>
            <w:tcW w:w="460" w:type="dxa"/>
            <w:vAlign w:val="bottom"/>
          </w:tcPr>
          <w:p>
            <w:pPr>
              <w:spacing w:after="0"/>
              <w:rPr>
                <w:sz w:val="20"/>
                <w:szCs w:val="20"/>
                <w:color w:val="auto"/>
              </w:rPr>
            </w:pPr>
            <w:r>
              <w:rPr>
                <w:rFonts w:ascii="Arial" w:cs="Arial" w:eastAsia="Arial" w:hAnsi="Arial"/>
                <w:sz w:val="15"/>
                <w:szCs w:val="15"/>
                <w:color w:val="auto"/>
              </w:rPr>
              <w:t>Title:</w:t>
            </w:r>
          </w:p>
        </w:tc>
        <w:tc>
          <w:tcPr>
            <w:tcW w:w="1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Title:</w:t>
            </w:r>
          </w:p>
        </w:tc>
        <w:tc>
          <w:tcPr>
            <w:tcW w:w="4720" w:type="dxa"/>
            <w:vAlign w:val="bottom"/>
            <w:tcBorders>
              <w:bottom w:val="single" w:sz="8" w:color="auto"/>
            </w:tcBorders>
          </w:tcPr>
          <w:p>
            <w:pPr>
              <w:spacing w:after="0"/>
              <w:rPr>
                <w:sz w:val="24"/>
                <w:szCs w:val="24"/>
                <w:color w:val="auto"/>
              </w:rPr>
            </w:pPr>
          </w:p>
        </w:tc>
      </w:tr>
      <w:tr>
        <w:trPr>
          <w:trHeight w:val="518"/>
        </w:trPr>
        <w:tc>
          <w:tcPr>
            <w:tcW w:w="53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BioArkive &amp; Immuneering</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10/11</w:t>
            </w: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6" w:right="31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5"/>
          <w:szCs w:val="15"/>
          <w:b w:val="1"/>
          <w:bCs w:val="1"/>
          <w:color w:val="auto"/>
        </w:rPr>
        <w:t>Appendix 1</w:t>
      </w:r>
    </w:p>
    <w:p>
      <w:pPr>
        <w:spacing w:after="0" w:line="179" w:lineRule="exact"/>
        <w:rPr>
          <w:sz w:val="20"/>
          <w:szCs w:val="20"/>
          <w:color w:val="auto"/>
        </w:rPr>
      </w:pPr>
    </w:p>
    <w:p>
      <w:pPr>
        <w:ind w:left="4880"/>
        <w:spacing w:after="0"/>
        <w:rPr>
          <w:sz w:val="20"/>
          <w:szCs w:val="20"/>
          <w:color w:val="auto"/>
        </w:rPr>
      </w:pPr>
      <w:r>
        <w:rPr>
          <w:rFonts w:ascii="Arial" w:cs="Arial" w:eastAsia="Arial" w:hAnsi="Arial"/>
          <w:sz w:val="15"/>
          <w:szCs w:val="15"/>
          <w:b w:val="1"/>
          <w:bCs w:val="1"/>
          <w:u w:val="single" w:color="auto"/>
          <w:color w:val="auto"/>
        </w:rPr>
        <w:t>PROJECT PROPOSAL</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Project Proposal will contain amongst others the following elements if relevant for the Project: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Background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Project description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Deliverables, requirements and general conditions</w:t>
      </w:r>
    </w:p>
    <w:p>
      <w:pPr>
        <w:spacing w:after="0" w:line="179" w:lineRule="exact"/>
        <w:rPr>
          <w:sz w:val="20"/>
          <w:szCs w:val="20"/>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Tasks</w:t>
      </w:r>
    </w:p>
    <w:p>
      <w:pPr>
        <w:spacing w:after="0" w:line="14"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Experimental details (methods)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Starting and end date</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Resources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Sub-contractors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Pricing and costs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Description</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Shipment details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Contact persons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Reporting</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Payment terms</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Validity</w:t>
      </w:r>
    </w:p>
    <w:p>
      <w:pPr>
        <w:spacing w:after="0" w:line="170" w:lineRule="exact"/>
        <w:rPr>
          <w:sz w:val="20"/>
          <w:szCs w:val="20"/>
          <w:color w:val="auto"/>
        </w:rPr>
      </w:pPr>
    </w:p>
    <w:p>
      <w:pPr>
        <w:ind w:right="40"/>
        <w:spacing w:after="0" w:line="210" w:lineRule="auto"/>
        <w:rPr>
          <w:sz w:val="20"/>
          <w:szCs w:val="20"/>
          <w:color w:val="auto"/>
        </w:rPr>
      </w:pPr>
      <w:r>
        <w:rPr>
          <w:rFonts w:ascii="Arial" w:cs="Arial" w:eastAsia="Arial" w:hAnsi="Arial"/>
          <w:sz w:val="15"/>
          <w:szCs w:val="15"/>
          <w:color w:val="auto"/>
        </w:rPr>
        <w:t>This Project Proposal is pursuant to, and incorporates the provisions of the Master Services Agreement with Effective Date August 5</w:t>
      </w:r>
      <w:r>
        <w:rPr>
          <w:rFonts w:ascii="Arial" w:cs="Arial" w:eastAsia="Arial" w:hAnsi="Arial"/>
          <w:sz w:val="24"/>
          <w:szCs w:val="24"/>
          <w:color w:val="auto"/>
          <w:vertAlign w:val="superscript"/>
        </w:rPr>
        <w:t>th</w:t>
      </w:r>
      <w:r>
        <w:rPr>
          <w:rFonts w:ascii="Arial" w:cs="Arial" w:eastAsia="Arial" w:hAnsi="Arial"/>
          <w:sz w:val="15"/>
          <w:szCs w:val="15"/>
          <w:color w:val="auto"/>
        </w:rPr>
        <w:t>, 2019 by and between Bioarkive, LLC and Immuneering Corporation.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gridSpan w:val="2"/>
          </w:tcPr>
          <w:p>
            <w:pPr>
              <w:spacing w:after="0"/>
              <w:rPr>
                <w:sz w:val="20"/>
                <w:szCs w:val="20"/>
                <w:color w:val="auto"/>
              </w:rPr>
            </w:pPr>
            <w:r>
              <w:rPr>
                <w:rFonts w:ascii="Arial" w:cs="Arial" w:eastAsia="Arial" w:hAnsi="Arial"/>
                <w:sz w:val="15"/>
                <w:szCs w:val="15"/>
                <w:color w:val="auto"/>
              </w:rPr>
              <w:t>Bioarkive, LLC</w:t>
            </w:r>
          </w:p>
        </w:tc>
        <w:tc>
          <w:tcPr>
            <w:tcW w:w="124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341"/>
        </w:trPr>
        <w:tc>
          <w:tcPr>
            <w:tcW w:w="5320" w:type="dxa"/>
            <w:vAlign w:val="bottom"/>
            <w:gridSpan w:val="2"/>
          </w:tcPr>
          <w:p>
            <w:pPr>
              <w:spacing w:after="0"/>
              <w:rPr>
                <w:sz w:val="20"/>
                <w:szCs w:val="20"/>
                <w:color w:val="auto"/>
              </w:rPr>
            </w:pPr>
            <w:r>
              <w:rPr>
                <w:rFonts w:ascii="Arial" w:cs="Arial" w:eastAsia="Arial" w:hAnsi="Arial"/>
                <w:sz w:val="15"/>
                <w:szCs w:val="15"/>
                <w:color w:val="auto"/>
              </w:rPr>
              <w:t>Dennis Garland, MS</w:t>
            </w:r>
          </w:p>
        </w:tc>
        <w:tc>
          <w:tcPr>
            <w:tcW w:w="5960" w:type="dxa"/>
            <w:vAlign w:val="bottom"/>
            <w:gridSpan w:val="2"/>
          </w:tcPr>
          <w:p>
            <w:pPr>
              <w:ind w:left="320"/>
              <w:spacing w:after="0"/>
              <w:rPr>
                <w:sz w:val="20"/>
                <w:szCs w:val="20"/>
                <w:color w:val="auto"/>
              </w:rPr>
            </w:pPr>
            <w:r>
              <w:rPr>
                <w:rFonts w:ascii="Arial" w:cs="Arial" w:eastAsia="Arial" w:hAnsi="Arial"/>
                <w:sz w:val="15"/>
                <w:szCs w:val="15"/>
                <w:color w:val="auto"/>
              </w:rPr>
              <w:t>Praveen Nair, Ph.D.</w:t>
            </w:r>
          </w:p>
        </w:tc>
      </w:tr>
      <w:tr>
        <w:trPr>
          <w:trHeight w:val="186"/>
        </w:trPr>
        <w:tc>
          <w:tcPr>
            <w:tcW w:w="5320" w:type="dxa"/>
            <w:vAlign w:val="bottom"/>
            <w:gridSpan w:val="2"/>
          </w:tcPr>
          <w:p>
            <w:pPr>
              <w:spacing w:after="0"/>
              <w:rPr>
                <w:sz w:val="20"/>
                <w:szCs w:val="20"/>
                <w:color w:val="auto"/>
              </w:rPr>
            </w:pPr>
            <w:r>
              <w:rPr>
                <w:rFonts w:ascii="Arial" w:cs="Arial" w:eastAsia="Arial" w:hAnsi="Arial"/>
                <w:sz w:val="15"/>
                <w:szCs w:val="15"/>
                <w:color w:val="auto"/>
              </w:rPr>
              <w:t>Director of Operations</w:t>
            </w:r>
          </w:p>
        </w:tc>
        <w:tc>
          <w:tcPr>
            <w:tcW w:w="5960" w:type="dxa"/>
            <w:vAlign w:val="bottom"/>
            <w:gridSpan w:val="2"/>
          </w:tcPr>
          <w:p>
            <w:pPr>
              <w:ind w:left="320"/>
              <w:spacing w:after="0"/>
              <w:rPr>
                <w:sz w:val="20"/>
                <w:szCs w:val="20"/>
                <w:color w:val="auto"/>
              </w:rPr>
            </w:pPr>
            <w:r>
              <w:rPr>
                <w:rFonts w:ascii="Arial" w:cs="Arial" w:eastAsia="Arial" w:hAnsi="Arial"/>
                <w:sz w:val="15"/>
                <w:szCs w:val="15"/>
                <w:color w:val="auto"/>
              </w:rPr>
              <w:t>Chief Executive Officer</w:t>
            </w:r>
          </w:p>
        </w:tc>
      </w:tr>
      <w:tr>
        <w:trPr>
          <w:trHeight w:val="352"/>
        </w:trPr>
        <w:tc>
          <w:tcPr>
            <w:tcW w:w="5320" w:type="dxa"/>
            <w:vAlign w:val="bottom"/>
            <w:gridSpan w:val="2"/>
          </w:tcPr>
          <w:p>
            <w:pPr>
              <w:spacing w:after="0"/>
              <w:rPr>
                <w:sz w:val="20"/>
                <w:szCs w:val="20"/>
                <w:color w:val="auto"/>
              </w:rPr>
            </w:pPr>
            <w:r>
              <w:rPr>
                <w:rFonts w:ascii="Arial" w:cs="Arial" w:eastAsia="Arial" w:hAnsi="Arial"/>
                <w:sz w:val="15"/>
                <w:szCs w:val="15"/>
                <w:color w:val="auto"/>
              </w:rPr>
              <w:t>CC:</w:t>
            </w:r>
          </w:p>
        </w:tc>
        <w:tc>
          <w:tcPr>
            <w:tcW w:w="12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2"/>
        </w:trPr>
        <w:tc>
          <w:tcPr>
            <w:tcW w:w="5320" w:type="dxa"/>
            <w:vAlign w:val="bottom"/>
            <w:gridSpan w:val="2"/>
          </w:tcPr>
          <w:p>
            <w:pPr>
              <w:spacing w:after="0"/>
              <w:rPr>
                <w:sz w:val="20"/>
                <w:szCs w:val="20"/>
                <w:color w:val="auto"/>
              </w:rPr>
            </w:pPr>
            <w:r>
              <w:rPr>
                <w:rFonts w:ascii="Arial" w:cs="Arial" w:eastAsia="Arial" w:hAnsi="Arial"/>
                <w:sz w:val="15"/>
                <w:szCs w:val="15"/>
                <w:color w:val="auto"/>
              </w:rPr>
              <w:t>Proposal accepted by Immuneering:</w:t>
            </w:r>
          </w:p>
        </w:tc>
        <w:tc>
          <w:tcPr>
            <w:tcW w:w="12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2"/>
        </w:trPr>
        <w:tc>
          <w:tcPr>
            <w:tcW w:w="580" w:type="dxa"/>
            <w:vAlign w:val="bottom"/>
          </w:tcPr>
          <w:p>
            <w:pPr>
              <w:spacing w:after="0"/>
              <w:rPr>
                <w:sz w:val="20"/>
                <w:szCs w:val="20"/>
                <w:color w:val="auto"/>
              </w:rPr>
            </w:pPr>
            <w:r>
              <w:rPr>
                <w:rFonts w:ascii="Arial" w:cs="Arial" w:eastAsia="Arial" w:hAnsi="Arial"/>
                <w:sz w:val="15"/>
                <w:szCs w:val="15"/>
                <w:color w:val="auto"/>
              </w:rPr>
              <w:t>Date:</w:t>
            </w: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Date:</w:t>
            </w:r>
          </w:p>
        </w:tc>
        <w:tc>
          <w:tcPr>
            <w:tcW w:w="4720" w:type="dxa"/>
            <w:vAlign w:val="bottom"/>
            <w:tcBorders>
              <w:bottom w:val="single" w:sz="8" w:color="auto"/>
            </w:tcBorders>
          </w:tcPr>
          <w:p>
            <w:pPr>
              <w:spacing w:after="0"/>
              <w:rPr>
                <w:sz w:val="24"/>
                <w:szCs w:val="24"/>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5"/>
                <w:szCs w:val="15"/>
                <w:color w:val="auto"/>
              </w:rPr>
              <w:t>By:</w:t>
            </w: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By:</w:t>
            </w:r>
          </w:p>
        </w:tc>
        <w:tc>
          <w:tcPr>
            <w:tcW w:w="4720" w:type="dxa"/>
            <w:vAlign w:val="bottom"/>
            <w:tcBorders>
              <w:bottom w:val="single" w:sz="8" w:color="auto"/>
            </w:tcBorders>
          </w:tcPr>
          <w:p>
            <w:pPr>
              <w:spacing w:after="0"/>
              <w:rPr>
                <w:sz w:val="24"/>
                <w:szCs w:val="24"/>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5"/>
                <w:szCs w:val="15"/>
                <w:color w:val="auto"/>
              </w:rPr>
              <w:t>Name:</w:t>
            </w: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Name:</w:t>
            </w:r>
          </w:p>
        </w:tc>
        <w:tc>
          <w:tcPr>
            <w:tcW w:w="4720" w:type="dxa"/>
            <w:vAlign w:val="bottom"/>
            <w:tcBorders>
              <w:bottom w:val="single" w:sz="8" w:color="auto"/>
            </w:tcBorders>
          </w:tcPr>
          <w:p>
            <w:pPr>
              <w:spacing w:after="0"/>
              <w:rPr>
                <w:sz w:val="24"/>
                <w:szCs w:val="24"/>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5"/>
                <w:szCs w:val="15"/>
                <w:color w:val="auto"/>
              </w:rPr>
              <w:t>Title:</w:t>
            </w:r>
          </w:p>
        </w:tc>
        <w:tc>
          <w:tcPr>
            <w:tcW w:w="474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5"/>
                <w:szCs w:val="15"/>
                <w:color w:val="auto"/>
              </w:rPr>
              <w:t>Title:</w:t>
            </w:r>
          </w:p>
        </w:tc>
        <w:tc>
          <w:tcPr>
            <w:tcW w:w="4720" w:type="dxa"/>
            <w:vAlign w:val="bottom"/>
            <w:tcBorders>
              <w:bottom w:val="single" w:sz="8" w:color="auto"/>
            </w:tcBorders>
          </w:tcPr>
          <w:p>
            <w:pPr>
              <w:spacing w:after="0"/>
              <w:rPr>
                <w:sz w:val="24"/>
                <w:szCs w:val="24"/>
                <w:color w:val="auto"/>
              </w:rPr>
            </w:pPr>
          </w:p>
        </w:tc>
      </w:tr>
      <w:tr>
        <w:trPr>
          <w:trHeight w:val="518"/>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BioArkive &amp; Immuneering</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11/11</w:t>
            </w: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2" w:right="319" w:bottom="1440" w:gutter="0" w:footer="0" w:header="0"/>
        </w:sectPr>
      </w:pPr>
    </w:p>
    <w:bookmarkStart w:id="325" w:name="page326"/>
    <w:bookmarkEnd w:id="325"/>
    <w:p>
      <w:pPr>
        <w:jc w:val="right"/>
        <w:spacing w:after="0"/>
        <w:rPr>
          <w:sz w:val="20"/>
          <w:szCs w:val="20"/>
          <w:color w:val="auto"/>
        </w:rPr>
      </w:pPr>
      <w:r>
        <w:rPr>
          <w:rFonts w:ascii="Arial" w:cs="Arial" w:eastAsia="Arial" w:hAnsi="Arial"/>
          <w:sz w:val="15"/>
          <w:szCs w:val="15"/>
          <w:b w:val="1"/>
          <w:bCs w:val="1"/>
          <w:color w:val="auto"/>
        </w:rPr>
        <w:t>Exhibit 10.3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IMMUNEERING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2008 STOCK INCENTIVE PLAN</w:t>
      </w:r>
    </w:p>
    <w:p>
      <w:pPr>
        <w:spacing w:after="0" w:line="179" w:lineRule="exact"/>
        <w:rPr>
          <w:sz w:val="20"/>
          <w:szCs w:val="20"/>
          <w:color w:val="auto"/>
        </w:rPr>
      </w:pPr>
    </w:p>
    <w:p>
      <w:pPr>
        <w:ind w:left="780" w:hanging="772"/>
        <w:spacing w:after="0"/>
        <w:tabs>
          <w:tab w:leader="none" w:pos="780"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Purpose</w:t>
      </w:r>
    </w:p>
    <w:p>
      <w:pPr>
        <w:spacing w:after="0" w:line="179" w:lineRule="exact"/>
        <w:rPr>
          <w:sz w:val="20"/>
          <w:szCs w:val="20"/>
          <w:color w:val="auto"/>
        </w:rPr>
      </w:pPr>
    </w:p>
    <w:p>
      <w:pPr>
        <w:jc w:val="both"/>
        <w:ind w:firstLine="527"/>
        <w:spacing w:after="0" w:line="294" w:lineRule="auto"/>
        <w:rPr>
          <w:sz w:val="20"/>
          <w:szCs w:val="20"/>
          <w:color w:val="auto"/>
        </w:rPr>
      </w:pPr>
      <w:r>
        <w:rPr>
          <w:rFonts w:ascii="Arial" w:cs="Arial" w:eastAsia="Arial" w:hAnsi="Arial"/>
          <w:sz w:val="13"/>
          <w:szCs w:val="13"/>
          <w:color w:val="auto"/>
        </w:rPr>
        <w:t>The purpose of this 2008 Stock Incentive Plan (the “Plan”) of Immuneering Corporation,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32" w:lineRule="exact"/>
        <w:rPr>
          <w:sz w:val="20"/>
          <w:szCs w:val="20"/>
          <w:color w:val="auto"/>
        </w:rPr>
      </w:pPr>
    </w:p>
    <w:p>
      <w:pPr>
        <w:ind w:left="780" w:hanging="772"/>
        <w:spacing w:after="0"/>
        <w:tabs>
          <w:tab w:leader="none" w:pos="780"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Eligibility</w:t>
      </w:r>
    </w:p>
    <w:p>
      <w:pPr>
        <w:spacing w:after="0" w:line="179" w:lineRule="exact"/>
        <w:rPr>
          <w:sz w:val="20"/>
          <w:szCs w:val="20"/>
          <w:color w:val="auto"/>
        </w:rPr>
      </w:pPr>
    </w:p>
    <w:p>
      <w:pPr>
        <w:ind w:firstLine="527"/>
        <w:spacing w:after="0" w:line="264" w:lineRule="auto"/>
        <w:rPr>
          <w:sz w:val="20"/>
          <w:szCs w:val="20"/>
          <w:color w:val="auto"/>
        </w:rPr>
      </w:pPr>
      <w:r>
        <w:rPr>
          <w:rFonts w:ascii="Arial" w:cs="Arial" w:eastAsia="Arial" w:hAnsi="Arial"/>
          <w:sz w:val="15"/>
          <w:szCs w:val="15"/>
          <w:color w:val="auto"/>
        </w:rPr>
        <w:t>All of the Company’s employees, officers, directors, consultants and advisors are eligible to be granted options, restricted stock, restricted stock units (“RSUs”) and other stock-based awards (each, an “Award”) under the Plan. Each person who receives an Award under the Plan is deemed a “Participant”.</w:t>
      </w:r>
    </w:p>
    <w:p>
      <w:pPr>
        <w:spacing w:after="0" w:line="148" w:lineRule="exact"/>
        <w:rPr>
          <w:sz w:val="20"/>
          <w:szCs w:val="20"/>
          <w:color w:val="auto"/>
        </w:rPr>
      </w:pPr>
    </w:p>
    <w:p>
      <w:pPr>
        <w:ind w:left="780" w:hanging="772"/>
        <w:spacing w:after="0"/>
        <w:tabs>
          <w:tab w:leader="none" w:pos="780"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Administration and Delegation</w:t>
      </w:r>
    </w:p>
    <w:p>
      <w:pPr>
        <w:spacing w:after="0" w:line="179" w:lineRule="exact"/>
        <w:rPr>
          <w:rFonts w:ascii="Arial" w:cs="Arial" w:eastAsia="Arial" w:hAnsi="Arial"/>
          <w:sz w:val="15"/>
          <w:szCs w:val="15"/>
          <w:color w:val="auto"/>
        </w:rPr>
      </w:pPr>
    </w:p>
    <w:p>
      <w:pPr>
        <w:jc w:val="both"/>
        <w:ind w:firstLine="535"/>
        <w:spacing w:after="0" w:line="248" w:lineRule="auto"/>
        <w:tabs>
          <w:tab w:leader="none" w:pos="1294" w:val="left"/>
        </w:tabs>
        <w:numPr>
          <w:ilvl w:val="1"/>
          <w:numId w:val="159"/>
        </w:numPr>
        <w:rPr>
          <w:rFonts w:ascii="Arial" w:cs="Arial" w:eastAsia="Arial" w:hAnsi="Arial"/>
          <w:sz w:val="15"/>
          <w:szCs w:val="15"/>
          <w:color w:val="auto"/>
        </w:rPr>
      </w:pPr>
      <w:r>
        <w:rPr>
          <w:rFonts w:ascii="Arial" w:cs="Arial" w:eastAsia="Arial" w:hAnsi="Arial"/>
          <w:sz w:val="15"/>
          <w:szCs w:val="15"/>
          <w:u w:val="single" w:color="auto"/>
          <w:color w:val="auto"/>
        </w:rPr>
        <w:t>Administration by Board of Directors</w:t>
      </w:r>
      <w:r>
        <w:rPr>
          <w:rFonts w:ascii="Arial" w:cs="Arial" w:eastAsia="Arial" w:hAnsi="Arial"/>
          <w:sz w:val="15"/>
          <w:szCs w:val="15"/>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61" w:lineRule="exact"/>
        <w:rPr>
          <w:rFonts w:ascii="Arial" w:cs="Arial" w:eastAsia="Arial" w:hAnsi="Arial"/>
          <w:sz w:val="15"/>
          <w:szCs w:val="15"/>
          <w:color w:val="auto"/>
        </w:rPr>
      </w:pPr>
    </w:p>
    <w:p>
      <w:pPr>
        <w:jc w:val="both"/>
        <w:ind w:firstLine="535"/>
        <w:spacing w:after="0" w:line="254" w:lineRule="auto"/>
        <w:tabs>
          <w:tab w:leader="none" w:pos="1368" w:val="left"/>
        </w:tabs>
        <w:numPr>
          <w:ilvl w:val="1"/>
          <w:numId w:val="159"/>
        </w:numPr>
        <w:rPr>
          <w:rFonts w:ascii="Arial" w:cs="Arial" w:eastAsia="Arial" w:hAnsi="Arial"/>
          <w:sz w:val="15"/>
          <w:szCs w:val="15"/>
          <w:color w:val="auto"/>
        </w:rPr>
      </w:pPr>
      <w:r>
        <w:rPr>
          <w:rFonts w:ascii="Arial" w:cs="Arial" w:eastAsia="Arial" w:hAnsi="Arial"/>
          <w:sz w:val="15"/>
          <w:szCs w:val="15"/>
          <w:u w:val="single" w:color="auto"/>
          <w:color w:val="auto"/>
        </w:rPr>
        <w:t>Appointment of Committees</w:t>
      </w:r>
      <w:r>
        <w:rPr>
          <w:rFonts w:ascii="Arial" w:cs="Arial" w:eastAsia="Arial" w:hAnsi="Arial"/>
          <w:sz w:val="15"/>
          <w:szCs w:val="15"/>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155" w:lineRule="exact"/>
        <w:rPr>
          <w:rFonts w:ascii="Arial" w:cs="Arial" w:eastAsia="Arial" w:hAnsi="Arial"/>
          <w:sz w:val="15"/>
          <w:szCs w:val="15"/>
          <w:color w:val="auto"/>
        </w:rPr>
      </w:pPr>
    </w:p>
    <w:p>
      <w:pPr>
        <w:jc w:val="both"/>
        <w:ind w:firstLine="535"/>
        <w:spacing w:after="0" w:line="248" w:lineRule="auto"/>
        <w:tabs>
          <w:tab w:leader="none" w:pos="1294" w:val="left"/>
        </w:tabs>
        <w:numPr>
          <w:ilvl w:val="1"/>
          <w:numId w:val="159"/>
        </w:numPr>
        <w:rPr>
          <w:rFonts w:ascii="Arial" w:cs="Arial" w:eastAsia="Arial" w:hAnsi="Arial"/>
          <w:sz w:val="15"/>
          <w:szCs w:val="15"/>
          <w:color w:val="auto"/>
        </w:rPr>
      </w:pPr>
      <w:r>
        <w:rPr>
          <w:rFonts w:ascii="Arial" w:cs="Arial" w:eastAsia="Arial" w:hAnsi="Arial"/>
          <w:sz w:val="15"/>
          <w:szCs w:val="15"/>
          <w:u w:val="single" w:color="auto"/>
          <w:color w:val="auto"/>
        </w:rPr>
        <w:t>Delegation to Officers</w:t>
      </w:r>
      <w:r>
        <w:rPr>
          <w:rFonts w:ascii="Arial" w:cs="Arial" w:eastAsia="Arial" w:hAnsi="Arial"/>
          <w:sz w:val="15"/>
          <w:szCs w:val="15"/>
          <w:color w:val="auto"/>
        </w:rPr>
        <w:t>.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01" w:right="319" w:bottom="1440" w:gutter="0" w:footer="0" w:header="0"/>
        </w:sectPr>
      </w:pPr>
    </w:p>
    <w:bookmarkStart w:id="326" w:name="page327"/>
    <w:bookmarkEnd w:id="326"/>
    <w:p>
      <w:pPr>
        <w:ind w:left="780" w:hanging="772"/>
        <w:spacing w:after="0"/>
        <w:tabs>
          <w:tab w:leader="none" w:pos="780"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Stock Available for Awards</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535"/>
        <w:spacing w:after="0" w:line="288" w:lineRule="auto"/>
        <w:tabs>
          <w:tab w:leader="none" w:pos="1305" w:val="left"/>
        </w:tabs>
        <w:numPr>
          <w:ilvl w:val="1"/>
          <w:numId w:val="160"/>
        </w:numPr>
        <w:rPr>
          <w:rFonts w:ascii="Arial" w:cs="Arial" w:eastAsia="Arial" w:hAnsi="Arial"/>
          <w:sz w:val="13"/>
          <w:szCs w:val="13"/>
          <w:color w:val="auto"/>
        </w:rPr>
      </w:pPr>
      <w:r>
        <w:rPr>
          <w:rFonts w:ascii="Arial" w:cs="Arial" w:eastAsia="Arial" w:hAnsi="Arial"/>
          <w:sz w:val="13"/>
          <w:szCs w:val="13"/>
          <w:u w:val="single" w:color="auto"/>
          <w:color w:val="auto"/>
        </w:rPr>
        <w:t>Number of Shares</w:t>
      </w:r>
      <w:r>
        <w:rPr>
          <w:rFonts w:ascii="Arial" w:cs="Arial" w:eastAsia="Arial" w:hAnsi="Arial"/>
          <w:sz w:val="13"/>
          <w:szCs w:val="13"/>
          <w:color w:val="auto"/>
        </w:rPr>
        <w:t>. Subject to adjustment under Section 8, Awards may be made under the Plan for up to 510,000 shares of common stock, $.001 par value per share, of the Company (the “Common Stock”).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shall be added to the number of shares of Common Stock available for the grant of Awards under the Plan. However, in the case of Incentive Stock Options (as hereinafter defined), the foregoing provisions shall be subject to any limitations under the Code. Shares issued under the Plan may consist in whole or in part of authorized but unissued shares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"California Regulations"), based on the shares of the Company which are outstanding at the time the calculation is made.</w:t>
      </w:r>
    </w:p>
    <w:p>
      <w:pPr>
        <w:spacing w:after="0" w:line="139" w:lineRule="exact"/>
        <w:rPr>
          <w:rFonts w:ascii="Arial" w:cs="Arial" w:eastAsia="Arial" w:hAnsi="Arial"/>
          <w:sz w:val="13"/>
          <w:szCs w:val="13"/>
          <w:color w:val="auto"/>
        </w:rPr>
      </w:pPr>
    </w:p>
    <w:p>
      <w:pPr>
        <w:jc w:val="both"/>
        <w:ind w:firstLine="535"/>
        <w:spacing w:after="0" w:line="251" w:lineRule="auto"/>
        <w:tabs>
          <w:tab w:leader="none" w:pos="1324" w:val="left"/>
        </w:tabs>
        <w:numPr>
          <w:ilvl w:val="1"/>
          <w:numId w:val="160"/>
        </w:numPr>
        <w:rPr>
          <w:rFonts w:ascii="Arial" w:cs="Arial" w:eastAsia="Arial" w:hAnsi="Arial"/>
          <w:sz w:val="15"/>
          <w:szCs w:val="15"/>
          <w:color w:val="auto"/>
        </w:rPr>
      </w:pPr>
      <w:r>
        <w:rPr>
          <w:rFonts w:ascii="Arial" w:cs="Arial" w:eastAsia="Arial" w:hAnsi="Arial"/>
          <w:sz w:val="15"/>
          <w:szCs w:val="15"/>
          <w:u w:val="single" w:color="auto"/>
          <w:color w:val="auto"/>
        </w:rPr>
        <w:t>Substitute Awards</w:t>
      </w:r>
      <w:r>
        <w:rPr>
          <w:rFonts w:ascii="Arial" w:cs="Arial" w:eastAsia="Arial" w:hAnsi="Arial"/>
          <w:sz w:val="15"/>
          <w:szCs w:val="15"/>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57" w:lineRule="exact"/>
        <w:rPr>
          <w:rFonts w:ascii="Arial" w:cs="Arial" w:eastAsia="Arial" w:hAnsi="Arial"/>
          <w:sz w:val="15"/>
          <w:szCs w:val="15"/>
          <w:color w:val="auto"/>
        </w:rPr>
      </w:pPr>
    </w:p>
    <w:p>
      <w:pPr>
        <w:ind w:left="780" w:hanging="772"/>
        <w:spacing w:after="0"/>
        <w:tabs>
          <w:tab w:leader="none" w:pos="780"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Stock Options</w:t>
      </w:r>
    </w:p>
    <w:p>
      <w:pPr>
        <w:spacing w:after="0" w:line="179" w:lineRule="exact"/>
        <w:rPr>
          <w:rFonts w:ascii="Arial" w:cs="Arial" w:eastAsia="Arial" w:hAnsi="Arial"/>
          <w:sz w:val="15"/>
          <w:szCs w:val="15"/>
          <w:color w:val="auto"/>
        </w:rPr>
      </w:pPr>
    </w:p>
    <w:p>
      <w:pPr>
        <w:jc w:val="both"/>
        <w:ind w:firstLine="535"/>
        <w:spacing w:after="0" w:line="311" w:lineRule="auto"/>
        <w:tabs>
          <w:tab w:leader="none" w:pos="1371" w:val="left"/>
        </w:tabs>
        <w:numPr>
          <w:ilvl w:val="1"/>
          <w:numId w:val="160"/>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21" w:lineRule="exact"/>
        <w:rPr>
          <w:rFonts w:ascii="Arial" w:cs="Arial" w:eastAsia="Arial" w:hAnsi="Arial"/>
          <w:sz w:val="13"/>
          <w:szCs w:val="13"/>
          <w:color w:val="auto"/>
        </w:rPr>
      </w:pPr>
    </w:p>
    <w:p>
      <w:pPr>
        <w:jc w:val="both"/>
        <w:ind w:firstLine="535"/>
        <w:spacing w:after="0" w:line="297" w:lineRule="auto"/>
        <w:tabs>
          <w:tab w:leader="none" w:pos="1346" w:val="left"/>
        </w:tabs>
        <w:numPr>
          <w:ilvl w:val="1"/>
          <w:numId w:val="160"/>
        </w:numPr>
        <w:rPr>
          <w:rFonts w:ascii="Arial" w:cs="Arial" w:eastAsia="Arial" w:hAnsi="Arial"/>
          <w:sz w:val="13"/>
          <w:szCs w:val="13"/>
          <w:color w:val="auto"/>
        </w:rPr>
      </w:pPr>
      <w:r>
        <w:rPr>
          <w:rFonts w:ascii="Arial" w:cs="Arial" w:eastAsia="Arial" w:hAnsi="Arial"/>
          <w:sz w:val="13"/>
          <w:szCs w:val="13"/>
          <w:u w:val="single" w:color="auto"/>
          <w:color w:val="auto"/>
        </w:rPr>
        <w:t>Incentive Stock Options</w:t>
      </w:r>
      <w:r>
        <w:rPr>
          <w:rFonts w:ascii="Arial" w:cs="Arial" w:eastAsia="Arial" w:hAnsi="Arial"/>
          <w:sz w:val="13"/>
          <w:szCs w:val="13"/>
          <w:color w:val="auto"/>
        </w:rPr>
        <w:t>. An Option that the Board intends to be an “incentive stock option” as defined in Section 422 of the Code (an “Incentive Stock Option”) shall only be granted to employees of Immuneering Corporation, any of Immuneering Corporation's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29" w:lineRule="exact"/>
        <w:rPr>
          <w:rFonts w:ascii="Arial" w:cs="Arial" w:eastAsia="Arial" w:hAnsi="Arial"/>
          <w:sz w:val="13"/>
          <w:szCs w:val="13"/>
          <w:color w:val="auto"/>
        </w:rPr>
      </w:pPr>
    </w:p>
    <w:p>
      <w:pPr>
        <w:ind w:firstLine="535"/>
        <w:spacing w:after="0" w:line="264" w:lineRule="auto"/>
        <w:tabs>
          <w:tab w:leader="none" w:pos="1305" w:val="left"/>
        </w:tabs>
        <w:numPr>
          <w:ilvl w:val="1"/>
          <w:numId w:val="160"/>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Board shall establish the exercise price of each Option and specify the exercise price in the applicable option agreement. The exercise price shall be not less than 100% of the Fair Market Value (as defined below) on the date the Option is granted.</w:t>
      </w:r>
    </w:p>
    <w:p>
      <w:pPr>
        <w:spacing w:after="0" w:line="147" w:lineRule="exact"/>
        <w:rPr>
          <w:rFonts w:ascii="Arial" w:cs="Arial" w:eastAsia="Arial" w:hAnsi="Arial"/>
          <w:sz w:val="15"/>
          <w:szCs w:val="15"/>
          <w:color w:val="auto"/>
        </w:rPr>
      </w:pPr>
    </w:p>
    <w:p>
      <w:pPr>
        <w:ind w:left="1260" w:hanging="725"/>
        <w:spacing w:after="0"/>
        <w:tabs>
          <w:tab w:leader="none" w:pos="1260" w:val="left"/>
        </w:tabs>
        <w:numPr>
          <w:ilvl w:val="1"/>
          <w:numId w:val="160"/>
        </w:numPr>
        <w:rPr>
          <w:rFonts w:ascii="Arial" w:cs="Arial" w:eastAsia="Arial" w:hAnsi="Arial"/>
          <w:sz w:val="13"/>
          <w:szCs w:val="13"/>
          <w:color w:val="auto"/>
        </w:rPr>
      </w:pPr>
      <w:r>
        <w:rPr>
          <w:rFonts w:ascii="Arial" w:cs="Arial" w:eastAsia="Arial" w:hAnsi="Arial"/>
          <w:sz w:val="13"/>
          <w:szCs w:val="13"/>
          <w:u w:val="single" w:color="auto"/>
          <w:color w:val="auto"/>
        </w:rPr>
        <w:t>Duration of Options</w:t>
      </w:r>
      <w:r>
        <w:rPr>
          <w:rFonts w:ascii="Arial" w:cs="Arial" w:eastAsia="Arial" w:hAnsi="Arial"/>
          <w:sz w:val="13"/>
          <w:szCs w:val="13"/>
          <w:color w:val="auto"/>
        </w:rPr>
        <w:t>. Each Option shall be exercisable at such times and subject to such terms and conditions as the Board may specify in the applicable option agreement.</w:t>
      </w:r>
    </w:p>
    <w:p>
      <w:pPr>
        <w:spacing w:after="0" w:line="202" w:lineRule="exact"/>
        <w:rPr>
          <w:rFonts w:ascii="Arial" w:cs="Arial" w:eastAsia="Arial" w:hAnsi="Arial"/>
          <w:sz w:val="13"/>
          <w:szCs w:val="13"/>
          <w:color w:val="auto"/>
        </w:rPr>
      </w:pPr>
    </w:p>
    <w:p>
      <w:pPr>
        <w:jc w:val="both"/>
        <w:ind w:firstLine="535"/>
        <w:spacing w:after="0" w:line="254" w:lineRule="auto"/>
        <w:tabs>
          <w:tab w:leader="none" w:pos="1382" w:val="left"/>
        </w:tabs>
        <w:numPr>
          <w:ilvl w:val="1"/>
          <w:numId w:val="160"/>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as soon as practicable following exercise.</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27" w:name="page328"/>
    <w:bookmarkEnd w:id="327"/>
    <w:p>
      <w:pPr>
        <w:ind w:left="1260" w:hanging="725"/>
        <w:spacing w:after="0"/>
        <w:tabs>
          <w:tab w:leader="none" w:pos="1260" w:val="left"/>
        </w:tabs>
        <w:numPr>
          <w:ilvl w:val="1"/>
          <w:numId w:val="161"/>
        </w:numPr>
        <w:rPr>
          <w:rFonts w:ascii="Arial" w:cs="Arial" w:eastAsia="Arial" w:hAnsi="Arial"/>
          <w:sz w:val="15"/>
          <w:szCs w:val="15"/>
          <w:color w:val="auto"/>
        </w:rPr>
      </w:pPr>
      <w:r>
        <w:rPr>
          <w:rFonts w:ascii="Arial" w:cs="Arial" w:eastAsia="Arial" w:hAnsi="Arial"/>
          <w:sz w:val="15"/>
          <w:szCs w:val="15"/>
          <w:u w:val="single" w:color="auto"/>
          <w:color w:val="auto"/>
        </w:rPr>
        <w:t>Payment Upon Exercise.</w:t>
      </w:r>
      <w:r>
        <w:rPr>
          <w:rFonts w:ascii="Arial" w:cs="Arial" w:eastAsia="Arial" w:hAnsi="Arial"/>
          <w:sz w:val="15"/>
          <w:szCs w:val="15"/>
          <w:color w:val="auto"/>
        </w:rPr>
        <w:t xml:space="preserve"> Common Stock purchased upon the exercise of an Option granted under the Plan shall be paid for as follows:</w:t>
      </w:r>
    </w:p>
    <w:p>
      <w:pPr>
        <w:spacing w:after="0" w:line="179" w:lineRule="exact"/>
        <w:rPr>
          <w:rFonts w:ascii="Arial" w:cs="Arial" w:eastAsia="Arial" w:hAnsi="Arial"/>
          <w:sz w:val="15"/>
          <w:szCs w:val="15"/>
          <w:color w:val="auto"/>
        </w:rPr>
      </w:pPr>
    </w:p>
    <w:p>
      <w:pPr>
        <w:ind w:left="1780" w:hanging="717"/>
        <w:spacing w:after="0"/>
        <w:tabs>
          <w:tab w:leader="none" w:pos="1780" w:val="left"/>
        </w:tabs>
        <w:numPr>
          <w:ilvl w:val="2"/>
          <w:numId w:val="161"/>
        </w:numPr>
        <w:rPr>
          <w:rFonts w:ascii="Arial" w:cs="Arial" w:eastAsia="Arial" w:hAnsi="Arial"/>
          <w:sz w:val="15"/>
          <w:szCs w:val="15"/>
          <w:color w:val="auto"/>
        </w:rPr>
      </w:pPr>
      <w:r>
        <w:rPr>
          <w:rFonts w:ascii="Arial" w:cs="Arial" w:eastAsia="Arial" w:hAnsi="Arial"/>
          <w:sz w:val="15"/>
          <w:szCs w:val="15"/>
          <w:color w:val="auto"/>
        </w:rPr>
        <w:t>in cash or by check, payable to the order of the Company;</w:t>
      </w:r>
    </w:p>
    <w:p>
      <w:pPr>
        <w:spacing w:after="0" w:line="179" w:lineRule="exact"/>
        <w:rPr>
          <w:rFonts w:ascii="Arial" w:cs="Arial" w:eastAsia="Arial" w:hAnsi="Arial"/>
          <w:sz w:val="15"/>
          <w:szCs w:val="15"/>
          <w:color w:val="auto"/>
        </w:rPr>
      </w:pPr>
    </w:p>
    <w:p>
      <w:pPr>
        <w:jc w:val="both"/>
        <w:ind w:firstLine="1063"/>
        <w:spacing w:after="0" w:line="251" w:lineRule="auto"/>
        <w:tabs>
          <w:tab w:leader="none" w:pos="1873" w:val="left"/>
        </w:tabs>
        <w:numPr>
          <w:ilvl w:val="2"/>
          <w:numId w:val="161"/>
        </w:numPr>
        <w:rPr>
          <w:rFonts w:ascii="Arial" w:cs="Arial" w:eastAsia="Arial" w:hAnsi="Arial"/>
          <w:sz w:val="15"/>
          <w:szCs w:val="15"/>
          <w:color w:val="auto"/>
        </w:rPr>
      </w:pPr>
      <w:r>
        <w:rPr>
          <w:rFonts w:ascii="Arial" w:cs="Arial" w:eastAsia="Arial" w:hAnsi="Arial"/>
          <w:sz w:val="15"/>
          <w:szCs w:val="15"/>
          <w:color w:val="auto"/>
        </w:rPr>
        <w:t>when the Common Stock is registered under the Exchange Act, 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57" w:lineRule="exact"/>
        <w:rPr>
          <w:rFonts w:ascii="Arial" w:cs="Arial" w:eastAsia="Arial" w:hAnsi="Arial"/>
          <w:sz w:val="15"/>
          <w:szCs w:val="15"/>
          <w:color w:val="auto"/>
        </w:rPr>
      </w:pPr>
    </w:p>
    <w:p>
      <w:pPr>
        <w:jc w:val="both"/>
        <w:ind w:firstLine="1063"/>
        <w:spacing w:after="0" w:line="249" w:lineRule="auto"/>
        <w:tabs>
          <w:tab w:leader="none" w:pos="1796" w:val="left"/>
        </w:tabs>
        <w:numPr>
          <w:ilvl w:val="2"/>
          <w:numId w:val="161"/>
        </w:numPr>
        <w:rPr>
          <w:rFonts w:ascii="Arial" w:cs="Arial" w:eastAsia="Arial" w:hAnsi="Arial"/>
          <w:sz w:val="15"/>
          <w:szCs w:val="15"/>
          <w:color w:val="auto"/>
        </w:rPr>
      </w:pPr>
      <w:r>
        <w:rPr>
          <w:rFonts w:ascii="Arial" w:cs="Arial" w:eastAsia="Arial" w:hAnsi="Arial"/>
          <w:sz w:val="15"/>
          <w:szCs w:val="15"/>
          <w:color w:val="auto"/>
        </w:rPr>
        <w:t>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59" w:lineRule="exact"/>
        <w:rPr>
          <w:rFonts w:ascii="Arial" w:cs="Arial" w:eastAsia="Arial" w:hAnsi="Arial"/>
          <w:sz w:val="15"/>
          <w:szCs w:val="15"/>
          <w:color w:val="auto"/>
        </w:rPr>
      </w:pPr>
    </w:p>
    <w:p>
      <w:pPr>
        <w:ind w:firstLine="1063"/>
        <w:spacing w:after="0" w:line="300" w:lineRule="auto"/>
        <w:tabs>
          <w:tab w:leader="none" w:pos="1796" w:val="left"/>
        </w:tabs>
        <w:numPr>
          <w:ilvl w:val="2"/>
          <w:numId w:val="161"/>
        </w:numPr>
        <w:rPr>
          <w:rFonts w:ascii="Arial" w:cs="Arial" w:eastAsia="Arial" w:hAnsi="Arial"/>
          <w:sz w:val="14"/>
          <w:szCs w:val="14"/>
          <w:color w:val="auto"/>
        </w:rPr>
      </w:pPr>
      <w:r>
        <w:rPr>
          <w:rFonts w:ascii="Arial" w:cs="Arial" w:eastAsia="Arial" w:hAnsi="Arial"/>
          <w:sz w:val="14"/>
          <w:szCs w:val="14"/>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124" w:lineRule="exact"/>
        <w:rPr>
          <w:rFonts w:ascii="Arial" w:cs="Arial" w:eastAsia="Arial" w:hAnsi="Arial"/>
          <w:sz w:val="14"/>
          <w:szCs w:val="14"/>
          <w:color w:val="auto"/>
        </w:rPr>
      </w:pPr>
    </w:p>
    <w:p>
      <w:pPr>
        <w:ind w:left="1780" w:hanging="717"/>
        <w:spacing w:after="0"/>
        <w:tabs>
          <w:tab w:leader="none" w:pos="1780" w:val="left"/>
        </w:tabs>
        <w:numPr>
          <w:ilvl w:val="2"/>
          <w:numId w:val="161"/>
        </w:numPr>
        <w:rPr>
          <w:rFonts w:ascii="Arial" w:cs="Arial" w:eastAsia="Arial" w:hAnsi="Arial"/>
          <w:sz w:val="15"/>
          <w:szCs w:val="15"/>
          <w:color w:val="auto"/>
        </w:rPr>
      </w:pPr>
      <w:r>
        <w:rPr>
          <w:rFonts w:ascii="Arial" w:cs="Arial" w:eastAsia="Arial" w:hAnsi="Arial"/>
          <w:sz w:val="15"/>
          <w:szCs w:val="15"/>
          <w:color w:val="auto"/>
        </w:rPr>
        <w:t>by any combination of the above permitted forms of payment.</w:t>
      </w:r>
    </w:p>
    <w:p>
      <w:pPr>
        <w:spacing w:after="0" w:line="179" w:lineRule="exact"/>
        <w:rPr>
          <w:rFonts w:ascii="Arial" w:cs="Arial" w:eastAsia="Arial" w:hAnsi="Arial"/>
          <w:sz w:val="15"/>
          <w:szCs w:val="15"/>
          <w:color w:val="auto"/>
        </w:rPr>
      </w:pPr>
    </w:p>
    <w:p>
      <w:pPr>
        <w:ind w:left="780" w:hanging="772"/>
        <w:spacing w:after="0"/>
        <w:tabs>
          <w:tab w:leader="none" w:pos="780"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Restricted Stock; Restricted Stock Units</w:t>
      </w:r>
    </w:p>
    <w:p>
      <w:pPr>
        <w:spacing w:after="0" w:line="179" w:lineRule="exact"/>
        <w:rPr>
          <w:rFonts w:ascii="Arial" w:cs="Arial" w:eastAsia="Arial" w:hAnsi="Arial"/>
          <w:sz w:val="15"/>
          <w:szCs w:val="15"/>
          <w:color w:val="auto"/>
        </w:rPr>
      </w:pPr>
    </w:p>
    <w:p>
      <w:pPr>
        <w:jc w:val="both"/>
        <w:ind w:firstLine="535"/>
        <w:spacing w:after="0" w:line="271" w:lineRule="auto"/>
        <w:tabs>
          <w:tab w:leader="none" w:pos="1283" w:val="left"/>
        </w:tabs>
        <w:numPr>
          <w:ilvl w:val="1"/>
          <w:numId w:val="162"/>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145" w:lineRule="exact"/>
        <w:rPr>
          <w:rFonts w:ascii="Arial" w:cs="Arial" w:eastAsia="Arial" w:hAnsi="Arial"/>
          <w:sz w:val="14"/>
          <w:szCs w:val="14"/>
          <w:color w:val="auto"/>
        </w:rPr>
      </w:pPr>
    </w:p>
    <w:p>
      <w:pPr>
        <w:ind w:firstLine="535"/>
        <w:spacing w:after="0" w:line="264" w:lineRule="auto"/>
        <w:tabs>
          <w:tab w:leader="none" w:pos="1379" w:val="left"/>
        </w:tabs>
        <w:numPr>
          <w:ilvl w:val="1"/>
          <w:numId w:val="162"/>
        </w:numPr>
        <w:rPr>
          <w:rFonts w:ascii="Arial" w:cs="Arial" w:eastAsia="Arial" w:hAnsi="Arial"/>
          <w:sz w:val="15"/>
          <w:szCs w:val="15"/>
          <w:color w:val="auto"/>
        </w:rPr>
      </w:pPr>
      <w:r>
        <w:rPr>
          <w:rFonts w:ascii="Arial" w:cs="Arial" w:eastAsia="Arial" w:hAnsi="Arial"/>
          <w:sz w:val="15"/>
          <w:szCs w:val="15"/>
          <w:u w:val="single" w:color="auto"/>
          <w:color w:val="auto"/>
        </w:rPr>
        <w:t>Terms and Conditions for All Restricted Stock Awards</w:t>
      </w:r>
      <w:r>
        <w:rPr>
          <w:rFonts w:ascii="Arial" w:cs="Arial" w:eastAsia="Arial" w:hAnsi="Arial"/>
          <w:sz w:val="15"/>
          <w:szCs w:val="15"/>
          <w:color w:val="auto"/>
        </w:rPr>
        <w:t>. The Board shall determine the terms and conditions of a Restricted Stock Award, including the conditions for vesting and repurchase (or forfeiture) and the issue price, if any.</w:t>
      </w:r>
    </w:p>
    <w:p>
      <w:pPr>
        <w:spacing w:after="0" w:line="147" w:lineRule="exact"/>
        <w:rPr>
          <w:rFonts w:ascii="Arial" w:cs="Arial" w:eastAsia="Arial" w:hAnsi="Arial"/>
          <w:sz w:val="15"/>
          <w:szCs w:val="15"/>
          <w:color w:val="auto"/>
        </w:rPr>
      </w:pPr>
    </w:p>
    <w:p>
      <w:pPr>
        <w:ind w:left="1240" w:hanging="705"/>
        <w:spacing w:after="0"/>
        <w:tabs>
          <w:tab w:leader="none" w:pos="1240" w:val="left"/>
        </w:tabs>
        <w:numPr>
          <w:ilvl w:val="1"/>
          <w:numId w:val="162"/>
        </w:numPr>
        <w:rPr>
          <w:rFonts w:ascii="Arial" w:cs="Arial" w:eastAsia="Arial" w:hAnsi="Arial"/>
          <w:sz w:val="15"/>
          <w:szCs w:val="15"/>
          <w:color w:val="auto"/>
        </w:rPr>
      </w:pPr>
      <w:r>
        <w:rPr>
          <w:rFonts w:ascii="Arial" w:cs="Arial" w:eastAsia="Arial" w:hAnsi="Arial"/>
          <w:sz w:val="15"/>
          <w:szCs w:val="15"/>
          <w:u w:val="single" w:color="auto"/>
          <w:color w:val="auto"/>
        </w:rPr>
        <w:t>Additional Provisions Relating to Restricted Stock</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1063"/>
        <w:spacing w:after="0" w:line="271" w:lineRule="auto"/>
        <w:tabs>
          <w:tab w:leader="none" w:pos="1961" w:val="left"/>
        </w:tabs>
        <w:numPr>
          <w:ilvl w:val="2"/>
          <w:numId w:val="162"/>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Participants holding shares of Restricted Stock will be entitled to all ordinary cash dividends paid with respect to such shares, unless otherwise provided by the Board. Unless otherwise provided, by the Board,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145" w:lineRule="exact"/>
        <w:rPr>
          <w:rFonts w:ascii="Arial" w:cs="Arial" w:eastAsia="Arial" w:hAnsi="Arial"/>
          <w:sz w:val="14"/>
          <w:szCs w:val="14"/>
          <w:color w:val="auto"/>
        </w:rPr>
      </w:pPr>
    </w:p>
    <w:p>
      <w:pPr>
        <w:jc w:val="both"/>
        <w:ind w:firstLine="1063"/>
        <w:spacing w:after="0" w:line="249" w:lineRule="auto"/>
        <w:tabs>
          <w:tab w:leader="none" w:pos="1950" w:val="left"/>
        </w:tabs>
        <w:numPr>
          <w:ilvl w:val="2"/>
          <w:numId w:val="162"/>
        </w:numPr>
        <w:rPr>
          <w:rFonts w:ascii="Arial" w:cs="Arial" w:eastAsia="Arial" w:hAnsi="Arial"/>
          <w:sz w:val="15"/>
          <w:szCs w:val="15"/>
          <w:color w:val="auto"/>
        </w:rPr>
      </w:pPr>
      <w:r>
        <w:rPr>
          <w:rFonts w:ascii="Arial" w:cs="Arial" w:eastAsia="Arial" w:hAnsi="Arial"/>
          <w:sz w:val="15"/>
          <w:szCs w:val="15"/>
          <w:u w:val="single" w:color="auto"/>
          <w:color w:val="auto"/>
        </w:rPr>
        <w:t>Stock Certificates</w:t>
      </w:r>
      <w:r>
        <w:rPr>
          <w:rFonts w:ascii="Arial" w:cs="Arial" w:eastAsia="Arial" w:hAnsi="Arial"/>
          <w:sz w:val="15"/>
          <w:szCs w:val="15"/>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28" w:name="page329"/>
    <w:bookmarkEnd w:id="328"/>
    <w:p>
      <w:pPr>
        <w:ind w:left="780" w:hanging="772"/>
        <w:spacing w:after="0"/>
        <w:tabs>
          <w:tab w:leader="none" w:pos="780"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Other Stock-Based Awards</w:t>
      </w:r>
    </w:p>
    <w:p>
      <w:pPr>
        <w:spacing w:after="0" w:line="179" w:lineRule="exact"/>
        <w:rPr>
          <w:sz w:val="20"/>
          <w:szCs w:val="20"/>
          <w:color w:val="auto"/>
        </w:rPr>
      </w:pPr>
    </w:p>
    <w:p>
      <w:pPr>
        <w:jc w:val="both"/>
        <w:ind w:firstLine="527"/>
        <w:spacing w:after="0" w:line="297" w:lineRule="auto"/>
        <w:rPr>
          <w:sz w:val="20"/>
          <w:szCs w:val="20"/>
          <w:color w:val="auto"/>
        </w:rPr>
      </w:pPr>
      <w:r>
        <w:rPr>
          <w:rFonts w:ascii="Arial" w:cs="Arial" w:eastAsia="Arial" w:hAnsi="Arial"/>
          <w:sz w:val="13"/>
          <w:szCs w:val="13"/>
          <w:color w:val="auto"/>
        </w:rPr>
        <w:t>Other Awards of shares of Common Stock, and other Awards that are valued in whole or in part by reference to, or are otherwise based on, shares of Common Stock or other property, may be granted hereunder to Participants (“Other Stock-Based Awards”), including without limitation stock appreciation rights (“SARs”)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applicable thereto.</w:t>
      </w:r>
    </w:p>
    <w:p>
      <w:pPr>
        <w:spacing w:after="0" w:line="130" w:lineRule="exact"/>
        <w:rPr>
          <w:sz w:val="20"/>
          <w:szCs w:val="20"/>
          <w:color w:val="auto"/>
        </w:rPr>
      </w:pPr>
    </w:p>
    <w:p>
      <w:pPr>
        <w:ind w:left="780" w:hanging="772"/>
        <w:spacing w:after="0"/>
        <w:tabs>
          <w:tab w:leader="none" w:pos="780"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Adjustments for Changes in Common Stock and Certain Other Events</w:t>
      </w:r>
    </w:p>
    <w:p>
      <w:pPr>
        <w:spacing w:after="0" w:line="179" w:lineRule="exact"/>
        <w:rPr>
          <w:rFonts w:ascii="Arial" w:cs="Arial" w:eastAsia="Arial" w:hAnsi="Arial"/>
          <w:sz w:val="15"/>
          <w:szCs w:val="15"/>
          <w:color w:val="auto"/>
        </w:rPr>
      </w:pPr>
    </w:p>
    <w:p>
      <w:pPr>
        <w:jc w:val="both"/>
        <w:ind w:firstLine="535"/>
        <w:spacing w:after="0" w:line="266" w:lineRule="auto"/>
        <w:tabs>
          <w:tab w:leader="none" w:pos="1272"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outstanding Restricted Stock Award, and (iv) the terms of each other outstanding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1" w:lineRule="exact"/>
        <w:rPr>
          <w:rFonts w:ascii="Arial" w:cs="Arial" w:eastAsia="Arial" w:hAnsi="Arial"/>
          <w:sz w:val="14"/>
          <w:szCs w:val="14"/>
          <w:color w:val="auto"/>
        </w:rPr>
      </w:pPr>
    </w:p>
    <w:p>
      <w:pPr>
        <w:ind w:left="1260" w:hanging="725"/>
        <w:spacing w:after="0"/>
        <w:tabs>
          <w:tab w:leader="none" w:pos="1260" w:val="left"/>
        </w:tabs>
        <w:numPr>
          <w:ilvl w:val="1"/>
          <w:numId w:val="164"/>
        </w:numPr>
        <w:rPr>
          <w:rFonts w:ascii="Arial" w:cs="Arial" w:eastAsia="Arial" w:hAnsi="Arial"/>
          <w:sz w:val="15"/>
          <w:szCs w:val="15"/>
          <w:color w:val="auto"/>
        </w:rPr>
      </w:pPr>
      <w:r>
        <w:rPr>
          <w:rFonts w:ascii="Arial" w:cs="Arial" w:eastAsia="Arial" w:hAnsi="Arial"/>
          <w:sz w:val="15"/>
          <w:szCs w:val="15"/>
          <w:u w:val="single" w:color="auto"/>
          <w:color w:val="auto"/>
        </w:rPr>
        <w:t>Reorganization Events</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1063"/>
        <w:spacing w:after="0" w:line="281" w:lineRule="auto"/>
        <w:tabs>
          <w:tab w:leader="none" w:pos="1917" w:val="left"/>
        </w:tabs>
        <w:numPr>
          <w:ilvl w:val="2"/>
          <w:numId w:val="164"/>
        </w:numPr>
        <w:rPr>
          <w:rFonts w:ascii="Arial" w:cs="Arial" w:eastAsia="Arial" w:hAnsi="Arial"/>
          <w:sz w:val="14"/>
          <w:szCs w:val="14"/>
          <w:color w:val="auto"/>
        </w:rPr>
      </w:pPr>
      <w:r>
        <w:rPr>
          <w:rFonts w:ascii="Arial" w:cs="Arial" w:eastAsia="Arial" w:hAnsi="Arial"/>
          <w:sz w:val="14"/>
          <w:szCs w:val="14"/>
          <w:u w:val="single" w:color="auto"/>
          <w:color w:val="auto"/>
        </w:rPr>
        <w:t>Definition</w:t>
      </w:r>
      <w:r>
        <w:rPr>
          <w:rFonts w:ascii="Arial" w:cs="Arial" w:eastAsia="Arial" w:hAnsi="Arial"/>
          <w:sz w:val="14"/>
          <w:szCs w:val="14"/>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137" w:lineRule="exact"/>
        <w:rPr>
          <w:rFonts w:ascii="Arial" w:cs="Arial" w:eastAsia="Arial" w:hAnsi="Arial"/>
          <w:sz w:val="14"/>
          <w:szCs w:val="14"/>
          <w:color w:val="auto"/>
        </w:rPr>
      </w:pPr>
    </w:p>
    <w:p>
      <w:pPr>
        <w:jc w:val="both"/>
        <w:ind w:firstLine="1063"/>
        <w:spacing w:after="0" w:line="265" w:lineRule="auto"/>
        <w:tabs>
          <w:tab w:leader="none" w:pos="1774" w:val="left"/>
        </w:tabs>
        <w:numPr>
          <w:ilvl w:val="2"/>
          <w:numId w:val="164"/>
        </w:numPr>
        <w:rPr>
          <w:rFonts w:ascii="Arial" w:cs="Arial" w:eastAsia="Arial" w:hAnsi="Arial"/>
          <w:sz w:val="14"/>
          <w:szCs w:val="14"/>
          <w:color w:val="auto"/>
        </w:rPr>
      </w:pPr>
      <w:r>
        <w:rPr>
          <w:rFonts w:ascii="Arial" w:cs="Arial" w:eastAsia="Arial" w:hAnsi="Arial"/>
          <w:sz w:val="14"/>
          <w:szCs w:val="14"/>
          <w:u w:val="single" w:color="auto"/>
          <w:color w:val="auto"/>
        </w:rPr>
        <w:t>Consequences of a Reorganization Event on Awards Other than Restricted Stock Awards</w:t>
      </w:r>
      <w:r>
        <w:rPr>
          <w:rFonts w:ascii="Arial" w:cs="Arial" w:eastAsia="Arial" w:hAnsi="Arial"/>
          <w:sz w:val="14"/>
          <w:szCs w:val="14"/>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8(b), the Board shall not be obligated by the Plan to treat all Awards, all Awards held by a Participant, or all Awards of the same type, identically.</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29" w:name="page330"/>
    <w:bookmarkEnd w:id="329"/>
    <w:p>
      <w:pPr>
        <w:jc w:val="both"/>
        <w:ind w:firstLine="527"/>
        <w:spacing w:after="0" w:line="247" w:lineRule="auto"/>
        <w:rPr>
          <w:sz w:val="20"/>
          <w:szCs w:val="20"/>
          <w:color w:val="auto"/>
        </w:rPr>
      </w:pPr>
      <w:r>
        <w:rPr>
          <w:rFonts w:ascii="Arial" w:cs="Arial" w:eastAsia="Arial" w:hAnsi="Arial"/>
          <w:sz w:val="15"/>
          <w:szCs w:val="15"/>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62" w:lineRule="exact"/>
        <w:rPr>
          <w:sz w:val="20"/>
          <w:szCs w:val="20"/>
          <w:color w:val="auto"/>
        </w:rPr>
      </w:pPr>
    </w:p>
    <w:p>
      <w:pPr>
        <w:jc w:val="both"/>
        <w:ind w:firstLine="1063"/>
        <w:spacing w:after="0" w:line="294" w:lineRule="auto"/>
        <w:tabs>
          <w:tab w:leader="none" w:pos="1840" w:val="left"/>
        </w:tabs>
        <w:numPr>
          <w:ilvl w:val="2"/>
          <w:numId w:val="165"/>
        </w:numPr>
        <w:rPr>
          <w:rFonts w:ascii="Arial" w:cs="Arial" w:eastAsia="Arial" w:hAnsi="Arial"/>
          <w:sz w:val="13"/>
          <w:szCs w:val="13"/>
          <w:color w:val="auto"/>
        </w:rPr>
      </w:pPr>
      <w:r>
        <w:rPr>
          <w:rFonts w:ascii="Arial" w:cs="Arial" w:eastAsia="Arial" w:hAnsi="Arial"/>
          <w:sz w:val="13"/>
          <w:szCs w:val="13"/>
          <w:u w:val="single" w:color="auto"/>
          <w:color w:val="auto"/>
        </w:rPr>
        <w:t>Consequences of a Reorganization Event on Restricted Stock Awards</w:t>
      </w:r>
      <w:r>
        <w:rPr>
          <w:rFonts w:ascii="Arial" w:cs="Arial" w:eastAsia="Arial" w:hAnsi="Arial"/>
          <w:sz w:val="13"/>
          <w:szCs w:val="13"/>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31" w:lineRule="exact"/>
        <w:rPr>
          <w:rFonts w:ascii="Arial" w:cs="Arial" w:eastAsia="Arial" w:hAnsi="Arial"/>
          <w:sz w:val="13"/>
          <w:szCs w:val="13"/>
          <w:color w:val="auto"/>
        </w:rPr>
      </w:pPr>
    </w:p>
    <w:p>
      <w:pPr>
        <w:ind w:left="780" w:hanging="772"/>
        <w:spacing w:after="0"/>
        <w:tabs>
          <w:tab w:leader="none" w:pos="780" w:val="left"/>
        </w:tabs>
        <w:numPr>
          <w:ilvl w:val="0"/>
          <w:numId w:val="166"/>
        </w:numPr>
        <w:rPr>
          <w:rFonts w:ascii="Arial" w:cs="Arial" w:eastAsia="Arial" w:hAnsi="Arial"/>
          <w:sz w:val="15"/>
          <w:szCs w:val="15"/>
          <w:color w:val="auto"/>
        </w:rPr>
      </w:pPr>
      <w:r>
        <w:rPr>
          <w:rFonts w:ascii="Arial" w:cs="Arial" w:eastAsia="Arial" w:hAnsi="Arial"/>
          <w:sz w:val="15"/>
          <w:szCs w:val="15"/>
          <w:u w:val="single" w:color="auto"/>
          <w:color w:val="auto"/>
        </w:rPr>
        <w:t>General Provisions Applicable to Awards</w:t>
      </w:r>
    </w:p>
    <w:p>
      <w:pPr>
        <w:spacing w:after="0" w:line="179" w:lineRule="exact"/>
        <w:rPr>
          <w:rFonts w:ascii="Arial" w:cs="Arial" w:eastAsia="Arial" w:hAnsi="Arial"/>
          <w:sz w:val="15"/>
          <w:szCs w:val="15"/>
          <w:color w:val="auto"/>
        </w:rPr>
      </w:pPr>
    </w:p>
    <w:p>
      <w:pPr>
        <w:jc w:val="both"/>
        <w:ind w:firstLine="535"/>
        <w:spacing w:after="0" w:line="251" w:lineRule="auto"/>
        <w:tabs>
          <w:tab w:leader="none" w:pos="1338" w:val="left"/>
        </w:tabs>
        <w:numPr>
          <w:ilvl w:val="1"/>
          <w:numId w:val="166"/>
        </w:numPr>
        <w:rPr>
          <w:rFonts w:ascii="Arial" w:cs="Arial" w:eastAsia="Arial" w:hAnsi="Arial"/>
          <w:sz w:val="15"/>
          <w:szCs w:val="15"/>
          <w:color w:val="auto"/>
        </w:rPr>
      </w:pPr>
      <w:r>
        <w:rPr>
          <w:rFonts w:ascii="Arial" w:cs="Arial" w:eastAsia="Arial" w:hAnsi="Arial"/>
          <w:sz w:val="15"/>
          <w:szCs w:val="15"/>
          <w:u w:val="single" w:color="auto"/>
          <w:color w:val="auto"/>
        </w:rPr>
        <w:t>Transferability of Awards</w:t>
      </w:r>
      <w:r>
        <w:rPr>
          <w:rFonts w:ascii="Arial" w:cs="Arial" w:eastAsia="Arial" w:hAnsi="Arial"/>
          <w:sz w:val="15"/>
          <w:szCs w:val="15"/>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157" w:lineRule="exact"/>
        <w:rPr>
          <w:rFonts w:ascii="Arial" w:cs="Arial" w:eastAsia="Arial" w:hAnsi="Arial"/>
          <w:sz w:val="15"/>
          <w:szCs w:val="15"/>
          <w:color w:val="auto"/>
        </w:rPr>
      </w:pPr>
    </w:p>
    <w:p>
      <w:pPr>
        <w:ind w:firstLine="535"/>
        <w:spacing w:after="0" w:line="264" w:lineRule="auto"/>
        <w:tabs>
          <w:tab w:leader="none" w:pos="1489" w:val="left"/>
        </w:tabs>
        <w:numPr>
          <w:ilvl w:val="1"/>
          <w:numId w:val="166"/>
        </w:numPr>
        <w:rPr>
          <w:rFonts w:ascii="Arial" w:cs="Arial" w:eastAsia="Arial" w:hAnsi="Arial"/>
          <w:sz w:val="15"/>
          <w:szCs w:val="15"/>
          <w:color w:val="auto"/>
        </w:rPr>
      </w:pPr>
      <w:r>
        <w:rPr>
          <w:rFonts w:ascii="Arial" w:cs="Arial" w:eastAsia="Arial" w:hAnsi="Arial"/>
          <w:sz w:val="15"/>
          <w:szCs w:val="15"/>
          <w:u w:val="single" w:color="auto"/>
          <w:color w:val="auto"/>
        </w:rPr>
        <w:t>Documentation</w:t>
      </w:r>
      <w:r>
        <w:rPr>
          <w:rFonts w:ascii="Arial" w:cs="Arial" w:eastAsia="Arial" w:hAnsi="Arial"/>
          <w:sz w:val="15"/>
          <w:szCs w:val="15"/>
          <w:color w:val="auto"/>
        </w:rPr>
        <w:t>. Each Award shall be evidenced in such form (written, electronic or otherwise) as the Board shall determine. Each Award may contain terms and conditions in addition to those set forth in the Plan.</w:t>
      </w:r>
    </w:p>
    <w:p>
      <w:pPr>
        <w:spacing w:after="0" w:line="147" w:lineRule="exact"/>
        <w:rPr>
          <w:rFonts w:ascii="Arial" w:cs="Arial" w:eastAsia="Arial" w:hAnsi="Arial"/>
          <w:sz w:val="15"/>
          <w:szCs w:val="15"/>
          <w:color w:val="auto"/>
        </w:rPr>
      </w:pPr>
    </w:p>
    <w:p>
      <w:pPr>
        <w:ind w:right="20" w:firstLine="535"/>
        <w:spacing w:after="0" w:line="264" w:lineRule="auto"/>
        <w:tabs>
          <w:tab w:leader="none" w:pos="1327" w:val="left"/>
        </w:tabs>
        <w:numPr>
          <w:ilvl w:val="1"/>
          <w:numId w:val="166"/>
        </w:numPr>
        <w:rPr>
          <w:rFonts w:ascii="Arial" w:cs="Arial" w:eastAsia="Arial" w:hAnsi="Arial"/>
          <w:sz w:val="15"/>
          <w:szCs w:val="15"/>
          <w:color w:val="auto"/>
        </w:rPr>
      </w:pPr>
      <w:r>
        <w:rPr>
          <w:rFonts w:ascii="Arial" w:cs="Arial" w:eastAsia="Arial" w:hAnsi="Arial"/>
          <w:sz w:val="15"/>
          <w:szCs w:val="15"/>
          <w:u w:val="single" w:color="auto"/>
          <w:color w:val="auto"/>
        </w:rPr>
        <w:t>Board Discretion</w:t>
      </w:r>
      <w:r>
        <w:rPr>
          <w:rFonts w:ascii="Arial" w:cs="Arial" w:eastAsia="Arial" w:hAnsi="Arial"/>
          <w:sz w:val="15"/>
          <w:szCs w:val="15"/>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47" w:lineRule="exact"/>
        <w:rPr>
          <w:rFonts w:ascii="Arial" w:cs="Arial" w:eastAsia="Arial" w:hAnsi="Arial"/>
          <w:sz w:val="15"/>
          <w:szCs w:val="15"/>
          <w:color w:val="auto"/>
        </w:rPr>
      </w:pPr>
    </w:p>
    <w:p>
      <w:pPr>
        <w:jc w:val="both"/>
        <w:ind w:firstLine="535"/>
        <w:spacing w:after="0" w:line="254" w:lineRule="auto"/>
        <w:tabs>
          <w:tab w:leader="none" w:pos="1434" w:val="left"/>
        </w:tabs>
        <w:numPr>
          <w:ilvl w:val="1"/>
          <w:numId w:val="166"/>
        </w:numPr>
        <w:rPr>
          <w:rFonts w:ascii="Arial" w:cs="Arial" w:eastAsia="Arial" w:hAnsi="Arial"/>
          <w:sz w:val="15"/>
          <w:szCs w:val="15"/>
          <w:color w:val="auto"/>
        </w:rPr>
      </w:pPr>
      <w:r>
        <w:rPr>
          <w:rFonts w:ascii="Arial" w:cs="Arial" w:eastAsia="Arial" w:hAnsi="Arial"/>
          <w:sz w:val="15"/>
          <w:szCs w:val="15"/>
          <w:u w:val="single" w:color="auto"/>
          <w:color w:val="auto"/>
        </w:rPr>
        <w:t>Termination of Status</w:t>
      </w:r>
      <w:r>
        <w:rPr>
          <w:rFonts w:ascii="Arial" w:cs="Arial" w:eastAsia="Arial" w:hAnsi="Arial"/>
          <w:sz w:val="15"/>
          <w:szCs w:val="15"/>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55" w:lineRule="exact"/>
        <w:rPr>
          <w:rFonts w:ascii="Arial" w:cs="Arial" w:eastAsia="Arial" w:hAnsi="Arial"/>
          <w:sz w:val="15"/>
          <w:szCs w:val="15"/>
          <w:color w:val="auto"/>
        </w:rPr>
      </w:pPr>
    </w:p>
    <w:p>
      <w:pPr>
        <w:jc w:val="both"/>
        <w:ind w:firstLine="535"/>
        <w:spacing w:after="0" w:line="266" w:lineRule="auto"/>
        <w:tabs>
          <w:tab w:leader="none" w:pos="1338" w:val="left"/>
        </w:tabs>
        <w:numPr>
          <w:ilvl w:val="1"/>
          <w:numId w:val="166"/>
        </w:numPr>
        <w:rPr>
          <w:rFonts w:ascii="Arial" w:cs="Arial" w:eastAsia="Arial" w:hAnsi="Arial"/>
          <w:sz w:val="14"/>
          <w:szCs w:val="14"/>
          <w:color w:val="auto"/>
        </w:rPr>
      </w:pPr>
      <w:r>
        <w:rPr>
          <w:rFonts w:ascii="Arial" w:cs="Arial" w:eastAsia="Arial" w:hAnsi="Arial"/>
          <w:sz w:val="14"/>
          <w:szCs w:val="14"/>
          <w:u w:val="single" w:color="auto"/>
          <w:color w:val="auto"/>
        </w:rPr>
        <w:t>Withholding</w:t>
      </w:r>
      <w:r>
        <w:rPr>
          <w:rFonts w:ascii="Arial" w:cs="Arial" w:eastAsia="Arial" w:hAnsi="Arial"/>
          <w:sz w:val="14"/>
          <w:szCs w:val="14"/>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0" w:name="page331"/>
    <w:bookmarkEnd w:id="330"/>
    <w:p>
      <w:pPr>
        <w:ind w:left="1260" w:hanging="725"/>
        <w:spacing w:after="0"/>
        <w:tabs>
          <w:tab w:leader="none" w:pos="1260" w:val="left"/>
        </w:tabs>
        <w:numPr>
          <w:ilvl w:val="1"/>
          <w:numId w:val="167"/>
        </w:numPr>
        <w:rPr>
          <w:rFonts w:ascii="Arial" w:cs="Arial" w:eastAsia="Arial" w:hAnsi="Arial"/>
          <w:sz w:val="15"/>
          <w:szCs w:val="15"/>
          <w:color w:val="auto"/>
        </w:rPr>
      </w:pPr>
      <w:r>
        <w:rPr>
          <w:rFonts w:ascii="Arial" w:cs="Arial" w:eastAsia="Arial" w:hAnsi="Arial"/>
          <w:sz w:val="15"/>
          <w:szCs w:val="15"/>
          <w:u w:val="single" w:color="auto"/>
          <w:color w:val="auto"/>
        </w:rPr>
        <w:t>Amendment of Award</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1063"/>
        <w:spacing w:after="0" w:line="251" w:lineRule="auto"/>
        <w:tabs>
          <w:tab w:leader="none" w:pos="1840" w:val="left"/>
        </w:tabs>
        <w:numPr>
          <w:ilvl w:val="2"/>
          <w:numId w:val="167"/>
        </w:numPr>
        <w:rPr>
          <w:rFonts w:ascii="Arial" w:cs="Arial" w:eastAsia="Arial" w:hAnsi="Arial"/>
          <w:sz w:val="15"/>
          <w:szCs w:val="15"/>
          <w:color w:val="auto"/>
        </w:rPr>
      </w:pPr>
      <w:r>
        <w:rPr>
          <w:rFonts w:ascii="Arial" w:cs="Arial" w:eastAsia="Arial" w:hAnsi="Arial"/>
          <w:sz w:val="15"/>
          <w:szCs w:val="15"/>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or (ii) the change is permitted under Section 8 hereof.</w:t>
      </w:r>
    </w:p>
    <w:p>
      <w:pPr>
        <w:spacing w:after="0" w:line="157" w:lineRule="exact"/>
        <w:rPr>
          <w:rFonts w:ascii="Arial" w:cs="Arial" w:eastAsia="Arial" w:hAnsi="Arial"/>
          <w:sz w:val="15"/>
          <w:szCs w:val="15"/>
          <w:color w:val="auto"/>
        </w:rPr>
      </w:pPr>
    </w:p>
    <w:p>
      <w:pPr>
        <w:jc w:val="both"/>
        <w:ind w:firstLine="1063"/>
        <w:spacing w:after="0" w:line="251" w:lineRule="auto"/>
        <w:tabs>
          <w:tab w:leader="none" w:pos="1807" w:val="left"/>
        </w:tabs>
        <w:numPr>
          <w:ilvl w:val="2"/>
          <w:numId w:val="167"/>
        </w:numPr>
        <w:rPr>
          <w:rFonts w:ascii="Arial" w:cs="Arial" w:eastAsia="Arial" w:hAnsi="Arial"/>
          <w:sz w:val="15"/>
          <w:szCs w:val="15"/>
          <w:color w:val="auto"/>
        </w:rPr>
      </w:pPr>
      <w:r>
        <w:rPr>
          <w:rFonts w:ascii="Arial" w:cs="Arial" w:eastAsia="Arial" w:hAnsi="Arial"/>
          <w:sz w:val="15"/>
          <w:szCs w:val="15"/>
          <w:color w:val="auto"/>
        </w:rPr>
        <w:t>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157" w:lineRule="exact"/>
        <w:rPr>
          <w:rFonts w:ascii="Arial" w:cs="Arial" w:eastAsia="Arial" w:hAnsi="Arial"/>
          <w:sz w:val="15"/>
          <w:szCs w:val="15"/>
          <w:color w:val="auto"/>
        </w:rPr>
      </w:pPr>
    </w:p>
    <w:p>
      <w:pPr>
        <w:jc w:val="both"/>
        <w:ind w:firstLine="535"/>
        <w:spacing w:after="0" w:line="249" w:lineRule="auto"/>
        <w:tabs>
          <w:tab w:leader="none" w:pos="1324" w:val="left"/>
        </w:tabs>
        <w:numPr>
          <w:ilvl w:val="1"/>
          <w:numId w:val="167"/>
        </w:numPr>
        <w:rPr>
          <w:rFonts w:ascii="Arial" w:cs="Arial" w:eastAsia="Arial" w:hAnsi="Arial"/>
          <w:sz w:val="15"/>
          <w:szCs w:val="15"/>
          <w:color w:val="auto"/>
        </w:rPr>
      </w:pPr>
      <w:r>
        <w:rPr>
          <w:rFonts w:ascii="Arial" w:cs="Arial" w:eastAsia="Arial" w:hAnsi="Arial"/>
          <w:sz w:val="15"/>
          <w:szCs w:val="15"/>
          <w:u w:val="single" w:color="auto"/>
          <w:color w:val="auto"/>
        </w:rPr>
        <w:t>Conditions on Delivery of Stock</w:t>
      </w:r>
      <w:r>
        <w:rPr>
          <w:rFonts w:ascii="Arial" w:cs="Arial" w:eastAsia="Arial" w:hAnsi="Arial"/>
          <w:sz w:val="15"/>
          <w:szCs w:val="15"/>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59" w:lineRule="exact"/>
        <w:rPr>
          <w:rFonts w:ascii="Arial" w:cs="Arial" w:eastAsia="Arial" w:hAnsi="Arial"/>
          <w:sz w:val="15"/>
          <w:szCs w:val="15"/>
          <w:color w:val="auto"/>
        </w:rPr>
      </w:pPr>
    </w:p>
    <w:p>
      <w:pPr>
        <w:ind w:firstLine="535"/>
        <w:spacing w:after="0" w:line="264" w:lineRule="auto"/>
        <w:tabs>
          <w:tab w:leader="none" w:pos="1291" w:val="left"/>
        </w:tabs>
        <w:numPr>
          <w:ilvl w:val="1"/>
          <w:numId w:val="167"/>
        </w:numPr>
        <w:rPr>
          <w:rFonts w:ascii="Arial" w:cs="Arial" w:eastAsia="Arial" w:hAnsi="Arial"/>
          <w:sz w:val="15"/>
          <w:szCs w:val="15"/>
          <w:color w:val="auto"/>
        </w:rPr>
      </w:pPr>
      <w:r>
        <w:rPr>
          <w:rFonts w:ascii="Arial" w:cs="Arial" w:eastAsia="Arial" w:hAnsi="Arial"/>
          <w:sz w:val="15"/>
          <w:szCs w:val="15"/>
          <w:u w:val="single" w:color="auto"/>
          <w:color w:val="auto"/>
        </w:rPr>
        <w:t>Acceleration</w:t>
      </w:r>
      <w:r>
        <w:rPr>
          <w:rFonts w:ascii="Arial" w:cs="Arial" w:eastAsia="Arial" w:hAnsi="Arial"/>
          <w:sz w:val="15"/>
          <w:szCs w:val="15"/>
          <w:color w:val="auto"/>
        </w:rPr>
        <w:t>. The Board may at any time provide that any Award shall become immediately exercisable in full or in part, free of some or all restrictions or conditions, or otherwise realizable in full or in part, as the case may be.</w:t>
      </w:r>
    </w:p>
    <w:p>
      <w:pPr>
        <w:spacing w:after="0" w:line="147" w:lineRule="exact"/>
        <w:rPr>
          <w:rFonts w:ascii="Arial" w:cs="Arial" w:eastAsia="Arial" w:hAnsi="Arial"/>
          <w:sz w:val="15"/>
          <w:szCs w:val="15"/>
          <w:color w:val="auto"/>
        </w:rPr>
      </w:pPr>
    </w:p>
    <w:p>
      <w:pPr>
        <w:ind w:left="700" w:hanging="692"/>
        <w:spacing w:after="0"/>
        <w:tabs>
          <w:tab w:leader="none" w:pos="700"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Miscellaneous</w:t>
      </w:r>
    </w:p>
    <w:p>
      <w:pPr>
        <w:spacing w:after="0" w:line="179" w:lineRule="exact"/>
        <w:rPr>
          <w:rFonts w:ascii="Arial" w:cs="Arial" w:eastAsia="Arial" w:hAnsi="Arial"/>
          <w:sz w:val="15"/>
          <w:szCs w:val="15"/>
          <w:color w:val="auto"/>
        </w:rPr>
      </w:pPr>
    </w:p>
    <w:p>
      <w:pPr>
        <w:jc w:val="both"/>
        <w:ind w:firstLine="535"/>
        <w:spacing w:after="0" w:line="254" w:lineRule="auto"/>
        <w:tabs>
          <w:tab w:leader="none" w:pos="1305" w:val="left"/>
        </w:tabs>
        <w:numPr>
          <w:ilvl w:val="1"/>
          <w:numId w:val="168"/>
        </w:numPr>
        <w:rPr>
          <w:rFonts w:ascii="Arial" w:cs="Arial" w:eastAsia="Arial" w:hAnsi="Arial"/>
          <w:sz w:val="15"/>
          <w:szCs w:val="15"/>
          <w:color w:val="auto"/>
        </w:rPr>
      </w:pPr>
      <w:r>
        <w:rPr>
          <w:rFonts w:ascii="Arial" w:cs="Arial" w:eastAsia="Arial" w:hAnsi="Arial"/>
          <w:sz w:val="15"/>
          <w:szCs w:val="15"/>
          <w:u w:val="single" w:color="auto"/>
          <w:color w:val="auto"/>
        </w:rPr>
        <w:t>No Right To Employment or Other Status</w:t>
      </w:r>
      <w:r>
        <w:rPr>
          <w:rFonts w:ascii="Arial" w:cs="Arial" w:eastAsia="Arial" w:hAnsi="Arial"/>
          <w:sz w:val="15"/>
          <w:szCs w:val="15"/>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55" w:lineRule="exact"/>
        <w:rPr>
          <w:rFonts w:ascii="Arial" w:cs="Arial" w:eastAsia="Arial" w:hAnsi="Arial"/>
          <w:sz w:val="15"/>
          <w:szCs w:val="15"/>
          <w:color w:val="auto"/>
        </w:rPr>
      </w:pPr>
    </w:p>
    <w:p>
      <w:pPr>
        <w:ind w:firstLine="535"/>
        <w:spacing w:after="0" w:line="264" w:lineRule="auto"/>
        <w:tabs>
          <w:tab w:leader="none" w:pos="1280" w:val="left"/>
        </w:tabs>
        <w:numPr>
          <w:ilvl w:val="1"/>
          <w:numId w:val="168"/>
        </w:numPr>
        <w:rPr>
          <w:rFonts w:ascii="Arial" w:cs="Arial" w:eastAsia="Arial" w:hAnsi="Arial"/>
          <w:sz w:val="15"/>
          <w:szCs w:val="15"/>
          <w:color w:val="auto"/>
        </w:rPr>
      </w:pPr>
      <w:r>
        <w:rPr>
          <w:rFonts w:ascii="Arial" w:cs="Arial" w:eastAsia="Arial" w:hAnsi="Arial"/>
          <w:sz w:val="15"/>
          <w:szCs w:val="15"/>
          <w:u w:val="single" w:color="auto"/>
          <w:color w:val="auto"/>
        </w:rPr>
        <w:t>No Rights As Stockholder</w:t>
      </w:r>
      <w:r>
        <w:rPr>
          <w:rFonts w:ascii="Arial" w:cs="Arial" w:eastAsia="Arial" w:hAnsi="Arial"/>
          <w:sz w:val="15"/>
          <w:szCs w:val="15"/>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47" w:lineRule="exact"/>
        <w:rPr>
          <w:rFonts w:ascii="Arial" w:cs="Arial" w:eastAsia="Arial" w:hAnsi="Arial"/>
          <w:sz w:val="15"/>
          <w:szCs w:val="15"/>
          <w:color w:val="auto"/>
        </w:rPr>
      </w:pPr>
    </w:p>
    <w:p>
      <w:pPr>
        <w:jc w:val="both"/>
        <w:ind w:firstLine="535"/>
        <w:spacing w:after="0" w:line="254" w:lineRule="auto"/>
        <w:tabs>
          <w:tab w:leader="none" w:pos="1327" w:val="left"/>
        </w:tabs>
        <w:numPr>
          <w:ilvl w:val="1"/>
          <w:numId w:val="168"/>
        </w:numPr>
        <w:rPr>
          <w:rFonts w:ascii="Arial" w:cs="Arial" w:eastAsia="Arial" w:hAnsi="Arial"/>
          <w:sz w:val="15"/>
          <w:szCs w:val="15"/>
          <w:color w:val="auto"/>
        </w:rPr>
      </w:pPr>
      <w:r>
        <w:rPr>
          <w:rFonts w:ascii="Arial" w:cs="Arial" w:eastAsia="Arial" w:hAnsi="Arial"/>
          <w:sz w:val="15"/>
          <w:szCs w:val="15"/>
          <w:u w:val="single" w:color="auto"/>
          <w:color w:val="auto"/>
        </w:rPr>
        <w:t>Effective Date and Term of Plan</w:t>
      </w:r>
      <w:r>
        <w:rPr>
          <w:rFonts w:ascii="Arial" w:cs="Arial" w:eastAsia="Arial" w:hAnsi="Arial"/>
          <w:sz w:val="15"/>
          <w:szCs w:val="15"/>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1" w:name="page332"/>
    <w:bookmarkEnd w:id="331"/>
    <w:p>
      <w:pPr>
        <w:jc w:val="both"/>
        <w:ind w:firstLine="535"/>
        <w:spacing w:after="0" w:line="249" w:lineRule="auto"/>
        <w:tabs>
          <w:tab w:leader="none" w:pos="1280"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Amendment of Plan</w:t>
      </w:r>
      <w:r>
        <w:rPr>
          <w:rFonts w:ascii="Arial" w:cs="Arial" w:eastAsia="Arial" w:hAnsi="Arial"/>
          <w:sz w:val="15"/>
          <w:szCs w:val="15"/>
          <w:color w:val="auto"/>
        </w:rPr>
        <w:t>. The Board may amend, suspend or terminate the Plan or any portion thereof at any time; provided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10(d) shall apply to, and be binding on the holders of, all Awards outstanding under the Plan at the time the amendment is adopted, provided the Board determines that such amendment does not materially and adversely affect the rights of Participants under the Plan.</w:t>
      </w:r>
    </w:p>
    <w:p>
      <w:pPr>
        <w:spacing w:after="0" w:line="159" w:lineRule="exact"/>
        <w:rPr>
          <w:rFonts w:ascii="Arial" w:cs="Arial" w:eastAsia="Arial" w:hAnsi="Arial"/>
          <w:sz w:val="15"/>
          <w:szCs w:val="15"/>
          <w:color w:val="auto"/>
        </w:rPr>
      </w:pPr>
    </w:p>
    <w:p>
      <w:pPr>
        <w:jc w:val="both"/>
        <w:ind w:firstLine="535"/>
        <w:spacing w:after="0" w:line="271" w:lineRule="auto"/>
        <w:tabs>
          <w:tab w:leader="none" w:pos="1283"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Authorization of Sub-Plans</w:t>
      </w:r>
      <w:r>
        <w:rPr>
          <w:rFonts w:ascii="Arial" w:cs="Arial" w:eastAsia="Arial" w:hAnsi="Arial"/>
          <w:sz w:val="14"/>
          <w:szCs w:val="14"/>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45" w:lineRule="exact"/>
        <w:rPr>
          <w:rFonts w:ascii="Arial" w:cs="Arial" w:eastAsia="Arial" w:hAnsi="Arial"/>
          <w:sz w:val="14"/>
          <w:szCs w:val="14"/>
          <w:color w:val="auto"/>
        </w:rPr>
      </w:pPr>
    </w:p>
    <w:p>
      <w:pPr>
        <w:jc w:val="both"/>
        <w:ind w:firstLine="535"/>
        <w:spacing w:after="0" w:line="281" w:lineRule="auto"/>
        <w:tabs>
          <w:tab w:leader="none" w:pos="1281"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Compliance with Code Section 409A</w:t>
      </w:r>
      <w:r>
        <w:rPr>
          <w:rFonts w:ascii="Arial" w:cs="Arial" w:eastAsia="Arial" w:hAnsi="Arial"/>
          <w:sz w:val="14"/>
          <w:szCs w:val="14"/>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137" w:lineRule="exact"/>
        <w:rPr>
          <w:rFonts w:ascii="Arial" w:cs="Arial" w:eastAsia="Arial" w:hAnsi="Arial"/>
          <w:sz w:val="14"/>
          <w:szCs w:val="14"/>
          <w:color w:val="auto"/>
        </w:rPr>
      </w:pPr>
    </w:p>
    <w:p>
      <w:pPr>
        <w:ind w:firstLine="535"/>
        <w:spacing w:after="0" w:line="264" w:lineRule="auto"/>
        <w:tabs>
          <w:tab w:leader="none" w:pos="1335"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5"/>
          <w:szCs w:val="15"/>
          <w:b w:val="1"/>
          <w:bCs w:val="1"/>
          <w:color w:val="auto"/>
        </w:rPr>
        <w:t>IMMUNEERING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2008 STOCK INCENTIVE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CALIFORNIA SUPPLEMENT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Pursuant to Section 10(e) of the Plan, the Board has adopted this supplement for purposes of satisfying the requirements of Section 25102(o) of the California Law:</w:t>
      </w:r>
    </w:p>
    <w:p>
      <w:pPr>
        <w:spacing w:after="0" w:line="191" w:lineRule="exact"/>
        <w:rPr>
          <w:sz w:val="20"/>
          <w:szCs w:val="20"/>
          <w:color w:val="auto"/>
        </w:rPr>
      </w:pPr>
    </w:p>
    <w:p>
      <w:pPr>
        <w:ind w:firstLine="527"/>
        <w:spacing w:after="0" w:line="264" w:lineRule="auto"/>
        <w:rPr>
          <w:sz w:val="20"/>
          <w:szCs w:val="20"/>
          <w:color w:val="auto"/>
        </w:rPr>
      </w:pPr>
      <w:r>
        <w:rPr>
          <w:rFonts w:ascii="Arial" w:cs="Arial" w:eastAsia="Arial" w:hAnsi="Arial"/>
          <w:sz w:val="15"/>
          <w:szCs w:val="15"/>
          <w:color w:val="auto"/>
        </w:rPr>
        <w:t>Any Awards granted under the Plan to a Participant who is a resident of the State of California on the date of grant (a “California Participant”) shall be subject to the following additional limitations, terms and conditions:</w:t>
      </w:r>
    </w:p>
    <w:p>
      <w:pPr>
        <w:spacing w:after="0" w:line="148" w:lineRule="exact"/>
        <w:rPr>
          <w:sz w:val="20"/>
          <w:szCs w:val="20"/>
          <w:color w:val="auto"/>
        </w:rPr>
      </w:pPr>
    </w:p>
    <w:p>
      <w:pPr>
        <w:ind w:left="780" w:hanging="772"/>
        <w:spacing w:after="0"/>
        <w:tabs>
          <w:tab w:leader="none" w:pos="780"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Additional Limitations on Options</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535"/>
        <w:spacing w:after="0" w:line="251" w:lineRule="auto"/>
        <w:tabs>
          <w:tab w:leader="none" w:pos="1283"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Minimum Vesting Rate</w:t>
      </w:r>
      <w:r>
        <w:rPr>
          <w:rFonts w:ascii="Arial" w:cs="Arial" w:eastAsia="Arial" w:hAnsi="Arial"/>
          <w:sz w:val="15"/>
          <w:szCs w:val="15"/>
          <w:color w:val="auto"/>
        </w:rPr>
        <w:t xml:space="preserve">. Except in the case of Options granted to California Participants who are officers, directors, managers, consultants or advisors of the Company or its affiliates (which Options may become exercisable at whatever rate is determined by the Board), Options granted to California Participants shall become exercisable at a rate of not less than 20% per year over five years from the date of grant;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such Options may be subject to such reasonable forfeiture conditions as the Board may choose to impose and which are not inconsistent with Section 260.140.41 of the California Regulations.</w:t>
      </w:r>
    </w:p>
    <w:p>
      <w:pPr>
        <w:spacing w:after="0" w:line="157" w:lineRule="exact"/>
        <w:rPr>
          <w:rFonts w:ascii="Arial" w:cs="Arial" w:eastAsia="Arial" w:hAnsi="Arial"/>
          <w:sz w:val="15"/>
          <w:szCs w:val="15"/>
          <w:color w:val="auto"/>
        </w:rPr>
      </w:pPr>
    </w:p>
    <w:p>
      <w:pPr>
        <w:jc w:val="both"/>
        <w:ind w:firstLine="535"/>
        <w:spacing w:after="0" w:line="274" w:lineRule="auto"/>
        <w:tabs>
          <w:tab w:leader="none" w:pos="1258"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t>Minimum Exercise Price</w:t>
      </w:r>
      <w:r>
        <w:rPr>
          <w:rFonts w:ascii="Arial" w:cs="Arial" w:eastAsia="Arial" w:hAnsi="Arial"/>
          <w:sz w:val="14"/>
          <w:szCs w:val="14"/>
          <w:color w:val="auto"/>
        </w:rPr>
        <w:t xml:space="preserve">. The exercise price of Options granted to California Participants may not be less than 85% of the Fair Market Value of the Common Stock on the date of grant in the case of a Nonstatutory Stock Option or less than 100% of the Fair Market Value of the Common Stock on the date of grant in the case of an Incentive Stock Option;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California Participant is a person who owns stock possessing more than 10% of the total combined voting power of all classes of stock of the Company or its parent or subsidiary corporations, the exercise price shall be not less than 110% of the Fair Market Value of the Common Stock on the date of grant.</w:t>
      </w:r>
    </w:p>
    <w:p>
      <w:pPr>
        <w:spacing w:after="0" w:line="143" w:lineRule="exact"/>
        <w:rPr>
          <w:rFonts w:ascii="Arial" w:cs="Arial" w:eastAsia="Arial" w:hAnsi="Arial"/>
          <w:sz w:val="14"/>
          <w:szCs w:val="14"/>
          <w:color w:val="auto"/>
        </w:rPr>
      </w:pPr>
    </w:p>
    <w:p>
      <w:pPr>
        <w:ind w:left="1240" w:hanging="705"/>
        <w:spacing w:after="0"/>
        <w:tabs>
          <w:tab w:leader="none" w:pos="1240"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t>Maximum Duration of Options</w:t>
      </w:r>
      <w:r>
        <w:rPr>
          <w:rFonts w:ascii="Arial" w:cs="Arial" w:eastAsia="Arial" w:hAnsi="Arial"/>
          <w:sz w:val="14"/>
          <w:szCs w:val="14"/>
          <w:color w:val="auto"/>
        </w:rPr>
        <w:t>. No Options granted to California Participants shall have a term in excess of 10 years measured from the Option grant date.</w:t>
      </w:r>
    </w:p>
    <w:p>
      <w:pPr>
        <w:spacing w:after="0" w:line="190" w:lineRule="exact"/>
        <w:rPr>
          <w:rFonts w:ascii="Arial" w:cs="Arial" w:eastAsia="Arial" w:hAnsi="Arial"/>
          <w:sz w:val="14"/>
          <w:szCs w:val="14"/>
          <w:color w:val="auto"/>
        </w:rPr>
      </w:pPr>
    </w:p>
    <w:p>
      <w:pPr>
        <w:jc w:val="both"/>
        <w:ind w:firstLine="535"/>
        <w:spacing w:after="0" w:line="248" w:lineRule="auto"/>
        <w:tabs>
          <w:tab w:leader="none" w:pos="1335"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Minimum Exercise Period Following Termination</w:t>
      </w:r>
      <w:r>
        <w:rPr>
          <w:rFonts w:ascii="Arial" w:cs="Arial" w:eastAsia="Arial" w:hAnsi="Arial"/>
          <w:sz w:val="15"/>
          <w:szCs w:val="15"/>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w:t>
      </w:r>
    </w:p>
    <w:p>
      <w:pPr>
        <w:spacing w:after="0" w:line="161" w:lineRule="exact"/>
        <w:rPr>
          <w:rFonts w:ascii="Arial" w:cs="Arial" w:eastAsia="Arial" w:hAnsi="Arial"/>
          <w:sz w:val="15"/>
          <w:szCs w:val="15"/>
          <w:color w:val="auto"/>
        </w:rPr>
      </w:pPr>
    </w:p>
    <w:p>
      <w:pPr>
        <w:ind w:firstLine="535"/>
        <w:spacing w:after="0" w:line="300" w:lineRule="auto"/>
        <w:tabs>
          <w:tab w:leader="none" w:pos="1294"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t>Limitation on Repurchase Rights</w:t>
      </w:r>
      <w:r>
        <w:rPr>
          <w:rFonts w:ascii="Arial" w:cs="Arial" w:eastAsia="Arial" w:hAnsi="Arial"/>
          <w:sz w:val="14"/>
          <w:szCs w:val="14"/>
          <w:color w:val="auto"/>
        </w:rPr>
        <w:t>. If an Option granted to a California Participant gives the Company the right to repurchase shares of Common Stock issued pursuant to the Plan upon termination of employment of such Participant, the terms of such repurchase right must comply with Section 260.140.41(k) of the California Regulations.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33" w:name="page334"/>
    <w:bookmarkEnd w:id="333"/>
    <w:p>
      <w:pPr>
        <w:ind w:left="780" w:hanging="772"/>
        <w:spacing w:after="0"/>
        <w:tabs>
          <w:tab w:leader="none" w:pos="780"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Additional Limitations for Restricted Stock Awards</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535"/>
        <w:spacing w:after="0" w:line="249" w:lineRule="auto"/>
        <w:tabs>
          <w:tab w:leader="none" w:pos="1294" w:val="left"/>
        </w:tabs>
        <w:numPr>
          <w:ilvl w:val="1"/>
          <w:numId w:val="171"/>
        </w:numPr>
        <w:rPr>
          <w:rFonts w:ascii="Arial" w:cs="Arial" w:eastAsia="Arial" w:hAnsi="Arial"/>
          <w:sz w:val="15"/>
          <w:szCs w:val="15"/>
          <w:color w:val="auto"/>
        </w:rPr>
      </w:pPr>
      <w:r>
        <w:rPr>
          <w:rFonts w:ascii="Arial" w:cs="Arial" w:eastAsia="Arial" w:hAnsi="Arial"/>
          <w:sz w:val="15"/>
          <w:szCs w:val="15"/>
          <w:u w:val="single" w:color="auto"/>
          <w:color w:val="auto"/>
        </w:rPr>
        <w:t>Minimum Purchase Price</w:t>
      </w:r>
      <w:r>
        <w:rPr>
          <w:rFonts w:ascii="Arial" w:cs="Arial" w:eastAsia="Arial" w:hAnsi="Arial"/>
          <w:sz w:val="15"/>
          <w:szCs w:val="15"/>
          <w:color w:val="auto"/>
        </w:rPr>
        <w:t xml:space="preserve">. The purchase price for a Restricted Stock Award granted to a California Participant shall be not less than 85% of the Fair Market Value of the Common Stock at the time such Participant is granted the right to purchase shares under the Plan or at the time the purchase is consummated;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Participant is a person who owns stock possessing more than 10% of the total combined voting power or value of all classes of stock of the Company or its parent or subsidiary corporations, the purchase price shall be not less than 100% of the Fair Market Value of the Common Stock at the time such Participant is granted the right to purchase shares under the Plan or at the time the purchase is consummated.</w:t>
      </w:r>
    </w:p>
    <w:p>
      <w:pPr>
        <w:spacing w:after="0" w:line="159" w:lineRule="exact"/>
        <w:rPr>
          <w:rFonts w:ascii="Arial" w:cs="Arial" w:eastAsia="Arial" w:hAnsi="Arial"/>
          <w:sz w:val="15"/>
          <w:szCs w:val="15"/>
          <w:color w:val="auto"/>
        </w:rPr>
      </w:pPr>
    </w:p>
    <w:p>
      <w:pPr>
        <w:ind w:firstLine="535"/>
        <w:spacing w:after="0" w:line="341" w:lineRule="auto"/>
        <w:tabs>
          <w:tab w:leader="none" w:pos="1379" w:val="left"/>
        </w:tabs>
        <w:numPr>
          <w:ilvl w:val="1"/>
          <w:numId w:val="171"/>
        </w:numPr>
        <w:rPr>
          <w:rFonts w:ascii="Arial" w:cs="Arial" w:eastAsia="Arial" w:hAnsi="Arial"/>
          <w:sz w:val="13"/>
          <w:szCs w:val="13"/>
          <w:color w:val="auto"/>
        </w:rPr>
      </w:pPr>
      <w:r>
        <w:rPr>
          <w:rFonts w:ascii="Arial" w:cs="Arial" w:eastAsia="Arial" w:hAnsi="Arial"/>
          <w:sz w:val="13"/>
          <w:szCs w:val="13"/>
          <w:u w:val="single" w:color="auto"/>
          <w:color w:val="auto"/>
        </w:rPr>
        <w:t>Limitation of Repurchase Rights</w:t>
      </w:r>
      <w:r>
        <w:rPr>
          <w:rFonts w:ascii="Arial" w:cs="Arial" w:eastAsia="Arial" w:hAnsi="Arial"/>
          <w:sz w:val="13"/>
          <w:szCs w:val="13"/>
          <w:color w:val="auto"/>
        </w:rPr>
        <w:t>. If a Restricted Stock Award granted to a California Participant gives the Company the right to repurchase shares of Common Stock issued pursuant to the Plan upon termination of employment of such Participant, the terms of such repurchase right must comply with Section 260.140.42(h) of the California Regulations.</w:t>
      </w:r>
    </w:p>
    <w:p>
      <w:pPr>
        <w:spacing w:after="0" w:line="102" w:lineRule="exact"/>
        <w:rPr>
          <w:rFonts w:ascii="Arial" w:cs="Arial" w:eastAsia="Arial" w:hAnsi="Arial"/>
          <w:sz w:val="13"/>
          <w:szCs w:val="13"/>
          <w:color w:val="auto"/>
        </w:rPr>
      </w:pPr>
    </w:p>
    <w:p>
      <w:pPr>
        <w:ind w:firstLine="8"/>
        <w:spacing w:after="0" w:line="264" w:lineRule="auto"/>
        <w:tabs>
          <w:tab w:leader="none" w:pos="1021"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Additional Limitations for Other Stock-Based Awards</w:t>
      </w:r>
      <w:r>
        <w:rPr>
          <w:rFonts w:ascii="Arial" w:cs="Arial" w:eastAsia="Arial" w:hAnsi="Arial"/>
          <w:sz w:val="15"/>
          <w:szCs w:val="15"/>
          <w:color w:val="auto"/>
        </w:rPr>
        <w:t>. The terms of all Awards granted to a California Participant under Section 7 of the Plan shall comply, to the extent applicable, with Section 260.140.41 or Section 260.140.42 of the California Regulations.</w:t>
      </w:r>
    </w:p>
    <w:p>
      <w:pPr>
        <w:spacing w:after="0" w:line="147" w:lineRule="exact"/>
        <w:rPr>
          <w:rFonts w:ascii="Arial" w:cs="Arial" w:eastAsia="Arial" w:hAnsi="Arial"/>
          <w:sz w:val="15"/>
          <w:szCs w:val="15"/>
          <w:color w:val="auto"/>
        </w:rPr>
      </w:pPr>
    </w:p>
    <w:p>
      <w:pPr>
        <w:jc w:val="both"/>
        <w:ind w:firstLine="8"/>
        <w:spacing w:after="0" w:line="254" w:lineRule="auto"/>
        <w:tabs>
          <w:tab w:leader="none" w:pos="966"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Additional Requirement to Provide Information to California Participants</w:t>
      </w:r>
      <w:r>
        <w:rPr>
          <w:rFonts w:ascii="Arial" w:cs="Arial" w:eastAsia="Arial" w:hAnsi="Arial"/>
          <w:sz w:val="15"/>
          <w:szCs w:val="15"/>
          <w:color w:val="auto"/>
        </w:rPr>
        <w:t>.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w:t>
      </w:r>
    </w:p>
    <w:p>
      <w:pPr>
        <w:spacing w:after="0" w:line="155" w:lineRule="exact"/>
        <w:rPr>
          <w:rFonts w:ascii="Arial" w:cs="Arial" w:eastAsia="Arial" w:hAnsi="Arial"/>
          <w:sz w:val="15"/>
          <w:szCs w:val="15"/>
          <w:color w:val="auto"/>
        </w:rPr>
      </w:pPr>
    </w:p>
    <w:p>
      <w:pPr>
        <w:ind w:firstLine="8"/>
        <w:spacing w:after="0" w:line="341" w:lineRule="auto"/>
        <w:tabs>
          <w:tab w:leader="none" w:pos="802"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Additional Limitations on Timing of Awards</w:t>
      </w:r>
      <w:r>
        <w:rPr>
          <w:rFonts w:ascii="Arial" w:cs="Arial" w:eastAsia="Arial" w:hAnsi="Arial"/>
          <w:sz w:val="13"/>
          <w:szCs w:val="13"/>
          <w:color w:val="auto"/>
        </w:rPr>
        <w:t>. 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w:t>
      </w:r>
    </w:p>
    <w:p>
      <w:pPr>
        <w:spacing w:after="0" w:line="102" w:lineRule="exact"/>
        <w:rPr>
          <w:rFonts w:ascii="Arial" w:cs="Arial" w:eastAsia="Arial" w:hAnsi="Arial"/>
          <w:sz w:val="13"/>
          <w:szCs w:val="13"/>
          <w:color w:val="auto"/>
        </w:rPr>
      </w:pPr>
    </w:p>
    <w:p>
      <w:pPr>
        <w:ind w:firstLine="8"/>
        <w:spacing w:after="0" w:line="264" w:lineRule="auto"/>
        <w:tabs>
          <w:tab w:leader="none" w:pos="769"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Additional Limitations Relating to Definition of Fair Market Value</w:t>
      </w:r>
      <w:r>
        <w:rPr>
          <w:rFonts w:ascii="Arial" w:cs="Arial" w:eastAsia="Arial" w:hAnsi="Arial"/>
          <w:sz w:val="15"/>
          <w:szCs w:val="15"/>
          <w:color w:val="auto"/>
        </w:rPr>
        <w:t>. For purposes of Section 1(b) and 2(a) of this supplement, “Fair Market Value” shall be determined in a manner not inconsistent with Section 260.140.50 of the California Regulations.</w:t>
      </w:r>
    </w:p>
    <w:p>
      <w:pPr>
        <w:spacing w:after="0" w:line="147" w:lineRule="exact"/>
        <w:rPr>
          <w:rFonts w:ascii="Arial" w:cs="Arial" w:eastAsia="Arial" w:hAnsi="Arial"/>
          <w:sz w:val="15"/>
          <w:szCs w:val="15"/>
          <w:color w:val="auto"/>
        </w:rPr>
      </w:pPr>
    </w:p>
    <w:p>
      <w:pPr>
        <w:jc w:val="both"/>
        <w:ind w:firstLine="8"/>
        <w:spacing w:after="0" w:line="254" w:lineRule="auto"/>
        <w:tabs>
          <w:tab w:leader="none" w:pos="955"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Additional Restriction Regarding Recapitalizations, Stock Splits, Etc.</w:t>
      </w:r>
      <w:r>
        <w:rPr>
          <w:rFonts w:ascii="Arial" w:cs="Arial" w:eastAsia="Arial" w:hAnsi="Arial"/>
          <w:sz w:val="15"/>
          <w:szCs w:val="15"/>
          <w:color w:val="auto"/>
        </w:rPr>
        <w:t xml:space="preserve"> For purposes of Section 8 of the Plan, in the event of a stock split, reverse stock split, stock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4" w:name="page335"/>
    <w:bookmarkEnd w:id="334"/>
    <w:p>
      <w:pPr>
        <w:jc w:val="right"/>
        <w:spacing w:after="0"/>
        <w:rPr>
          <w:sz w:val="20"/>
          <w:szCs w:val="20"/>
          <w:color w:val="auto"/>
        </w:rPr>
      </w:pPr>
      <w:r>
        <w:rPr>
          <w:rFonts w:ascii="Arial" w:cs="Arial" w:eastAsia="Arial" w:hAnsi="Arial"/>
          <w:sz w:val="15"/>
          <w:szCs w:val="15"/>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Long Term Incentive Plan</w:t>
      </w:r>
    </w:p>
    <w:p>
      <w:pPr>
        <w:spacing w:after="0" w:line="179" w:lineRule="exact"/>
        <w:rPr>
          <w:sz w:val="20"/>
          <w:szCs w:val="20"/>
          <w:color w:val="auto"/>
        </w:rPr>
      </w:pPr>
    </w:p>
    <w:p>
      <w:pPr>
        <w:jc w:val="both"/>
        <w:ind w:firstLine="535"/>
        <w:spacing w:after="0" w:line="293" w:lineRule="auto"/>
        <w:tabs>
          <w:tab w:leader="none" w:pos="1340" w:val="left"/>
        </w:tabs>
        <w:numPr>
          <w:ilvl w:val="0"/>
          <w:numId w:val="172"/>
        </w:numPr>
        <w:rPr>
          <w:rFonts w:ascii="Arial" w:cs="Arial" w:eastAsia="Arial" w:hAnsi="Arial"/>
          <w:sz w:val="13"/>
          <w:szCs w:val="13"/>
          <w:color w:val="auto"/>
        </w:rPr>
      </w:pPr>
      <w:r>
        <w:rPr>
          <w:rFonts w:ascii="Arial" w:cs="Arial" w:eastAsia="Arial" w:hAnsi="Arial"/>
          <w:sz w:val="13"/>
          <w:szCs w:val="13"/>
          <w:b w:val="1"/>
          <w:bCs w:val="1"/>
          <w:color w:val="auto"/>
        </w:rPr>
        <w:t>Purpose</w:t>
      </w:r>
      <w:r>
        <w:rPr>
          <w:rFonts w:ascii="Arial" w:cs="Arial" w:eastAsia="Arial" w:hAnsi="Arial"/>
          <w:sz w:val="13"/>
          <w:szCs w:val="13"/>
          <w:color w:val="auto"/>
        </w:rPr>
        <w:t>. The purpose of the Immuneering Corporation Long Term Incentive Plan (the or this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is to provide a means through which Immuneering Corporation, a</w:t>
      </w:r>
      <w:r>
        <w:rPr>
          <w:rFonts w:ascii="Arial" w:cs="Arial" w:eastAsia="Arial" w:hAnsi="Arial"/>
          <w:sz w:val="13"/>
          <w:szCs w:val="13"/>
          <w:b w:val="1"/>
          <w:bCs w:val="1"/>
          <w:color w:val="auto"/>
        </w:rPr>
        <w:t xml:space="preserve"> </w:t>
      </w:r>
      <w:r>
        <w:rPr>
          <w:rFonts w:ascii="Arial" w:cs="Arial" w:eastAsia="Arial" w:hAnsi="Arial"/>
          <w:sz w:val="13"/>
          <w:szCs w:val="13"/>
          <w:color w:val="auto"/>
        </w:rPr>
        <w:t>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and its Subsidiaries may attract and retain able persons as employees, directors and consultants and to provide a means whereby those persons upon whom the responsibilities of the successful administration and management of the Company, and its Subsidiaries, rest, and whose present and potential contributions to the welfare of the Company, and its Subsidiaries, are of importance, can acquire and maintain stock ownership, or awards the value of which is tied to the performance of the Company, thereby strengthening their concern for the welfare of the Company, and its Subsidiaries, and their desire to remain employed. A further purpose of this Plan is to provide such employees, directors and consultants with additional incentive and reward opportunities designed to enhance the profitable growth of the Company. Accordingly, this Plan primarily provides for the granting of Incentive Stock Options, Nonstatutory Stock Options, Restricted Stock, or any combination of the foregoing, as is best suited to the circumstances of the particular individual as provided herein.</w:t>
      </w:r>
    </w:p>
    <w:p>
      <w:pPr>
        <w:spacing w:after="0" w:line="128" w:lineRule="exact"/>
        <w:rPr>
          <w:rFonts w:ascii="Arial" w:cs="Arial" w:eastAsia="Arial" w:hAnsi="Arial"/>
          <w:sz w:val="13"/>
          <w:szCs w:val="13"/>
          <w:color w:val="auto"/>
        </w:rPr>
      </w:pPr>
    </w:p>
    <w:p>
      <w:pPr>
        <w:ind w:left="1300" w:hanging="765"/>
        <w:spacing w:after="0"/>
        <w:tabs>
          <w:tab w:leader="none" w:pos="1300" w:val="left"/>
        </w:tabs>
        <w:numPr>
          <w:ilvl w:val="0"/>
          <w:numId w:val="172"/>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For purposes of this Plan, the following terms shall be defined as set forth below:</w:t>
      </w:r>
    </w:p>
    <w:p>
      <w:pPr>
        <w:spacing w:after="0" w:line="183" w:lineRule="exact"/>
        <w:rPr>
          <w:rFonts w:ascii="Arial" w:cs="Arial" w:eastAsia="Arial" w:hAnsi="Arial"/>
          <w:sz w:val="15"/>
          <w:szCs w:val="15"/>
          <w:color w:val="auto"/>
        </w:rPr>
      </w:pPr>
    </w:p>
    <w:p>
      <w:pPr>
        <w:jc w:val="both"/>
        <w:ind w:firstLine="1063"/>
        <w:spacing w:after="0" w:line="271" w:lineRule="auto"/>
        <w:tabs>
          <w:tab w:leader="none" w:pos="1832" w:val="left"/>
        </w:tabs>
        <w:numPr>
          <w:ilvl w:val="1"/>
          <w:numId w:val="1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means any corporation, partnership, limited liability company, limited liability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45" w:lineRule="exact"/>
        <w:rPr>
          <w:rFonts w:ascii="Arial" w:cs="Arial" w:eastAsia="Arial" w:hAnsi="Arial"/>
          <w:sz w:val="14"/>
          <w:szCs w:val="14"/>
          <w:color w:val="auto"/>
        </w:rPr>
      </w:pPr>
    </w:p>
    <w:p>
      <w:pPr>
        <w:ind w:left="1740" w:hanging="677"/>
        <w:spacing w:after="0"/>
        <w:tabs>
          <w:tab w:leader="none" w:pos="174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Award</w:t>
      </w:r>
      <w:r>
        <w:rPr>
          <w:rFonts w:ascii="Arial" w:cs="Arial" w:eastAsia="Arial" w:hAnsi="Arial"/>
          <w:sz w:val="14"/>
          <w:szCs w:val="14"/>
          <w:color w:val="auto"/>
        </w:rPr>
        <w:t>” means any Option, Restricted Stock, or Substitute Award, together with any other right or interest granted to a Participant under this Plan.</w:t>
      </w:r>
    </w:p>
    <w:p>
      <w:pPr>
        <w:spacing w:after="0" w:line="190" w:lineRule="exact"/>
        <w:rPr>
          <w:rFonts w:ascii="Arial" w:cs="Arial" w:eastAsia="Arial" w:hAnsi="Arial"/>
          <w:sz w:val="14"/>
          <w:szCs w:val="14"/>
          <w:color w:val="auto"/>
        </w:rPr>
      </w:pPr>
    </w:p>
    <w:p>
      <w:pPr>
        <w:jc w:val="both"/>
        <w:ind w:firstLine="1063"/>
        <w:spacing w:after="0" w:line="281" w:lineRule="auto"/>
        <w:tabs>
          <w:tab w:leader="none" w:pos="1898" w:val="left"/>
        </w:tabs>
        <w:numPr>
          <w:ilvl w:val="1"/>
          <w:numId w:val="1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 means any written instrument that establishes the terms, conditions, restrictions and/or limitations applicable to an Award in addition to those established by this Plan and by the Committee’s exercise of its administrative powers. The form of Award Agreement adopted as of the Effective Date will be the only form of Award Agreement pursuant to which Awards may be granted under the Plan and any amendment of the Award Agreement will be subject to Section 8 of the Plan.</w:t>
      </w:r>
    </w:p>
    <w:p>
      <w:pPr>
        <w:spacing w:after="0" w:line="137" w:lineRule="exact"/>
        <w:rPr>
          <w:rFonts w:ascii="Arial" w:cs="Arial" w:eastAsia="Arial" w:hAnsi="Arial"/>
          <w:sz w:val="14"/>
          <w:szCs w:val="14"/>
          <w:color w:val="auto"/>
        </w:rPr>
      </w:pPr>
    </w:p>
    <w:p>
      <w:pPr>
        <w:ind w:left="1780" w:hanging="717"/>
        <w:spacing w:after="0"/>
        <w:tabs>
          <w:tab w:leader="none" w:pos="178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179" w:lineRule="exact"/>
        <w:rPr>
          <w:rFonts w:ascii="Arial" w:cs="Arial" w:eastAsia="Arial" w:hAnsi="Arial"/>
          <w:sz w:val="15"/>
          <w:szCs w:val="15"/>
          <w:color w:val="auto"/>
        </w:rPr>
      </w:pPr>
    </w:p>
    <w:p>
      <w:pPr>
        <w:ind w:left="1780" w:hanging="717"/>
        <w:spacing w:after="0"/>
        <w:tabs>
          <w:tab w:leader="none" w:pos="178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Change of Control</w:t>
      </w:r>
      <w:r>
        <w:rPr>
          <w:rFonts w:ascii="Arial" w:cs="Arial" w:eastAsia="Arial" w:hAnsi="Arial"/>
          <w:sz w:val="15"/>
          <w:szCs w:val="15"/>
          <w:color w:val="auto"/>
        </w:rPr>
        <w:t>” means the occurrence of any of the following events: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01" w:right="319" w:bottom="1440" w:gutter="0" w:footer="0" w:header="0"/>
        </w:sectPr>
      </w:pPr>
    </w:p>
    <w:bookmarkStart w:id="335" w:name="page336"/>
    <w:bookmarkEnd w:id="335"/>
    <w:p>
      <w:pPr>
        <w:jc w:val="both"/>
        <w:ind w:firstLine="1590"/>
        <w:spacing w:after="0" w:line="248" w:lineRule="auto"/>
        <w:tabs>
          <w:tab w:leader="none" w:pos="239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Any “person” (as such term is used in Sections 13(d) and 14(d) of the Exchange Act) becomes the “beneficial owner” (as defined in Rule 13d 3 of the Exchange Act), directly or indirectly, of securities of the Company representing 50% or more of the total voting power represented by the Company’s then outstanding voting securities, except that the following shall be deemed not to be a Change in Control: (A) any change in the beneficial ownership of the securities of the Company as a result of a transaction or series of related transactions undertaken primarily for capital-raising purposes and that is approved by the Board; or (B) a transaction the sole purpose of which is to (y) change the state of the Company’s incorporation, or (z) create a holding company that shall be owned in substantially the same proportions by the persons who held the Company’s securities immediately before such transaction; or</w:t>
      </w:r>
    </w:p>
    <w:p>
      <w:pPr>
        <w:spacing w:after="0" w:line="161" w:lineRule="exact"/>
        <w:rPr>
          <w:rFonts w:ascii="Arial" w:cs="Arial" w:eastAsia="Arial" w:hAnsi="Arial"/>
          <w:sz w:val="15"/>
          <w:szCs w:val="15"/>
          <w:color w:val="auto"/>
        </w:rPr>
      </w:pPr>
    </w:p>
    <w:p>
      <w:pPr>
        <w:ind w:left="2280" w:hanging="690"/>
        <w:spacing w:after="0"/>
        <w:tabs>
          <w:tab w:leader="none" w:pos="228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consummation of the sale or disposition by the Company of all or substantially all of the Company’s assets; or</w:t>
      </w:r>
    </w:p>
    <w:p>
      <w:pPr>
        <w:spacing w:after="0" w:line="179" w:lineRule="exact"/>
        <w:rPr>
          <w:rFonts w:ascii="Arial" w:cs="Arial" w:eastAsia="Arial" w:hAnsi="Arial"/>
          <w:sz w:val="15"/>
          <w:szCs w:val="15"/>
          <w:color w:val="auto"/>
        </w:rPr>
      </w:pPr>
    </w:p>
    <w:p>
      <w:pPr>
        <w:jc w:val="both"/>
        <w:ind w:firstLine="1590"/>
        <w:spacing w:after="0" w:line="251" w:lineRule="auto"/>
        <w:tabs>
          <w:tab w:leader="none" w:pos="225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consummation of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merger or consolidation.</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Notwithstanding the foregoing, for purposes of an Award that provides for a deferral of compensation under the Nonqualified Deferred Compensation Rules, to the extent the impact of a Change of Control on such Award would subject a Participant to additional taxes under the Nonqualified Deferred Compensation Rules, a Change of Control for purposes of such Award will mean both a Change of Control and a “change in the ownership of a corporation,” “change in the effective control of a corporation,” or a “change in the ownership of a substantial portion of a corporation’s assets” within the meaning of the Nonqualified Deferred Compensation Rules as applied to the Company.</w:t>
      </w:r>
    </w:p>
    <w:p>
      <w:pPr>
        <w:spacing w:after="0" w:line="144" w:lineRule="exact"/>
        <w:rPr>
          <w:sz w:val="20"/>
          <w:szCs w:val="20"/>
          <w:color w:val="auto"/>
        </w:rPr>
      </w:pPr>
    </w:p>
    <w:p>
      <w:pPr>
        <w:ind w:left="1860" w:hanging="797"/>
        <w:spacing w:after="0"/>
        <w:tabs>
          <w:tab w:leader="none" w:pos="1860" w:val="left"/>
        </w:tabs>
        <w:numPr>
          <w:ilvl w:val="1"/>
          <w:numId w:val="1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United States Internal Revenue Code of 1986, as amended from time to time, including regulations thereunder and successor provisions and</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regulations thereto.</w:t>
      </w:r>
    </w:p>
    <w:p>
      <w:pPr>
        <w:spacing w:after="0" w:line="168" w:lineRule="exact"/>
        <w:rPr>
          <w:rFonts w:ascii="Arial" w:cs="Arial" w:eastAsia="Arial" w:hAnsi="Arial"/>
          <w:sz w:val="13"/>
          <w:szCs w:val="13"/>
          <w:color w:val="auto"/>
        </w:rPr>
      </w:pPr>
    </w:p>
    <w:p>
      <w:pPr>
        <w:ind w:left="1780" w:hanging="717"/>
        <w:spacing w:after="0"/>
        <w:tabs>
          <w:tab w:leader="none" w:pos="178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a committee of one or more directors designated by the Board to administer this Plan.</w:t>
      </w:r>
    </w:p>
    <w:p>
      <w:pPr>
        <w:spacing w:after="0" w:line="179" w:lineRule="exact"/>
        <w:rPr>
          <w:rFonts w:ascii="Arial" w:cs="Arial" w:eastAsia="Arial" w:hAnsi="Arial"/>
          <w:sz w:val="15"/>
          <w:szCs w:val="15"/>
          <w:color w:val="auto"/>
        </w:rPr>
      </w:pPr>
    </w:p>
    <w:p>
      <w:pPr>
        <w:jc w:val="both"/>
        <w:ind w:firstLine="1063"/>
        <w:spacing w:after="0" w:line="286" w:lineRule="auto"/>
        <w:tabs>
          <w:tab w:leader="none" w:pos="1947" w:val="left"/>
        </w:tabs>
        <w:numPr>
          <w:ilvl w:val="1"/>
          <w:numId w:val="1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Detrimental Activity</w:t>
      </w:r>
      <w:r>
        <w:rPr>
          <w:rFonts w:ascii="Arial" w:cs="Arial" w:eastAsia="Arial" w:hAnsi="Arial"/>
          <w:sz w:val="13"/>
          <w:szCs w:val="13"/>
          <w:color w:val="auto"/>
        </w:rPr>
        <w:t>” means, except as otherwise provided in an Award Agreement, any one or more of the following activities in which the Committee determines in its sole and absolute discretion that an employee has engaged without the written consent of the Company: (i) breach or violation of any employment-related agreement between the employee and the Company or any Subsidiary; (ii) breach or violation of any other written agreement or release of claims between the employee and the Company or any Subsidiary; (iii) violation of a written policy of the Company or any Subsidiary which violation is determined by the Committee in its sole discretion to be detrimental to the Company or any Subsidiary;</w:t>
      </w:r>
    </w:p>
    <w:p>
      <w:pPr>
        <w:spacing w:after="0" w:line="1" w:lineRule="exact"/>
        <w:rPr>
          <w:rFonts w:ascii="Arial" w:cs="Arial" w:eastAsia="Arial" w:hAnsi="Arial"/>
          <w:sz w:val="13"/>
          <w:szCs w:val="13"/>
          <w:color w:val="auto"/>
        </w:rPr>
      </w:pPr>
    </w:p>
    <w:p>
      <w:pPr>
        <w:jc w:val="both"/>
        <w:ind w:firstLine="8"/>
        <w:spacing w:after="0" w:line="282" w:lineRule="auto"/>
        <w:tabs>
          <w:tab w:leader="none" w:pos="25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improper use or disclosure, either during or subsequent to the employee’s employment with the Company or any Subsidiary, of any proprietary or confidential information of the Company or any Subsidiary; (v) conviction of, or entering a guilty plea with respect to, any felony crime, whether or not connected with the Company or any Subsidiary; (vi) entering into employment or a consulting relationship with a competitor of the Company or any Subsidiary under circumstances suggesting that such employee will be using unique or special knowledge gained as an employee of the Company or any Subsidiary to compete with the Company or any Subsidiary; (vii) solicitation or attempted solicitation of employees from the Company or any Subsidiary;</w:t>
      </w:r>
    </w:p>
    <w:p>
      <w:pPr>
        <w:jc w:val="both"/>
        <w:ind w:firstLine="8"/>
        <w:spacing w:after="0" w:line="246" w:lineRule="auto"/>
        <w:tabs>
          <w:tab w:leader="none" w:pos="347" w:val="left"/>
        </w:tabs>
        <w:numPr>
          <w:ilvl w:val="0"/>
          <w:numId w:val="176"/>
        </w:numPr>
        <w:rPr>
          <w:rFonts w:ascii="Arial" w:cs="Arial" w:eastAsia="Arial" w:hAnsi="Arial"/>
          <w:sz w:val="15"/>
          <w:szCs w:val="15"/>
          <w:color w:val="auto"/>
        </w:rPr>
      </w:pPr>
      <w:r>
        <w:rPr>
          <w:rFonts w:ascii="Arial" w:cs="Arial" w:eastAsia="Arial" w:hAnsi="Arial"/>
          <w:sz w:val="15"/>
          <w:szCs w:val="15"/>
          <w:color w:val="auto"/>
        </w:rPr>
        <w:t>use of information obtained during the course of the employee’s employment with the Company or any Subsidiary for the employee’s own purposes, such as for the solicitation of business; (ix) engaging in either gross misconduct or criminal activity harmful to the Company or any Subsidiary; or (x) any other action that materially harms the business interests, reputation, or goodwill of the Company or any Subsidiary of the Company.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6" w:name="page337"/>
    <w:bookmarkEnd w:id="336"/>
    <w:p>
      <w:pPr>
        <w:ind w:left="1820" w:hanging="757"/>
        <w:spacing w:after="0"/>
        <w:tabs>
          <w:tab w:leader="none" w:pos="182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means February 24, 2020.</w:t>
      </w:r>
    </w:p>
    <w:p>
      <w:pPr>
        <w:spacing w:after="0" w:line="179" w:lineRule="exact"/>
        <w:rPr>
          <w:rFonts w:ascii="Arial" w:cs="Arial" w:eastAsia="Arial" w:hAnsi="Arial"/>
          <w:sz w:val="15"/>
          <w:szCs w:val="15"/>
          <w:color w:val="auto"/>
        </w:rPr>
      </w:pPr>
    </w:p>
    <w:p>
      <w:pPr>
        <w:jc w:val="both"/>
        <w:ind w:firstLine="1063"/>
        <w:spacing w:after="0" w:line="254" w:lineRule="auto"/>
        <w:tabs>
          <w:tab w:leader="none" w:pos="1815" w:val="left"/>
        </w:tabs>
        <w:numPr>
          <w:ilvl w:val="0"/>
          <w:numId w:val="1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Eligible Person</w:t>
      </w:r>
      <w:r>
        <w:rPr>
          <w:rFonts w:ascii="Arial" w:cs="Arial" w:eastAsia="Arial" w:hAnsi="Arial"/>
          <w:sz w:val="15"/>
          <w:szCs w:val="15"/>
          <w:color w:val="auto"/>
        </w:rPr>
        <w:t>” means all officers and employees of the Company or of any of its Subsidiaries, and other persons who provide services to the Company or any of its Subsidiaries, including directors of the Company. An employee on leave of absence may be considered as still in the employ of the Company or its Subsidiaries for purposes of eligibility for participation in this Plan.</w:t>
      </w:r>
    </w:p>
    <w:p>
      <w:pPr>
        <w:spacing w:after="0" w:line="155" w:lineRule="exact"/>
        <w:rPr>
          <w:rFonts w:ascii="Arial" w:cs="Arial" w:eastAsia="Arial" w:hAnsi="Arial"/>
          <w:sz w:val="15"/>
          <w:szCs w:val="15"/>
          <w:color w:val="auto"/>
        </w:rPr>
      </w:pPr>
    </w:p>
    <w:p>
      <w:pPr>
        <w:ind w:left="1940" w:hanging="877"/>
        <w:spacing w:after="0"/>
        <w:tabs>
          <w:tab w:leader="none" w:pos="19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Securities Exchange Act of 1934, as amended from time to time, including rules thereunder and successor provisions and rules</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thereto.</w:t>
      </w:r>
    </w:p>
    <w:p>
      <w:pPr>
        <w:spacing w:after="0" w:line="168" w:lineRule="exact"/>
        <w:rPr>
          <w:rFonts w:ascii="Arial" w:cs="Arial" w:eastAsia="Arial" w:hAnsi="Arial"/>
          <w:sz w:val="13"/>
          <w:szCs w:val="13"/>
          <w:color w:val="auto"/>
        </w:rPr>
      </w:pPr>
    </w:p>
    <w:p>
      <w:pPr>
        <w:jc w:val="both"/>
        <w:ind w:firstLine="1063"/>
        <w:spacing w:after="0" w:line="269" w:lineRule="auto"/>
        <w:tabs>
          <w:tab w:leader="none" w:pos="185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means, as of any specified date, (i) if the Stock is listed on a national securities exchange, the closing sales price of the Stock, as reported on the stock exchange composite tape on that date (or if no sales occur on that date, on the last preceding date on which such sales of the Stock are so reported); (ii) if the Stock is not traded on a national securities exchange but is traded over the counter at the time a determination of its fair market value is required to be made under the Plan, the average between the reported high and low bid and asked prices of Stock on the most recent date on which Stock was publicly traded;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without limitation, the Nonqualified Deferred Compensation Rules.</w:t>
      </w:r>
    </w:p>
    <w:p>
      <w:pPr>
        <w:spacing w:after="0" w:line="147" w:lineRule="exact"/>
        <w:rPr>
          <w:rFonts w:ascii="Arial" w:cs="Arial" w:eastAsia="Arial" w:hAnsi="Arial"/>
          <w:sz w:val="14"/>
          <w:szCs w:val="14"/>
          <w:color w:val="auto"/>
        </w:rPr>
      </w:pPr>
    </w:p>
    <w:p>
      <w:pPr>
        <w:ind w:firstLine="1063"/>
        <w:spacing w:after="0" w:line="264" w:lineRule="auto"/>
        <w:tabs>
          <w:tab w:leader="none" w:pos="178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Incentive Stock Option</w:t>
      </w:r>
      <w:r>
        <w:rPr>
          <w:rFonts w:ascii="Arial" w:cs="Arial" w:eastAsia="Arial" w:hAnsi="Arial"/>
          <w:sz w:val="15"/>
          <w:szCs w:val="15"/>
          <w:color w:val="auto"/>
        </w:rPr>
        <w:t>” or “</w:t>
      </w:r>
      <w:r>
        <w:rPr>
          <w:rFonts w:ascii="Arial" w:cs="Arial" w:eastAsia="Arial" w:hAnsi="Arial"/>
          <w:sz w:val="15"/>
          <w:szCs w:val="15"/>
          <w:b w:val="1"/>
          <w:bCs w:val="1"/>
          <w:i w:val="1"/>
          <w:iCs w:val="1"/>
          <w:color w:val="auto"/>
        </w:rPr>
        <w:t>ISO</w:t>
      </w:r>
      <w:r>
        <w:rPr>
          <w:rFonts w:ascii="Arial" w:cs="Arial" w:eastAsia="Arial" w:hAnsi="Arial"/>
          <w:sz w:val="15"/>
          <w:szCs w:val="15"/>
          <w:color w:val="auto"/>
        </w:rPr>
        <w:t>” means any Option intended to be and designated as an incentive stock option within the meaning of section 422 of the Code or any successor provision thereto.</w:t>
      </w:r>
    </w:p>
    <w:p>
      <w:pPr>
        <w:spacing w:after="0" w:line="147" w:lineRule="exact"/>
        <w:rPr>
          <w:rFonts w:ascii="Arial" w:cs="Arial" w:eastAsia="Arial" w:hAnsi="Arial"/>
          <w:sz w:val="15"/>
          <w:szCs w:val="15"/>
          <w:color w:val="auto"/>
        </w:rPr>
      </w:pPr>
    </w:p>
    <w:p>
      <w:pPr>
        <w:ind w:firstLine="1063"/>
        <w:spacing w:after="0" w:line="264" w:lineRule="auto"/>
        <w:tabs>
          <w:tab w:leader="none" w:pos="1807" w:val="left"/>
        </w:tabs>
        <w:numPr>
          <w:ilvl w:val="0"/>
          <w:numId w:val="1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Nonqualified Deferred Compensation Rules</w:t>
      </w:r>
      <w:r>
        <w:rPr>
          <w:rFonts w:ascii="Arial" w:cs="Arial" w:eastAsia="Arial" w:hAnsi="Arial"/>
          <w:sz w:val="15"/>
          <w:szCs w:val="15"/>
          <w:color w:val="auto"/>
        </w:rPr>
        <w:t>” means the limitations or requirements of section 409A of the Code, as amended from time to time, including the guidance and regulations promulgated thereunder and successor provisions, guidance and regulations thereto.</w:t>
      </w:r>
    </w:p>
    <w:p>
      <w:pPr>
        <w:spacing w:after="0" w:line="147" w:lineRule="exact"/>
        <w:rPr>
          <w:rFonts w:ascii="Arial" w:cs="Arial" w:eastAsia="Arial" w:hAnsi="Arial"/>
          <w:sz w:val="15"/>
          <w:szCs w:val="15"/>
          <w:color w:val="auto"/>
        </w:rPr>
      </w:pPr>
    </w:p>
    <w:p>
      <w:pPr>
        <w:ind w:left="1780" w:hanging="717"/>
        <w:spacing w:after="0"/>
        <w:tabs>
          <w:tab w:leader="none" w:pos="17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Nonstatutory Stock Option</w:t>
      </w:r>
      <w:r>
        <w:rPr>
          <w:rFonts w:ascii="Arial" w:cs="Arial" w:eastAsia="Arial" w:hAnsi="Arial"/>
          <w:sz w:val="14"/>
          <w:szCs w:val="14"/>
          <w:color w:val="auto"/>
        </w:rPr>
        <w:t>” means any Option that is not intended to be an “incentive stock option” within the meaning of section 422 of the Code.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7" w:name="page338"/>
    <w:bookmarkEnd w:id="337"/>
    <w:p>
      <w:pPr>
        <w:ind w:left="1900" w:hanging="837"/>
        <w:spacing w:after="0"/>
        <w:tabs>
          <w:tab w:leader="none" w:pos="19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Option</w:t>
      </w:r>
      <w:r>
        <w:rPr>
          <w:rFonts w:ascii="Arial" w:cs="Arial" w:eastAsia="Arial" w:hAnsi="Arial"/>
          <w:sz w:val="13"/>
          <w:szCs w:val="13"/>
          <w:color w:val="auto"/>
        </w:rPr>
        <w:t>” means a right, granted to an Eligible Person under Section 6(b) hereof, to purchase Stock or other Awards at a specified price during specified time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periods.</w:t>
      </w:r>
    </w:p>
    <w:p>
      <w:pPr>
        <w:spacing w:after="0" w:line="168" w:lineRule="exact"/>
        <w:rPr>
          <w:sz w:val="20"/>
          <w:szCs w:val="20"/>
          <w:color w:val="auto"/>
        </w:rPr>
      </w:pPr>
    </w:p>
    <w:p>
      <w:pPr>
        <w:ind w:left="1780" w:hanging="717"/>
        <w:spacing w:after="0"/>
        <w:tabs>
          <w:tab w:leader="none" w:pos="1780" w:val="left"/>
        </w:tabs>
        <w:numPr>
          <w:ilvl w:val="1"/>
          <w:numId w:val="1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means a person who has been granted an Award under this Plan that remains outstanding, including a person who is no longer an Eligible Person.</w:t>
      </w:r>
    </w:p>
    <w:p>
      <w:pPr>
        <w:spacing w:after="0" w:line="202" w:lineRule="exact"/>
        <w:rPr>
          <w:rFonts w:ascii="Arial" w:cs="Arial" w:eastAsia="Arial" w:hAnsi="Arial"/>
          <w:sz w:val="13"/>
          <w:szCs w:val="13"/>
          <w:color w:val="auto"/>
        </w:rPr>
      </w:pPr>
    </w:p>
    <w:p>
      <w:pPr>
        <w:jc w:val="both"/>
        <w:ind w:firstLine="1063"/>
        <w:spacing w:after="0" w:line="271" w:lineRule="auto"/>
        <w:tabs>
          <w:tab w:leader="none" w:pos="1886" w:val="left"/>
        </w:tabs>
        <w:numPr>
          <w:ilvl w:val="1"/>
          <w:numId w:val="1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means any person or entity of any nature whatsoever, specifically including an individual, a firm, a company, a corporation, a partnership, a limited liability company, a trust or other entity; a Person, together with that Person’s Affiliates and Associates (as those terms are defined in Rule 12b-2 under the Exchange Act, provided that “registrant” as used in Rule 12b-2 shall mean the Company), and any Persons acting as a partnership, limited partnership, joint venture, association, syndicate or other group (whether or not formally organized), or otherwise acting jointly or in concert or in a coordinated or consciously parallel manner (whether or not pursuant to any express agreement), for the purpose of acquiring, holding, voting or disposing of securities of the Company with such Person, shall be deemed a single “Person.”</w:t>
      </w:r>
    </w:p>
    <w:p>
      <w:pPr>
        <w:spacing w:after="0" w:line="145" w:lineRule="exact"/>
        <w:rPr>
          <w:rFonts w:ascii="Arial" w:cs="Arial" w:eastAsia="Arial" w:hAnsi="Arial"/>
          <w:sz w:val="14"/>
          <w:szCs w:val="14"/>
          <w:color w:val="auto"/>
        </w:rPr>
      </w:pPr>
    </w:p>
    <w:p>
      <w:pPr>
        <w:ind w:firstLine="1063"/>
        <w:spacing w:after="0" w:line="264" w:lineRule="auto"/>
        <w:tabs>
          <w:tab w:leader="none" w:pos="1817" w:val="left"/>
        </w:tabs>
        <w:numPr>
          <w:ilvl w:val="1"/>
          <w:numId w:val="17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Qualifying Public Offering</w:t>
      </w:r>
      <w:r>
        <w:rPr>
          <w:rFonts w:ascii="Arial" w:cs="Arial" w:eastAsia="Arial" w:hAnsi="Arial"/>
          <w:sz w:val="15"/>
          <w:szCs w:val="15"/>
          <w:color w:val="auto"/>
        </w:rPr>
        <w:t>” means a firm commitment underwritten public offering of Stock for cash where the shares of Stock registered under the Securities Act are listed on a national securities exchange.</w:t>
      </w:r>
    </w:p>
    <w:p>
      <w:pPr>
        <w:spacing w:after="0" w:line="147" w:lineRule="exact"/>
        <w:rPr>
          <w:rFonts w:ascii="Arial" w:cs="Arial" w:eastAsia="Arial" w:hAnsi="Arial"/>
          <w:sz w:val="15"/>
          <w:szCs w:val="15"/>
          <w:color w:val="auto"/>
        </w:rPr>
      </w:pPr>
    </w:p>
    <w:p>
      <w:pPr>
        <w:ind w:left="1820" w:hanging="757"/>
        <w:spacing w:after="0"/>
        <w:tabs>
          <w:tab w:leader="none" w:pos="1820" w:val="left"/>
        </w:tabs>
        <w:numPr>
          <w:ilvl w:val="1"/>
          <w:numId w:val="1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Restricted Stock</w:t>
      </w:r>
      <w:r>
        <w:rPr>
          <w:rFonts w:ascii="Arial" w:cs="Arial" w:eastAsia="Arial" w:hAnsi="Arial"/>
          <w:sz w:val="14"/>
          <w:szCs w:val="14"/>
          <w:color w:val="auto"/>
        </w:rPr>
        <w:t>” means Stock granted to an Eligible Person under Section 6(c) hereof, that is subject to certain restrictions and to a risk of forfeiture.</w:t>
      </w:r>
    </w:p>
    <w:p>
      <w:pPr>
        <w:spacing w:after="0" w:line="190" w:lineRule="exact"/>
        <w:rPr>
          <w:rFonts w:ascii="Arial" w:cs="Arial" w:eastAsia="Arial" w:hAnsi="Arial"/>
          <w:sz w:val="14"/>
          <w:szCs w:val="14"/>
          <w:color w:val="auto"/>
        </w:rPr>
      </w:pPr>
    </w:p>
    <w:p>
      <w:pPr>
        <w:ind w:left="1780" w:hanging="717"/>
        <w:spacing w:after="0"/>
        <w:tabs>
          <w:tab w:leader="none" w:pos="1780" w:val="left"/>
        </w:tabs>
        <w:numPr>
          <w:ilvl w:val="1"/>
          <w:numId w:val="1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means the Securities Act of 1933 and the rules and regulations promulgated thereunder, or any successor law, as it may be amended from time to</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time.</w:t>
      </w:r>
    </w:p>
    <w:p>
      <w:pPr>
        <w:spacing w:after="0" w:line="168" w:lineRule="exact"/>
        <w:rPr>
          <w:rFonts w:ascii="Arial" w:cs="Arial" w:eastAsia="Arial" w:hAnsi="Arial"/>
          <w:sz w:val="13"/>
          <w:szCs w:val="13"/>
          <w:color w:val="auto"/>
        </w:rPr>
      </w:pPr>
    </w:p>
    <w:p>
      <w:pPr>
        <w:ind w:left="1820" w:hanging="757"/>
        <w:spacing w:after="0"/>
        <w:tabs>
          <w:tab w:leader="none" w:pos="1820" w:val="left"/>
        </w:tabs>
        <w:numPr>
          <w:ilvl w:val="1"/>
          <w:numId w:val="1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w:t>
      </w:r>
      <w:r>
        <w:rPr>
          <w:rFonts w:ascii="Arial" w:cs="Arial" w:eastAsia="Arial" w:hAnsi="Arial"/>
          <w:sz w:val="13"/>
          <w:szCs w:val="13"/>
          <w:color w:val="auto"/>
        </w:rPr>
        <w:t>” means the Company’s Common Stock, par value $0.001 per share, and such other securities as may be substituted (or re-substituted) for Stock pursuant</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to Section 8.</w:t>
      </w:r>
    </w:p>
    <w:p>
      <w:pPr>
        <w:spacing w:after="0" w:line="168" w:lineRule="exact"/>
        <w:rPr>
          <w:rFonts w:ascii="Arial" w:cs="Arial" w:eastAsia="Arial" w:hAnsi="Arial"/>
          <w:sz w:val="13"/>
          <w:szCs w:val="13"/>
          <w:color w:val="auto"/>
        </w:rPr>
      </w:pPr>
    </w:p>
    <w:p>
      <w:pPr>
        <w:ind w:firstLine="1063"/>
        <w:spacing w:after="0" w:line="264" w:lineRule="auto"/>
        <w:tabs>
          <w:tab w:leader="none" w:pos="1756" w:val="left"/>
        </w:tabs>
        <w:numPr>
          <w:ilvl w:val="1"/>
          <w:numId w:val="17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with respect to the Company, any corporation or other entity of which a majority of the voting power of the voting equity securities or equity interest is owned, directly or indirectly, by the Company.</w:t>
      </w:r>
    </w:p>
    <w:p>
      <w:pPr>
        <w:spacing w:after="0" w:line="147" w:lineRule="exact"/>
        <w:rPr>
          <w:rFonts w:ascii="Arial" w:cs="Arial" w:eastAsia="Arial" w:hAnsi="Arial"/>
          <w:sz w:val="15"/>
          <w:szCs w:val="15"/>
          <w:color w:val="auto"/>
        </w:rPr>
      </w:pPr>
    </w:p>
    <w:p>
      <w:pPr>
        <w:ind w:left="1780" w:hanging="717"/>
        <w:spacing w:after="0"/>
        <w:tabs>
          <w:tab w:leader="none" w:pos="1780" w:val="left"/>
        </w:tabs>
        <w:numPr>
          <w:ilvl w:val="1"/>
          <w:numId w:val="1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Substitute Award</w:t>
      </w:r>
      <w:r>
        <w:rPr>
          <w:rFonts w:ascii="Arial" w:cs="Arial" w:eastAsia="Arial" w:hAnsi="Arial"/>
          <w:sz w:val="14"/>
          <w:szCs w:val="14"/>
          <w:color w:val="auto"/>
        </w:rPr>
        <w:t>” means an Award granted under Section 6(d) hereof in substitution for a similar award as a result of certain business transactions.</w:t>
      </w:r>
    </w:p>
    <w:p>
      <w:pPr>
        <w:spacing w:after="0" w:line="186" w:lineRule="exact"/>
        <w:rPr>
          <w:rFonts w:ascii="Arial" w:cs="Arial" w:eastAsia="Arial" w:hAnsi="Arial"/>
          <w:sz w:val="14"/>
          <w:szCs w:val="14"/>
          <w:color w:val="auto"/>
        </w:rPr>
      </w:pPr>
    </w:p>
    <w:p>
      <w:pPr>
        <w:ind w:left="1300" w:hanging="765"/>
        <w:spacing w:after="0"/>
        <w:tabs>
          <w:tab w:leader="none" w:pos="1300" w:val="left"/>
        </w:tabs>
        <w:numPr>
          <w:ilvl w:val="0"/>
          <w:numId w:val="180"/>
        </w:numPr>
        <w:rPr>
          <w:rFonts w:ascii="Arial" w:cs="Arial" w:eastAsia="Arial" w:hAnsi="Arial"/>
          <w:sz w:val="15"/>
          <w:szCs w:val="15"/>
          <w:color w:val="auto"/>
        </w:rPr>
      </w:pPr>
      <w:r>
        <w:rPr>
          <w:rFonts w:ascii="Arial" w:cs="Arial" w:eastAsia="Arial" w:hAnsi="Arial"/>
          <w:sz w:val="15"/>
          <w:szCs w:val="15"/>
          <w:b w:val="1"/>
          <w:bCs w:val="1"/>
          <w:color w:val="auto"/>
        </w:rPr>
        <w:t>Administration</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63"/>
        <w:spacing w:after="0" w:line="286" w:lineRule="auto"/>
        <w:tabs>
          <w:tab w:leader="none" w:pos="1938" w:val="left"/>
        </w:tabs>
        <w:numPr>
          <w:ilvl w:val="1"/>
          <w:numId w:val="180"/>
        </w:numPr>
        <w:rPr>
          <w:rFonts w:ascii="Arial" w:cs="Arial" w:eastAsia="Arial" w:hAnsi="Arial"/>
          <w:sz w:val="13"/>
          <w:szCs w:val="13"/>
          <w:color w:val="auto"/>
        </w:rPr>
      </w:pPr>
      <w:r>
        <w:rPr>
          <w:rFonts w:ascii="Arial" w:cs="Arial" w:eastAsia="Arial" w:hAnsi="Arial"/>
          <w:sz w:val="13"/>
          <w:szCs w:val="13"/>
          <w:u w:val="single" w:color="auto"/>
          <w:color w:val="auto"/>
        </w:rPr>
        <w:t>Authority of the Committee</w:t>
      </w:r>
      <w:r>
        <w:rPr>
          <w:rFonts w:ascii="Arial" w:cs="Arial" w:eastAsia="Arial" w:hAnsi="Arial"/>
          <w:sz w:val="13"/>
          <w:szCs w:val="13"/>
          <w:color w:val="auto"/>
        </w:rPr>
        <w:t>. The Plan shall be administered by the Committee except to the extent the Board elects to administer the Plan, in which case references herein to the “Committee” shall be deemed to include references to the “Board.” The Committee shall have the authority, in its sole and absolute discretion exercised consistent with the terms of the Plan, to: (i) designate Eligible Persons as Participants; (ii) determine the type or types of Awards to be granted to an Eligible Person; (iii) determine the number of shares of Stock or amount of cash to be covered by Awards; (iv) determine the terms and conditions of any Award, consistent with the terms of the Plan, as well as the modification of such terms, which may include the acceleration of vesting, waiver of forfeiture restrictions, modification of the form of settlement of the Award (for example, from cash to Stock or vice versa), or modification of any other condition or limitation regarding an Award, based on such factors as the Committee shall determine, in its sole discretion; (v) determine whether, to what extent, and under what circumstances Awards may be vested, settled, exercised, canceled, or forfeited; (vi) interpret and administer the Plan and any instrument or agreement relating to an Award made under the Plan; (vii) establish, amend, suspend, or waive rules and regulations used to administer the Plan; and (viii) make any other determination and take any other action that the Committee deems necessary or desirable for the administration of the Plan. Subject to the Nonqualified Deferred Compensation Rules, the Committee may correct any defect, supply any omission, or reconcile any inconsistency in the Plan, in any Award, or in any Award Agreement in the manner and to the extent it deems necessary or desirable to carry the Plan or any such Award or Award Agreement, or any term thereof, into effect, and the Committee shall be the sole and final judge of that necessity or desirability. Notwithstanding the foregoing, the Committee shall not have any discretion to (A) accelerate the payment of any Award that provides for a deferral of compensation under the Nonqualified Deferred Compensation Rules if such acceleration would subject a Participant to additional taxes under the Nonqualified Deferred Compensation Rules, or (B) take any action that would violate any applicable law. The express grant of any specific power to the Committee, and the taking of any action by the Committee, shall not be construed as limiting any power or authority of the Committee. The determinations of the Committee on the matters referred to in this Section 3(a) shall be final and conclusive.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8" w:name="page339"/>
    <w:bookmarkEnd w:id="338"/>
    <w:p>
      <w:pPr>
        <w:jc w:val="both"/>
        <w:ind w:firstLine="1063"/>
        <w:spacing w:after="0" w:line="254" w:lineRule="auto"/>
        <w:tabs>
          <w:tab w:leader="none" w:pos="1917"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Manner of Exercise of Committee Authority</w:t>
      </w:r>
      <w:r>
        <w:rPr>
          <w:rFonts w:ascii="Arial" w:cs="Arial" w:eastAsia="Arial" w:hAnsi="Arial"/>
          <w:sz w:val="15"/>
          <w:szCs w:val="15"/>
          <w:color w:val="auto"/>
        </w:rPr>
        <w:t>. Any action of the Committee shall be final, conclusive and binding on all Persons, including the Company, its Subsidiaries, stockholders, Participants, beneficiaries, and transferees under Section 7(a)(iii) and (iv) hereof or other Persons claiming rights from or through a Participant. For the avoidance of doubt, the full Board may take any action relating to an Award granted or to be granted to an Eligible Person.</w:t>
      </w:r>
    </w:p>
    <w:p>
      <w:pPr>
        <w:spacing w:after="0" w:line="155" w:lineRule="exact"/>
        <w:rPr>
          <w:rFonts w:ascii="Arial" w:cs="Arial" w:eastAsia="Arial" w:hAnsi="Arial"/>
          <w:sz w:val="15"/>
          <w:szCs w:val="15"/>
          <w:color w:val="auto"/>
        </w:rPr>
      </w:pPr>
    </w:p>
    <w:p>
      <w:pPr>
        <w:jc w:val="both"/>
        <w:ind w:firstLine="1063"/>
        <w:spacing w:after="0" w:line="267" w:lineRule="auto"/>
        <w:tabs>
          <w:tab w:leader="none" w:pos="1810"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Delegation of Authority</w:t>
      </w:r>
      <w:r>
        <w:rPr>
          <w:rFonts w:ascii="Arial" w:cs="Arial" w:eastAsia="Arial" w:hAnsi="Arial"/>
          <w:sz w:val="14"/>
          <w:szCs w:val="14"/>
          <w:color w:val="auto"/>
        </w:rPr>
        <w:t xml:space="preserve">. The Committee may delegate any or all of its powers and duties under the Plan to any officer of the Company that is also a member of the Board (in their capacity as a member of the Board), subject to such terms as the Committee shall determine, to perform such functions, including administrative functions and the power to grant Awards under the Plan, as the Committee may determine, to the extent that such delegation will not violate state or corporate law. Upon any such delegation, all references in the Plan to the “Committee,” other than in Section 8, shall be deemed to include any officer of the Company to whom such powers have been delegated by the Committee. Any such delegation shall not limit such officer’s right to receive Awards under the Plan;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the officer may not grant Awards to himself or herself or take any action with respect to any Award previously granted to himself or herself, a member of the Board, or an individual who is an executive officer of the Company or an Affiliate. The Committee may also appoint agents to assist it in administering the Plan that are employees (whether or not officers) of the Company, provided that such individuals may not be delegated the authority to grant or modify any Awards that will, or may, be settled in Stock.</w:t>
      </w:r>
    </w:p>
    <w:p>
      <w:pPr>
        <w:spacing w:after="0" w:line="149" w:lineRule="exact"/>
        <w:rPr>
          <w:rFonts w:ascii="Arial" w:cs="Arial" w:eastAsia="Arial" w:hAnsi="Arial"/>
          <w:sz w:val="14"/>
          <w:szCs w:val="14"/>
          <w:color w:val="auto"/>
        </w:rPr>
      </w:pPr>
    </w:p>
    <w:p>
      <w:pPr>
        <w:jc w:val="both"/>
        <w:ind w:firstLine="1063"/>
        <w:spacing w:after="0" w:line="249" w:lineRule="auto"/>
        <w:tabs>
          <w:tab w:leader="none" w:pos="1793"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Limitation of Liability</w:t>
      </w:r>
      <w:r>
        <w:rPr>
          <w:rFonts w:ascii="Arial" w:cs="Arial" w:eastAsia="Arial" w:hAnsi="Arial"/>
          <w:sz w:val="15"/>
          <w:szCs w:val="15"/>
          <w:color w:val="auto"/>
        </w:rPr>
        <w:t>. The Committee and each member thereof shall be entitled to, in good faith, rely or act upon any report or other information furnished to him or her by any officer or employee of the Company or any of its Subsidiaries, the Company’s legal counsel, independent auditors, consultants or any other agents assisting in the administration of this Plan. Members of the Committee and any officer or employee of the Company or any of its Subsidiaries acting at the direction or on behalf of the Committee shall not be personally liable for any action or determination taken or made in good faith with respect to this Plan, and shall, to the fullest extent permitted by law, be indemnified and held harmless by the Company with respect to any such action or determination.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39" w:name="page340"/>
    <w:bookmarkEnd w:id="339"/>
    <w:p>
      <w:pPr>
        <w:jc w:val="both"/>
        <w:ind w:firstLine="1063"/>
        <w:spacing w:after="0" w:line="289" w:lineRule="auto"/>
        <w:tabs>
          <w:tab w:leader="none" w:pos="1920" w:val="left"/>
        </w:tabs>
        <w:numPr>
          <w:ilvl w:val="1"/>
          <w:numId w:val="182"/>
        </w:numPr>
        <w:rPr>
          <w:rFonts w:ascii="Arial" w:cs="Arial" w:eastAsia="Arial" w:hAnsi="Arial"/>
          <w:sz w:val="13"/>
          <w:szCs w:val="13"/>
          <w:color w:val="auto"/>
        </w:rPr>
      </w:pPr>
      <w:r>
        <w:rPr>
          <w:rFonts w:ascii="Arial" w:cs="Arial" w:eastAsia="Arial" w:hAnsi="Arial"/>
          <w:sz w:val="13"/>
          <w:szCs w:val="13"/>
          <w:u w:val="single" w:color="auto"/>
          <w:color w:val="auto"/>
        </w:rPr>
        <w:t>Participants in Non-U.S. Jurisdictions</w:t>
      </w:r>
      <w:r>
        <w:rPr>
          <w:rFonts w:ascii="Arial" w:cs="Arial" w:eastAsia="Arial" w:hAnsi="Arial"/>
          <w:sz w:val="13"/>
          <w:szCs w:val="13"/>
          <w:color w:val="auto"/>
        </w:rPr>
        <w:t xml:space="preserve">. Notwithstanding any provision of the Plan to the contrary, to comply with applicable laws in countries other than the United States in which the Company or any of its Affiliates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its Affiliates shall be covered by the Plan; (ii) determine which Eligible Persons outside the United States are eligible to participate in the Plan; (iii) modify the terms and conditions of any Award granted to Eligible Persons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sub-plans and/or modifications shall increase the share limitations contained in Section 4(a);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spacing w:after="0" w:line="133" w:lineRule="exact"/>
        <w:rPr>
          <w:rFonts w:ascii="Arial" w:cs="Arial" w:eastAsia="Arial" w:hAnsi="Arial"/>
          <w:sz w:val="13"/>
          <w:szCs w:val="13"/>
          <w:color w:val="auto"/>
        </w:rPr>
      </w:pPr>
    </w:p>
    <w:p>
      <w:pPr>
        <w:ind w:left="1300" w:hanging="765"/>
        <w:spacing w:after="0"/>
        <w:tabs>
          <w:tab w:leader="none" w:pos="1300" w:val="left"/>
        </w:tabs>
        <w:numPr>
          <w:ilvl w:val="0"/>
          <w:numId w:val="183"/>
        </w:numPr>
        <w:rPr>
          <w:rFonts w:ascii="Arial" w:cs="Arial" w:eastAsia="Arial" w:hAnsi="Arial"/>
          <w:sz w:val="15"/>
          <w:szCs w:val="15"/>
          <w:color w:val="auto"/>
        </w:rPr>
      </w:pPr>
      <w:r>
        <w:rPr>
          <w:rFonts w:ascii="Arial" w:cs="Arial" w:eastAsia="Arial" w:hAnsi="Arial"/>
          <w:sz w:val="15"/>
          <w:szCs w:val="15"/>
          <w:b w:val="1"/>
          <w:bCs w:val="1"/>
          <w:color w:val="auto"/>
        </w:rPr>
        <w:t>Stock Subject to Plan</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63"/>
        <w:spacing w:after="0" w:line="254" w:lineRule="auto"/>
        <w:tabs>
          <w:tab w:leader="none" w:pos="1777" w:val="left"/>
        </w:tabs>
        <w:numPr>
          <w:ilvl w:val="1"/>
          <w:numId w:val="183"/>
        </w:numPr>
        <w:rPr>
          <w:rFonts w:ascii="Arial" w:cs="Arial" w:eastAsia="Arial" w:hAnsi="Arial"/>
          <w:sz w:val="15"/>
          <w:szCs w:val="15"/>
          <w:color w:val="auto"/>
        </w:rPr>
      </w:pPr>
      <w:r>
        <w:rPr>
          <w:rFonts w:ascii="Arial" w:cs="Arial" w:eastAsia="Arial" w:hAnsi="Arial"/>
          <w:sz w:val="15"/>
          <w:szCs w:val="15"/>
          <w:u w:val="single" w:color="auto"/>
          <w:color w:val="auto"/>
        </w:rPr>
        <w:t>Overall Number of Shares Available for Delivery</w:t>
      </w:r>
      <w:r>
        <w:rPr>
          <w:rFonts w:ascii="Arial" w:cs="Arial" w:eastAsia="Arial" w:hAnsi="Arial"/>
          <w:sz w:val="15"/>
          <w:szCs w:val="15"/>
          <w:color w:val="auto"/>
        </w:rPr>
        <w:t>. Subject to adjustment in a manner consistent with any adjustment made pursuant to Section 8, the total number of shares of Stock reserved and available for issuance in connection with Awards under this Plan shall not exceed 819,768 shares, and such total will be available for the issuance of Incentive Stock Options.</w:t>
      </w:r>
    </w:p>
    <w:p>
      <w:pPr>
        <w:spacing w:after="0" w:line="155" w:lineRule="exact"/>
        <w:rPr>
          <w:rFonts w:ascii="Arial" w:cs="Arial" w:eastAsia="Arial" w:hAnsi="Arial"/>
          <w:sz w:val="15"/>
          <w:szCs w:val="15"/>
          <w:color w:val="auto"/>
        </w:rPr>
      </w:pPr>
    </w:p>
    <w:p>
      <w:pPr>
        <w:jc w:val="both"/>
        <w:ind w:firstLine="1063"/>
        <w:spacing w:after="0" w:line="274" w:lineRule="auto"/>
        <w:tabs>
          <w:tab w:leader="none" w:pos="1818" w:val="left"/>
        </w:tabs>
        <w:numPr>
          <w:ilvl w:val="1"/>
          <w:numId w:val="183"/>
        </w:numPr>
        <w:rPr>
          <w:rFonts w:ascii="Arial" w:cs="Arial" w:eastAsia="Arial" w:hAnsi="Arial"/>
          <w:sz w:val="14"/>
          <w:szCs w:val="14"/>
          <w:color w:val="auto"/>
        </w:rPr>
      </w:pPr>
      <w:r>
        <w:rPr>
          <w:rFonts w:ascii="Arial" w:cs="Arial" w:eastAsia="Arial" w:hAnsi="Arial"/>
          <w:sz w:val="14"/>
          <w:szCs w:val="14"/>
          <w:u w:val="single" w:color="auto"/>
          <w:color w:val="auto"/>
        </w:rPr>
        <w:t>Application of Limitation to Grants of Awards</w:t>
      </w:r>
      <w:r>
        <w:rPr>
          <w:rFonts w:ascii="Arial" w:cs="Arial" w:eastAsia="Arial" w:hAnsi="Arial"/>
          <w:sz w:val="14"/>
          <w:szCs w:val="14"/>
          <w:color w:val="auto"/>
        </w:rPr>
        <w:t>. Subject to Section 4(c), no Award may be granted if the number of shares of Stock to be delivered in connection with such Award exceeds the number of shares of Stock remaining available under this Plan minus the number of shares of Stock issuable in settlement of or relating to then-outstanding Awards.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w:t>
      </w:r>
    </w:p>
    <w:p>
      <w:pPr>
        <w:spacing w:after="0" w:line="143" w:lineRule="exact"/>
        <w:rPr>
          <w:rFonts w:ascii="Arial" w:cs="Arial" w:eastAsia="Arial" w:hAnsi="Arial"/>
          <w:sz w:val="14"/>
          <w:szCs w:val="14"/>
          <w:color w:val="auto"/>
        </w:rPr>
      </w:pPr>
    </w:p>
    <w:p>
      <w:pPr>
        <w:jc w:val="both"/>
        <w:ind w:firstLine="1063"/>
        <w:spacing w:after="0" w:line="302" w:lineRule="auto"/>
        <w:tabs>
          <w:tab w:leader="none" w:pos="1796" w:val="left"/>
        </w:tabs>
        <w:numPr>
          <w:ilvl w:val="1"/>
          <w:numId w:val="183"/>
        </w:numPr>
        <w:rPr>
          <w:rFonts w:ascii="Arial" w:cs="Arial" w:eastAsia="Arial" w:hAnsi="Arial"/>
          <w:sz w:val="13"/>
          <w:szCs w:val="13"/>
          <w:color w:val="auto"/>
        </w:rPr>
      </w:pPr>
      <w:r>
        <w:rPr>
          <w:rFonts w:ascii="Arial" w:cs="Arial" w:eastAsia="Arial" w:hAnsi="Arial"/>
          <w:sz w:val="13"/>
          <w:szCs w:val="13"/>
          <w:u w:val="single" w:color="auto"/>
          <w:color w:val="auto"/>
        </w:rPr>
        <w:t>Availability of Shares Not Issued under Awards</w:t>
      </w:r>
      <w:r>
        <w:rPr>
          <w:rFonts w:ascii="Arial" w:cs="Arial" w:eastAsia="Arial" w:hAnsi="Arial"/>
          <w:sz w:val="13"/>
          <w:szCs w:val="13"/>
          <w:color w:val="auto"/>
        </w:rPr>
        <w:t>. Shares of Stock subject to an Award under this Plan that expires or is canceled, forfeited, exchanged, settled in cash or otherwise terminated, including (i) shares forfeited with respect to Restricted Stock, and (ii) the number of shares withheld or surrendered to the Company in payment of any exercise or purchase price of an Award or taxes relating to Awards, will again be available for Awards under this Plan, except that if any such shares could not again be available for Awards to a particular Participant under any applicable law or regulation, such shares shall be available exclusively for Awards to Participants who are not subject to such limitation.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0" w:name="page341"/>
    <w:bookmarkEnd w:id="340"/>
    <w:p>
      <w:pPr>
        <w:ind w:firstLine="1063"/>
        <w:spacing w:after="0" w:line="264" w:lineRule="auto"/>
        <w:tabs>
          <w:tab w:leader="none" w:pos="1807" w:val="left"/>
        </w:tabs>
        <w:numPr>
          <w:ilvl w:val="1"/>
          <w:numId w:val="184"/>
        </w:numPr>
        <w:rPr>
          <w:rFonts w:ascii="Arial" w:cs="Arial" w:eastAsia="Arial" w:hAnsi="Arial"/>
          <w:sz w:val="15"/>
          <w:szCs w:val="15"/>
          <w:color w:val="auto"/>
        </w:rPr>
      </w:pPr>
      <w:r>
        <w:rPr>
          <w:rFonts w:ascii="Arial" w:cs="Arial" w:eastAsia="Arial" w:hAnsi="Arial"/>
          <w:sz w:val="15"/>
          <w:szCs w:val="15"/>
          <w:u w:val="single" w:color="auto"/>
          <w:color w:val="auto"/>
        </w:rPr>
        <w:t>Stock Offered</w:t>
      </w:r>
      <w:r>
        <w:rPr>
          <w:rFonts w:ascii="Arial" w:cs="Arial" w:eastAsia="Arial" w:hAnsi="Arial"/>
          <w:sz w:val="15"/>
          <w:szCs w:val="15"/>
          <w:color w:val="auto"/>
        </w:rPr>
        <w:t>. The shares of Stock to be delivered under the Plan shall be made available from (i) authorized but unissued shares of Stock, (ii) Stock held in the treasury of the Company, or (iii) previously issued shares of Stock reacquired by the Company, including shares purchased on the open market.</w:t>
      </w:r>
    </w:p>
    <w:p>
      <w:pPr>
        <w:spacing w:after="0" w:line="143" w:lineRule="exact"/>
        <w:rPr>
          <w:rFonts w:ascii="Arial" w:cs="Arial" w:eastAsia="Arial" w:hAnsi="Arial"/>
          <w:sz w:val="15"/>
          <w:szCs w:val="15"/>
          <w:color w:val="auto"/>
        </w:rPr>
      </w:pPr>
    </w:p>
    <w:p>
      <w:pPr>
        <w:ind w:left="1300" w:hanging="765"/>
        <w:spacing w:after="0"/>
        <w:tabs>
          <w:tab w:leader="none" w:pos="1300" w:val="left"/>
        </w:tabs>
        <w:numPr>
          <w:ilvl w:val="0"/>
          <w:numId w:val="185"/>
        </w:numPr>
        <w:rPr>
          <w:rFonts w:ascii="Arial" w:cs="Arial" w:eastAsia="Arial" w:hAnsi="Arial"/>
          <w:sz w:val="15"/>
          <w:szCs w:val="15"/>
          <w:color w:val="auto"/>
        </w:rPr>
      </w:pPr>
      <w:r>
        <w:rPr>
          <w:rFonts w:ascii="Arial" w:cs="Arial" w:eastAsia="Arial" w:hAnsi="Arial"/>
          <w:sz w:val="15"/>
          <w:szCs w:val="15"/>
          <w:b w:val="1"/>
          <w:bCs w:val="1"/>
          <w:color w:val="auto"/>
        </w:rPr>
        <w:t>Eligibility</w:t>
      </w:r>
      <w:r>
        <w:rPr>
          <w:rFonts w:ascii="Arial" w:cs="Arial" w:eastAsia="Arial" w:hAnsi="Arial"/>
          <w:sz w:val="15"/>
          <w:szCs w:val="15"/>
          <w:color w:val="auto"/>
        </w:rPr>
        <w:t>. Awards may be granted under this Plan only to Persons who are Eligible Persons at the time of grant thereof.</w:t>
      </w:r>
    </w:p>
    <w:p>
      <w:pPr>
        <w:spacing w:after="0" w:line="179" w:lineRule="exact"/>
        <w:rPr>
          <w:rFonts w:ascii="Arial" w:cs="Arial" w:eastAsia="Arial" w:hAnsi="Arial"/>
          <w:sz w:val="15"/>
          <w:szCs w:val="15"/>
          <w:color w:val="auto"/>
        </w:rPr>
      </w:pPr>
    </w:p>
    <w:p>
      <w:pPr>
        <w:ind w:left="1300" w:hanging="765"/>
        <w:spacing w:after="0"/>
        <w:tabs>
          <w:tab w:leader="none" w:pos="1300" w:val="left"/>
        </w:tabs>
        <w:numPr>
          <w:ilvl w:val="0"/>
          <w:numId w:val="185"/>
        </w:numPr>
        <w:rPr>
          <w:rFonts w:ascii="Arial" w:cs="Arial" w:eastAsia="Arial" w:hAnsi="Arial"/>
          <w:sz w:val="15"/>
          <w:szCs w:val="15"/>
          <w:color w:val="auto"/>
        </w:rPr>
      </w:pPr>
      <w:r>
        <w:rPr>
          <w:rFonts w:ascii="Arial" w:cs="Arial" w:eastAsia="Arial" w:hAnsi="Arial"/>
          <w:sz w:val="15"/>
          <w:szCs w:val="15"/>
          <w:b w:val="1"/>
          <w:bCs w:val="1"/>
          <w:color w:val="auto"/>
        </w:rPr>
        <w:t>Specific Terms of Awards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63"/>
        <w:spacing w:after="0" w:line="303" w:lineRule="auto"/>
        <w:tabs>
          <w:tab w:leader="none" w:pos="1810" w:val="left"/>
        </w:tabs>
        <w:numPr>
          <w:ilvl w:val="1"/>
          <w:numId w:val="185"/>
        </w:numPr>
        <w:rPr>
          <w:rFonts w:ascii="Arial" w:cs="Arial" w:eastAsia="Arial" w:hAnsi="Arial"/>
          <w:sz w:val="13"/>
          <w:szCs w:val="13"/>
          <w:color w:val="auto"/>
        </w:rPr>
      </w:pPr>
      <w:r>
        <w:rPr>
          <w:rFonts w:ascii="Arial" w:cs="Arial" w:eastAsia="Arial" w:hAnsi="Arial"/>
          <w:sz w:val="13"/>
          <w:szCs w:val="13"/>
          <w:u w:val="single" w:color="auto"/>
          <w:color w:val="auto"/>
        </w:rPr>
        <w:t>General and Vesting</w:t>
      </w:r>
      <w:r>
        <w:rPr>
          <w:rFonts w:ascii="Arial" w:cs="Arial" w:eastAsia="Arial" w:hAnsi="Arial"/>
          <w:sz w:val="13"/>
          <w:szCs w:val="13"/>
          <w:color w:val="auto"/>
        </w:rPr>
        <w:t>. Awards may be granted on the terms and conditions set forth in this Section 6. Awards granted under this Plan may, in the discretion of the Committee, be granted either alone, in addition to, or in tandem with any other Award. In addition, the Committee may impose on any Award or the exercise thereof, at the date of grant or thereafter (subject to Section 8(a)), such additional terms and conditions, not inconsistent with the provisions of this Plan, as the Committee shall determine. Notwithstanding any other term of this Plan to the contrary, Awards granted under the Plan will become vested and nonforfeitable, subject to the continued performance of services by the Participant to the Company or its Subsidiaries, with respect to 25% of the Award on the first anniversary of the date of grant of the award and with respect to 1/48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Award in each month occurring thereafter.</w:t>
      </w:r>
    </w:p>
    <w:p>
      <w:pPr>
        <w:spacing w:after="0" w:line="27" w:lineRule="exact"/>
        <w:rPr>
          <w:rFonts w:ascii="Arial" w:cs="Arial" w:eastAsia="Arial" w:hAnsi="Arial"/>
          <w:sz w:val="13"/>
          <w:szCs w:val="13"/>
          <w:color w:val="auto"/>
        </w:rPr>
      </w:pPr>
    </w:p>
    <w:p>
      <w:pPr>
        <w:ind w:left="1940" w:hanging="877"/>
        <w:spacing w:after="0"/>
        <w:tabs>
          <w:tab w:leader="none" w:pos="1940" w:val="left"/>
        </w:tabs>
        <w:numPr>
          <w:ilvl w:val="1"/>
          <w:numId w:val="185"/>
        </w:numPr>
        <w:rPr>
          <w:rFonts w:ascii="Arial" w:cs="Arial" w:eastAsia="Arial" w:hAnsi="Arial"/>
          <w:sz w:val="13"/>
          <w:szCs w:val="13"/>
          <w:color w:val="auto"/>
        </w:rPr>
      </w:pPr>
      <w:r>
        <w:rPr>
          <w:rFonts w:ascii="Arial" w:cs="Arial" w:eastAsia="Arial" w:hAnsi="Arial"/>
          <w:sz w:val="13"/>
          <w:szCs w:val="13"/>
          <w:u w:val="single" w:color="auto"/>
          <w:color w:val="auto"/>
        </w:rPr>
        <w:t>Options</w:t>
      </w:r>
      <w:r>
        <w:rPr>
          <w:rFonts w:ascii="Arial" w:cs="Arial" w:eastAsia="Arial" w:hAnsi="Arial"/>
          <w:sz w:val="13"/>
          <w:szCs w:val="13"/>
          <w:color w:val="auto"/>
        </w:rPr>
        <w:t>. The Committee is authorized to grant Options, which may be designated as either ISOs or Nonstatutory Stock Options, to Eligible Persons on the</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following terms and conditions:</w:t>
      </w:r>
    </w:p>
    <w:p>
      <w:pPr>
        <w:spacing w:after="0" w:line="168" w:lineRule="exact"/>
        <w:rPr>
          <w:rFonts w:ascii="Arial" w:cs="Arial" w:eastAsia="Arial" w:hAnsi="Arial"/>
          <w:sz w:val="13"/>
          <w:szCs w:val="13"/>
          <w:color w:val="auto"/>
        </w:rPr>
      </w:pPr>
    </w:p>
    <w:p>
      <w:pPr>
        <w:jc w:val="both"/>
        <w:ind w:firstLine="1590"/>
        <w:spacing w:after="0" w:line="294" w:lineRule="auto"/>
        <w:tabs>
          <w:tab w:leader="none" w:pos="2595" w:val="left"/>
        </w:tabs>
        <w:numPr>
          <w:ilvl w:val="2"/>
          <w:numId w:val="185"/>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Each Award Agreement evidencing an Option shall state the exercise price per share of Stock (the “</w:t>
      </w:r>
      <w:r>
        <w:rPr>
          <w:rFonts w:ascii="Arial" w:cs="Arial" w:eastAsia="Arial" w:hAnsi="Arial"/>
          <w:sz w:val="13"/>
          <w:szCs w:val="13"/>
          <w:b w:val="1"/>
          <w:bCs w:val="1"/>
          <w:i w:val="1"/>
          <w:iCs w:val="1"/>
          <w:color w:val="auto"/>
        </w:rPr>
        <w:t>Exercise Price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except as provided in Section 6(d) or in Section 8 hereof, the Exercise Price of an Option shall not be less than the greater of (A) the par value per share of the Stock or (B) 100% of the Fair Market Value per share of the Stock as of the date of grant of the Option (or in the case of an ISO granted to an individual who owns stock possessing more than 10% of the total combined voting power of all classes of stock of the Company or its parent or any Subsidiary, 110% of the Fair Market Value per share of the Stock on the date of grant). Except as otherwise provided in Section 6(d), in the event an Option is granted with an Exercise Price less than 100% of the Fair Market Value per share of the Stock as of the date of grant of the Option, the Exercise Price of such Option shall be deemed to be 100% of the Fair Market Value per share of the Stock as of the date of grant of the Option.</w:t>
      </w:r>
    </w:p>
    <w:p>
      <w:pPr>
        <w:spacing w:after="0" w:line="131" w:lineRule="exact"/>
        <w:rPr>
          <w:rFonts w:ascii="Arial" w:cs="Arial" w:eastAsia="Arial" w:hAnsi="Arial"/>
          <w:sz w:val="13"/>
          <w:szCs w:val="13"/>
          <w:color w:val="auto"/>
        </w:rPr>
      </w:pPr>
    </w:p>
    <w:p>
      <w:pPr>
        <w:jc w:val="both"/>
        <w:ind w:firstLine="1590"/>
        <w:spacing w:after="0" w:line="288" w:lineRule="auto"/>
        <w:tabs>
          <w:tab w:leader="none" w:pos="2281" w:val="left"/>
        </w:tabs>
        <w:numPr>
          <w:ilvl w:val="2"/>
          <w:numId w:val="185"/>
        </w:numPr>
        <w:rPr>
          <w:rFonts w:ascii="Arial" w:cs="Arial" w:eastAsia="Arial" w:hAnsi="Arial"/>
          <w:sz w:val="13"/>
          <w:szCs w:val="13"/>
          <w:color w:val="auto"/>
        </w:rPr>
      </w:pPr>
      <w:r>
        <w:rPr>
          <w:rFonts w:ascii="Arial" w:cs="Arial" w:eastAsia="Arial" w:hAnsi="Arial"/>
          <w:sz w:val="13"/>
          <w:szCs w:val="13"/>
          <w:u w:val="single" w:color="auto"/>
          <w:color w:val="auto"/>
        </w:rPr>
        <w:t>Time and Method of Exercise</w:t>
      </w:r>
      <w:r>
        <w:rPr>
          <w:rFonts w:ascii="Arial" w:cs="Arial" w:eastAsia="Arial" w:hAnsi="Arial"/>
          <w:sz w:val="13"/>
          <w:szCs w:val="13"/>
          <w:color w:val="auto"/>
        </w:rPr>
        <w:t>. The Committee shall determine the time or times at which or the circumstances under which an Option may be exercised in whole or in part (including based on achievement of performance goals and/or future service requirements), the methods by which such Exercise Price may be paid or deemed to be paid, the form of such payment, including without limitation, cash or cash equivalents, Stock (including previously owned shares or through a cashless or broker-assisted exercise or other reduction of the amount of shares otherwise issuable pursuant to the Option), other Awards or awards granted under other plans of the Company or any Subsidiary, other property, or any other legal consideration the Committee deems appropriate (including notes or other contractual obligations of Participants to make payment on a deferred basis), and the methods by or forms in which Stock will be delivered or deemed to be delivered to Participants, including, but not limited to, the delivery of Restricted Stock subject to Section 6(c). In the case of an exercise whereby the Exercise Price is paid with Stock, such Stock shall be valued as of the date of exercise. No Option may be exercisable for a period of more than ten (10) years following the date of grant of the Option (or in the case of an ISO granted to an individual who owns stock possessing more than 10% of the total combined voting power of all classes of stock of the Company or its parent or any Subsidiary, for a period of no more than five (5) years following the date of grant of the ISO). Notwithstanding the foregoing, upon the occurrence of Detrimental Activity the unexercised portion of any outstanding Option held by a Participant determined to have engaged in such Detrimental Activity will immediately terminate.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1" w:name="page342"/>
    <w:bookmarkEnd w:id="341"/>
    <w:p>
      <w:pPr>
        <w:jc w:val="both"/>
        <w:ind w:firstLine="1590"/>
        <w:spacing w:after="0" w:line="288" w:lineRule="auto"/>
        <w:tabs>
          <w:tab w:leader="none" w:pos="2241" w:val="left"/>
        </w:tabs>
        <w:numPr>
          <w:ilvl w:val="1"/>
          <w:numId w:val="186"/>
        </w:numPr>
        <w:rPr>
          <w:rFonts w:ascii="Arial" w:cs="Arial" w:eastAsia="Arial" w:hAnsi="Arial"/>
          <w:sz w:val="13"/>
          <w:szCs w:val="13"/>
          <w:color w:val="auto"/>
        </w:rPr>
      </w:pPr>
      <w:r>
        <w:rPr>
          <w:rFonts w:ascii="Arial" w:cs="Arial" w:eastAsia="Arial" w:hAnsi="Arial"/>
          <w:sz w:val="13"/>
          <w:szCs w:val="13"/>
          <w:u w:val="single" w:color="auto"/>
          <w:color w:val="auto"/>
        </w:rPr>
        <w:t>ISOs</w:t>
      </w:r>
      <w:r>
        <w:rPr>
          <w:rFonts w:ascii="Arial" w:cs="Arial" w:eastAsia="Arial" w:hAnsi="Arial"/>
          <w:sz w:val="13"/>
          <w:szCs w:val="13"/>
          <w:color w:val="auto"/>
        </w:rPr>
        <w:t>. The terms of any ISO granted under this Plan shall comply in all respects with the provisions of section 422 of the Code. ISOs may only be granted to Eligible Persons who are employees of the Company or employees of a parent or Subsidiary corporation of the Company. Except as otherwise provided in Section 8, no term of this Plan relating to ISOs shall be interpreted, amended or altered, nor shall any discretion or authority granted under this Plan be exercised, so as to disqualify either this Plan or any ISO under section 422 of the Code, unless the Participant has first requested the change that will result in such disqualification. ISOs shall not be granted more than ten years after the earlier of the adoption of this Plan or the approval of this Plan by the Company’s stockholders. Notwithstanding the foregoing, the Fair Market Value of shares of Stock subject to an ISO and the aggregate Fair Market Value of shares of stock of any parent or subsidiary corporation (within the meaning of sections 424(e) and (f) of the Code) subject to any other ISO (within the meaning of section 422 of the Code) of the Company or a parent or subsidiary corporation (within the meaning of sections 424(e) and (f) of the Code) that first becomes purchasable by a Participant in any calendar year may not (with respect to that Participant) exceed $100,000, or such other amount as may be prescribed under section 422 of the Code or applicable regulations or rulings from time to time. As used in the previous sentence, Fair Market Value shall be determined as of the date the ISOs are granted. Failure to comply with this provision shall not impair the enforceability or exercisability of any Option, but shall cause the excess amount of shares to be reclassified in accordance with the Code.</w:t>
      </w:r>
    </w:p>
    <w:p>
      <w:pPr>
        <w:spacing w:after="0" w:line="139" w:lineRule="exact"/>
        <w:rPr>
          <w:rFonts w:ascii="Arial" w:cs="Arial" w:eastAsia="Arial" w:hAnsi="Arial"/>
          <w:sz w:val="13"/>
          <w:szCs w:val="13"/>
          <w:color w:val="auto"/>
        </w:rPr>
      </w:pPr>
    </w:p>
    <w:p>
      <w:pPr>
        <w:ind w:firstLine="1063"/>
        <w:spacing w:after="0" w:line="300" w:lineRule="auto"/>
        <w:tabs>
          <w:tab w:leader="none" w:pos="1887"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Restricted Stock</w:t>
      </w:r>
      <w:r>
        <w:rPr>
          <w:rFonts w:ascii="Arial" w:cs="Arial" w:eastAsia="Arial" w:hAnsi="Arial"/>
          <w:sz w:val="14"/>
          <w:szCs w:val="14"/>
          <w:color w:val="auto"/>
        </w:rPr>
        <w:t>. The Committee is authorized to grant Restricted Stock to Eligible Persons on the following terms and conditions. The purchase price for an award of Restricted Stock will be 100% of the Fair Market Value per share of the Stock as of the date of grant of the right to purchase the Restricted Stock.</w:t>
      </w:r>
    </w:p>
    <w:p>
      <w:pPr>
        <w:spacing w:after="0" w:line="124" w:lineRule="exact"/>
        <w:rPr>
          <w:rFonts w:ascii="Arial" w:cs="Arial" w:eastAsia="Arial" w:hAnsi="Arial"/>
          <w:sz w:val="14"/>
          <w:szCs w:val="14"/>
          <w:color w:val="auto"/>
        </w:rPr>
      </w:pPr>
    </w:p>
    <w:p>
      <w:pPr>
        <w:jc w:val="both"/>
        <w:ind w:firstLine="1590"/>
        <w:spacing w:after="0" w:line="274" w:lineRule="auto"/>
        <w:tabs>
          <w:tab w:leader="none" w:pos="2460" w:val="left"/>
        </w:tabs>
        <w:numPr>
          <w:ilvl w:val="1"/>
          <w:numId w:val="187"/>
        </w:numPr>
        <w:rPr>
          <w:rFonts w:ascii="Arial" w:cs="Arial" w:eastAsia="Arial" w:hAnsi="Arial"/>
          <w:sz w:val="14"/>
          <w:szCs w:val="14"/>
          <w:color w:val="auto"/>
        </w:rPr>
      </w:pPr>
      <w:r>
        <w:rPr>
          <w:rFonts w:ascii="Arial" w:cs="Arial" w:eastAsia="Arial" w:hAnsi="Arial"/>
          <w:sz w:val="14"/>
          <w:szCs w:val="14"/>
          <w:u w:val="single" w:color="auto"/>
          <w:color w:val="auto"/>
        </w:rPr>
        <w:t>Grant and Restrictions</w:t>
      </w:r>
      <w:r>
        <w:rPr>
          <w:rFonts w:ascii="Arial" w:cs="Arial" w:eastAsia="Arial" w:hAnsi="Arial"/>
          <w:sz w:val="14"/>
          <w:szCs w:val="14"/>
          <w:color w:val="auto"/>
        </w:rPr>
        <w:t>. Restricted Stock shall be subject to such restrictions on transferability, risk of forfeiture and other restrictions, if any, as the Committee may impose, which restrictions may lapse separately or in combination at such times, under such circumstances (including based on achievement of performance goals and/or future service requirements), in such installments or otherwise, as the Committee may determine at the date of grant or thereafter. During the restricted period applicable to the Restricted Stock, the Restricted Stock may not be sold, transferred, pledged, hypothecated, margined or otherwise encumbered by the Participant.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342" w:name="page343"/>
    <w:bookmarkEnd w:id="342"/>
    <w:p>
      <w:pPr>
        <w:jc w:val="both"/>
        <w:ind w:firstLine="1590"/>
        <w:spacing w:after="0" w:line="248" w:lineRule="auto"/>
        <w:tabs>
          <w:tab w:leader="none" w:pos="2328" w:val="left"/>
        </w:tabs>
        <w:numPr>
          <w:ilvl w:val="2"/>
          <w:numId w:val="188"/>
        </w:numPr>
        <w:rPr>
          <w:rFonts w:ascii="Arial" w:cs="Arial" w:eastAsia="Arial" w:hAnsi="Arial"/>
          <w:sz w:val="15"/>
          <w:szCs w:val="15"/>
          <w:color w:val="auto"/>
        </w:rPr>
      </w:pPr>
      <w:r>
        <w:rPr>
          <w:rFonts w:ascii="Arial" w:cs="Arial" w:eastAsia="Arial" w:hAnsi="Arial"/>
          <w:sz w:val="15"/>
          <w:szCs w:val="15"/>
          <w:u w:val="single" w:color="auto"/>
          <w:color w:val="auto"/>
        </w:rPr>
        <w:t>Dividends and Splits</w:t>
      </w:r>
      <w:r>
        <w:rPr>
          <w:rFonts w:ascii="Arial" w:cs="Arial" w:eastAsia="Arial" w:hAnsi="Arial"/>
          <w:sz w:val="15"/>
          <w:szCs w:val="15"/>
          <w:color w:val="auto"/>
        </w:rPr>
        <w:t xml:space="preserve">. As a condition to the grant of an Award of Restricted Stock, the Committee may allow a Participant to elect, or may require, that any cash dividends paid on a share of Restricted Stock be automatically reinvested in additional shares of Restricted Stock, applied to the purchase of additional Awards under this Plan or deferred without interest to the date of vesting of the associated Award of Restricted Stock; </w:t>
      </w:r>
      <w:r>
        <w:rPr>
          <w:rFonts w:ascii="Arial" w:cs="Arial" w:eastAsia="Arial" w:hAnsi="Arial"/>
          <w:sz w:val="15"/>
          <w:szCs w:val="15"/>
          <w:u w:val="single" w:color="auto"/>
          <w:color w:val="auto"/>
        </w:rPr>
        <w:t>provided</w:t>
      </w:r>
      <w:r>
        <w:rPr>
          <w:rFonts w:ascii="Arial" w:cs="Arial" w:eastAsia="Arial" w:hAnsi="Arial"/>
          <w:sz w:val="15"/>
          <w:szCs w:val="15"/>
          <w:color w:val="auto"/>
        </w:rPr>
        <w:t>, that, to the extent applicable, any such election is intended to comply with the Nonqualified Deferred Compensation Rules. Unless otherwise determined by the Committee and specified in the applicable Award Agreement, Stock distributed in connection with a Stock split or Stock dividend, and other property (other than cash) distributed as a dividend, shall be subject to restrictions and a risk of forfeiture to the same extent as the Restricted Stock with respect to which such Stock or other property has been distributed.</w:t>
      </w:r>
    </w:p>
    <w:p>
      <w:pPr>
        <w:spacing w:after="0" w:line="161" w:lineRule="exact"/>
        <w:rPr>
          <w:rFonts w:ascii="Arial" w:cs="Arial" w:eastAsia="Arial" w:hAnsi="Arial"/>
          <w:sz w:val="15"/>
          <w:szCs w:val="15"/>
          <w:color w:val="auto"/>
        </w:rPr>
      </w:pPr>
    </w:p>
    <w:p>
      <w:pPr>
        <w:jc w:val="both"/>
        <w:ind w:firstLine="1063"/>
        <w:spacing w:after="0" w:line="297" w:lineRule="auto"/>
        <w:tabs>
          <w:tab w:leader="none" w:pos="1807" w:val="left"/>
        </w:tabs>
        <w:numPr>
          <w:ilvl w:val="1"/>
          <w:numId w:val="189"/>
        </w:numPr>
        <w:rPr>
          <w:rFonts w:ascii="Arial" w:cs="Arial" w:eastAsia="Arial" w:hAnsi="Arial"/>
          <w:sz w:val="13"/>
          <w:szCs w:val="13"/>
          <w:color w:val="auto"/>
        </w:rPr>
      </w:pPr>
      <w:r>
        <w:rPr>
          <w:rFonts w:ascii="Arial" w:cs="Arial" w:eastAsia="Arial" w:hAnsi="Arial"/>
          <w:sz w:val="13"/>
          <w:szCs w:val="13"/>
          <w:u w:val="single" w:color="auto"/>
          <w:color w:val="auto"/>
        </w:rPr>
        <w:t>Substitute Awards</w:t>
      </w:r>
      <w:r>
        <w:rPr>
          <w:rFonts w:ascii="Arial" w:cs="Arial" w:eastAsia="Arial" w:hAnsi="Arial"/>
          <w:sz w:val="13"/>
          <w:szCs w:val="13"/>
          <w:color w:val="auto"/>
        </w:rPr>
        <w:t>. Awards may be granted in substitution or exchange for any other Award granted under the Plan or under another plan of the Company or any other right of an Eligible Person to receive payment from the Company. Awards may be also be granted under the Plan in substitution for similar awards held by individuals who become Eligible Persons as a result of a merger, consolidation or acquisition of another entity or the assets of another entity by or with the Company or an Affiliate of the Company. Such Substitute Awards referred to in the immediately preceding sentence that are Options or Stock Appreciation Rights may have an exercise price that is less than the Fair Market Value of a share of Stock on the date of the substitution if such substitution complies with the Nonqualified Deferred Compensation Rules and other applicable laws and exchange rules.</w:t>
      </w:r>
    </w:p>
    <w:p>
      <w:pPr>
        <w:spacing w:after="0" w:line="125" w:lineRule="exact"/>
        <w:rPr>
          <w:rFonts w:ascii="Arial" w:cs="Arial" w:eastAsia="Arial" w:hAnsi="Arial"/>
          <w:sz w:val="13"/>
          <w:szCs w:val="13"/>
          <w:color w:val="auto"/>
        </w:rPr>
      </w:pPr>
    </w:p>
    <w:p>
      <w:pPr>
        <w:ind w:left="1300" w:hanging="765"/>
        <w:spacing w:after="0"/>
        <w:tabs>
          <w:tab w:leader="none" w:pos="1300" w:val="left"/>
        </w:tabs>
        <w:numPr>
          <w:ilvl w:val="0"/>
          <w:numId w:val="190"/>
        </w:numPr>
        <w:rPr>
          <w:rFonts w:ascii="Arial" w:cs="Arial" w:eastAsia="Arial" w:hAnsi="Arial"/>
          <w:sz w:val="15"/>
          <w:szCs w:val="15"/>
          <w:color w:val="auto"/>
        </w:rPr>
      </w:pPr>
      <w:r>
        <w:rPr>
          <w:rFonts w:ascii="Arial" w:cs="Arial" w:eastAsia="Arial" w:hAnsi="Arial"/>
          <w:sz w:val="15"/>
          <w:szCs w:val="15"/>
          <w:b w:val="1"/>
          <w:bCs w:val="1"/>
          <w:color w:val="auto"/>
        </w:rPr>
        <w:t>Certain Provisions Applicable to Awards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1780" w:hanging="717"/>
        <w:spacing w:after="0"/>
        <w:tabs>
          <w:tab w:leader="none" w:pos="1780" w:val="left"/>
        </w:tabs>
        <w:numPr>
          <w:ilvl w:val="1"/>
          <w:numId w:val="190"/>
        </w:numPr>
        <w:rPr>
          <w:rFonts w:ascii="Arial" w:cs="Arial" w:eastAsia="Arial" w:hAnsi="Arial"/>
          <w:sz w:val="15"/>
          <w:szCs w:val="15"/>
          <w:color w:val="auto"/>
        </w:rPr>
      </w:pPr>
      <w:r>
        <w:rPr>
          <w:rFonts w:ascii="Arial" w:cs="Arial" w:eastAsia="Arial" w:hAnsi="Arial"/>
          <w:sz w:val="15"/>
          <w:szCs w:val="15"/>
          <w:u w:val="single" w:color="auto"/>
          <w:color w:val="auto"/>
        </w:rPr>
        <w:t>Limit on Transfer of Awards and Stock Issued under the Plan</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1590"/>
        <w:spacing w:after="0" w:line="254" w:lineRule="auto"/>
        <w:tabs>
          <w:tab w:leader="none" w:pos="2420" w:val="left"/>
        </w:tabs>
        <w:numPr>
          <w:ilvl w:val="2"/>
          <w:numId w:val="190"/>
        </w:numPr>
        <w:rPr>
          <w:rFonts w:ascii="Arial" w:cs="Arial" w:eastAsia="Arial" w:hAnsi="Arial"/>
          <w:sz w:val="15"/>
          <w:szCs w:val="15"/>
          <w:color w:val="auto"/>
        </w:rPr>
      </w:pPr>
      <w:r>
        <w:rPr>
          <w:rFonts w:ascii="Arial" w:cs="Arial" w:eastAsia="Arial" w:hAnsi="Arial"/>
          <w:sz w:val="15"/>
          <w:szCs w:val="15"/>
          <w:color w:val="auto"/>
        </w:rPr>
        <w:t>Except as provided in Section 7(a)(iii) and (iv) below, each Option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156" w:lineRule="exact"/>
        <w:rPr>
          <w:sz w:val="20"/>
          <w:szCs w:val="20"/>
          <w:color w:val="auto"/>
        </w:rPr>
      </w:pPr>
    </w:p>
    <w:p>
      <w:pPr>
        <w:jc w:val="both"/>
        <w:ind w:firstLine="1590"/>
        <w:spacing w:after="0" w:line="254" w:lineRule="auto"/>
        <w:tabs>
          <w:tab w:leader="none" w:pos="2361" w:val="left"/>
        </w:tabs>
        <w:numPr>
          <w:ilvl w:val="0"/>
          <w:numId w:val="191"/>
        </w:numPr>
        <w:rPr>
          <w:rFonts w:ascii="Arial" w:cs="Arial" w:eastAsia="Arial" w:hAnsi="Arial"/>
          <w:sz w:val="15"/>
          <w:szCs w:val="15"/>
          <w:color w:val="auto"/>
        </w:rPr>
      </w:pPr>
      <w:r>
        <w:rPr>
          <w:rFonts w:ascii="Arial" w:cs="Arial" w:eastAsia="Arial" w:hAnsi="Arial"/>
          <w:sz w:val="15"/>
          <w:szCs w:val="15"/>
          <w:color w:val="auto"/>
        </w:rPr>
        <w:t>Except as provided in Section 7(a)(iii) and (iv) below, no Award, Stock issued and the Plan or any right under any Award may be assigned, alienated, pledged, attached, sold or otherwise transferred or encumbered by a Participant and any such purported assignment, alienation, pledge, attachment, sale, transfer or encumbrance shall be void and unenforceable against the Company or any Affiliate.</w:t>
      </w:r>
    </w:p>
    <w:p>
      <w:pPr>
        <w:spacing w:after="0" w:line="155" w:lineRule="exact"/>
        <w:rPr>
          <w:rFonts w:ascii="Arial" w:cs="Arial" w:eastAsia="Arial" w:hAnsi="Arial"/>
          <w:sz w:val="15"/>
          <w:szCs w:val="15"/>
          <w:color w:val="auto"/>
        </w:rPr>
      </w:pPr>
    </w:p>
    <w:p>
      <w:pPr>
        <w:ind w:firstLine="1590"/>
        <w:spacing w:after="0" w:line="341" w:lineRule="auto"/>
        <w:tabs>
          <w:tab w:leader="none" w:pos="2263"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To the extent specifically provided by the Committee, an Award and/or any Stock issued pursuant to the Plan may be transferred by a Participant without consideration to immediate family members or related family trusts, limited partnerships or similar entities or on such terms and conditions as the Committee may from time to time establish.</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3" w:name="page344"/>
    <w:bookmarkEnd w:id="343"/>
    <w:p>
      <w:pPr>
        <w:ind w:firstLine="1590"/>
        <w:spacing w:after="0" w:line="264" w:lineRule="auto"/>
        <w:tabs>
          <w:tab w:leader="none" w:pos="2401" w:val="left"/>
        </w:tabs>
        <w:numPr>
          <w:ilvl w:val="1"/>
          <w:numId w:val="192"/>
        </w:numPr>
        <w:rPr>
          <w:rFonts w:ascii="Arial" w:cs="Arial" w:eastAsia="Arial" w:hAnsi="Arial"/>
          <w:sz w:val="15"/>
          <w:szCs w:val="15"/>
          <w:color w:val="auto"/>
        </w:rPr>
      </w:pPr>
      <w:r>
        <w:rPr>
          <w:rFonts w:ascii="Arial" w:cs="Arial" w:eastAsia="Arial" w:hAnsi="Arial"/>
          <w:sz w:val="15"/>
          <w:szCs w:val="15"/>
          <w:color w:val="auto"/>
        </w:rPr>
        <w:t>An Award and/or any Stock issued pursuant to the Plan may be transferred pursuant to a domestic relations order entered or approved by a court of competent jurisdiction upon delivery to the Company of a written request for such transfer and a certified copy of such order.</w:t>
      </w:r>
    </w:p>
    <w:p>
      <w:pPr>
        <w:spacing w:after="0" w:line="147" w:lineRule="exact"/>
        <w:rPr>
          <w:rFonts w:ascii="Arial" w:cs="Arial" w:eastAsia="Arial" w:hAnsi="Arial"/>
          <w:sz w:val="15"/>
          <w:szCs w:val="15"/>
          <w:color w:val="auto"/>
        </w:rPr>
      </w:pPr>
    </w:p>
    <w:p>
      <w:pPr>
        <w:jc w:val="both"/>
        <w:ind w:firstLine="1063"/>
        <w:spacing w:after="0" w:line="247" w:lineRule="auto"/>
        <w:tabs>
          <w:tab w:leader="none" w:pos="1917"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Form and Timing of Payment under Awards; Deferrals</w:t>
      </w:r>
      <w:r>
        <w:rPr>
          <w:rFonts w:ascii="Arial" w:cs="Arial" w:eastAsia="Arial" w:hAnsi="Arial"/>
          <w:sz w:val="15"/>
          <w:szCs w:val="15"/>
          <w:color w:val="auto"/>
        </w:rPr>
        <w:t xml:space="preserve">. Subject to the terms of this Plan and any applicable Award Agreement, payments to be made by the Company or any of its Subsidiaries upon the exercise or settlement of an Award may be made in such forms as the Committee shall determine in its discretion, including without limitation cash, Stock, other Awards or other property, and may be made in a single payment or transfer, in installments, or on a deferred basis (which may be required by the Committee or permitted at the election of the Participant on terms and conditions established by the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deferred or installment payments will be set forth in the Award Agreement and/or otherwise made in a manner that will not result in additional taxes under the Nonqualified Deferred Compensation Rules. Payments may include, without limitation, provisions for the payment or crediting of reasonable interest on installment or deferred payments or the grant or crediting of Dividend Equivalents or other amounts in respect of installment or deferred payments denominated in Stock. This Plan shall not constitute an “employee benefit plan” for purposes of section 3(3) of the Employee Retirement Income Security Act of 1974, as amended.</w:t>
      </w:r>
    </w:p>
    <w:p>
      <w:pPr>
        <w:spacing w:after="0" w:line="161" w:lineRule="exact"/>
        <w:rPr>
          <w:rFonts w:ascii="Arial" w:cs="Arial" w:eastAsia="Arial" w:hAnsi="Arial"/>
          <w:sz w:val="15"/>
          <w:szCs w:val="15"/>
          <w:color w:val="auto"/>
        </w:rPr>
      </w:pPr>
    </w:p>
    <w:p>
      <w:pPr>
        <w:jc w:val="both"/>
        <w:ind w:firstLine="1063"/>
        <w:spacing w:after="0" w:line="292" w:lineRule="auto"/>
        <w:tabs>
          <w:tab w:leader="none" w:pos="1876"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Evidencing Stock</w:t>
      </w:r>
      <w:r>
        <w:rPr>
          <w:rFonts w:ascii="Arial" w:cs="Arial" w:eastAsia="Arial" w:hAnsi="Arial"/>
          <w:sz w:val="13"/>
          <w:szCs w:val="13"/>
          <w:color w:val="auto"/>
        </w:rPr>
        <w:t>. The Stock or other securities of the Company delivered pursuant to an Award may be evidenced in any manner deemed appropriate by the Committee in its sole discretion, including, but not limited to, in the form of a certificate issued in the name of the Participant or by book entry, electronic or otherwise and shall be subject to such stop transfer orders and other restrictions as the Committee may deem advisable under the Plan or the rules, regulations, and other requirements of the Securities and Exchange Commission, any stock exchange upon which such Stock or other securities are then listed, and any applicable federal, state or other laws, and the Committee may cause a legend or legends to be inscribed on any such certificates to make appropriate reference to such restrictions.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related to the Restricted Stock</w:t>
      </w:r>
    </w:p>
    <w:p>
      <w:pPr>
        <w:spacing w:after="0" w:line="133" w:lineRule="exact"/>
        <w:rPr>
          <w:rFonts w:ascii="Arial" w:cs="Arial" w:eastAsia="Arial" w:hAnsi="Arial"/>
          <w:sz w:val="13"/>
          <w:szCs w:val="13"/>
          <w:color w:val="auto"/>
        </w:rPr>
      </w:pPr>
    </w:p>
    <w:p>
      <w:pPr>
        <w:ind w:firstLine="1063"/>
        <w:spacing w:after="0" w:line="264" w:lineRule="auto"/>
        <w:tabs>
          <w:tab w:leader="none" w:pos="1851"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Consideration for Grants</w:t>
      </w:r>
      <w:r>
        <w:rPr>
          <w:rFonts w:ascii="Arial" w:cs="Arial" w:eastAsia="Arial" w:hAnsi="Arial"/>
          <w:sz w:val="15"/>
          <w:szCs w:val="15"/>
          <w:color w:val="auto"/>
        </w:rPr>
        <w:t>. Awards may be granted for such consideration, including services, as the Committee shall determine consistent with the terms of the Plan, but shall not be granted for less than the minimum lawful consideration.</w:t>
      </w:r>
    </w:p>
    <w:p>
      <w:pPr>
        <w:spacing w:after="0" w:line="147" w:lineRule="exact"/>
        <w:rPr>
          <w:rFonts w:ascii="Arial" w:cs="Arial" w:eastAsia="Arial" w:hAnsi="Arial"/>
          <w:sz w:val="15"/>
          <w:szCs w:val="15"/>
          <w:color w:val="auto"/>
        </w:rPr>
      </w:pPr>
    </w:p>
    <w:p>
      <w:pPr>
        <w:jc w:val="both"/>
        <w:ind w:firstLine="1063"/>
        <w:spacing w:after="0" w:line="251" w:lineRule="auto"/>
        <w:tabs>
          <w:tab w:leader="none" w:pos="1766"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Additional Agreements</w:t>
      </w:r>
      <w:r>
        <w:rPr>
          <w:rFonts w:ascii="Arial" w:cs="Arial" w:eastAsia="Arial" w:hAnsi="Arial"/>
          <w:sz w:val="15"/>
          <w:szCs w:val="15"/>
          <w:color w:val="auto"/>
        </w:rPr>
        <w:t>. Each Eligible Person to whom an Award is granted under this Plan may be required to agree in writing, as a condition to the grant of such Award or otherwise, to subject an Award that is exercised or settled following such Eligible Person’s termination of employment or service to a general release of claims and/or a noncompetition or other restricted covenant agreement in favor of the Company and its Affiliates, with the terms and conditions of such agreement(s) to be determined in good faith by the Committee.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4" w:name="page345"/>
    <w:bookmarkEnd w:id="344"/>
    <w:p>
      <w:pPr>
        <w:ind w:firstLine="1063"/>
        <w:spacing w:after="0" w:line="264" w:lineRule="auto"/>
        <w:tabs>
          <w:tab w:leader="none" w:pos="1996" w:val="left"/>
        </w:tabs>
        <w:numPr>
          <w:ilvl w:val="1"/>
          <w:numId w:val="194"/>
        </w:numPr>
        <w:rPr>
          <w:rFonts w:ascii="Arial" w:cs="Arial" w:eastAsia="Arial" w:hAnsi="Arial"/>
          <w:sz w:val="15"/>
          <w:szCs w:val="15"/>
          <w:color w:val="auto"/>
        </w:rPr>
      </w:pPr>
      <w:r>
        <w:rPr>
          <w:rFonts w:ascii="Arial" w:cs="Arial" w:eastAsia="Arial" w:hAnsi="Arial"/>
          <w:sz w:val="15"/>
          <w:szCs w:val="15"/>
          <w:u w:val="single" w:color="auto"/>
          <w:color w:val="auto"/>
        </w:rPr>
        <w:t>Termination of Service</w:t>
      </w:r>
      <w:r>
        <w:rPr>
          <w:rFonts w:ascii="Arial" w:cs="Arial" w:eastAsia="Arial" w:hAnsi="Arial"/>
          <w:sz w:val="15"/>
          <w:szCs w:val="15"/>
          <w:color w:val="auto"/>
        </w:rPr>
        <w:t>. Except as provided herein, the treatment of an Award upon a termination of employment or any other service relationship by and between a Participant and the Company or any Affiliate shall be specified in the applicable Award Agreement.</w:t>
      </w:r>
    </w:p>
    <w:p>
      <w:pPr>
        <w:spacing w:after="0" w:line="143" w:lineRule="exact"/>
        <w:rPr>
          <w:rFonts w:ascii="Arial" w:cs="Arial" w:eastAsia="Arial" w:hAnsi="Arial"/>
          <w:sz w:val="15"/>
          <w:szCs w:val="15"/>
          <w:color w:val="auto"/>
        </w:rPr>
      </w:pPr>
    </w:p>
    <w:p>
      <w:pPr>
        <w:ind w:left="1300" w:hanging="765"/>
        <w:spacing w:after="0"/>
        <w:tabs>
          <w:tab w:leader="none" w:pos="1300" w:val="left"/>
        </w:tabs>
        <w:numPr>
          <w:ilvl w:val="0"/>
          <w:numId w:val="195"/>
        </w:numPr>
        <w:rPr>
          <w:rFonts w:ascii="Arial" w:cs="Arial" w:eastAsia="Arial" w:hAnsi="Arial"/>
          <w:sz w:val="15"/>
          <w:szCs w:val="15"/>
          <w:color w:val="auto"/>
        </w:rPr>
      </w:pPr>
      <w:r>
        <w:rPr>
          <w:rFonts w:ascii="Arial" w:cs="Arial" w:eastAsia="Arial" w:hAnsi="Arial"/>
          <w:sz w:val="15"/>
          <w:szCs w:val="15"/>
          <w:b w:val="1"/>
          <w:bCs w:val="1"/>
          <w:color w:val="auto"/>
        </w:rPr>
        <w:t>Amendment; Subdivision or Consolidation; Recapitalization; Change of Control; Reorganization</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63"/>
        <w:spacing w:after="0" w:line="266" w:lineRule="auto"/>
        <w:tabs>
          <w:tab w:leader="none" w:pos="1887" w:val="left"/>
        </w:tabs>
        <w:numPr>
          <w:ilvl w:val="1"/>
          <w:numId w:val="195"/>
        </w:numPr>
        <w:rPr>
          <w:rFonts w:ascii="Arial" w:cs="Arial" w:eastAsia="Arial" w:hAnsi="Arial"/>
          <w:sz w:val="14"/>
          <w:szCs w:val="14"/>
          <w:color w:val="auto"/>
        </w:rPr>
      </w:pPr>
      <w:r>
        <w:rPr>
          <w:rFonts w:ascii="Arial" w:cs="Arial" w:eastAsia="Arial" w:hAnsi="Arial"/>
          <w:sz w:val="14"/>
          <w:szCs w:val="14"/>
          <w:u w:val="single" w:color="auto"/>
          <w:color w:val="auto"/>
        </w:rPr>
        <w:t>Amendments to the Plan and Awards</w:t>
      </w:r>
      <w:r>
        <w:rPr>
          <w:rFonts w:ascii="Arial" w:cs="Arial" w:eastAsia="Arial" w:hAnsi="Arial"/>
          <w:sz w:val="14"/>
          <w:szCs w:val="14"/>
          <w:color w:val="auto"/>
        </w:rPr>
        <w:t xml:space="preserve">. The Board may amend, alter, suspend, discontinue or terminate this Plan or the Committee’s authority to grant Awards under this Plan without the consent of stockholders or Participants, except that any amendment or alteration to this Plan, including any increase in any share limitation, shall be subject to the approval of the Company’s stockholders not later than the annual meeting next following such Board action if such stockholder approval is required by any federal or state law or regulation or the rules of any stock exchange or automated quotation system on which the Stock may then be listed or quoted, and the Board may otherwise, in its discretion, determine to submit other such changes to this Plan to stockholders for approval;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this Plan;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without the consent of an affected Participant, no such Committee action may materially and adversely affect the rights of such Participant under such Award. For purposes of clarity, any adjustments made to Awards pursuant to Section 8(b) through 8(h) will be deemed </w:t>
      </w:r>
      <w:r>
        <w:rPr>
          <w:rFonts w:ascii="Arial" w:cs="Arial" w:eastAsia="Arial" w:hAnsi="Arial"/>
          <w:sz w:val="14"/>
          <w:szCs w:val="14"/>
          <w:i w:val="1"/>
          <w:iCs w:val="1"/>
          <w:color w:val="auto"/>
        </w:rPr>
        <w:t>not</w:t>
      </w:r>
      <w:r>
        <w:rPr>
          <w:rFonts w:ascii="Arial" w:cs="Arial" w:eastAsia="Arial" w:hAnsi="Arial"/>
          <w:sz w:val="14"/>
          <w:szCs w:val="14"/>
          <w:color w:val="auto"/>
        </w:rPr>
        <w:t xml:space="preserve"> to materially and adversely affect the rights of any Participant under any previously granted and outstanding Award and therefore may be made without the consent of affected Participants.</w:t>
      </w:r>
    </w:p>
    <w:p>
      <w:pPr>
        <w:spacing w:after="0" w:line="149" w:lineRule="exact"/>
        <w:rPr>
          <w:rFonts w:ascii="Arial" w:cs="Arial" w:eastAsia="Arial" w:hAnsi="Arial"/>
          <w:sz w:val="14"/>
          <w:szCs w:val="14"/>
          <w:color w:val="auto"/>
        </w:rPr>
      </w:pPr>
    </w:p>
    <w:p>
      <w:pPr>
        <w:jc w:val="both"/>
        <w:ind w:firstLine="1063"/>
        <w:spacing w:after="0" w:line="271" w:lineRule="auto"/>
        <w:tabs>
          <w:tab w:leader="none" w:pos="1829" w:val="left"/>
        </w:tabs>
        <w:numPr>
          <w:ilvl w:val="1"/>
          <w:numId w:val="195"/>
        </w:numPr>
        <w:rPr>
          <w:rFonts w:ascii="Arial" w:cs="Arial" w:eastAsia="Arial" w:hAnsi="Arial"/>
          <w:sz w:val="14"/>
          <w:szCs w:val="14"/>
          <w:color w:val="auto"/>
        </w:rPr>
      </w:pPr>
      <w:r>
        <w:rPr>
          <w:rFonts w:ascii="Arial" w:cs="Arial" w:eastAsia="Arial" w:hAnsi="Arial"/>
          <w:sz w:val="14"/>
          <w:szCs w:val="14"/>
          <w:u w:val="single" w:color="auto"/>
          <w:color w:val="auto"/>
        </w:rPr>
        <w:t>Existence of Plans and Awards</w:t>
      </w:r>
      <w:r>
        <w:rPr>
          <w:rFonts w:ascii="Arial" w:cs="Arial" w:eastAsia="Arial" w:hAnsi="Arial"/>
          <w:sz w:val="14"/>
          <w:szCs w:val="14"/>
          <w:color w:val="auto"/>
        </w:rPr>
        <w:t>. The existence of this Plan and the Awards granted hereunder shall not affect in any way the right or power of the Company, the Board or the stockholders of the Company to make or authorize any adjustment, recapitalization, reorganization or other change in the Company’s capital structure or its business, any merger or consolidation of the Company, any issue of debt or equity securities ahead of or affecting Stock or the rights thereof, the dissolution or liquidation of the Company or any sale, lease, exchange or other disposition of all or any part of its assets or business or any other corporate act or proceeding. In no event will any action taken by the Committee pursuant to this Section 8 result in the creation of deferred compensation within the meaning of the Nonqualified Deferred Compensation Rules.</w:t>
      </w:r>
    </w:p>
    <w:p>
      <w:pPr>
        <w:spacing w:after="0" w:line="145" w:lineRule="exact"/>
        <w:rPr>
          <w:rFonts w:ascii="Arial" w:cs="Arial" w:eastAsia="Arial" w:hAnsi="Arial"/>
          <w:sz w:val="14"/>
          <w:szCs w:val="14"/>
          <w:color w:val="auto"/>
        </w:rPr>
      </w:pPr>
    </w:p>
    <w:p>
      <w:pPr>
        <w:ind w:firstLine="1063"/>
        <w:spacing w:after="0" w:line="264" w:lineRule="auto"/>
        <w:tabs>
          <w:tab w:leader="none" w:pos="1854" w:val="left"/>
        </w:tabs>
        <w:numPr>
          <w:ilvl w:val="1"/>
          <w:numId w:val="195"/>
        </w:numPr>
        <w:rPr>
          <w:rFonts w:ascii="Arial" w:cs="Arial" w:eastAsia="Arial" w:hAnsi="Arial"/>
          <w:sz w:val="15"/>
          <w:szCs w:val="15"/>
          <w:color w:val="auto"/>
        </w:rPr>
      </w:pPr>
      <w:r>
        <w:rPr>
          <w:rFonts w:ascii="Arial" w:cs="Arial" w:eastAsia="Arial" w:hAnsi="Arial"/>
          <w:sz w:val="15"/>
          <w:szCs w:val="15"/>
          <w:u w:val="single" w:color="auto"/>
          <w:color w:val="auto"/>
        </w:rPr>
        <w:t>Subdivision or Consolidation of Shares</w:t>
      </w:r>
      <w:r>
        <w:rPr>
          <w:rFonts w:ascii="Arial" w:cs="Arial" w:eastAsia="Arial" w:hAnsi="Arial"/>
          <w:sz w:val="15"/>
          <w:szCs w:val="15"/>
          <w:color w:val="auto"/>
        </w:rPr>
        <w:t>. The terms of an Award and the share limitations under the Plan shall be subject to adjustment by the Committee from time to time, in accordance with the following provisions:</w:t>
      </w:r>
    </w:p>
    <w:p>
      <w:pPr>
        <w:spacing w:after="0" w:line="147" w:lineRule="exact"/>
        <w:rPr>
          <w:rFonts w:ascii="Arial" w:cs="Arial" w:eastAsia="Arial" w:hAnsi="Arial"/>
          <w:sz w:val="15"/>
          <w:szCs w:val="15"/>
          <w:color w:val="auto"/>
        </w:rPr>
      </w:pPr>
    </w:p>
    <w:p>
      <w:pPr>
        <w:jc w:val="both"/>
        <w:ind w:firstLine="1590"/>
        <w:spacing w:after="0" w:line="268" w:lineRule="auto"/>
        <w:tabs>
          <w:tab w:leader="none" w:pos="2383" w:val="left"/>
        </w:tabs>
        <w:numPr>
          <w:ilvl w:val="2"/>
          <w:numId w:val="195"/>
        </w:numPr>
        <w:rPr>
          <w:rFonts w:ascii="Arial" w:cs="Arial" w:eastAsia="Arial" w:hAnsi="Arial"/>
          <w:sz w:val="14"/>
          <w:szCs w:val="14"/>
          <w:color w:val="auto"/>
        </w:rPr>
      </w:pPr>
      <w:r>
        <w:rPr>
          <w:rFonts w:ascii="Arial" w:cs="Arial" w:eastAsia="Arial" w:hAnsi="Arial"/>
          <w:sz w:val="14"/>
          <w:szCs w:val="14"/>
          <w:color w:val="auto"/>
        </w:rPr>
        <w:t>If at any time, or from time to time, the Company shall subdivide as a whole (by reclassification, by a Stock split, by the issuance of a distribution on Stock payable in Stock, or otherwise) the number of shares of Stock then outstanding into a greater number of shares of Stock or in the event the Company distributes an extraordinary cash dividend, then, as appropriate (A) the maximum number of shares of Stock available for the Plan or in connection with Awards as provided in Sections 4 and 5 shall be increased proportionately (or as appropriate to reflect an extraordinary cash dividend), and the kind of shares or other securities available for the Plan shall be appropriately adjusted, (B) the number of shares of Stock (or other kind of shares or securities) that may be acquired under any then outstanding Award shall be increased proportionately, and (C) the price (including the Exercise Price or grant price) for each share of Stock (or other kind of shares or securities) subject to then outstanding Awards shall be reduced proportionately, without changing the aggregate purchase price or value as to which outstanding Awards remain exercisable or subject to restrictions.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5" w:name="page346"/>
    <w:bookmarkEnd w:id="345"/>
    <w:p>
      <w:pPr>
        <w:jc w:val="both"/>
        <w:ind w:firstLine="1590"/>
        <w:spacing w:after="0" w:line="269" w:lineRule="auto"/>
        <w:tabs>
          <w:tab w:leader="none" w:pos="2350" w:val="left"/>
        </w:tabs>
        <w:numPr>
          <w:ilvl w:val="1"/>
          <w:numId w:val="196"/>
        </w:numPr>
        <w:rPr>
          <w:rFonts w:ascii="Arial" w:cs="Arial" w:eastAsia="Arial" w:hAnsi="Arial"/>
          <w:sz w:val="14"/>
          <w:szCs w:val="14"/>
          <w:color w:val="auto"/>
        </w:rPr>
      </w:pPr>
      <w:r>
        <w:rPr>
          <w:rFonts w:ascii="Arial" w:cs="Arial" w:eastAsia="Arial" w:hAnsi="Arial"/>
          <w:sz w:val="14"/>
          <w:szCs w:val="14"/>
          <w:color w:val="auto"/>
        </w:rPr>
        <w:t>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the Plan or in connection with Awards as provided in Sections 4 and 5 shall be decreased proportionately, and the kind of shares or other securities available for the Plan shall be appropriately adjusted, (B) the number of shares of Stock (or other kind of shares or securities) that may be acquired under any then outstanding Award shall be decreased proportionately, and (C) the price (including the exercise price) for each share of Stock (or other kind of shares or securities) subject to then outstanding Awards shall be increased proportionately, without changing the aggregate purchase price or value as to which outstanding Awards remain exercisable or subject to restrictions.</w:t>
      </w:r>
    </w:p>
    <w:p>
      <w:pPr>
        <w:spacing w:after="0" w:line="147" w:lineRule="exact"/>
        <w:rPr>
          <w:rFonts w:ascii="Arial" w:cs="Arial" w:eastAsia="Arial" w:hAnsi="Arial"/>
          <w:sz w:val="14"/>
          <w:szCs w:val="14"/>
          <w:color w:val="auto"/>
        </w:rPr>
      </w:pPr>
    </w:p>
    <w:p>
      <w:pPr>
        <w:jc w:val="both"/>
        <w:ind w:firstLine="1590"/>
        <w:spacing w:after="0" w:line="274" w:lineRule="auto"/>
        <w:tabs>
          <w:tab w:leader="none" w:pos="2274" w:val="left"/>
        </w:tabs>
        <w:numPr>
          <w:ilvl w:val="1"/>
          <w:numId w:val="196"/>
        </w:numPr>
        <w:rPr>
          <w:rFonts w:ascii="Arial" w:cs="Arial" w:eastAsia="Arial" w:hAnsi="Arial"/>
          <w:sz w:val="14"/>
          <w:szCs w:val="14"/>
          <w:color w:val="auto"/>
        </w:rPr>
      </w:pPr>
      <w:r>
        <w:rPr>
          <w:rFonts w:ascii="Arial" w:cs="Arial" w:eastAsia="Arial" w:hAnsi="Arial"/>
          <w:sz w:val="14"/>
          <w:szCs w:val="14"/>
          <w:color w:val="auto"/>
        </w:rPr>
        <w:t>Whenever the number of shares of Stock subject to outstanding Awards and the price for each share of Stock subject to outstanding Awards are required to be adjusted as provided in this Section 8(c), the Committee shall promptly prepare a notice setting forth, in reasonable detail, the event requiring adjustment, the amount of the adjustment, the method by which such adjustment was calculated, and the change in price and the number of shares of Stock, other securities, cash, or property purchasable subject to each Award after giving effect to the adjustments. The Committee shall promptly provide each affected Participant with such notice.</w:t>
      </w:r>
    </w:p>
    <w:p>
      <w:pPr>
        <w:spacing w:after="0" w:line="143" w:lineRule="exact"/>
        <w:rPr>
          <w:rFonts w:ascii="Arial" w:cs="Arial" w:eastAsia="Arial" w:hAnsi="Arial"/>
          <w:sz w:val="14"/>
          <w:szCs w:val="14"/>
          <w:color w:val="auto"/>
        </w:rPr>
      </w:pPr>
    </w:p>
    <w:p>
      <w:pPr>
        <w:jc w:val="both"/>
        <w:ind w:firstLine="1063"/>
        <w:spacing w:after="0" w:line="249" w:lineRule="auto"/>
        <w:tabs>
          <w:tab w:leader="none" w:pos="2071"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Recapitalization</w:t>
      </w:r>
      <w:r>
        <w:rPr>
          <w:rFonts w:ascii="Arial" w:cs="Arial" w:eastAsia="Arial" w:hAnsi="Arial"/>
          <w:sz w:val="15"/>
          <w:szCs w:val="15"/>
          <w:color w:val="auto"/>
        </w:rPr>
        <w:t>. If the Company recapitalizes, reclassifies its capital stock, or otherwise changes its capital structure (a “</w:t>
      </w:r>
      <w:r>
        <w:rPr>
          <w:rFonts w:ascii="Arial" w:cs="Arial" w:eastAsia="Arial" w:hAnsi="Arial"/>
          <w:sz w:val="15"/>
          <w:szCs w:val="15"/>
          <w:b w:val="1"/>
          <w:bCs w:val="1"/>
          <w:i w:val="1"/>
          <w:iCs w:val="1"/>
          <w:color w:val="auto"/>
        </w:rPr>
        <w:t>recapitalization</w:t>
      </w:r>
      <w:r>
        <w:rPr>
          <w:rFonts w:ascii="Arial" w:cs="Arial" w:eastAsia="Arial" w:hAnsi="Arial"/>
          <w:sz w:val="15"/>
          <w:szCs w:val="15"/>
          <w:color w:val="auto"/>
        </w:rPr>
        <w:t>”) without the occurrence of a Change of Control, the number and class of shares of Stock covered by an Award theretofore granted shall be adjusted so that such Award shall thereafter cover the number and class of shares of Stock and securities to which the holder would have been entitled pursuant to the terms of the recapitalization if, immediately prior to the recapitalization, the holder had been the holder of record of the number of shares of Stock then covered by such Award and the share limitations provided in Sections 4 and 5 shall be adjusted in a manner consistent with the recapitalization.</w:t>
      </w:r>
    </w:p>
    <w:p>
      <w:pPr>
        <w:spacing w:after="0" w:line="159" w:lineRule="exact"/>
        <w:rPr>
          <w:rFonts w:ascii="Arial" w:cs="Arial" w:eastAsia="Arial" w:hAnsi="Arial"/>
          <w:sz w:val="15"/>
          <w:szCs w:val="15"/>
          <w:color w:val="auto"/>
        </w:rPr>
      </w:pPr>
    </w:p>
    <w:p>
      <w:pPr>
        <w:jc w:val="both"/>
        <w:ind w:firstLine="1063"/>
        <w:spacing w:after="0" w:line="274" w:lineRule="auto"/>
        <w:tabs>
          <w:tab w:leader="none" w:pos="1854" w:val="left"/>
        </w:tabs>
        <w:numPr>
          <w:ilvl w:val="0"/>
          <w:numId w:val="197"/>
        </w:numPr>
        <w:rPr>
          <w:rFonts w:ascii="Arial" w:cs="Arial" w:eastAsia="Arial" w:hAnsi="Arial"/>
          <w:sz w:val="14"/>
          <w:szCs w:val="14"/>
          <w:color w:val="auto"/>
        </w:rPr>
      </w:pPr>
      <w:r>
        <w:rPr>
          <w:rFonts w:ascii="Arial" w:cs="Arial" w:eastAsia="Arial" w:hAnsi="Arial"/>
          <w:sz w:val="14"/>
          <w:szCs w:val="14"/>
          <w:u w:val="single" w:color="auto"/>
          <w:color w:val="auto"/>
        </w:rPr>
        <w:t>Additional Issuances</w:t>
      </w:r>
      <w:r>
        <w:rPr>
          <w:rFonts w:ascii="Arial" w:cs="Arial" w:eastAsia="Arial" w:hAnsi="Arial"/>
          <w:sz w:val="14"/>
          <w:szCs w:val="14"/>
          <w:color w:val="auto"/>
        </w:rPr>
        <w:t>. Except as expressly provided herein,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Stock subject to Awards theretofore granted or the purchase price per share of Stock, if applicable.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6" w:name="page347"/>
    <w:bookmarkEnd w:id="346"/>
    <w:p>
      <w:pPr>
        <w:jc w:val="both"/>
        <w:ind w:firstLine="1063"/>
        <w:spacing w:after="0" w:line="286" w:lineRule="auto"/>
        <w:tabs>
          <w:tab w:leader="none" w:pos="1908" w:val="left"/>
        </w:tabs>
        <w:numPr>
          <w:ilvl w:val="1"/>
          <w:numId w:val="198"/>
        </w:numPr>
        <w:rPr>
          <w:rFonts w:ascii="Arial" w:cs="Arial" w:eastAsia="Arial" w:hAnsi="Arial"/>
          <w:sz w:val="13"/>
          <w:szCs w:val="13"/>
          <w:color w:val="auto"/>
        </w:rPr>
      </w:pPr>
      <w:r>
        <w:rPr>
          <w:rFonts w:ascii="Arial" w:cs="Arial" w:eastAsia="Arial" w:hAnsi="Arial"/>
          <w:sz w:val="13"/>
          <w:szCs w:val="13"/>
          <w:u w:val="single" w:color="auto"/>
          <w:color w:val="auto"/>
        </w:rPr>
        <w:t>Change of Control and Other Events</w:t>
      </w:r>
      <w:r>
        <w:rPr>
          <w:rFonts w:ascii="Arial" w:cs="Arial" w:eastAsia="Arial" w:hAnsi="Arial"/>
          <w:sz w:val="13"/>
          <w:szCs w:val="13"/>
          <w:color w:val="auto"/>
        </w:rPr>
        <w:t xml:space="preserve">. Notwithstanding any other provisions of the Plan or an Award Agreement to the contrary, upon a Change of Control or changes in the outstanding Stock by reason of a recapitalization, reorganization, merger, consolidation, combination, exchange or other relevant change in capitalization occurring after the date of the grant of any Award and not otherwise provided for by this Section 8, the Committee, acting in its sole discretion without the consent or approval of any holder, may effect one or more of the following alternatives, which may vary among individual holders and which may vary among Options or other Awards held by any individual holder: (i) remove any applicable forfeiture restrictions on any Award; (ii) accelerate the time of exercisability of an Award so that such Award may be exercised in full or in part for a limited period of time on or before a date specified by the Committee, before or after such Change of Control, after which specified date all unexercised Awards and all rights of holders thereunder shall terminate; (iii) provide for a cash payment with respect to outstanding Awards by requiring the mandatory surrender to the Company by selected holders of some or all of the outstanding Awards held by such holders (irrespective of whether such Awards are then vested or exercisable pursuant to the Plan) as of a date, before or after such Change of Control, specified by the Committee, in which event the Committee shall thereupon cancel such Awards (with respect to all shares subject to such Awards) and pay to each holder an amount of cash (or other consideration including securities or other property) per Award equal to the Change of Control Price (as defined below), less the Exercise Price with respect to an Option;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to the extent the exercise price of an Option exceeds the Change of Control Price, such award may be canceled for no consideration; (iv) cancel Awards that are unexercisable or remain subject to a restricted period as of the date of a Change of Control without payment of any consideration to the Participant for such Awards; or (v) make such adjustments to Awards then outstanding as the Committee deems appropriate to reflect such Change of Control (including, but not limited to, (x) the substitution, assumption, or continuation of Awards by the successor company or a parent or subsidiary thereof for new awards, and (y) the adjustment as to the number and price of shares of Stock or other consideration subject to such Awards);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Committee may determine in its sole discretion that no adjustment is necessary to Awards then outstanding.</w:t>
      </w:r>
    </w:p>
    <w:p>
      <w:pPr>
        <w:spacing w:after="0" w:line="140" w:lineRule="exact"/>
        <w:rPr>
          <w:rFonts w:ascii="Arial" w:cs="Arial" w:eastAsia="Arial" w:hAnsi="Arial"/>
          <w:sz w:val="13"/>
          <w:szCs w:val="13"/>
          <w:color w:val="auto"/>
        </w:rPr>
      </w:pPr>
    </w:p>
    <w:p>
      <w:pPr>
        <w:ind w:left="1960" w:hanging="897"/>
        <w:spacing w:after="0"/>
        <w:tabs>
          <w:tab w:leader="none" w:pos="1960" w:val="left"/>
        </w:tabs>
        <w:numPr>
          <w:ilvl w:val="1"/>
          <w:numId w:val="198"/>
        </w:numPr>
        <w:rPr>
          <w:rFonts w:ascii="Arial" w:cs="Arial" w:eastAsia="Arial" w:hAnsi="Arial"/>
          <w:sz w:val="14"/>
          <w:szCs w:val="14"/>
          <w:color w:val="auto"/>
        </w:rPr>
      </w:pPr>
      <w:r>
        <w:rPr>
          <w:rFonts w:ascii="Arial" w:cs="Arial" w:eastAsia="Arial" w:hAnsi="Arial"/>
          <w:sz w:val="14"/>
          <w:szCs w:val="14"/>
          <w:u w:val="single" w:color="auto"/>
          <w:color w:val="auto"/>
        </w:rPr>
        <w:t>Change of Control Price</w:t>
      </w:r>
      <w:r>
        <w:rPr>
          <w:rFonts w:ascii="Arial" w:cs="Arial" w:eastAsia="Arial" w:hAnsi="Arial"/>
          <w:sz w:val="14"/>
          <w:szCs w:val="14"/>
          <w:color w:val="auto"/>
        </w:rPr>
        <w:t>. The “</w:t>
      </w:r>
      <w:r>
        <w:rPr>
          <w:rFonts w:ascii="Arial" w:cs="Arial" w:eastAsia="Arial" w:hAnsi="Arial"/>
          <w:sz w:val="14"/>
          <w:szCs w:val="14"/>
          <w:b w:val="1"/>
          <w:bCs w:val="1"/>
          <w:i w:val="1"/>
          <w:iCs w:val="1"/>
          <w:color w:val="auto"/>
        </w:rPr>
        <w:t>Change of Control Price</w:t>
      </w:r>
      <w:r>
        <w:rPr>
          <w:rFonts w:ascii="Arial" w:cs="Arial" w:eastAsia="Arial" w:hAnsi="Arial"/>
          <w:sz w:val="14"/>
          <w:szCs w:val="14"/>
          <w:color w:val="auto"/>
        </w:rPr>
        <w:t>” shall equal the amount determined in the following clause (i), (ii), (iii), (iv) or (v), whichever is</w:t>
      </w:r>
    </w:p>
    <w:p>
      <w:pPr>
        <w:spacing w:after="0" w:line="25" w:lineRule="exact"/>
        <w:rPr>
          <w:rFonts w:ascii="Arial" w:cs="Arial" w:eastAsia="Arial" w:hAnsi="Arial"/>
          <w:sz w:val="14"/>
          <w:szCs w:val="14"/>
          <w:color w:val="auto"/>
        </w:rPr>
      </w:pPr>
    </w:p>
    <w:p>
      <w:pPr>
        <w:jc w:val="both"/>
        <w:spacing w:after="0" w:line="282" w:lineRule="auto"/>
        <w:rPr>
          <w:rFonts w:ascii="Arial" w:cs="Arial" w:eastAsia="Arial" w:hAnsi="Arial"/>
          <w:sz w:val="14"/>
          <w:szCs w:val="14"/>
          <w:color w:val="auto"/>
        </w:rPr>
      </w:pPr>
      <w:r>
        <w:rPr>
          <w:rFonts w:ascii="Arial" w:cs="Arial" w:eastAsia="Arial" w:hAnsi="Arial"/>
          <w:sz w:val="13"/>
          <w:szCs w:val="13"/>
          <w:color w:val="auto"/>
        </w:rPr>
        <w:t>applicable, as follows: (i) the price per share offered to holders of Stock in any merger or consolidation, (ii) the per share Fair Market Value of the Stock immediately before the Change of Control without regard to assets sold in the Change of Control and assuming the Company has received the consideration paid for the assets in the case of a sale of the assets, (iii) the amount distributed per share of Stock in a dissolution transaction, (iv) the price per share offered to holders of Stock in any tender offer or exchange offer whereby a Change of Control takes place, or</w:t>
      </w:r>
    </w:p>
    <w:p>
      <w:pPr>
        <w:jc w:val="both"/>
        <w:ind w:firstLine="8"/>
        <w:spacing w:after="0" w:line="267" w:lineRule="auto"/>
        <w:tabs>
          <w:tab w:leader="none" w:pos="215" w:val="left"/>
        </w:tabs>
        <w:numPr>
          <w:ilvl w:val="0"/>
          <w:numId w:val="199"/>
        </w:numPr>
        <w:rPr>
          <w:rFonts w:ascii="Arial" w:cs="Arial" w:eastAsia="Arial" w:hAnsi="Arial"/>
          <w:sz w:val="14"/>
          <w:szCs w:val="14"/>
          <w:color w:val="auto"/>
        </w:rPr>
      </w:pPr>
      <w:r>
        <w:rPr>
          <w:rFonts w:ascii="Arial" w:cs="Arial" w:eastAsia="Arial" w:hAnsi="Arial"/>
          <w:sz w:val="14"/>
          <w:szCs w:val="14"/>
          <w:color w:val="auto"/>
        </w:rPr>
        <w:t>if such Change of Control occurs other than pursuant to a transaction described in clauses (i), (ii), (iii), or (iv) of this Section 8(g), the Fair Market Value per share of the Stock that may otherwise be obtained with respect to such Awards or to which such Awards track, as determined by the Committee as of the date determined by the Committee to be the date of cancellation and surrender of such Awards. In the event that the consideration offered to stockholders of the Company in any transaction described in this Section 8(g) or in Section 8(f) consists of anything other than cash, the Committee shall determine the fair cash equivalent of the portion of the consideration offered which is other than cash and such determination shall be binding on all affected Participants to the extent applicable to Awards held by such Participants.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7" w:name="page348"/>
    <w:bookmarkEnd w:id="347"/>
    <w:p>
      <w:pPr>
        <w:ind w:left="1300" w:hanging="765"/>
        <w:spacing w:after="0"/>
        <w:tabs>
          <w:tab w:leader="none" w:pos="1300" w:val="left"/>
        </w:tabs>
        <w:numPr>
          <w:ilvl w:val="0"/>
          <w:numId w:val="200"/>
        </w:numPr>
        <w:rPr>
          <w:rFonts w:ascii="Arial" w:cs="Arial" w:eastAsia="Arial" w:hAnsi="Arial"/>
          <w:sz w:val="15"/>
          <w:szCs w:val="15"/>
          <w:color w:val="auto"/>
        </w:rPr>
      </w:pPr>
      <w:r>
        <w:rPr>
          <w:rFonts w:ascii="Arial" w:cs="Arial" w:eastAsia="Arial" w:hAnsi="Arial"/>
          <w:sz w:val="15"/>
          <w:szCs w:val="15"/>
          <w:b w:val="1"/>
          <w:bCs w:val="1"/>
          <w:color w:val="auto"/>
        </w:rPr>
        <w:t>General Provisions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63"/>
        <w:spacing w:after="0" w:line="274" w:lineRule="auto"/>
        <w:tabs>
          <w:tab w:leader="none" w:pos="1942" w:val="left"/>
        </w:tabs>
        <w:numPr>
          <w:ilvl w:val="1"/>
          <w:numId w:val="200"/>
        </w:numPr>
        <w:rPr>
          <w:rFonts w:ascii="Arial" w:cs="Arial" w:eastAsia="Arial" w:hAnsi="Arial"/>
          <w:sz w:val="14"/>
          <w:szCs w:val="14"/>
          <w:color w:val="auto"/>
        </w:rPr>
      </w:pPr>
      <w:r>
        <w:rPr>
          <w:rFonts w:ascii="Arial" w:cs="Arial" w:eastAsia="Arial" w:hAnsi="Arial"/>
          <w:sz w:val="14"/>
          <w:szCs w:val="14"/>
          <w:u w:val="single" w:color="auto"/>
          <w:color w:val="auto"/>
        </w:rPr>
        <w:t>Restricted Securities</w:t>
      </w:r>
      <w:r>
        <w:rPr>
          <w:rFonts w:ascii="Arial" w:cs="Arial" w:eastAsia="Arial" w:hAnsi="Arial"/>
          <w:sz w:val="14"/>
          <w:szCs w:val="14"/>
          <w:color w:val="auto"/>
        </w:rPr>
        <w:t>. Prior to a Qualifying Public Offering, the Stock to be issued under this Plan, which may be issued in reliance on the exemption from registration set forth in Rule 701, shall be deemed to be “restricted securities” as defined in Rule 144, promulgated by the Securities and Exchange Commission under the Securities Act as from time to time in effect and applicable to the Plan and Participants. Resales of such Stock by the holder thereof shall be in compliance with the Securities Act or an exemption therefrom. Such Stock may bear a legend if determined necessary by the Committee in substantially the following form:</w:t>
      </w:r>
    </w:p>
    <w:p>
      <w:pPr>
        <w:spacing w:after="0" w:line="144" w:lineRule="exact"/>
        <w:rPr>
          <w:sz w:val="20"/>
          <w:szCs w:val="20"/>
          <w:color w:val="auto"/>
        </w:rPr>
      </w:pPr>
    </w:p>
    <w:p>
      <w:pPr>
        <w:jc w:val="both"/>
        <w:ind w:left="1060" w:right="1060"/>
        <w:spacing w:after="0" w:line="248" w:lineRule="auto"/>
        <w:rPr>
          <w:sz w:val="20"/>
          <w:szCs w:val="20"/>
          <w:color w:val="auto"/>
        </w:rPr>
      </w:pPr>
      <w:r>
        <w:rPr>
          <w:rFonts w:ascii="Arial" w:cs="Arial" w:eastAsia="Arial" w:hAnsi="Arial"/>
          <w:sz w:val="15"/>
          <w:szCs w:val="15"/>
          <w:color w:val="auto"/>
        </w:rPr>
        <w:t>“THE SHARES OF STOCK REPRESENTED BY THIS CERTIFICATE HAVE NOT BEEN REGISTERED UNDER THE SECURITIES ACT OF 1933, AS AMENDED, OR ANY STATE SECURITIES LAWS. THE SHARES MAY NOT BE OFFERED FOR SALE, SOLD, PLEDGED, TRANSFERRED, OR OTHERWISE DISPOSED OF UNTIL THE HOLDER HEREOF PROVIDES EVIDENCE SATISFACTORY TO IMMUNEERING CORPORATION (WHICH, IN THE DISCRETION OF IMMUNEERING CORPORATION, MAY INCLUDE AN OPINION OF COUNSEL SATISFACTORY TO IMMUNEERING CORPORATION) THAT SUCH OFFER, SALE, PLEDGE, TRANSFER, OR OTHER DISPOSITION WILL NOT VIOLATE APPLICABLE FEDERAL OR STATE LAWS.”</w:t>
      </w:r>
    </w:p>
    <w:p>
      <w:pPr>
        <w:spacing w:after="0" w:line="161" w:lineRule="exact"/>
        <w:rPr>
          <w:sz w:val="20"/>
          <w:szCs w:val="20"/>
          <w:color w:val="auto"/>
        </w:rPr>
      </w:pPr>
    </w:p>
    <w:p>
      <w:pPr>
        <w:jc w:val="both"/>
        <w:ind w:firstLine="1063"/>
        <w:spacing w:after="0" w:line="248" w:lineRule="auto"/>
        <w:tabs>
          <w:tab w:leader="none" w:pos="1829"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Right of First Refusal</w:t>
      </w:r>
      <w:r>
        <w:rPr>
          <w:rFonts w:ascii="Arial" w:cs="Arial" w:eastAsia="Arial" w:hAnsi="Arial"/>
          <w:sz w:val="15"/>
          <w:szCs w:val="15"/>
          <w:color w:val="auto"/>
        </w:rPr>
        <w:t>. If any Participant (“</w:t>
      </w:r>
      <w:r>
        <w:rPr>
          <w:rFonts w:ascii="Arial" w:cs="Arial" w:eastAsia="Arial" w:hAnsi="Arial"/>
          <w:sz w:val="15"/>
          <w:szCs w:val="15"/>
          <w:b w:val="1"/>
          <w:bCs w:val="1"/>
          <w:i w:val="1"/>
          <w:iCs w:val="1"/>
          <w:color w:val="auto"/>
        </w:rPr>
        <w:t>Transferor</w:t>
      </w:r>
      <w:r>
        <w:rPr>
          <w:rFonts w:ascii="Arial" w:cs="Arial" w:eastAsia="Arial" w:hAnsi="Arial"/>
          <w:sz w:val="15"/>
          <w:szCs w:val="15"/>
          <w:color w:val="auto"/>
        </w:rPr>
        <w:t>”), regardless of whether such Participant is the original holder of the Award contemplated in this Section 9(b), proposes to sell, transfer, assign, hypothecate, make gifts of or in any manner dispose of, encumber, or alienate (each individually constituting a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to a transferee, any Stock, obtained in connection with any Award held by such Transferor, either pursuant to a bona fide offer (“</w:t>
      </w:r>
      <w:r>
        <w:rPr>
          <w:rFonts w:ascii="Arial" w:cs="Arial" w:eastAsia="Arial" w:hAnsi="Arial"/>
          <w:sz w:val="15"/>
          <w:szCs w:val="15"/>
          <w:b w:val="1"/>
          <w:bCs w:val="1"/>
          <w:i w:val="1"/>
          <w:iCs w:val="1"/>
          <w:color w:val="auto"/>
        </w:rPr>
        <w:t>Offer</w:t>
      </w:r>
      <w:r>
        <w:rPr>
          <w:rFonts w:ascii="Arial" w:cs="Arial" w:eastAsia="Arial" w:hAnsi="Arial"/>
          <w:sz w:val="15"/>
          <w:szCs w:val="15"/>
          <w:color w:val="auto"/>
        </w:rPr>
        <w:t>”) from a potential transferee (“</w:t>
      </w:r>
      <w:r>
        <w:rPr>
          <w:rFonts w:ascii="Arial" w:cs="Arial" w:eastAsia="Arial" w:hAnsi="Arial"/>
          <w:sz w:val="15"/>
          <w:szCs w:val="15"/>
          <w:b w:val="1"/>
          <w:bCs w:val="1"/>
          <w:i w:val="1"/>
          <w:iCs w:val="1"/>
          <w:color w:val="auto"/>
        </w:rPr>
        <w:t>Offeror</w:t>
      </w:r>
      <w:r>
        <w:rPr>
          <w:rFonts w:ascii="Arial" w:cs="Arial" w:eastAsia="Arial" w:hAnsi="Arial"/>
          <w:sz w:val="15"/>
          <w:szCs w:val="15"/>
          <w:color w:val="auto"/>
        </w:rPr>
        <w:t>”) or by effecting a gift of the Stock (“</w:t>
      </w:r>
      <w:r>
        <w:rPr>
          <w:rFonts w:ascii="Arial" w:cs="Arial" w:eastAsia="Arial" w:hAnsi="Arial"/>
          <w:sz w:val="15"/>
          <w:szCs w:val="15"/>
          <w:b w:val="1"/>
          <w:bCs w:val="1"/>
          <w:i w:val="1"/>
          <w:iCs w:val="1"/>
          <w:color w:val="auto"/>
        </w:rPr>
        <w:t>Gift</w:t>
      </w:r>
      <w:r>
        <w:rPr>
          <w:rFonts w:ascii="Arial" w:cs="Arial" w:eastAsia="Arial" w:hAnsi="Arial"/>
          <w:sz w:val="15"/>
          <w:szCs w:val="15"/>
          <w:color w:val="auto"/>
        </w:rPr>
        <w:t>”) to a donee (“</w:t>
      </w:r>
      <w:r>
        <w:rPr>
          <w:rFonts w:ascii="Arial" w:cs="Arial" w:eastAsia="Arial" w:hAnsi="Arial"/>
          <w:sz w:val="15"/>
          <w:szCs w:val="15"/>
          <w:b w:val="1"/>
          <w:bCs w:val="1"/>
          <w:i w:val="1"/>
          <w:iCs w:val="1"/>
          <w:color w:val="auto"/>
        </w:rPr>
        <w:t>Donee</w:t>
      </w:r>
      <w:r>
        <w:rPr>
          <w:rFonts w:ascii="Arial" w:cs="Arial" w:eastAsia="Arial" w:hAnsi="Arial"/>
          <w:sz w:val="15"/>
          <w:szCs w:val="15"/>
          <w:color w:val="auto"/>
        </w:rPr>
        <w:t>”) without consideration, then the Transferor must comply with the provisions of this Section 9(b), including, without limitation, acknowledging and allowing the applicable time periods to lapse with respect to the rights of the Company as provided herein, before accepting any such Offer or otherwise affecting the Transfer of any Stock pursuant to such Offer, or affecting any such Gift.</w:t>
      </w:r>
    </w:p>
    <w:p>
      <w:pPr>
        <w:spacing w:after="0" w:line="161" w:lineRule="exact"/>
        <w:rPr>
          <w:rFonts w:ascii="Arial" w:cs="Arial" w:eastAsia="Arial" w:hAnsi="Arial"/>
          <w:sz w:val="15"/>
          <w:szCs w:val="15"/>
          <w:color w:val="auto"/>
        </w:rPr>
      </w:pPr>
    </w:p>
    <w:p>
      <w:pPr>
        <w:jc w:val="both"/>
        <w:ind w:firstLine="1590"/>
        <w:spacing w:after="0" w:line="292" w:lineRule="auto"/>
        <w:tabs>
          <w:tab w:leader="none" w:pos="2482" w:val="left"/>
        </w:tabs>
        <w:numPr>
          <w:ilvl w:val="1"/>
          <w:numId w:val="201"/>
        </w:numPr>
        <w:rPr>
          <w:rFonts w:ascii="Arial" w:cs="Arial" w:eastAsia="Arial" w:hAnsi="Arial"/>
          <w:sz w:val="13"/>
          <w:szCs w:val="13"/>
          <w:color w:val="auto"/>
        </w:rPr>
      </w:pPr>
      <w:r>
        <w:rPr>
          <w:rFonts w:ascii="Arial" w:cs="Arial" w:eastAsia="Arial" w:hAnsi="Arial"/>
          <w:sz w:val="13"/>
          <w:szCs w:val="13"/>
          <w:u w:val="single" w:color="auto"/>
          <w:color w:val="auto"/>
        </w:rPr>
        <w:t>Statement of Offer</w:t>
      </w:r>
      <w:r>
        <w:rPr>
          <w:rFonts w:ascii="Arial" w:cs="Arial" w:eastAsia="Arial" w:hAnsi="Arial"/>
          <w:sz w:val="13"/>
          <w:szCs w:val="13"/>
          <w:color w:val="auto"/>
        </w:rPr>
        <w:t>. Before accepting any Offer or affecting any Gift, the Transferor shall obtain from the Offeror or Donee, as the case may be, a statement (“</w:t>
      </w:r>
      <w:r>
        <w:rPr>
          <w:rFonts w:ascii="Arial" w:cs="Arial" w:eastAsia="Arial" w:hAnsi="Arial"/>
          <w:sz w:val="13"/>
          <w:szCs w:val="13"/>
          <w:b w:val="1"/>
          <w:bCs w:val="1"/>
          <w:i w:val="1"/>
          <w:iCs w:val="1"/>
          <w:color w:val="auto"/>
        </w:rPr>
        <w:t>Statement</w:t>
      </w:r>
      <w:r>
        <w:rPr>
          <w:rFonts w:ascii="Arial" w:cs="Arial" w:eastAsia="Arial" w:hAnsi="Arial"/>
          <w:sz w:val="13"/>
          <w:szCs w:val="13"/>
          <w:color w:val="auto"/>
        </w:rPr>
        <w:t>”) in writing addressed to the Transferor and signed by the Offeror or Donee, setting forth: (A) the date of the Statement (the “</w:t>
      </w:r>
      <w:r>
        <w:rPr>
          <w:rFonts w:ascii="Arial" w:cs="Arial" w:eastAsia="Arial" w:hAnsi="Arial"/>
          <w:sz w:val="13"/>
          <w:szCs w:val="13"/>
          <w:b w:val="1"/>
          <w:bCs w:val="1"/>
          <w:i w:val="1"/>
          <w:iCs w:val="1"/>
          <w:color w:val="auto"/>
        </w:rPr>
        <w:t>Statement Date</w:t>
      </w:r>
      <w:r>
        <w:rPr>
          <w:rFonts w:ascii="Arial" w:cs="Arial" w:eastAsia="Arial" w:hAnsi="Arial"/>
          <w:sz w:val="13"/>
          <w:szCs w:val="13"/>
          <w:color w:val="auto"/>
        </w:rPr>
        <w:t>”); (B) the number of shares of Stock covered by the Offer or Gift and, in the case of an Offer, the price per share to be paid by the Offeror and the terms of payment of such price; (C) the Offeror’s or Donee’s willingness to be bound by the terms of this Section 9(b) and execute and deliver to the Company such documentation as required under this Section 9(b); (D) the Offeror’s or Donee’s name, address and telephone number; and (E) the Offeror’s or Donee’s willingness to supply any additional information about himself or herself as may be reasonably requested by the Company. Promptly upon receipt of a Statement, and before accepting the Offer or affecting the Gift to which the Statement relates, the Transferor shall deliver to the Company (1) a copy of the Statement, and (2) in the case of an Offer, evidence reasonably satisfactory to the Company as to the Offeror’s financial ability to consummate the proposed purchase.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48" w:name="page349"/>
    <w:bookmarkEnd w:id="348"/>
    <w:p>
      <w:pPr>
        <w:jc w:val="both"/>
        <w:ind w:firstLine="1590"/>
        <w:spacing w:after="0" w:line="285" w:lineRule="auto"/>
        <w:tabs>
          <w:tab w:leader="none" w:pos="2339" w:val="left"/>
        </w:tabs>
        <w:numPr>
          <w:ilvl w:val="0"/>
          <w:numId w:val="202"/>
        </w:numPr>
        <w:rPr>
          <w:rFonts w:ascii="Arial" w:cs="Arial" w:eastAsia="Arial" w:hAnsi="Arial"/>
          <w:sz w:val="13"/>
          <w:szCs w:val="13"/>
          <w:color w:val="auto"/>
        </w:rPr>
      </w:pPr>
      <w:r>
        <w:rPr>
          <w:rFonts w:ascii="Arial" w:cs="Arial" w:eastAsia="Arial" w:hAnsi="Arial"/>
          <w:sz w:val="13"/>
          <w:szCs w:val="13"/>
          <w:u w:val="single" w:color="auto"/>
          <w:color w:val="auto"/>
        </w:rPr>
        <w:t>Company Rights</w:t>
      </w:r>
      <w:r>
        <w:rPr>
          <w:rFonts w:ascii="Arial" w:cs="Arial" w:eastAsia="Arial" w:hAnsi="Arial"/>
          <w:sz w:val="13"/>
          <w:szCs w:val="13"/>
          <w:color w:val="auto"/>
        </w:rPr>
        <w:t>. Subject to the provisions of Section 9(b)(i), upon receipt of a copy of the Statement, the Company shall have the exclusive right and option (the “</w:t>
      </w:r>
      <w:r>
        <w:rPr>
          <w:rFonts w:ascii="Arial" w:cs="Arial" w:eastAsia="Arial" w:hAnsi="Arial"/>
          <w:sz w:val="13"/>
          <w:szCs w:val="13"/>
          <w:b w:val="1"/>
          <w:bCs w:val="1"/>
          <w:i w:val="1"/>
          <w:iCs w:val="1"/>
          <w:color w:val="auto"/>
        </w:rPr>
        <w:t>Right</w:t>
      </w:r>
      <w:r>
        <w:rPr>
          <w:rFonts w:ascii="Arial" w:cs="Arial" w:eastAsia="Arial" w:hAnsi="Arial"/>
          <w:sz w:val="13"/>
          <w:szCs w:val="13"/>
          <w:color w:val="auto"/>
        </w:rPr>
        <w:t>”), but not the obligation, to purchase all of the shares of Stock that the Offeror proposes to purchase from the Transferor or, in the case of a Gift, that the Transferor proposes to give to the Donee (collectively, “</w:t>
      </w:r>
      <w:r>
        <w:rPr>
          <w:rFonts w:ascii="Arial" w:cs="Arial" w:eastAsia="Arial" w:hAnsi="Arial"/>
          <w:sz w:val="13"/>
          <w:szCs w:val="13"/>
          <w:b w:val="1"/>
          <w:bCs w:val="1"/>
          <w:i w:val="1"/>
          <w:iCs w:val="1"/>
          <w:color w:val="auto"/>
        </w:rPr>
        <w:t>Subject Securities</w:t>
      </w:r>
      <w:r>
        <w:rPr>
          <w:rFonts w:ascii="Arial" w:cs="Arial" w:eastAsia="Arial" w:hAnsi="Arial"/>
          <w:sz w:val="13"/>
          <w:szCs w:val="13"/>
          <w:color w:val="auto"/>
        </w:rPr>
        <w:t xml:space="preserve">”) (A) in the case of an Offer, for the per share price and on the terms as set forth in the Statement;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the purchase price is payable in whole or in part in property (which term shall include the securities of any issuer other than the Company) other than cash, the Company may pay, in lieu of such property, a sum of cash equal to the fair market value of such property as determined by the Transferor and the Company in good faith or, if the Transferor and the Company do not agree on the fair market value of such property within five days after the Company delivers written notice (as described below) of its intention to exercise the Right, then the Transferor and the Company shall select one independent appraiser (with each of the Transferor and the Company jointly bearing one-half of the expense of the appraiser) to determine the fair market value of that property and the appraised fair market value of that property as determined by such appraiser shall be deemed the fair market value of that property for purposes of this Section 9(b)(ii); or (B) in the case of a Gift, the Fair Market Value of the Subject Securities, as determined in good faith by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Transferor may elect to retain the Subject Securities rather than sell the Subject Securities at the Fair Market Value as determined by the Company by giving written notice thereof to the Company within five days after such determination by the Company is received in writing by the Transferor. The Company shall exercise the Right by giving written notice thereof to the Transferor. Upon exercising the Right, the Company shall have the obligation, to the extent it lawfully may do so, to purchase the Subject Securities within 30 days after the date of the Company’s receipt of its copy of the Statement on and subject to the terms and conditions hereof. If the terms of the purchase include the Transferor’s release of any pledge or encumbrance on the Subject Securities and the Transferor shall have failed to obtain the release of the pledge or encumbrance by the purchase date, at the Company’s option the purchase shall occur on the scheduled date with the purchase price reduced to the extent of all unpaid indebtedness for which the Subject Securities are then pledged or encumbered. Failure by the Company to exercise the Right, or failure by the Company to otherwise perform its obligations under this Section 9(b)(ii), within the 30 day period herein prescribed shall be deemed an election by the Company not to exercise the Right. If the Company exercises the Right and is unable for any reason to perform its obligations thereunder in accordance with this Section 9(b), the Company may assign all or a portion of its rights under the Right to any one or more of the Company’s stockholders (other than the Transferor) (“</w:t>
      </w:r>
      <w:r>
        <w:rPr>
          <w:rFonts w:ascii="Arial" w:cs="Arial" w:eastAsia="Arial" w:hAnsi="Arial"/>
          <w:sz w:val="13"/>
          <w:szCs w:val="13"/>
          <w:b w:val="1"/>
          <w:bCs w:val="1"/>
          <w:i w:val="1"/>
          <w:iCs w:val="1"/>
          <w:color w:val="auto"/>
        </w:rPr>
        <w:t>Assignee Stockholder</w:t>
      </w:r>
      <w:r>
        <w:rPr>
          <w:rFonts w:ascii="Arial" w:cs="Arial" w:eastAsia="Arial" w:hAnsi="Arial"/>
          <w:sz w:val="13"/>
          <w:szCs w:val="13"/>
          <w:color w:val="auto"/>
        </w:rPr>
        <w:t>”), as the Board shall determine, in its sole and absolute discretion.</w:t>
      </w:r>
    </w:p>
    <w:p>
      <w:pPr>
        <w:spacing w:after="0" w:line="144" w:lineRule="exact"/>
        <w:rPr>
          <w:rFonts w:ascii="Arial" w:cs="Arial" w:eastAsia="Arial" w:hAnsi="Arial"/>
          <w:sz w:val="13"/>
          <w:szCs w:val="13"/>
          <w:color w:val="auto"/>
        </w:rPr>
      </w:pPr>
    </w:p>
    <w:p>
      <w:pPr>
        <w:jc w:val="both"/>
        <w:ind w:firstLine="1590"/>
        <w:spacing w:after="0" w:line="251" w:lineRule="auto"/>
        <w:tabs>
          <w:tab w:leader="none" w:pos="2318"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Purchase of Less Than All Shares</w:t>
      </w:r>
      <w:r>
        <w:rPr>
          <w:rFonts w:ascii="Arial" w:cs="Arial" w:eastAsia="Arial" w:hAnsi="Arial"/>
          <w:sz w:val="15"/>
          <w:szCs w:val="15"/>
          <w:color w:val="auto"/>
        </w:rPr>
        <w:t>. Anything in Section 9(b) to the contrary notwithstanding, the Company and any Assignee Stockholder individually may, pursuant to the exercise of the Right, purchase fewer than all of the Subject Securities provided that such Persons in the aggregate purchase all, and not less than all, of the Subject Securities, and it shall be a condition precedent to the obligation of any of such Persons to purchase any Subject Securities, that all, and not less than all, of the Subject Securities have been elected to be purchased pursuant to the exercise of the Right.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49" w:name="page350"/>
    <w:bookmarkEnd w:id="349"/>
    <w:p>
      <w:pPr>
        <w:jc w:val="both"/>
        <w:ind w:firstLine="1590"/>
        <w:spacing w:after="0" w:line="294" w:lineRule="auto"/>
        <w:tabs>
          <w:tab w:leader="none" w:pos="2291" w:val="left"/>
        </w:tabs>
        <w:numPr>
          <w:ilvl w:val="0"/>
          <w:numId w:val="203"/>
        </w:numPr>
        <w:rPr>
          <w:rFonts w:ascii="Arial" w:cs="Arial" w:eastAsia="Arial" w:hAnsi="Arial"/>
          <w:sz w:val="13"/>
          <w:szCs w:val="13"/>
          <w:color w:val="auto"/>
        </w:rPr>
      </w:pPr>
      <w:r>
        <w:rPr>
          <w:rFonts w:ascii="Arial" w:cs="Arial" w:eastAsia="Arial" w:hAnsi="Arial"/>
          <w:sz w:val="13"/>
          <w:szCs w:val="13"/>
          <w:u w:val="single" w:color="auto"/>
          <w:color w:val="auto"/>
        </w:rPr>
        <w:t>Failure to Exercise Right or Consummate Transaction</w:t>
      </w:r>
      <w:r>
        <w:rPr>
          <w:rFonts w:ascii="Arial" w:cs="Arial" w:eastAsia="Arial" w:hAnsi="Arial"/>
          <w:sz w:val="13"/>
          <w:szCs w:val="13"/>
          <w:color w:val="auto"/>
        </w:rPr>
        <w:t xml:space="preserve">. If the Company elects not to exercise the Right, or if the Right is exercised and the obligations to be performed thereunder by the Company are not performed in accordance with this Section 9(b), or if the Company’s rights are assigned to an Assignee Stockholder and such Assignee Stockholder fails to perform his or her obligations under the assigned Right in accordance with this Section 9(b), then, subject to the application of any applicable state or federal securities laws, the Transferor may dispose of all of the Subject Securities within 90 days after the date of the Statement at the per share price and on the terms, if any, as set forth in the Statement free and clear of the terms of this Section 9(b);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 any subsequent transfer by the Offeror or Donee, as applicable, shall once again be subject to this Section 9(b) and (B) if the sale or gift of the Subject Securities is not consummated within such 90-day period, then the Transfer of any such Stock shall once again be subject to the terms of this Section 9(b).</w:t>
      </w:r>
    </w:p>
    <w:p>
      <w:pPr>
        <w:spacing w:after="0" w:line="131" w:lineRule="exact"/>
        <w:rPr>
          <w:rFonts w:ascii="Arial" w:cs="Arial" w:eastAsia="Arial" w:hAnsi="Arial"/>
          <w:sz w:val="13"/>
          <w:szCs w:val="13"/>
          <w:color w:val="auto"/>
        </w:rPr>
      </w:pPr>
    </w:p>
    <w:p>
      <w:pPr>
        <w:ind w:firstLine="1590"/>
        <w:spacing w:after="0" w:line="300" w:lineRule="auto"/>
        <w:tabs>
          <w:tab w:leader="none" w:pos="2368" w:val="left"/>
        </w:tabs>
        <w:numPr>
          <w:ilvl w:val="0"/>
          <w:numId w:val="203"/>
        </w:numPr>
        <w:rPr>
          <w:rFonts w:ascii="Arial" w:cs="Arial" w:eastAsia="Arial" w:hAnsi="Arial"/>
          <w:sz w:val="14"/>
          <w:szCs w:val="14"/>
          <w:color w:val="auto"/>
        </w:rPr>
      </w:pPr>
      <w:r>
        <w:rPr>
          <w:rFonts w:ascii="Arial" w:cs="Arial" w:eastAsia="Arial" w:hAnsi="Arial"/>
          <w:sz w:val="14"/>
          <w:szCs w:val="14"/>
          <w:u w:val="single" w:color="auto"/>
          <w:color w:val="auto"/>
        </w:rPr>
        <w:t>Legend</w:t>
      </w:r>
      <w:r>
        <w:rPr>
          <w:rFonts w:ascii="Arial" w:cs="Arial" w:eastAsia="Arial" w:hAnsi="Arial"/>
          <w:sz w:val="14"/>
          <w:szCs w:val="14"/>
          <w:color w:val="auto"/>
        </w:rPr>
        <w:t>. To assure the enforceability of the Company’s rights under this Section 9(b), until the date of a Qualifying Public Offering, each certificate or instrument representing Stock or an Award held by him, her, or it may, in the Committee’s discretion, bear a conspicuous legend in substantially the following form:</w:t>
      </w:r>
    </w:p>
    <w:p>
      <w:pPr>
        <w:spacing w:after="0" w:line="125" w:lineRule="exact"/>
        <w:rPr>
          <w:sz w:val="20"/>
          <w:szCs w:val="20"/>
          <w:color w:val="auto"/>
        </w:rPr>
      </w:pPr>
    </w:p>
    <w:p>
      <w:pPr>
        <w:jc w:val="both"/>
        <w:ind w:left="1060" w:right="1060"/>
        <w:spacing w:after="0" w:line="274" w:lineRule="auto"/>
        <w:rPr>
          <w:sz w:val="20"/>
          <w:szCs w:val="20"/>
          <w:color w:val="auto"/>
        </w:rPr>
      </w:pPr>
      <w:r>
        <w:rPr>
          <w:rFonts w:ascii="Arial" w:cs="Arial" w:eastAsia="Arial" w:hAnsi="Arial"/>
          <w:sz w:val="14"/>
          <w:szCs w:val="14"/>
          <w:color w:val="auto"/>
        </w:rPr>
        <w:t>“THE SHARES [REPRESENTED BY THIS CERTIFICATE] [ISSUABLE PURSUANT TO THIS AGREEMENT] ARE SUBJECT TO THE COMPANY’S RIGHT OF FIRST REFUSAL IN THE CASE OF A TRANSFER AS PROVIDED UNDER THE IMMUNEERING CORPORATION LONG TERM INCENTIVE PLAN AND/OR AN AWARD AGREEMENT ENTERED INTO PURSUANT THERETO. COPIES OF SUCH PLAN AND AWARD AGREEMENT ARE AVAILABLE UPON WRITTEN REQUEST TO THE COMPANY AT ITS PRINCIPAL EXECUTIVE OFFICES.”</w:t>
      </w:r>
    </w:p>
    <w:p>
      <w:pPr>
        <w:spacing w:after="0" w:line="144" w:lineRule="exact"/>
        <w:rPr>
          <w:sz w:val="20"/>
          <w:szCs w:val="20"/>
          <w:color w:val="auto"/>
        </w:rPr>
      </w:pPr>
    </w:p>
    <w:p>
      <w:pPr>
        <w:ind w:left="2280" w:hanging="690"/>
        <w:spacing w:after="0"/>
        <w:tabs>
          <w:tab w:leader="none" w:pos="2280" w:val="left"/>
        </w:tabs>
        <w:numPr>
          <w:ilvl w:val="1"/>
          <w:numId w:val="204"/>
        </w:numPr>
        <w:rPr>
          <w:rFonts w:ascii="Arial" w:cs="Arial" w:eastAsia="Arial" w:hAnsi="Arial"/>
          <w:sz w:val="15"/>
          <w:szCs w:val="15"/>
          <w:color w:val="auto"/>
        </w:rPr>
      </w:pPr>
      <w:r>
        <w:rPr>
          <w:rFonts w:ascii="Arial" w:cs="Arial" w:eastAsia="Arial" w:hAnsi="Arial"/>
          <w:sz w:val="15"/>
          <w:szCs w:val="15"/>
          <w:u w:val="single" w:color="auto"/>
          <w:color w:val="auto"/>
        </w:rPr>
        <w:t>Expiration</w:t>
      </w:r>
      <w:r>
        <w:rPr>
          <w:rFonts w:ascii="Arial" w:cs="Arial" w:eastAsia="Arial" w:hAnsi="Arial"/>
          <w:sz w:val="15"/>
          <w:szCs w:val="15"/>
          <w:color w:val="auto"/>
        </w:rPr>
        <w:t>. The rights and obligations pursuant to this Section 9(b) hereof will terminate upon the date of a Qualifying Public Offering.</w:t>
      </w:r>
    </w:p>
    <w:p>
      <w:pPr>
        <w:spacing w:after="0" w:line="179" w:lineRule="exact"/>
        <w:rPr>
          <w:rFonts w:ascii="Arial" w:cs="Arial" w:eastAsia="Arial" w:hAnsi="Arial"/>
          <w:sz w:val="15"/>
          <w:szCs w:val="15"/>
          <w:color w:val="auto"/>
        </w:rPr>
      </w:pPr>
    </w:p>
    <w:p>
      <w:pPr>
        <w:ind w:left="1780" w:hanging="717"/>
        <w:spacing w:after="0"/>
        <w:tabs>
          <w:tab w:leader="none" w:pos="1780" w:val="left"/>
        </w:tabs>
        <w:numPr>
          <w:ilvl w:val="0"/>
          <w:numId w:val="205"/>
        </w:numPr>
        <w:rPr>
          <w:rFonts w:ascii="Arial" w:cs="Arial" w:eastAsia="Arial" w:hAnsi="Arial"/>
          <w:sz w:val="15"/>
          <w:szCs w:val="15"/>
          <w:color w:val="auto"/>
        </w:rPr>
      </w:pPr>
      <w:r>
        <w:rPr>
          <w:rFonts w:ascii="Arial" w:cs="Arial" w:eastAsia="Arial" w:hAnsi="Arial"/>
          <w:sz w:val="15"/>
          <w:szCs w:val="15"/>
          <w:u w:val="single" w:color="auto"/>
          <w:color w:val="auto"/>
        </w:rPr>
        <w:t>Purchase Option</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jc w:val="both"/>
        <w:ind w:firstLine="1590"/>
        <w:spacing w:after="0" w:line="269" w:lineRule="auto"/>
        <w:tabs>
          <w:tab w:leader="none" w:pos="2354" w:val="left"/>
        </w:tabs>
        <w:numPr>
          <w:ilvl w:val="1"/>
          <w:numId w:val="205"/>
        </w:numPr>
        <w:rPr>
          <w:rFonts w:ascii="Arial" w:cs="Arial" w:eastAsia="Arial" w:hAnsi="Arial"/>
          <w:sz w:val="14"/>
          <w:szCs w:val="14"/>
          <w:color w:val="auto"/>
        </w:rPr>
      </w:pPr>
      <w:r>
        <w:rPr>
          <w:rFonts w:ascii="Arial" w:cs="Arial" w:eastAsia="Arial" w:hAnsi="Arial"/>
          <w:sz w:val="14"/>
          <w:szCs w:val="14"/>
          <w:u w:val="single" w:color="auto"/>
          <w:color w:val="auto"/>
        </w:rPr>
        <w:t>Company Rights</w:t>
      </w:r>
      <w:r>
        <w:rPr>
          <w:rFonts w:ascii="Arial" w:cs="Arial" w:eastAsia="Arial" w:hAnsi="Arial"/>
          <w:sz w:val="14"/>
          <w:szCs w:val="14"/>
          <w:color w:val="auto"/>
        </w:rPr>
        <w:t>. Except as otherwise expressly provided in any particular Award, (A) if a Participant ceases to be employed by or perform services for the Company or its Subsidiaries for any reason at any time, (B) upon the occurrence of Detrimental Activity by a Participant, or (C) upon the occurrence of a Change in Control, the Company (and/or its designee(s)) shall have the option (the “</w:t>
      </w:r>
      <w:r>
        <w:rPr>
          <w:rFonts w:ascii="Arial" w:cs="Arial" w:eastAsia="Arial" w:hAnsi="Arial"/>
          <w:sz w:val="14"/>
          <w:szCs w:val="14"/>
          <w:b w:val="1"/>
          <w:bCs w:val="1"/>
          <w:i w:val="1"/>
          <w:iCs w:val="1"/>
          <w:color w:val="auto"/>
        </w:rPr>
        <w:t>Purchase Option</w:t>
      </w:r>
      <w:r>
        <w:rPr>
          <w:rFonts w:ascii="Arial" w:cs="Arial" w:eastAsia="Arial" w:hAnsi="Arial"/>
          <w:sz w:val="14"/>
          <w:szCs w:val="14"/>
          <w:color w:val="auto"/>
        </w:rPr>
        <w:t>”) to purchase, and the Participant (or the Participant’s executor or the administrator of the Participant’s estate in the event of the Participant’s death, or the transferee of the Stock or Award in the case of any disposition, or the Participant’s legal representative in the event of the Participant’s incapacity) (hereinafter, collectively with such Participant, the “</w:t>
      </w:r>
      <w:r>
        <w:rPr>
          <w:rFonts w:ascii="Arial" w:cs="Arial" w:eastAsia="Arial" w:hAnsi="Arial"/>
          <w:sz w:val="14"/>
          <w:szCs w:val="14"/>
          <w:b w:val="1"/>
          <w:bCs w:val="1"/>
          <w:i w:val="1"/>
          <w:iCs w:val="1"/>
          <w:color w:val="auto"/>
        </w:rPr>
        <w:t>Grantor</w:t>
      </w:r>
      <w:r>
        <w:rPr>
          <w:rFonts w:ascii="Arial" w:cs="Arial" w:eastAsia="Arial" w:hAnsi="Arial"/>
          <w:sz w:val="14"/>
          <w:szCs w:val="14"/>
          <w:color w:val="auto"/>
        </w:rPr>
        <w:t>”) shall sell to the Company and/or its designee(s), all or any portion (at the Company’s option) of the shares of Stock issued pursuant to this Plan and held by the Grantor (such shares of Stock herein referred to as the “</w:t>
      </w:r>
      <w:r>
        <w:rPr>
          <w:rFonts w:ascii="Arial" w:cs="Arial" w:eastAsia="Arial" w:hAnsi="Arial"/>
          <w:sz w:val="14"/>
          <w:szCs w:val="14"/>
          <w:b w:val="1"/>
          <w:bCs w:val="1"/>
          <w:i w:val="1"/>
          <w:iCs w:val="1"/>
          <w:color w:val="auto"/>
        </w:rPr>
        <w:t>Purchasable Shares</w:t>
      </w:r>
      <w:r>
        <w:rPr>
          <w:rFonts w:ascii="Arial" w:cs="Arial" w:eastAsia="Arial" w:hAnsi="Arial"/>
          <w:sz w:val="14"/>
          <w:szCs w:val="14"/>
          <w:color w:val="auto"/>
        </w:rPr>
        <w: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350" w:name="page351"/>
    <w:bookmarkEnd w:id="350"/>
    <w:p>
      <w:pPr>
        <w:jc w:val="both"/>
        <w:ind w:left="-1060" w:firstLine="1590"/>
        <w:spacing w:after="0" w:line="251" w:lineRule="auto"/>
        <w:tabs>
          <w:tab w:leader="none" w:pos="1224"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The Company shall give notice in writing to the Grantor of the exercise of the Purchase Option within two years of date of the termination of the Participant’s employment or service relationship or the date of the Change in Control. Such notice shall state the number of Purchasable Shares to be purchased and the determination of the Board of the Fair Market Value per share of such Purchasable Shares, or the Change in Control Price as defined in Section 8(g), if applicable. If no notice is given within the time limit specified above, the Purchase Option shall terminate.</w:t>
      </w:r>
    </w:p>
    <w:p>
      <w:pPr>
        <w:spacing w:after="0" w:line="157" w:lineRule="exact"/>
        <w:rPr>
          <w:rFonts w:ascii="Arial" w:cs="Arial" w:eastAsia="Arial" w:hAnsi="Arial"/>
          <w:sz w:val="15"/>
          <w:szCs w:val="15"/>
          <w:color w:val="auto"/>
        </w:rPr>
      </w:pPr>
    </w:p>
    <w:p>
      <w:pPr>
        <w:jc w:val="both"/>
        <w:ind w:left="-1060" w:firstLine="1590"/>
        <w:spacing w:after="0" w:line="266" w:lineRule="auto"/>
        <w:tabs>
          <w:tab w:leader="none" w:pos="1324" w:val="left"/>
        </w:tabs>
        <w:numPr>
          <w:ilvl w:val="0"/>
          <w:numId w:val="206"/>
        </w:numPr>
        <w:rPr>
          <w:rFonts w:ascii="Arial" w:cs="Arial" w:eastAsia="Arial" w:hAnsi="Arial"/>
          <w:sz w:val="14"/>
          <w:szCs w:val="14"/>
          <w:color w:val="auto"/>
        </w:rPr>
      </w:pPr>
      <w:r>
        <w:rPr>
          <w:rFonts w:ascii="Arial" w:cs="Arial" w:eastAsia="Arial" w:hAnsi="Arial"/>
          <w:sz w:val="14"/>
          <w:szCs w:val="14"/>
          <w:u w:val="single" w:color="auto"/>
          <w:color w:val="auto"/>
        </w:rPr>
        <w:t>Purchase Price</w:t>
      </w:r>
      <w:r>
        <w:rPr>
          <w:rFonts w:ascii="Arial" w:cs="Arial" w:eastAsia="Arial" w:hAnsi="Arial"/>
          <w:sz w:val="14"/>
          <w:szCs w:val="14"/>
          <w:color w:val="auto"/>
        </w:rPr>
        <w:t>. The purchase price to be paid for the Purchasable Shares purchased pursuant to the Purchase Option shall be (A) the (1) Change of Control Price, if applicable or (2) Fair Market Value per share, as of the date of the notice of exercise of the Purchase Option, in each case, times the number of shares being purchased, or (B) to the extent approved by the Company in its sole discretion, such other amount mutually agreeable among the Company and the Grantor; provided, however, in the event a Grantor has engaged in Detrimental Activity, the purchase price to the paid for Purchasable Shares purchased pursuant to the Purchase Option shall be $0.00. The purchase price shall be paid in cash. The closing of such purchase shall take place at the Company’s principal executive offices within ten (10) days after the purchase price has been determined. At such closing, the Grantor shall deliver to the purchasers the certificates or instruments evidencing the Purchasable Shares being purchased free and clear of all liens and encumbrances (if any), duly endorsed (or accompanied by duly executed stock powers) and otherwise in good form for delivery, against payment of the purchase price by check of the purchasers. In the event that, notwithstanding the foregoing, the Grantor shall have failed to obtain the release of any pledge or other encumbrance on any Purchasable Shares by the scheduled closing date, at the option of the purchasers, the closing shall nevertheless occur on such scheduled closing date, with the cash purchase price being reduced to the extent of all unpaid indebtedness for which such Purchasable Shares are then pledged or encumbered.</w:t>
      </w:r>
    </w:p>
    <w:p>
      <w:pPr>
        <w:spacing w:after="0" w:line="149" w:lineRule="exact"/>
        <w:rPr>
          <w:rFonts w:ascii="Arial" w:cs="Arial" w:eastAsia="Arial" w:hAnsi="Arial"/>
          <w:sz w:val="14"/>
          <w:szCs w:val="14"/>
          <w:color w:val="auto"/>
        </w:rPr>
      </w:pPr>
    </w:p>
    <w:p>
      <w:pPr>
        <w:ind w:left="-1060" w:firstLine="1590"/>
        <w:spacing w:after="0" w:line="300" w:lineRule="auto"/>
        <w:tabs>
          <w:tab w:leader="none" w:pos="1286" w:val="left"/>
        </w:tabs>
        <w:numPr>
          <w:ilvl w:val="0"/>
          <w:numId w:val="206"/>
        </w:numPr>
        <w:rPr>
          <w:rFonts w:ascii="Arial" w:cs="Arial" w:eastAsia="Arial" w:hAnsi="Arial"/>
          <w:sz w:val="14"/>
          <w:szCs w:val="14"/>
          <w:color w:val="auto"/>
        </w:rPr>
      </w:pPr>
      <w:r>
        <w:rPr>
          <w:rFonts w:ascii="Arial" w:cs="Arial" w:eastAsia="Arial" w:hAnsi="Arial"/>
          <w:sz w:val="14"/>
          <w:szCs w:val="14"/>
          <w:u w:val="single" w:color="auto"/>
          <w:color w:val="auto"/>
        </w:rPr>
        <w:t>Legend</w:t>
      </w:r>
      <w:r>
        <w:rPr>
          <w:rFonts w:ascii="Arial" w:cs="Arial" w:eastAsia="Arial" w:hAnsi="Arial"/>
          <w:sz w:val="14"/>
          <w:szCs w:val="14"/>
          <w:color w:val="auto"/>
        </w:rPr>
        <w:t>. To assure the enforceability of the Company’s rights under this Section 9(c), until the date of a Qualifying Public Offering, each certificate or instrument representing Stock or an Award held by him, her, or it may, in the Committee’s discretion, bear a conspicuous legend in substantially the following form:</w:t>
      </w:r>
    </w:p>
    <w:p>
      <w:pPr>
        <w:spacing w:after="0" w:line="125" w:lineRule="exact"/>
        <w:rPr>
          <w:sz w:val="20"/>
          <w:szCs w:val="20"/>
          <w:color w:val="auto"/>
        </w:rPr>
      </w:pPr>
    </w:p>
    <w:p>
      <w:pPr>
        <w:jc w:val="both"/>
        <w:ind w:right="1060"/>
        <w:spacing w:after="0" w:line="251" w:lineRule="auto"/>
        <w:rPr>
          <w:sz w:val="20"/>
          <w:szCs w:val="20"/>
          <w:color w:val="auto"/>
        </w:rPr>
      </w:pPr>
      <w:r>
        <w:rPr>
          <w:rFonts w:ascii="Arial" w:cs="Arial" w:eastAsia="Arial" w:hAnsi="Arial"/>
          <w:sz w:val="15"/>
          <w:szCs w:val="15"/>
          <w:color w:val="auto"/>
        </w:rPr>
        <w:t>“THE SHARES [REPRESENTED BY THIS CERTIFICATE] [ISSUABLE PURSUANT TO THIS AGREEMENT] ARE SUBJECT TO AN OPTION TO REPURCHASE PROVIDED UNDER THE PROVISIONS OF THE IMMUNEERING CORPORATION LONG TERM INCENTIVE PLAN AND/OR AN AWARD AGREEMENT ENTERED INTO PURSUANT THERETO. COPIES OF SUCH PLAN AND AWARD AGREEMENT ARE AVAILABLE UPON WRITTEN REQUEST TO THE COMPANY AT ITS PRINCIPAL EXECUTIVE OFFICES.”</w:t>
      </w:r>
    </w:p>
    <w:p>
      <w:pPr>
        <w:spacing w:after="0" w:line="157" w:lineRule="exact"/>
        <w:rPr>
          <w:sz w:val="20"/>
          <w:szCs w:val="20"/>
          <w:color w:val="auto"/>
        </w:rPr>
      </w:pPr>
    </w:p>
    <w:p>
      <w:pPr>
        <w:jc w:val="center"/>
        <w:ind w:left="4520" w:right="1960" w:hanging="3990"/>
        <w:spacing w:after="0" w:line="753" w:lineRule="auto"/>
        <w:tabs>
          <w:tab w:leader="none" w:pos="1259"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Expiration</w:t>
      </w:r>
      <w:r>
        <w:rPr>
          <w:rFonts w:ascii="Arial" w:cs="Arial" w:eastAsia="Arial" w:hAnsi="Arial"/>
          <w:sz w:val="15"/>
          <w:szCs w:val="15"/>
          <w:color w:val="auto"/>
        </w:rPr>
        <w:t>. The Company’s rights under this Section 9(c) shall terminate upon the date of a Qualifying Public Offering.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-233680</wp:posOffset>
            </wp:positionV>
            <wp:extent cx="715772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20"/>
          </w:cols>
          <w:pgMar w:left="1360" w:top="767" w:right="319" w:bottom="1440" w:gutter="0" w:footer="0" w:header="0"/>
        </w:sectPr>
      </w:pPr>
    </w:p>
    <w:bookmarkStart w:id="351" w:name="page352"/>
    <w:bookmarkEnd w:id="351"/>
    <w:p>
      <w:pPr>
        <w:jc w:val="both"/>
        <w:ind w:firstLine="1063"/>
        <w:spacing w:after="0" w:line="266" w:lineRule="auto"/>
        <w:tabs>
          <w:tab w:leader="none" w:pos="1818"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The Company and any of its Subsidiaries are authorized to withhold from any Award granted, or any payment relating to an Award under this Plan, including from a distribution of Stock, amounts of withholding and other taxes due or potentially payable in connection with any transaction involving an Award, and to take such other action as the Company may deem advisable to enable the Company, its Subsidiaries and Participants to satisfy obligations for the payment of withholding taxes and other tax obligations relating to any Award. The Company shall determine, in its sole discretion, the form of payment acceptable for such tax withholding obligations, including, without limitation, the delivery of cash or cash equivalents, Stock (including previously owned shares, net settlement, a broker-assisted sale, or other cashless withholding or reduction of the amount of shares otherwise issuable or delivered pursuant to the Award), other property, or any other legal consideration the Company deems appropriate. If such tax obligations are satisfied through the withholding of shares of Stock that are otherwise issuable to the Participant pursuant to an Award (or through the surrender of shares of Stock by the Participant to the Company), the number of shares of Stock that may be so withheld (or surrendered) shall be limited to the number of shares of Stock that have an aggregate Fair Market Value on the date of withholding or repurchase equal to the aggregate amount of such tax liabilities determined based on the applicable minimum statutory withholding rates for federal, state, foreign and/or local tax purposes, including payroll taxes, as determined by the Company.</w:t>
      </w:r>
    </w:p>
    <w:p>
      <w:pPr>
        <w:spacing w:after="0" w:line="149" w:lineRule="exact"/>
        <w:rPr>
          <w:rFonts w:ascii="Arial" w:cs="Arial" w:eastAsia="Arial" w:hAnsi="Arial"/>
          <w:sz w:val="14"/>
          <w:szCs w:val="14"/>
          <w:color w:val="auto"/>
        </w:rPr>
      </w:pPr>
    </w:p>
    <w:p>
      <w:pPr>
        <w:jc w:val="both"/>
        <w:ind w:firstLine="1063"/>
        <w:spacing w:after="0" w:line="271" w:lineRule="auto"/>
        <w:tabs>
          <w:tab w:leader="none" w:pos="1766"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Limitation on Rights Conferred under Plan</w:t>
      </w:r>
      <w:r>
        <w:rPr>
          <w:rFonts w:ascii="Arial" w:cs="Arial" w:eastAsia="Arial" w:hAnsi="Arial"/>
          <w:sz w:val="14"/>
          <w:szCs w:val="14"/>
          <w:color w:val="auto"/>
        </w:rPr>
        <w:t>. Neither this Plan nor any action taken hereunder shall be construed as (i) giving any Eligible Person or Participant the right to continue as an Eligible Person or Participant or in the employ or service of the Company or any of its Subsidiaries, (ii) interfering in any way with the right of the Company or any of its Subsidiaries to terminate any Eligible Person’s or Participant’s employment or service relationship at any time, (iii) giving an Eligible Person or Participant any claim to be granted any Award under this Plan or to be treated uniformly with other Participants and/or employees and/or other service providers, or (iv) conferring on a Participant any of the rights of a stockholder of the Company unless and until the Participant is duly issued or transferred shares of Stock in accordance with the terms of an Award.</w:t>
      </w:r>
    </w:p>
    <w:p>
      <w:pPr>
        <w:spacing w:after="0" w:line="145" w:lineRule="exact"/>
        <w:rPr>
          <w:rFonts w:ascii="Arial" w:cs="Arial" w:eastAsia="Arial" w:hAnsi="Arial"/>
          <w:sz w:val="14"/>
          <w:szCs w:val="14"/>
          <w:color w:val="auto"/>
        </w:rPr>
      </w:pPr>
    </w:p>
    <w:p>
      <w:pPr>
        <w:jc w:val="both"/>
        <w:ind w:firstLine="1063"/>
        <w:spacing w:after="0" w:line="251" w:lineRule="auto"/>
        <w:tabs>
          <w:tab w:leader="none" w:pos="1985"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such Stock.</w:t>
      </w:r>
    </w:p>
    <w:p>
      <w:pPr>
        <w:spacing w:after="0" w:line="157" w:lineRule="exact"/>
        <w:rPr>
          <w:rFonts w:ascii="Arial" w:cs="Arial" w:eastAsia="Arial" w:hAnsi="Arial"/>
          <w:sz w:val="15"/>
          <w:szCs w:val="15"/>
          <w:color w:val="auto"/>
        </w:rPr>
      </w:pPr>
    </w:p>
    <w:p>
      <w:pPr>
        <w:jc w:val="both"/>
        <w:ind w:firstLine="1063"/>
        <w:spacing w:after="0" w:line="266" w:lineRule="auto"/>
        <w:tabs>
          <w:tab w:leader="none" w:pos="1837"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Severability and Reformation</w:t>
      </w:r>
      <w:r>
        <w:rPr>
          <w:rFonts w:ascii="Arial" w:cs="Arial" w:eastAsia="Arial" w:hAnsi="Arial"/>
          <w:sz w:val="14"/>
          <w:szCs w:val="14"/>
          <w:color w:val="auto"/>
        </w:rPr>
        <w:t xml:space="preserve">. 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this Plan or any Award Agreement conflict with the requirements section 422 of the Code (with respect to Incentive Stock Options), then those conflicting terms or provisions shall be deemed inoperative to the extent they so conflict with section 422 of the Code. With respect to Incentive Stock Options, if this Plan does not contain any provision required to be included herein under section 422 of the Code, that provision shall be deemed to be incorporated herein with the same force and effect as if that provision had been set out at length herein; </w:t>
      </w:r>
      <w:r>
        <w:rPr>
          <w:rFonts w:ascii="Arial" w:cs="Arial" w:eastAsia="Arial" w:hAnsi="Arial"/>
          <w:sz w:val="14"/>
          <w:szCs w:val="14"/>
          <w:u w:val="single" w:color="auto"/>
          <w:color w:val="auto"/>
        </w:rPr>
        <w:t>provided</w:t>
      </w:r>
      <w:r>
        <w:rPr>
          <w:rFonts w:ascii="Arial" w:cs="Arial" w:eastAsia="Arial" w:hAnsi="Arial"/>
          <w:sz w:val="14"/>
          <w:szCs w:val="14"/>
          <w:color w:val="auto"/>
        </w:rPr>
        <w:t>, further, that, to the extent any Option that is intended to qualify as an Incentive Stock Option cannot so qualify, that Option (to that extent) shall be deemed a Nonstatutory Stock Option for all purposes of the Plan.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52" w:name="page353"/>
    <w:bookmarkEnd w:id="352"/>
    <w:p>
      <w:pPr>
        <w:jc w:val="both"/>
        <w:ind w:firstLine="1063"/>
        <w:spacing w:after="0" w:line="251" w:lineRule="auto"/>
        <w:tabs>
          <w:tab w:leader="none" w:pos="1818"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Unfunded Status of Awards; No Trust or Fund Created</w:t>
      </w:r>
      <w:r>
        <w:rPr>
          <w:rFonts w:ascii="Arial" w:cs="Arial" w:eastAsia="Arial" w:hAnsi="Arial"/>
          <w:sz w:val="15"/>
          <w:szCs w:val="15"/>
          <w:color w:val="auto"/>
        </w:rPr>
        <w:t>. This Plan is intended to constitute an “unfunded”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157" w:lineRule="exact"/>
        <w:rPr>
          <w:rFonts w:ascii="Arial" w:cs="Arial" w:eastAsia="Arial" w:hAnsi="Arial"/>
          <w:sz w:val="15"/>
          <w:szCs w:val="15"/>
          <w:color w:val="auto"/>
        </w:rPr>
      </w:pPr>
    </w:p>
    <w:p>
      <w:pPr>
        <w:jc w:val="both"/>
        <w:ind w:firstLine="1063"/>
        <w:spacing w:after="0" w:line="249" w:lineRule="auto"/>
        <w:tabs>
          <w:tab w:leader="none" w:pos="1815"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Nonexclusivity of this Plan</w:t>
      </w:r>
      <w:r>
        <w:rPr>
          <w:rFonts w:ascii="Arial" w:cs="Arial" w:eastAsia="Arial" w:hAnsi="Arial"/>
          <w:sz w:val="15"/>
          <w:szCs w:val="15"/>
          <w:color w:val="auto"/>
        </w:rPr>
        <w:t>. Neither the adoption of this Plan by the Board nor its submission to the stockholders of the Company for approval shall be construed as creating any limitations on the power of the Board or a committee thereof to adopt such other incentive arrangements as it may deem desirable. Nothing contained in this Plan shall be construed to prevent the Company or any of its Subsidiaries from taking any corporate action which is deemed by the Company or such Subsidiary to be appropriate or in its best interest, whether or not such action would have an adverse effect on this Plan or any Award made under this Plan. No employee, beneficiary or other Person shall have any claim against the Company or any of its Subsidiaries as a result of any such action.</w:t>
      </w:r>
    </w:p>
    <w:p>
      <w:pPr>
        <w:spacing w:after="0" w:line="159" w:lineRule="exact"/>
        <w:rPr>
          <w:rFonts w:ascii="Arial" w:cs="Arial" w:eastAsia="Arial" w:hAnsi="Arial"/>
          <w:sz w:val="15"/>
          <w:szCs w:val="15"/>
          <w:color w:val="auto"/>
        </w:rPr>
      </w:pPr>
    </w:p>
    <w:p>
      <w:pPr>
        <w:jc w:val="both"/>
        <w:ind w:firstLine="1063"/>
        <w:spacing w:after="0" w:line="254" w:lineRule="auto"/>
        <w:tabs>
          <w:tab w:leader="none" w:pos="1914"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Fractional Shares</w:t>
      </w:r>
      <w:r>
        <w:rPr>
          <w:rFonts w:ascii="Arial" w:cs="Arial" w:eastAsia="Arial" w:hAnsi="Arial"/>
          <w:sz w:val="15"/>
          <w:szCs w:val="15"/>
          <w:color w:val="auto"/>
        </w:rPr>
        <w:t>. No fractional shares of Stock shall be issued or delivered pursuant to the Plan or any Award, and the Committee shall determine in its sole discretion whether cash, other securities, or other property shall be paid or transferred in lieu of any fractional shares of Stock or whether such fractional shares of Stock or any rights thereto shall be canceled, terminated, or otherwise eliminated with or without consideration.</w:t>
      </w:r>
    </w:p>
    <w:p>
      <w:pPr>
        <w:spacing w:after="0" w:line="155" w:lineRule="exact"/>
        <w:rPr>
          <w:rFonts w:ascii="Arial" w:cs="Arial" w:eastAsia="Arial" w:hAnsi="Arial"/>
          <w:sz w:val="15"/>
          <w:szCs w:val="15"/>
          <w:color w:val="auto"/>
        </w:rPr>
      </w:pPr>
    </w:p>
    <w:p>
      <w:pPr>
        <w:ind w:firstLine="1063"/>
        <w:spacing w:after="0" w:line="264" w:lineRule="auto"/>
        <w:tabs>
          <w:tab w:leader="none" w:pos="1862"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47" w:lineRule="exact"/>
        <w:rPr>
          <w:rFonts w:ascii="Arial" w:cs="Arial" w:eastAsia="Arial" w:hAnsi="Arial"/>
          <w:sz w:val="15"/>
          <w:szCs w:val="15"/>
          <w:color w:val="auto"/>
        </w:rPr>
      </w:pPr>
    </w:p>
    <w:p>
      <w:pPr>
        <w:jc w:val="both"/>
        <w:ind w:firstLine="1063"/>
        <w:spacing w:after="0" w:line="254" w:lineRule="auto"/>
        <w:tabs>
          <w:tab w:leader="none" w:pos="1925"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Facility of Payment</w:t>
      </w:r>
      <w:r>
        <w:rPr>
          <w:rFonts w:ascii="Arial" w:cs="Arial" w:eastAsia="Arial" w:hAnsi="Arial"/>
          <w:sz w:val="15"/>
          <w:szCs w:val="15"/>
          <w:color w:val="auto"/>
        </w:rPr>
        <w:t>. Any amounts payable hereunder to any individual under legal disability or 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155" w:lineRule="exact"/>
        <w:rPr>
          <w:rFonts w:ascii="Arial" w:cs="Arial" w:eastAsia="Arial" w:hAnsi="Arial"/>
          <w:sz w:val="15"/>
          <w:szCs w:val="15"/>
          <w:color w:val="auto"/>
        </w:rPr>
      </w:pPr>
    </w:p>
    <w:p>
      <w:pPr>
        <w:ind w:left="1880" w:hanging="817"/>
        <w:spacing w:after="0"/>
        <w:tabs>
          <w:tab w:leader="none" w:pos="1880"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Gender and Number</w:t>
      </w:r>
      <w:r>
        <w:rPr>
          <w:rFonts w:ascii="Arial" w:cs="Arial" w:eastAsia="Arial" w:hAnsi="Arial"/>
          <w:sz w:val="13"/>
          <w:szCs w:val="13"/>
          <w:color w:val="auto"/>
        </w:rPr>
        <w:t>. Words in the masculine gender shall include the feminine gender, the plural shall include the singular and the singular shall include the</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plural.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53" w:name="page354"/>
    <w:bookmarkEnd w:id="353"/>
    <w:p>
      <w:pPr>
        <w:jc w:val="both"/>
        <w:ind w:firstLine="1063"/>
        <w:spacing w:after="0" w:line="287" w:lineRule="auto"/>
        <w:tabs>
          <w:tab w:leader="none" w:pos="1870"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Conditions to Delivery of Stock</w:t>
      </w:r>
      <w:r>
        <w:rPr>
          <w:rFonts w:ascii="Arial" w:cs="Arial" w:eastAsia="Arial" w:hAnsi="Arial"/>
          <w:sz w:val="13"/>
          <w:szCs w:val="13"/>
          <w:color w:val="auto"/>
        </w:rPr>
        <w:t>. Nothing herein or in any Award Agreement shall require the Company to issue any shares with respect to any Award if that issuance would, in the opinion of counsel for the Company, constitute a violation of the Securities Act or any similar or superseding statute or statutes, any other applicable statute or regulation, or the rules of any applicable securities exchange or securities association, as then in effect. In addition, each Participant who receives an Award under this Plan shall not sell or otherwise dispose of Stock that is acquired upon grant or vesting of an Award in any manner that would constitute a violation of any applicable federal or state securities laws, the Plan or the rules, regulations or other requirements of the Securities and Exchange Commission or any stock exchange upon which the Stock is then listed. At the time of any exercise of an Option, or at the time of any grant of any other Award the Company may, as a condition precedent to the exercise of such Option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or any similar or superseding statute or statutes, any other applicable state or federal statute or regulation, or any rule of any applicable securities exchange or securities association, as then in effect. Stock or other securities shall not be delivered pursuant to any Award until payment in full of any amount required to be paid pursuant to the Plan or the applicable Award Agreement (including, without limitation, any Exercise Price, grant price, or tax withholding) is received by the Company.</w:t>
      </w:r>
    </w:p>
    <w:p>
      <w:pPr>
        <w:spacing w:after="0" w:line="139" w:lineRule="exact"/>
        <w:rPr>
          <w:rFonts w:ascii="Arial" w:cs="Arial" w:eastAsia="Arial" w:hAnsi="Arial"/>
          <w:sz w:val="13"/>
          <w:szCs w:val="13"/>
          <w:color w:val="auto"/>
        </w:rPr>
      </w:pPr>
    </w:p>
    <w:p>
      <w:pPr>
        <w:jc w:val="both"/>
        <w:ind w:firstLine="1063"/>
        <w:spacing w:after="0" w:line="288" w:lineRule="auto"/>
        <w:tabs>
          <w:tab w:leader="none" w:pos="1961"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Section 409A of the Code</w:t>
      </w:r>
      <w:r>
        <w:rPr>
          <w:rFonts w:ascii="Arial" w:cs="Arial" w:eastAsia="Arial" w:hAnsi="Arial"/>
          <w:sz w:val="13"/>
          <w:szCs w:val="13"/>
          <w:color w:val="auto"/>
        </w:rPr>
        <w:t>. It is the general intention, but not the obligation, of the Committee to design Awards to comply with or to be exempt from the Nonqualified Deferred Compensation Rules, and Awards will be operated and construed accordingly. Neither this Section 9(o) nor any other provision of the Plan is or contains a representation to any Participant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Employee on account of non-compliance with the Nonqualified Deferred Compensation Rules. Notwithstanding any provision in this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Arial" w:cs="Arial" w:eastAsia="Arial" w:hAnsi="Arial"/>
          <w:sz w:val="13"/>
          <w:szCs w:val="13"/>
          <w:b w:val="1"/>
          <w:bCs w:val="1"/>
          <w:i w:val="1"/>
          <w:iCs w:val="1"/>
          <w:color w:val="auto"/>
        </w:rPr>
        <w:t>Section 409A Payment Date</w:t>
      </w:r>
      <w:r>
        <w:rPr>
          <w:rFonts w:ascii="Arial" w:cs="Arial" w:eastAsia="Arial" w:hAnsi="Arial"/>
          <w:sz w:val="13"/>
          <w:szCs w:val="13"/>
          <w:color w:val="auto"/>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The applicable provisions of the Nonqualified Deferred Compensation Rules are hereby incorporated by reference and shall control over any Plan or Award Agreement provision in conflict therewith.</w:t>
      </w:r>
    </w:p>
    <w:p>
      <w:pPr>
        <w:spacing w:after="0" w:line="136" w:lineRule="exact"/>
        <w:rPr>
          <w:rFonts w:ascii="Arial" w:cs="Arial" w:eastAsia="Arial" w:hAnsi="Arial"/>
          <w:sz w:val="13"/>
          <w:szCs w:val="13"/>
          <w:color w:val="auto"/>
        </w:rPr>
      </w:pPr>
    </w:p>
    <w:p>
      <w:pPr>
        <w:jc w:val="both"/>
        <w:ind w:firstLine="1063"/>
        <w:spacing w:after="0" w:line="274" w:lineRule="auto"/>
        <w:tabs>
          <w:tab w:leader="none" w:pos="1848" w:val="left"/>
        </w:tabs>
        <w:numPr>
          <w:ilvl w:val="0"/>
          <w:numId w:val="210"/>
        </w:numPr>
        <w:rPr>
          <w:rFonts w:ascii="Arial" w:cs="Arial" w:eastAsia="Arial" w:hAnsi="Arial"/>
          <w:sz w:val="14"/>
          <w:szCs w:val="14"/>
          <w:color w:val="auto"/>
        </w:rPr>
      </w:pPr>
      <w:r>
        <w:rPr>
          <w:rFonts w:ascii="Arial" w:cs="Arial" w:eastAsia="Arial" w:hAnsi="Arial"/>
          <w:sz w:val="14"/>
          <w:szCs w:val="14"/>
          <w:u w:val="single" w:color="auto"/>
          <w:color w:val="auto"/>
        </w:rPr>
        <w:t>Plan Effective Date and Term</w:t>
      </w:r>
      <w:r>
        <w:rPr>
          <w:rFonts w:ascii="Arial" w:cs="Arial" w:eastAsia="Arial" w:hAnsi="Arial"/>
          <w:sz w:val="14"/>
          <w:szCs w:val="14"/>
          <w:color w:val="auto"/>
        </w:rPr>
        <w:t>. This Plan was adopted by the Board on the Effective Date, and approved by the stockholders of the Company on the Effective Date, to be effective on the Effective Date. No Awards may be granted under this Plan on and after the tenth anniversary of the Effective Date. However, any Award granted prior to such termination, and the authority of the Board or Committee to amend, alter, adjust, suspend, discontinue, or terminate any such Award or to waive any conditions or rights under such Award in accordance with the terms of this Plan, shall extend beyond such termination date until the final disposition of such Award.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sectPr>
      <w:pgSz w:w="11900" w:h="16838" w:orient="portrait"/>
      <w:cols w:equalWidth="0" w:num="1">
        <w:col w:w="11280"/>
      </w:cols>
      <w:pgMar w:left="300" w:top="76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1)"/>
      <w:numFmt w:val="decimal"/>
      <w:start w:val="1"/>
    </w:lvl>
  </w:abstractNum>
  <w:abstractNum w:abstractNumId="1">
    <w:nsid w:val="1FBFE8E0"/>
    <w:multiLevelType w:val="hybridMultilevel"/>
    <w:lvl w:ilvl="0">
      <w:lvlJc w:val="left"/>
      <w:lvlText w:val="(%1)"/>
      <w:numFmt w:val="decimal"/>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
      <w:numFmt w:val="bullet"/>
      <w:start w:val="1"/>
    </w:lvl>
  </w:abstractNum>
  <w:abstractNum w:abstractNumId="11">
    <w:nsid w:val="53584BCB"/>
    <w:multiLevelType w:val="hybridMultilevel"/>
    <w:lvl w:ilvl="0">
      <w:lvlJc w:val="left"/>
      <w:lvlText w:val="(%1)"/>
      <w:numFmt w:val="decimal"/>
      <w:start w:val="1"/>
    </w:lvl>
  </w:abstractNum>
  <w:abstractNum w:abstractNumId="12">
    <w:nsid w:val="415E286C"/>
    <w:multiLevelType w:val="hybridMultilevel"/>
    <w:lvl w:ilvl="0">
      <w:lvlJc w:val="left"/>
      <w:lvlText w:val="(%1)"/>
      <w:numFmt w:val="decimal"/>
      <w:start w:val="1"/>
    </w:lvl>
  </w:abstractNum>
  <w:abstractNum w:abstractNumId="13">
    <w:nsid w:val="7C58FD05"/>
    <w:multiLevelType w:val="hybridMultilevel"/>
    <w:lvl w:ilvl="0">
      <w:lvlJc w:val="left"/>
      <w:lvlText w:val="(%1)"/>
      <w:numFmt w:val="decimal"/>
      <w:start w:val="3"/>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
      <w:numFmt w:val="bullet"/>
      <w:start w:val="1"/>
    </w:lvl>
  </w:abstractNum>
  <w:abstractNum w:abstractNumId="36">
    <w:nsid w:val="4F97E3E4"/>
    <w:multiLevelType w:val="hybridMultilevel"/>
    <w:lvl w:ilvl="0">
      <w:lvlJc w:val="left"/>
      <w:lvlText w:val="•"/>
      <w:numFmt w:val="bullet"/>
      <w:start w:val="1"/>
    </w:lvl>
  </w:abstractNum>
  <w:abstractNum w:abstractNumId="37">
    <w:nsid w:val="53B0A9E"/>
    <w:multiLevelType w:val="hybridMultilevel"/>
    <w:lvl w:ilvl="0">
      <w:lvlJc w:val="left"/>
      <w:lvlText w:val="•"/>
      <w:numFmt w:val="bullet"/>
      <w:start w:val="1"/>
    </w:lvl>
  </w:abstractNum>
  <w:abstractNum w:abstractNumId="38">
    <w:nsid w:val="34FD6B4F"/>
    <w:multiLevelType w:val="hybridMultilevel"/>
    <w:lvl w:ilvl="0">
      <w:lvlJc w:val="left"/>
      <w:lvlText w:val="a"/>
      <w:numFmt w:val="bullet"/>
      <w:start w:val="1"/>
    </w:lvl>
  </w:abstractNum>
  <w:abstractNum w:abstractNumId="39">
    <w:nsid w:val="5915FF32"/>
    <w:multiLevelType w:val="hybridMultilevel"/>
    <w:lvl w:ilvl="0">
      <w:lvlJc w:val="left"/>
      <w:lvlText w:val="•"/>
      <w:numFmt w:val="bullet"/>
      <w:start w:val="1"/>
    </w:lvl>
  </w:abstractNum>
  <w:abstractNum w:abstractNumId="40">
    <w:nsid w:val="56438D15"/>
    <w:multiLevelType w:val="hybridMultilevel"/>
    <w:lvl w:ilvl="0">
      <w:lvlJc w:val="left"/>
      <w:lvlText w:val="•"/>
      <w:numFmt w:val="bullet"/>
      <w:start w:val="1"/>
    </w:lvl>
  </w:abstractNum>
  <w:abstractNum w:abstractNumId="41">
    <w:nsid w:val="519E3149"/>
    <w:multiLevelType w:val="hybridMultilevel"/>
    <w:lvl w:ilvl="0">
      <w:lvlJc w:val="left"/>
      <w:lvlText w:val="•"/>
      <w:numFmt w:val="bullet"/>
      <w:start w:val="1"/>
    </w:lvl>
  </w:abstractNum>
  <w:abstractNum w:abstractNumId="42">
    <w:nsid w:val="2C6E4AFD"/>
    <w:multiLevelType w:val="hybridMultilevel"/>
    <w:lvl w:ilvl="0">
      <w:lvlJc w:val="left"/>
      <w:lvlText w:val="•"/>
      <w:numFmt w:val="bullet"/>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
      <w:numFmt w:val="bullet"/>
      <w:start w:val="1"/>
    </w:lvl>
  </w:abstractNum>
  <w:abstractNum w:abstractNumId="45">
    <w:nsid w:val="5046B5A9"/>
    <w:multiLevelType w:val="hybridMultilevel"/>
    <w:lvl w:ilvl="0">
      <w:lvlJc w:val="left"/>
      <w:lvlText w:val="•"/>
      <w:numFmt w:val="bullet"/>
      <w:start w:val="1"/>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
      <w:numFmt w:val="bullet"/>
      <w:start w:val="1"/>
    </w:lvl>
  </w:abstractNum>
  <w:abstractNum w:abstractNumId="49">
    <w:nsid w:val="19E21BB2"/>
    <w:multiLevelType w:val="hybridMultilevel"/>
    <w:lvl w:ilvl="0">
      <w:lvlJc w:val="left"/>
      <w:lvlText w:val="•"/>
      <w:numFmt w:val="bullet"/>
      <w:start w:val="1"/>
    </w:lvl>
  </w:abstractNum>
  <w:abstractNum w:abstractNumId="50">
    <w:nsid w:val="75E0858A"/>
    <w:multiLevelType w:val="hybridMultilevel"/>
    <w:lvl w:ilvl="0">
      <w:lvlJc w:val="left"/>
      <w:lvlText w:val="•"/>
      <w:numFmt w:val="bullet"/>
      <w:start w:val="1"/>
    </w:lvl>
  </w:abstractNum>
  <w:abstractNum w:abstractNumId="51">
    <w:nsid w:val="57A61A29"/>
    <w:multiLevelType w:val="hybridMultilevel"/>
    <w:lvl w:ilvl="0">
      <w:lvlJc w:val="left"/>
      <w:lvlText w:val="•"/>
      <w:numFmt w:val="bullet"/>
      <w:start w:val="1"/>
    </w:lvl>
  </w:abstractNum>
  <w:abstractNum w:abstractNumId="52">
    <w:nsid w:val="5399C654"/>
    <w:multiLevelType w:val="hybridMultilevel"/>
    <w:lvl w:ilvl="0">
      <w:lvlJc w:val="left"/>
      <w:lvlText w:val="•"/>
      <w:numFmt w:val="bullet"/>
      <w:start w:val="1"/>
    </w:lvl>
  </w:abstractNum>
  <w:abstractNum w:abstractNumId="53">
    <w:nsid w:val="20EE1348"/>
    <w:multiLevelType w:val="hybridMultilevel"/>
    <w:lvl w:ilvl="0">
      <w:lvlJc w:val="left"/>
      <w:lvlText w:val="•"/>
      <w:numFmt w:val="bullet"/>
      <w:start w:val="1"/>
    </w:lvl>
  </w:abstractNum>
  <w:abstractNum w:abstractNumId="54">
    <w:nsid w:val="4427069A"/>
    <w:multiLevelType w:val="hybridMultilevel"/>
    <w:lvl w:ilvl="0">
      <w:lvlJc w:val="left"/>
      <w:lvlText w:val="•"/>
      <w:numFmt w:val="bullet"/>
      <w:start w:val="1"/>
    </w:lvl>
  </w:abstractNum>
  <w:abstractNum w:abstractNumId="55">
    <w:nsid w:val="B37E80A"/>
    <w:multiLevelType w:val="hybridMultilevel"/>
    <w:lvl w:ilvl="0">
      <w:lvlJc w:val="left"/>
      <w:lvlText w:val="•"/>
      <w:numFmt w:val="bullet"/>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
      <w:numFmt w:val="bullet"/>
      <w:start w:val="1"/>
    </w:lvl>
  </w:abstractNum>
  <w:abstractNum w:abstractNumId="58">
    <w:nsid w:val="57D2F10E"/>
    <w:multiLevelType w:val="hybridMultilevel"/>
    <w:lvl w:ilvl="0">
      <w:lvlJc w:val="left"/>
      <w:lvlText w:val="•"/>
      <w:numFmt w:val="bullet"/>
      <w:start w:val="1"/>
    </w:lvl>
  </w:abstractNum>
  <w:abstractNum w:abstractNumId="59">
    <w:nsid w:val="BFFAE18"/>
    <w:multiLevelType w:val="hybridMultilevel"/>
    <w:lvl w:ilvl="0">
      <w:lvlJc w:val="left"/>
      <w:lvlText w:val="(%1)"/>
      <w:numFmt w:val="decimal"/>
      <w:start w:val="1"/>
    </w:lvl>
  </w:abstractNum>
  <w:abstractNum w:abstractNumId="60">
    <w:nsid w:val="E3E47A8"/>
    <w:multiLevelType w:val="hybridMultilevel"/>
    <w:lvl w:ilvl="0">
      <w:lvlJc w:val="left"/>
      <w:lvlText w:val="(%1)"/>
      <w:numFmt w:val="decimal"/>
      <w:start w:val="1"/>
    </w:lvl>
  </w:abstractNum>
  <w:abstractNum w:abstractNumId="61">
    <w:nsid w:val="2E48F044"/>
    <w:multiLevelType w:val="hybridMultilevel"/>
    <w:lvl w:ilvl="0">
      <w:lvlJc w:val="left"/>
      <w:lvlText w:val="•"/>
      <w:numFmt w:val="bullet"/>
      <w:start w:val="1"/>
    </w:lvl>
  </w:abstractNum>
  <w:abstractNum w:abstractNumId="62">
    <w:nsid w:val="49D0FEAC"/>
    <w:multiLevelType w:val="hybridMultilevel"/>
    <w:lvl w:ilvl="0">
      <w:lvlJc w:val="left"/>
      <w:lvlText w:val="•"/>
      <w:numFmt w:val="bullet"/>
      <w:start w:val="1"/>
    </w:lvl>
  </w:abstractNum>
  <w:abstractNum w:abstractNumId="63">
    <w:nsid w:val="4BEE5A5B"/>
    <w:multiLevelType w:val="hybridMultilevel"/>
    <w:lvl w:ilvl="0">
      <w:lvlJc w:val="left"/>
      <w:lvlText w:val="•"/>
      <w:numFmt w:val="bullet"/>
      <w:start w:val="1"/>
    </w:lvl>
  </w:abstractNum>
  <w:abstractNum w:abstractNumId="64">
    <w:nsid w:val="5551B9F3"/>
    <w:multiLevelType w:val="hybridMultilevel"/>
    <w:lvl w:ilvl="0">
      <w:lvlJc w:val="left"/>
      <w:lvlText w:val="•"/>
      <w:numFmt w:val="bullet"/>
      <w:start w:val="1"/>
    </w:lvl>
  </w:abstractNum>
  <w:abstractNum w:abstractNumId="65">
    <w:nsid w:val="24F6AB8E"/>
    <w:multiLevelType w:val="hybridMultilevel"/>
    <w:lvl w:ilvl="0">
      <w:lvlJc w:val="left"/>
      <w:lvlText w:val="•"/>
      <w:numFmt w:val="bullet"/>
      <w:start w:val="1"/>
    </w:lvl>
  </w:abstractNum>
  <w:abstractNum w:abstractNumId="66">
    <w:nsid w:val="634C574C"/>
    <w:multiLevelType w:val="hybridMultilevel"/>
    <w:lvl w:ilvl="0">
      <w:lvlJc w:val="left"/>
      <w:lvlText w:val="•"/>
      <w:numFmt w:val="bullet"/>
      <w:start w:val="1"/>
    </w:lvl>
  </w:abstractNum>
  <w:abstractNum w:abstractNumId="67">
    <w:nsid w:val="24E99DD7"/>
    <w:multiLevelType w:val="hybridMultilevel"/>
    <w:lvl w:ilvl="0">
      <w:lvlJc w:val="left"/>
      <w:lvlText w:val="(%1)"/>
      <w:numFmt w:val="decimal"/>
      <w:start w:val="1"/>
    </w:lvl>
  </w:abstractNum>
  <w:abstractNum w:abstractNumId="68">
    <w:nsid w:val="2A31B62D"/>
    <w:multiLevelType w:val="hybridMultilevel"/>
    <w:lvl w:ilvl="0">
      <w:lvlJc w:val="left"/>
      <w:lvlText w:val="•"/>
      <w:numFmt w:val="bullet"/>
      <w:start w:val="1"/>
    </w:lvl>
  </w:abstractNum>
  <w:abstractNum w:abstractNumId="69">
    <w:nsid w:val="1849C29B"/>
    <w:multiLevelType w:val="hybridMultilevel"/>
    <w:lvl w:ilvl="0">
      <w:lvlJc w:val="left"/>
      <w:lvlText w:val="•"/>
      <w:numFmt w:val="bullet"/>
      <w:start w:val="1"/>
    </w:lvl>
  </w:abstractNum>
  <w:abstractNum w:abstractNumId="70">
    <w:nsid w:val="7DFF9D09"/>
    <w:multiLevelType w:val="hybridMultilevel"/>
    <w:lvl w:ilvl="0">
      <w:lvlJc w:val="left"/>
      <w:lvlText w:val="•"/>
      <w:numFmt w:val="bullet"/>
      <w:start w:val="1"/>
    </w:lvl>
  </w:abstractNum>
  <w:abstractNum w:abstractNumId="71">
    <w:nsid w:val="754342"/>
    <w:multiLevelType w:val="hybridMultilevel"/>
    <w:lvl w:ilvl="0">
      <w:lvlJc w:val="left"/>
      <w:lvlText w:val="a"/>
      <w:numFmt w:val="bullet"/>
      <w:start w:val="1"/>
    </w:lvl>
  </w:abstractNum>
  <w:abstractNum w:abstractNumId="72">
    <w:nsid w:val="69E7F3E5"/>
    <w:multiLevelType w:val="hybridMultilevel"/>
    <w:lvl w:ilvl="0">
      <w:lvlJc w:val="left"/>
      <w:lvlText w:val="•"/>
      <w:numFmt w:val="bullet"/>
      <w:start w:val="1"/>
    </w:lvl>
  </w:abstractNum>
  <w:abstractNum w:abstractNumId="73">
    <w:nsid w:val="2A6DE806"/>
    <w:multiLevelType w:val="hybridMultilevel"/>
    <w:lvl w:ilvl="0">
      <w:lvlJc w:val="left"/>
      <w:lvlText w:val="•"/>
      <w:numFmt w:val="bullet"/>
      <w:start w:val="1"/>
    </w:lvl>
  </w:abstractNum>
  <w:abstractNum w:abstractNumId="74">
    <w:nsid w:val="1816F8C4"/>
    <w:multiLevelType w:val="hybridMultilevel"/>
    <w:lvl w:ilvl="0">
      <w:lvlJc w:val="left"/>
      <w:lvlText w:val="•"/>
      <w:numFmt w:val="bullet"/>
      <w:start w:val="1"/>
    </w:lvl>
  </w:abstractNum>
  <w:abstractNum w:abstractNumId="75">
    <w:nsid w:val="37DF2233"/>
    <w:multiLevelType w:val="hybridMultilevel"/>
    <w:lvl w:ilvl="0">
      <w:lvlJc w:val="left"/>
      <w:lvlText w:val="•"/>
      <w:numFmt w:val="bullet"/>
      <w:start w:val="1"/>
    </w:lvl>
  </w:abstractNum>
  <w:abstractNum w:abstractNumId="76">
    <w:nsid w:val="7AB49DAF"/>
    <w:multiLevelType w:val="hybridMultilevel"/>
    <w:lvl w:ilvl="0">
      <w:lvlJc w:val="left"/>
      <w:lvlText w:val="•"/>
      <w:numFmt w:val="bullet"/>
      <w:start w:val="1"/>
    </w:lvl>
  </w:abstractNum>
  <w:abstractNum w:abstractNumId="77">
    <w:nsid w:val="759F82CD"/>
    <w:multiLevelType w:val="hybridMultilevel"/>
    <w:lvl w:ilvl="0">
      <w:lvlJc w:val="left"/>
      <w:lvlText w:val="•"/>
      <w:numFmt w:val="bullet"/>
      <w:start w:val="1"/>
    </w:lvl>
  </w:abstractNum>
  <w:abstractNum w:abstractNumId="78">
    <w:nsid w:val="61E74EA3"/>
    <w:multiLevelType w:val="hybridMultilevel"/>
    <w:lvl w:ilvl="0">
      <w:lvlJc w:val="left"/>
      <w:lvlText w:val="•"/>
      <w:numFmt w:val="bullet"/>
      <w:start w:val="1"/>
    </w:lvl>
  </w:abstractNum>
  <w:abstractNum w:abstractNumId="79">
    <w:nsid w:val="597B4D84"/>
    <w:multiLevelType w:val="hybridMultilevel"/>
    <w:lvl w:ilvl="0">
      <w:lvlJc w:val="left"/>
      <w:lvlText w:val="•"/>
      <w:numFmt w:val="bullet"/>
      <w:start w:val="1"/>
    </w:lvl>
  </w:abstractNum>
  <w:abstractNum w:abstractNumId="80">
    <w:nsid w:val="F819E7F"/>
    <w:multiLevelType w:val="hybridMultilevel"/>
    <w:lvl w:ilvl="0">
      <w:lvlJc w:val="left"/>
      <w:lvlText w:val="•"/>
      <w:numFmt w:val="bullet"/>
      <w:start w:val="1"/>
    </w:lvl>
  </w:abstractNum>
  <w:abstractNum w:abstractNumId="81">
    <w:nsid w:val="57C7D42D"/>
    <w:multiLevelType w:val="hybridMultilevel"/>
    <w:lvl w:ilvl="0">
      <w:lvlJc w:val="left"/>
      <w:lvlText w:val="•"/>
      <w:numFmt w:val="bullet"/>
      <w:start w:val="1"/>
    </w:lvl>
  </w:abstractNum>
  <w:abstractNum w:abstractNumId="82">
    <w:nsid w:val="312167AD"/>
    <w:multiLevelType w:val="hybridMultilevel"/>
    <w:lvl w:ilvl="0">
      <w:lvlJc w:val="left"/>
      <w:lvlText w:val="*"/>
      <w:numFmt w:val="bullet"/>
      <w:start w:val="1"/>
    </w:lvl>
  </w:abstractNum>
  <w:abstractNum w:abstractNumId="83">
    <w:nsid w:val="631B64D4"/>
    <w:multiLevelType w:val="hybridMultilevel"/>
    <w:lvl w:ilvl="0">
      <w:lvlJc w:val="left"/>
      <w:lvlText w:val="•"/>
      <w:numFmt w:val="bullet"/>
      <w:start w:val="1"/>
    </w:lvl>
  </w:abstractNum>
  <w:abstractNum w:abstractNumId="84">
    <w:nsid w:val="78B5E776"/>
    <w:multiLevelType w:val="hybridMultilevel"/>
    <w:lvl w:ilvl="0">
      <w:lvlJc w:val="left"/>
      <w:lvlText w:val="•"/>
      <w:numFmt w:val="bullet"/>
      <w:start w:val="1"/>
    </w:lvl>
  </w:abstractNum>
  <w:abstractNum w:abstractNumId="85">
    <w:nsid w:val="75486E47"/>
    <w:multiLevelType w:val="hybridMultilevel"/>
    <w:lvl w:ilvl="0">
      <w:lvlJc w:val="left"/>
      <w:lvlText w:val="•"/>
      <w:numFmt w:val="bullet"/>
      <w:start w:val="1"/>
    </w:lvl>
  </w:abstractNum>
  <w:abstractNum w:abstractNumId="86">
    <w:nsid w:val="6E534CDE"/>
    <w:multiLevelType w:val="hybridMultilevel"/>
    <w:lvl w:ilvl="0">
      <w:lvlJc w:val="left"/>
      <w:lvlText w:val="•"/>
      <w:numFmt w:val="bullet"/>
      <w:start w:val="1"/>
    </w:lvl>
  </w:abstractNum>
  <w:abstractNum w:abstractNumId="87">
    <w:nsid w:val="1A0DDE32"/>
    <w:multiLevelType w:val="hybridMultilevel"/>
    <w:lvl w:ilvl="0">
      <w:lvlJc w:val="left"/>
      <w:lvlText w:val="(%1)"/>
      <w:numFmt w:val="decimal"/>
      <w:start w:val="1"/>
    </w:lvl>
  </w:abstractNum>
  <w:abstractNum w:abstractNumId="88">
    <w:nsid w:val="65968C1C"/>
    <w:multiLevelType w:val="hybridMultilevel"/>
    <w:lvl w:ilvl="0">
      <w:lvlJc w:val="left"/>
      <w:lvlText w:val="(%1)"/>
      <w:numFmt w:val="decimal"/>
      <w:start w:val="1"/>
    </w:lvl>
  </w:abstractNum>
  <w:abstractNum w:abstractNumId="89">
    <w:nsid w:val="46263DEC"/>
    <w:multiLevelType w:val="hybridMultilevel"/>
    <w:lvl w:ilvl="0">
      <w:lvlJc w:val="left"/>
      <w:lvlText w:val="•"/>
      <w:numFmt w:val="bullet"/>
      <w:start w:val="1"/>
    </w:lvl>
  </w:abstractNum>
  <w:abstractNum w:abstractNumId="90">
    <w:nsid w:val="260D8C4A"/>
    <w:multiLevelType w:val="hybridMultilevel"/>
    <w:lvl w:ilvl="0">
      <w:lvlJc w:val="left"/>
      <w:lvlText w:val="•"/>
      <w:numFmt w:val="bullet"/>
      <w:start w:val="1"/>
    </w:lvl>
  </w:abstractNum>
  <w:abstractNum w:abstractNumId="91">
    <w:nsid w:val="73D4D3C4"/>
    <w:multiLevelType w:val="hybridMultilevel"/>
    <w:lvl w:ilvl="0">
      <w:lvlJc w:val="left"/>
      <w:lvlText w:val="(%1)"/>
      <w:numFmt w:val="decimal"/>
      <w:start w:val="1"/>
    </w:lvl>
  </w:abstractNum>
  <w:abstractNum w:abstractNumId="92">
    <w:nsid w:val="746F2E30"/>
    <w:multiLevelType w:val="hybridMultilevel"/>
    <w:lvl w:ilvl="0">
      <w:lvlJc w:val="left"/>
      <w:lvlText w:val="(%1)"/>
      <w:numFmt w:val="decimal"/>
      <w:start w:val="1"/>
    </w:lvl>
  </w:abstractNum>
  <w:abstractNum w:abstractNumId="93">
    <w:nsid w:val="6FDE8AF6"/>
    <w:multiLevelType w:val="hybridMultilevel"/>
    <w:lvl w:ilvl="0">
      <w:lvlJc w:val="left"/>
      <w:lvlText w:val="•"/>
      <w:numFmt w:val="bullet"/>
      <w:start w:val="1"/>
    </w:lvl>
  </w:abstractNum>
  <w:abstractNum w:abstractNumId="94">
    <w:nsid w:val="3FC32E20"/>
    <w:multiLevelType w:val="hybridMultilevel"/>
    <w:lvl w:ilvl="0">
      <w:lvlJc w:val="left"/>
      <w:lvlText w:val="*"/>
      <w:numFmt w:val="bullet"/>
      <w:start w:val="1"/>
    </w:lvl>
  </w:abstractNum>
  <w:abstractNum w:abstractNumId="95">
    <w:nsid w:val="49C0E823"/>
    <w:multiLevelType w:val="hybridMultilevel"/>
    <w:lvl w:ilvl="0">
      <w:lvlJc w:val="left"/>
      <w:lvlText w:val="(%1)"/>
      <w:numFmt w:val="decimal"/>
      <w:start w:val="1"/>
    </w:lvl>
  </w:abstractNum>
  <w:abstractNum w:abstractNumId="96">
    <w:nsid w:val="14D53685"/>
    <w:multiLevelType w:val="hybridMultilevel"/>
    <w:lvl w:ilvl="0">
      <w:lvlJc w:val="left"/>
      <w:lvlText w:val="(%1)"/>
      <w:numFmt w:val="decimal"/>
      <w:start w:val="11"/>
    </w:lvl>
  </w:abstractNum>
  <w:abstractNum w:abstractNumId="97">
    <w:nsid w:val="230F856C"/>
    <w:multiLevelType w:val="hybridMultilevel"/>
    <w:lvl w:ilvl="0">
      <w:lvlJc w:val="left"/>
      <w:lvlText w:val="•"/>
      <w:numFmt w:val="bullet"/>
      <w:start w:val="1"/>
    </w:lvl>
  </w:abstractNum>
  <w:abstractNum w:abstractNumId="98">
    <w:nsid w:val="6EAA85FB"/>
    <w:multiLevelType w:val="hybridMultilevel"/>
    <w:lvl w:ilvl="0">
      <w:lvlJc w:val="left"/>
      <w:lvlText w:val="•"/>
      <w:numFmt w:val="bullet"/>
      <w:start w:val="1"/>
    </w:lvl>
  </w:abstractNum>
  <w:abstractNum w:abstractNumId="99">
    <w:nsid w:val="3F06ECB2"/>
    <w:multiLevelType w:val="hybridMultilevel"/>
    <w:lvl w:ilvl="0">
      <w:lvlJc w:val="left"/>
      <w:lvlText w:val="•"/>
      <w:numFmt w:val="bullet"/>
      <w:start w:val="1"/>
    </w:lvl>
  </w:abstractNum>
  <w:abstractNum w:abstractNumId="100">
    <w:nsid w:val="3B594807"/>
    <w:multiLevelType w:val="hybridMultilevel"/>
    <w:lvl w:ilvl="0">
      <w:lvlJc w:val="left"/>
      <w:lvlText w:val="•"/>
      <w:numFmt w:val="bullet"/>
      <w:start w:val="1"/>
    </w:lvl>
  </w:abstractNum>
  <w:abstractNum w:abstractNumId="101">
    <w:nsid w:val="6CAA2304"/>
    <w:multiLevelType w:val="hybridMultilevel"/>
    <w:lvl w:ilvl="0">
      <w:lvlJc w:val="left"/>
      <w:lvlText w:val="•"/>
      <w:numFmt w:val="bullet"/>
      <w:start w:val="1"/>
    </w:lvl>
  </w:abstractNum>
  <w:abstractNum w:abstractNumId="102">
    <w:nsid w:val="3F7C2FF4"/>
    <w:multiLevelType w:val="hybridMultilevel"/>
    <w:lvl w:ilvl="0">
      <w:lvlJc w:val="left"/>
      <w:lvlText w:val="•"/>
      <w:numFmt w:val="bullet"/>
      <w:start w:val="1"/>
    </w:lvl>
  </w:abstractNum>
  <w:abstractNum w:abstractNumId="103">
    <w:nsid w:val="25413BEC"/>
    <w:multiLevelType w:val="hybridMultilevel"/>
    <w:lvl w:ilvl="0">
      <w:lvlJc w:val="left"/>
      <w:lvlText w:val="•"/>
      <w:numFmt w:val="bullet"/>
      <w:start w:val="1"/>
    </w:lvl>
  </w:abstractNum>
  <w:abstractNum w:abstractNumId="104">
    <w:nsid w:val="17180B0B"/>
    <w:multiLevelType w:val="hybridMultilevel"/>
    <w:lvl w:ilvl="0">
      <w:lvlJc w:val="left"/>
      <w:lvlText w:val="•"/>
      <w:numFmt w:val="bullet"/>
      <w:start w:val="1"/>
    </w:lvl>
  </w:abstractNum>
  <w:abstractNum w:abstractNumId="105">
    <w:nsid w:val="579328B9"/>
    <w:multiLevelType w:val="hybridMultilevel"/>
    <w:lvl w:ilvl="0">
      <w:lvlJc w:val="left"/>
      <w:lvlText w:val="(%1)"/>
      <w:numFmt w:val="lowerLetter"/>
      <w:start w:val="1"/>
    </w:lvl>
  </w:abstractNum>
  <w:abstractNum w:abstractNumId="106">
    <w:nsid w:val="5D205E20"/>
    <w:multiLevelType w:val="hybridMultilevel"/>
    <w:lvl w:ilvl="0">
      <w:lvlJc w:val="left"/>
      <w:lvlText w:val="(%1)"/>
      <w:numFmt w:val="lowerLetter"/>
      <w:start w:val="1"/>
    </w:lvl>
  </w:abstractNum>
  <w:abstractNum w:abstractNumId="107">
    <w:nsid w:val="11CCA8BA"/>
    <w:multiLevelType w:val="hybridMultilevel"/>
    <w:lvl w:ilvl="0">
      <w:lvlJc w:val="left"/>
      <w:lvlText w:val="(%1)"/>
      <w:numFmt w:val="lowerRoman"/>
      <w:start w:val="2"/>
    </w:lvl>
  </w:abstractNum>
  <w:abstractNum w:abstractNumId="108">
    <w:nsid w:val="4D32AB86"/>
    <w:multiLevelType w:val="hybridMultilevel"/>
    <w:lvl w:ilvl="0">
      <w:lvlJc w:val="left"/>
      <w:lvlText w:val="(%1)"/>
      <w:numFmt w:val="lowerLetter"/>
      <w:start w:val="1"/>
    </w:lvl>
  </w:abstractNum>
  <w:abstractNum w:abstractNumId="109">
    <w:nsid w:val="3F07ACC3"/>
    <w:multiLevelType w:val="hybridMultilevel"/>
    <w:lvl w:ilvl="0">
      <w:lvlJc w:val="left"/>
      <w:lvlText w:val="%1."/>
      <w:numFmt w:val="decimal"/>
      <w:start w:val="1"/>
    </w:lvl>
  </w:abstractNum>
  <w:abstractNum w:abstractNumId="110">
    <w:nsid w:val="6B47F63E"/>
    <w:multiLevelType w:val="hybridMultilevel"/>
    <w:lvl w:ilvl="0">
      <w:lvlJc w:val="left"/>
      <w:lvlText w:val="•"/>
      <w:numFmt w:val="bullet"/>
      <w:start w:val="1"/>
    </w:lvl>
  </w:abstractNum>
  <w:abstractNum w:abstractNumId="111">
    <w:nsid w:val="5CB44A05"/>
    <w:multiLevelType w:val="hybridMultilevel"/>
    <w:lvl w:ilvl="0">
      <w:lvlJc w:val="left"/>
      <w:lvlText w:val="•"/>
      <w:numFmt w:val="bullet"/>
      <w:start w:val="1"/>
    </w:lvl>
  </w:abstractNum>
  <w:abstractNum w:abstractNumId="112">
    <w:nsid w:val="16CF80F1"/>
    <w:multiLevelType w:val="hybridMultilevel"/>
    <w:lvl w:ilvl="0">
      <w:lvlJc w:val="left"/>
      <w:lvlText w:val="*"/>
      <w:numFmt w:val="bullet"/>
      <w:start w:val="1"/>
    </w:lvl>
  </w:abstractNum>
  <w:abstractNum w:abstractNumId="113">
    <w:nsid w:val="1C695DEC"/>
    <w:multiLevelType w:val="hybridMultilevel"/>
    <w:lvl w:ilvl="0">
      <w:lvlJc w:val="left"/>
      <w:lvlText w:val="†"/>
      <w:numFmt w:val="bullet"/>
      <w:start w:val="1"/>
    </w:lvl>
  </w:abstractNum>
  <w:abstractNum w:abstractNumId="114">
    <w:nsid w:val="3FCFAED9"/>
    <w:multiLevelType w:val="hybridMultilevel"/>
    <w:lvl w:ilvl="0">
      <w:lvlJc w:val="left"/>
      <w:lvlText w:val="(%1)"/>
      <w:numFmt w:val="decimal"/>
      <w:start w:val="1"/>
    </w:lvl>
  </w:abstractNum>
  <w:abstractNum w:abstractNumId="115">
    <w:nsid w:val="F856867"/>
    <w:multiLevelType w:val="hybridMultilevel"/>
    <w:lvl w:ilvl="0">
      <w:lvlJc w:val="left"/>
      <w:lvlText w:val="%1."/>
      <w:numFmt w:val="decimal"/>
      <w:start w:val="1"/>
    </w:lvl>
  </w:abstractNum>
  <w:abstractNum w:abstractNumId="116">
    <w:nsid w:val="11B1CC33"/>
    <w:multiLevelType w:val="hybridMultilevel"/>
    <w:lvl w:ilvl="0">
      <w:lvlJc w:val="left"/>
      <w:lvlText w:val="(%1)"/>
      <w:numFmt w:val="lowerRoman"/>
      <w:start w:val="3"/>
    </w:lvl>
  </w:abstractNum>
  <w:abstractNum w:abstractNumId="117">
    <w:nsid w:val="2E22FBB7"/>
    <w:multiLevelType w:val="hybridMultilevel"/>
    <w:lvl w:ilvl="0">
      <w:lvlJc w:val="left"/>
      <w:lvlText w:val="%1."/>
      <w:numFmt w:val="decimal"/>
      <w:start w:val="2"/>
    </w:lvl>
  </w:abstractNum>
  <w:abstractNum w:abstractNumId="118">
    <w:nsid w:val="29934699"/>
    <w:multiLevelType w:val="hybridMultilevel"/>
    <w:lvl w:ilvl="0">
      <w:lvlJc w:val="left"/>
      <w:lvlText w:val="(%1)"/>
      <w:numFmt w:val="lowerLetter"/>
      <w:start w:val="1"/>
    </w:lvl>
  </w:abstractNum>
  <w:abstractNum w:abstractNumId="119">
    <w:nsid w:val="77485850"/>
    <w:multiLevelType w:val="hybridMultilevel"/>
    <w:lvl w:ilvl="0">
      <w:lvlJc w:val="left"/>
      <w:lvlText w:val="%1"/>
      <w:numFmt w:val="lowerLetter"/>
      <w:start w:val="1"/>
    </w:lvl>
    <w:lvl w:ilvl="1">
      <w:lvlJc w:val="left"/>
      <w:lvlText w:val="(%2)"/>
      <w:numFmt w:val="lowerLetter"/>
      <w:start w:val="3"/>
    </w:lvl>
  </w:abstractNum>
  <w:abstractNum w:abstractNumId="120">
    <w:nsid w:val="744939A3"/>
    <w:multiLevelType w:val="hybridMultilevel"/>
    <w:lvl w:ilvl="0">
      <w:lvlJc w:val="left"/>
      <w:lvlText w:val="(%1)"/>
      <w:numFmt w:val="lowerLetter"/>
      <w:start w:val="9"/>
    </w:lvl>
    <w:lvl w:ilvl="1">
      <w:lvlJc w:val="left"/>
      <w:lvlText w:val="(%2)"/>
      <w:numFmt w:val="lowerLetter"/>
      <w:start w:val="4"/>
    </w:lvl>
  </w:abstractNum>
  <w:abstractNum w:abstractNumId="121">
    <w:nsid w:val="4FA0D2E3"/>
    <w:multiLevelType w:val="hybridMultilevel"/>
    <w:lvl w:ilvl="0">
      <w:lvlJc w:val="left"/>
      <w:lvlText w:val="(%1)"/>
      <w:numFmt w:val="lowerLetter"/>
      <w:start w:val="1"/>
    </w:lvl>
  </w:abstractNum>
  <w:abstractNum w:abstractNumId="122">
    <w:nsid w:val="6B1D2C14"/>
    <w:multiLevelType w:val="hybridMultilevel"/>
    <w:lvl w:ilvl="0">
      <w:lvlJc w:val="left"/>
      <w:lvlText w:val="(%1)"/>
      <w:numFmt w:val="lowerLetter"/>
      <w:start w:val="2"/>
    </w:lvl>
  </w:abstractNum>
  <w:abstractNum w:abstractNumId="123">
    <w:nsid w:val="68B867D3"/>
    <w:multiLevelType w:val="hybridMultilevel"/>
    <w:lvl w:ilvl="0">
      <w:lvlJc w:val="left"/>
      <w:lvlText w:val="(%1)"/>
      <w:numFmt w:val="lowerLetter"/>
      <w:start w:val="1"/>
    </w:lvl>
  </w:abstractNum>
  <w:abstractNum w:abstractNumId="124">
    <w:nsid w:val="3F7F5DD9"/>
    <w:multiLevelType w:val="hybridMultilevel"/>
    <w:lvl w:ilvl="0">
      <w:lvlJc w:val="left"/>
      <w:lvlText w:val="(%1)"/>
      <w:numFmt w:val="lowerLetter"/>
      <w:start w:val="2"/>
    </w:lvl>
  </w:abstractNum>
  <w:abstractNum w:abstractNumId="125">
    <w:nsid w:val="2AE05A34"/>
    <w:multiLevelType w:val="hybridMultilevel"/>
    <w:lvl w:ilvl="0">
      <w:lvlJc w:val="left"/>
      <w:lvlText w:val="(%1)"/>
      <w:numFmt w:val="lowerLetter"/>
      <w:start w:val="10"/>
    </w:lvl>
  </w:abstractNum>
  <w:abstractNum w:abstractNumId="126">
    <w:nsid w:val="32794FF7"/>
    <w:multiLevelType w:val="hybridMultilevel"/>
    <w:lvl w:ilvl="0">
      <w:lvlJc w:val="left"/>
      <w:lvlText w:val="(%1)"/>
      <w:numFmt w:val="lowerLetter"/>
      <w:start w:val="1"/>
    </w:lvl>
  </w:abstractNum>
  <w:abstractNum w:abstractNumId="127">
    <w:nsid w:val="5454945E"/>
    <w:multiLevelType w:val="hybridMultilevel"/>
    <w:lvl w:ilvl="0">
      <w:lvlJc w:val="left"/>
      <w:lvlText w:val="(%1)"/>
      <w:numFmt w:val="lowerLetter"/>
      <w:start w:val="2"/>
    </w:lvl>
  </w:abstractNum>
  <w:abstractNum w:abstractNumId="128">
    <w:nsid w:val="4DEFDFA0"/>
    <w:multiLevelType w:val="hybridMultilevel"/>
    <w:lvl w:ilvl="0">
      <w:lvlJc w:val="left"/>
      <w:lvlText w:val="(%1)"/>
      <w:numFmt w:val="lowerLetter"/>
      <w:start w:val="4"/>
    </w:lvl>
  </w:abstractNum>
  <w:abstractNum w:abstractNumId="129">
    <w:nsid w:val="2123D5F2"/>
    <w:multiLevelType w:val="hybridMultilevel"/>
    <w:lvl w:ilvl="0">
      <w:lvlJc w:val="left"/>
      <w:lvlText w:val="(%1)"/>
      <w:numFmt w:val="lowerLetter"/>
      <w:start w:val="1"/>
    </w:lvl>
  </w:abstractNum>
  <w:abstractNum w:abstractNumId="130">
    <w:nsid w:val="135B8110"/>
    <w:multiLevelType w:val="hybridMultilevel"/>
    <w:lvl w:ilvl="0">
      <w:lvlJc w:val="left"/>
      <w:lvlText w:val="(%1)"/>
      <w:numFmt w:val="lowerLetter"/>
      <w:start w:val="1"/>
    </w:lvl>
  </w:abstractNum>
  <w:abstractNum w:abstractNumId="131">
    <w:nsid w:val="94927A8"/>
    <w:multiLevelType w:val="hybridMultilevel"/>
    <w:lvl w:ilvl="0">
      <w:lvlJc w:val="left"/>
      <w:lvlText w:val="(%1)"/>
      <w:numFmt w:val="lowerLetter"/>
      <w:start w:val="2"/>
    </w:lvl>
  </w:abstractNum>
  <w:abstractNum w:abstractNumId="132">
    <w:nsid w:val="DCDF8F6"/>
    <w:multiLevelType w:val="hybridMultilevel"/>
    <w:lvl w:ilvl="0">
      <w:lvlJc w:val="left"/>
      <w:lvlText w:val="(%1)"/>
      <w:numFmt w:val="lowerLetter"/>
      <w:start w:val="3"/>
    </w:lvl>
  </w:abstractNum>
  <w:abstractNum w:abstractNumId="133">
    <w:nsid w:val="52D7B105"/>
    <w:multiLevelType w:val="hybridMultilevel"/>
    <w:lvl w:ilvl="0">
      <w:lvlJc w:val="left"/>
      <w:lvlText w:val="%1"/>
      <w:numFmt w:val="decimal"/>
      <w:start w:val="1"/>
    </w:lvl>
    <w:lvl w:ilvl="1">
      <w:lvlJc w:val="left"/>
      <w:lvlText w:val="(%2)"/>
      <w:numFmt w:val="lowerLetter"/>
      <w:start w:val="1"/>
    </w:lvl>
  </w:abstractNum>
  <w:abstractNum w:abstractNumId="134">
    <w:nsid w:val="2E8A6394"/>
    <w:multiLevelType w:val="hybridMultilevel"/>
    <w:lvl w:ilvl="0">
      <w:lvlJc w:val="left"/>
      <w:lvlText w:val="%1."/>
      <w:numFmt w:val="decimal"/>
      <w:start w:val="3"/>
    </w:lvl>
    <w:lvl w:ilvl="1">
      <w:lvlJc w:val="left"/>
      <w:lvlText w:val="%2"/>
      <w:numFmt w:val="lowerLetter"/>
      <w:start w:val="1"/>
    </w:lvl>
  </w:abstractNum>
  <w:abstractNum w:abstractNumId="135">
    <w:nsid w:val="24E60401"/>
    <w:multiLevelType w:val="hybridMultilevel"/>
    <w:lvl w:ilvl="0">
      <w:lvlJc w:val="left"/>
      <w:lvlText w:val="(%1)"/>
      <w:numFmt w:val="lowerLetter"/>
      <w:start w:val="1"/>
    </w:lvl>
  </w:abstractNum>
  <w:abstractNum w:abstractNumId="136">
    <w:nsid w:val="2A6AD9BE"/>
    <w:multiLevelType w:val="hybridMultilevel"/>
    <w:lvl w:ilvl="0">
      <w:lvlJc w:val="left"/>
      <w:lvlText w:val="(%1)"/>
      <w:numFmt w:val="lowerLetter"/>
      <w:start w:val="3"/>
    </w:lvl>
  </w:abstractNum>
  <w:abstractNum w:abstractNumId="137">
    <w:nsid w:val="BAAC1B4"/>
    <w:multiLevelType w:val="hybridMultilevel"/>
    <w:lvl w:ilvl="0">
      <w:lvlJc w:val="left"/>
      <w:lvlText w:val="(%1)"/>
      <w:numFmt w:val="lowerLetter"/>
      <w:start w:val="1"/>
    </w:lvl>
  </w:abstractNum>
  <w:abstractNum w:abstractNumId="138">
    <w:nsid w:val="36B2ACBC"/>
    <w:multiLevelType w:val="hybridMultilevel"/>
    <w:lvl w:ilvl="0">
      <w:lvlJc w:val="left"/>
      <w:lvlText w:val="%1"/>
      <w:numFmt w:val="decimal"/>
      <w:start w:val="1"/>
    </w:lvl>
    <w:lvl w:ilvl="1">
      <w:lvlJc w:val="left"/>
      <w:lvlText w:val="(%2)"/>
      <w:numFmt w:val="lowerLetter"/>
      <w:start w:val="2"/>
    </w:lvl>
  </w:abstractNum>
  <w:abstractNum w:abstractNumId="139">
    <w:nsid w:val="779D8544"/>
    <w:multiLevelType w:val="hybridMultilevel"/>
    <w:lvl w:ilvl="0">
      <w:lvlJc w:val="left"/>
      <w:lvlText w:val="%1."/>
      <w:numFmt w:val="decimal"/>
      <w:start w:val="4"/>
    </w:lvl>
    <w:lvl w:ilvl="1">
      <w:lvlJc w:val="left"/>
      <w:lvlText w:val="%2"/>
      <w:numFmt w:val="lowerLetter"/>
      <w:start w:val="1"/>
    </w:lvl>
  </w:abstractNum>
  <w:abstractNum w:abstractNumId="140">
    <w:nsid w:val="4AB26E78"/>
    <w:multiLevelType w:val="hybridMultilevel"/>
    <w:lvl w:ilvl="0">
      <w:lvlJc w:val="left"/>
      <w:lvlText w:val="%1"/>
      <w:numFmt w:val="decimal"/>
      <w:start w:val="1"/>
    </w:lvl>
    <w:lvl w:ilvl="1">
      <w:lvlJc w:val="left"/>
      <w:lvlText w:val="(%2)"/>
      <w:numFmt w:val="lowerLetter"/>
      <w:start w:val="25"/>
    </w:lvl>
    <w:lvl w:ilvl="2">
      <w:lvlJc w:val="left"/>
      <w:lvlText w:val="(%3)"/>
      <w:numFmt w:val="lowerLetter"/>
      <w:start w:val="1"/>
    </w:lvl>
  </w:abstractNum>
  <w:abstractNum w:abstractNumId="141">
    <w:nsid w:val="21FAA2FA"/>
    <w:multiLevelType w:val="hybridMultilevel"/>
    <w:lvl w:ilvl="0">
      <w:lvlJc w:val="left"/>
      <w:lvlText w:val="(%1)"/>
      <w:numFmt w:val="decimal"/>
      <w:start w:val="120"/>
    </w:lvl>
    <w:lvl w:ilvl="1">
      <w:lvlJc w:val="left"/>
      <w:lvlText w:val="%2"/>
      <w:numFmt w:val="lowerLetter"/>
      <w:start w:val="1"/>
    </w:lvl>
    <w:lvl w:ilvl="2">
      <w:lvlJc w:val="left"/>
      <w:lvlText w:val="%3"/>
      <w:numFmt w:val="lowerLetter"/>
      <w:start w:val="1"/>
    </w:lvl>
  </w:abstractNum>
  <w:abstractNum w:abstractNumId="142">
    <w:nsid w:val="5451CF49"/>
    <w:multiLevelType w:val="hybridMultilevel"/>
    <w:lvl w:ilvl="0">
      <w:lvlJc w:val="left"/>
      <w:lvlText w:val="(%1)"/>
      <w:numFmt w:val="lowerLetter"/>
      <w:start w:val="3"/>
    </w:lvl>
  </w:abstractNum>
  <w:abstractNum w:abstractNumId="143">
    <w:nsid w:val="6181EF69"/>
    <w:multiLevelType w:val="hybridMultilevel"/>
    <w:lvl w:ilvl="0">
      <w:lvlJc w:val="left"/>
      <w:lvlText w:val="%1."/>
      <w:numFmt w:val="decimal"/>
      <w:start w:val="5"/>
    </w:lvl>
  </w:abstractNum>
  <w:abstractNum w:abstractNumId="144">
    <w:nsid w:val="3E6400E6"/>
    <w:multiLevelType w:val="hybridMultilevel"/>
    <w:lvl w:ilvl="0">
      <w:lvlJc w:val="left"/>
      <w:lvlText w:val="(%1)"/>
      <w:numFmt w:val="lowerRoman"/>
      <w:start w:val="2"/>
    </w:lvl>
  </w:abstractNum>
  <w:abstractNum w:abstractNumId="145">
    <w:nsid w:val="14217E23"/>
    <w:multiLevelType w:val="hybridMultilevel"/>
    <w:lvl w:ilvl="0">
      <w:lvlJc w:val="left"/>
      <w:lvlText w:val="(%1)"/>
      <w:numFmt w:val="lowerLetter"/>
      <w:start w:val="1"/>
    </w:lvl>
  </w:abstractNum>
  <w:abstractNum w:abstractNumId="146">
    <w:nsid w:val="710757D0"/>
    <w:multiLevelType w:val="hybridMultilevel"/>
    <w:lvl w:ilvl="0">
      <w:lvlJc w:val="left"/>
      <w:lvlText w:val="(%1)"/>
      <w:numFmt w:val="lowerLetter"/>
      <w:start w:val="6"/>
    </w:lvl>
  </w:abstractNum>
  <w:abstractNum w:abstractNumId="147">
    <w:nsid w:val="5015CD1A"/>
    <w:multiLevelType w:val="hybridMultilevel"/>
    <w:lvl w:ilvl="0">
      <w:lvlJc w:val="left"/>
      <w:lvlText w:val="(%1)"/>
      <w:numFmt w:val="lowerRoman"/>
      <w:start w:val="1"/>
    </w:lvl>
    <w:lvl w:ilvl="1">
      <w:lvlJc w:val="left"/>
      <w:lvlText w:val="%2."/>
      <w:numFmt w:val="decimal"/>
      <w:start w:val="6"/>
    </w:lvl>
  </w:abstractNum>
  <w:abstractNum w:abstractNumId="148">
    <w:nsid w:val="424479DA"/>
    <w:multiLevelType w:val="hybridMultilevel"/>
    <w:lvl w:ilvl="0">
      <w:lvlJc w:val="left"/>
      <w:lvlText w:val="(%1)"/>
      <w:numFmt w:val="lowerLetter"/>
      <w:start w:val="1"/>
    </w:lvl>
  </w:abstractNum>
  <w:abstractNum w:abstractNumId="149">
    <w:nsid w:val="1A9A9E69"/>
    <w:multiLevelType w:val="hybridMultilevel"/>
    <w:lvl w:ilvl="0">
      <w:lvlJc w:val="left"/>
      <w:lvlText w:val="(%1)"/>
      <w:numFmt w:val="lowerLetter"/>
      <w:start w:val="2"/>
    </w:lvl>
  </w:abstractNum>
  <w:abstractNum w:abstractNumId="150">
    <w:nsid w:val="475E256A"/>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51">
    <w:nsid w:val="368DB37E"/>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52">
    <w:nsid w:val="6A3B714C"/>
    <w:multiLevelType w:val="hybridMultilevel"/>
    <w:lvl w:ilvl="0">
      <w:lvlJc w:val="left"/>
      <w:lvlText w:val="(%1)"/>
      <w:numFmt w:val="lowerLetter"/>
      <w:start w:val="1"/>
    </w:lvl>
  </w:abstractNum>
  <w:abstractNum w:abstractNumId="153">
    <w:nsid w:val="327B517E"/>
    <w:multiLevelType w:val="hybridMultilevel"/>
    <w:lvl w:ilvl="0">
      <w:lvlJc w:val="left"/>
      <w:lvlText w:val="(%1)"/>
      <w:numFmt w:val="lowerLetter"/>
      <w:start w:val="1"/>
    </w:lvl>
  </w:abstractNum>
  <w:abstractNum w:abstractNumId="154">
    <w:nsid w:val="1F461B51"/>
    <w:multiLevelType w:val="hybridMultilevel"/>
    <w:lvl w:ilvl="0">
      <w:lvlJc w:val="left"/>
      <w:lvlText w:val="(%1)"/>
      <w:numFmt w:val="lowerLetter"/>
      <w:start w:val="3"/>
    </w:lvl>
  </w:abstractNum>
  <w:abstractNum w:abstractNumId="155">
    <w:nsid w:val="29BACF25"/>
    <w:multiLevelType w:val="hybridMultilevel"/>
    <w:lvl w:ilvl="0">
      <w:lvlJc w:val="left"/>
      <w:lvlText w:val="·"/>
      <w:numFmt w:val="bullet"/>
      <w:start w:val="1"/>
    </w:lvl>
  </w:abstractNum>
  <w:abstractNum w:abstractNumId="156">
    <w:nsid w:val="5D5BABB3"/>
    <w:multiLevelType w:val="hybridMultilevel"/>
    <w:lvl w:ilvl="0">
      <w:lvlJc w:val="left"/>
      <w:lvlText w:val="%1."/>
      <w:numFmt w:val="decimal"/>
      <w:start w:val="1"/>
    </w:lvl>
  </w:abstractNum>
  <w:abstractNum w:abstractNumId="157">
    <w:nsid w:val="51BF6B48"/>
    <w:multiLevelType w:val="hybridMultilevel"/>
    <w:lvl w:ilvl="0">
      <w:lvlJc w:val="left"/>
      <w:lvlText w:val="%1."/>
      <w:numFmt w:val="decimal"/>
      <w:start w:val="2"/>
    </w:lvl>
  </w:abstractNum>
  <w:abstractNum w:abstractNumId="158">
    <w:nsid w:val="7E0F6384"/>
    <w:multiLevelType w:val="hybridMultilevel"/>
    <w:lvl w:ilvl="0">
      <w:lvlJc w:val="left"/>
      <w:lvlText w:val="%1."/>
      <w:numFmt w:val="decimal"/>
      <w:start w:val="3"/>
    </w:lvl>
    <w:lvl w:ilvl="1">
      <w:lvlJc w:val="left"/>
      <w:lvlText w:val="(%2)"/>
      <w:numFmt w:val="lowerLetter"/>
      <w:start w:val="1"/>
    </w:lvl>
  </w:abstractNum>
  <w:abstractNum w:abstractNumId="159">
    <w:nsid w:val="2B4B8B53"/>
    <w:multiLevelType w:val="hybridMultilevel"/>
    <w:lvl w:ilvl="0">
      <w:lvlJc w:val="left"/>
      <w:lvlText w:val="%1."/>
      <w:numFmt w:val="decimal"/>
      <w:start w:val="4"/>
    </w:lvl>
    <w:lvl w:ilvl="1">
      <w:lvlJc w:val="left"/>
      <w:lvlText w:val="(%2)"/>
      <w:numFmt w:val="lowerLetter"/>
      <w:start w:val="1"/>
    </w:lvl>
  </w:abstractNum>
  <w:abstractNum w:abstractNumId="160">
    <w:nsid w:val="72E3413A"/>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61">
    <w:nsid w:val="116AE49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62">
    <w:nsid w:val="3494B2FB"/>
    <w:multiLevelType w:val="hybridMultilevel"/>
    <w:lvl w:ilvl="0">
      <w:lvlJc w:val="left"/>
      <w:lvlText w:val="%1."/>
      <w:numFmt w:val="decimal"/>
      <w:start w:val="7"/>
    </w:lvl>
  </w:abstractNum>
  <w:abstractNum w:abstractNumId="163">
    <w:nsid w:val="B13A3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64">
    <w:nsid w:val="64429599"/>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65">
    <w:nsid w:val="631F1690"/>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66">
    <w:nsid w:val="25973E32"/>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67">
    <w:nsid w:val="EAD6F57"/>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68">
    <w:nsid w:val="6EC9D844"/>
    <w:multiLevelType w:val="hybridMultilevel"/>
    <w:lvl w:ilvl="0">
      <w:lvlJc w:val="left"/>
      <w:lvlText w:val="(%1)"/>
      <w:numFmt w:val="lowerLetter"/>
      <w:start w:val="4"/>
    </w:lvl>
  </w:abstractNum>
  <w:abstractNum w:abstractNumId="169">
    <w:nsid w:val="5C49EAEE"/>
    <w:multiLevelType w:val="hybridMultilevel"/>
    <w:lvl w:ilvl="0">
      <w:lvlJc w:val="left"/>
      <w:lvlText w:val="%1."/>
      <w:numFmt w:val="decimal"/>
      <w:start w:val="1"/>
    </w:lvl>
    <w:lvl w:ilvl="1">
      <w:lvlJc w:val="left"/>
      <w:lvlText w:val="(%2)"/>
      <w:numFmt w:val="lowerLetter"/>
      <w:start w:val="1"/>
    </w:lvl>
  </w:abstractNum>
  <w:abstractNum w:abstractNumId="170">
    <w:nsid w:val="64AF49B"/>
    <w:multiLevelType w:val="hybridMultilevel"/>
    <w:lvl w:ilvl="0">
      <w:lvlJc w:val="left"/>
      <w:lvlText w:val="%1."/>
      <w:numFmt w:val="decimal"/>
      <w:start w:val="2"/>
    </w:lvl>
    <w:lvl w:ilvl="1">
      <w:lvlJc w:val="left"/>
      <w:lvlText w:val="(%2)"/>
      <w:numFmt w:val="lowerLetter"/>
      <w:start w:val="1"/>
    </w:lvl>
  </w:abstractNum>
  <w:abstractNum w:abstractNumId="171">
    <w:nsid w:val="397C46BC"/>
    <w:multiLevelType w:val="hybridMultilevel"/>
    <w:lvl w:ilvl="0">
      <w:lvlJc w:val="left"/>
      <w:lvlText w:val="%1."/>
      <w:numFmt w:val="decimal"/>
      <w:start w:val="1"/>
    </w:lvl>
    <w:lvl w:ilvl="1">
      <w:lvlJc w:val="left"/>
      <w:lvlText w:val="(%2)"/>
      <w:numFmt w:val="lowerLetter"/>
      <w:start w:val="1"/>
    </w:lvl>
  </w:abstractNum>
  <w:abstractNum w:abstractNumId="172">
    <w:nsid w:val="7E448DE9"/>
    <w:multiLevelType w:val="hybridMultilevel"/>
    <w:lvl w:ilvl="0">
      <w:lvlJc w:val="left"/>
      <w:lvlText w:val="(%1)"/>
      <w:numFmt w:val="lowerRoman"/>
      <w:start w:val="1"/>
    </w:lvl>
  </w:abstractNum>
  <w:abstractNum w:abstractNumId="173">
    <w:nsid w:val="5A9CC3E5"/>
    <w:multiLevelType w:val="hybridMultilevel"/>
    <w:lvl w:ilvl="0">
      <w:lvlJc w:val="left"/>
      <w:lvlText w:val="%1"/>
      <w:numFmt w:val="lowerRoman"/>
      <w:start w:val="1"/>
    </w:lvl>
    <w:lvl w:ilvl="1">
      <w:lvlJc w:val="left"/>
      <w:lvlText w:val="(%2)"/>
      <w:numFmt w:val="lowerLetter"/>
      <w:start w:val="6"/>
    </w:lvl>
  </w:abstractNum>
  <w:abstractNum w:abstractNumId="174">
    <w:nsid w:val="1AFE3625"/>
    <w:multiLevelType w:val="hybridMultilevel"/>
    <w:lvl w:ilvl="0">
      <w:lvlJc w:val="left"/>
      <w:lvlText w:val="(%1)"/>
      <w:numFmt w:val="lowerRoman"/>
      <w:start w:val="4"/>
    </w:lvl>
    <w:lvl w:ilvl="1">
      <w:lvlJc w:val="left"/>
      <w:lvlText w:val="%2"/>
      <w:numFmt w:val="lowerLetter"/>
      <w:start w:val="1"/>
    </w:lvl>
  </w:abstractNum>
  <w:abstractNum w:abstractNumId="175">
    <w:nsid w:val="3CA88ECF"/>
    <w:multiLevelType w:val="hybridMultilevel"/>
    <w:lvl w:ilvl="0">
      <w:lvlJc w:val="left"/>
      <w:lvlText w:val="(%1)"/>
      <w:numFmt w:val="lowerRoman"/>
      <w:start w:val="8"/>
    </w:lvl>
    <w:lvl w:ilvl="1">
      <w:lvlJc w:val="left"/>
      <w:lvlText w:val="%2"/>
      <w:numFmt w:val="lowerLetter"/>
      <w:start w:val="1"/>
    </w:lvl>
  </w:abstractNum>
  <w:abstractNum w:abstractNumId="176">
    <w:nsid w:val="6EBE4208"/>
    <w:multiLevelType w:val="hybridMultilevel"/>
    <w:lvl w:ilvl="0">
      <w:lvlJc w:val="left"/>
      <w:lvlText w:val="(%1)"/>
      <w:numFmt w:val="lowerLetter"/>
      <w:start w:val="9"/>
    </w:lvl>
  </w:abstractNum>
  <w:abstractNum w:abstractNumId="177">
    <w:nsid w:val="C058DF5"/>
    <w:multiLevelType w:val="hybridMultilevel"/>
    <w:lvl w:ilvl="0">
      <w:lvlJc w:val="left"/>
      <w:lvlText w:val="(%1)"/>
      <w:numFmt w:val="lowerLetter"/>
      <w:start w:val="16"/>
    </w:lvl>
  </w:abstractNum>
  <w:abstractNum w:abstractNumId="178">
    <w:nsid w:val="CBE5BE9"/>
    <w:multiLevelType w:val="hybridMultilevel"/>
    <w:lvl w:ilvl="0">
      <w:lvlJc w:val="left"/>
      <w:lvlText w:val="%1"/>
      <w:numFmt w:val="decimal"/>
      <w:start w:val="1"/>
    </w:lvl>
    <w:lvl w:ilvl="1">
      <w:lvlJc w:val="left"/>
      <w:lvlText w:val="(%2)"/>
      <w:numFmt w:val="lowerLetter"/>
      <w:start w:val="17"/>
    </w:lvl>
  </w:abstractNum>
  <w:abstractNum w:abstractNumId="179">
    <w:nsid w:val="3102BBE2"/>
    <w:multiLevelType w:val="hybridMultilevel"/>
    <w:lvl w:ilvl="0">
      <w:lvlJc w:val="left"/>
      <w:lvlText w:val="%1."/>
      <w:numFmt w:val="decimal"/>
      <w:start w:val="3"/>
    </w:lvl>
    <w:lvl w:ilvl="1">
      <w:lvlJc w:val="left"/>
      <w:lvlText w:val="(%2)"/>
      <w:numFmt w:val="lowerLetter"/>
      <w:start w:val="1"/>
    </w:lvl>
  </w:abstractNum>
  <w:abstractNum w:abstractNumId="180">
    <w:nsid w:val="26A02C5E"/>
    <w:multiLevelType w:val="hybridMultilevel"/>
    <w:lvl w:ilvl="0">
      <w:lvlJc w:val="left"/>
      <w:lvlText w:val="(%1)"/>
      <w:numFmt w:val="lowerLetter"/>
      <w:start w:val="2"/>
    </w:lvl>
  </w:abstractNum>
  <w:abstractNum w:abstractNumId="181">
    <w:nsid w:val="541C8153"/>
    <w:multiLevelType w:val="hybridMultilevel"/>
    <w:lvl w:ilvl="0">
      <w:lvlJc w:val="left"/>
      <w:lvlText w:val="%1"/>
      <w:numFmt w:val="decimal"/>
      <w:start w:val="1"/>
    </w:lvl>
    <w:lvl w:ilvl="1">
      <w:lvlJc w:val="left"/>
      <w:lvlText w:val="(%2)"/>
      <w:numFmt w:val="lowerLetter"/>
      <w:start w:val="5"/>
    </w:lvl>
  </w:abstractNum>
  <w:abstractNum w:abstractNumId="182">
    <w:nsid w:val="67906F60"/>
    <w:multiLevelType w:val="hybridMultilevel"/>
    <w:lvl w:ilvl="0">
      <w:lvlJc w:val="left"/>
      <w:lvlText w:val="%1."/>
      <w:numFmt w:val="decimal"/>
      <w:start w:val="4"/>
    </w:lvl>
    <w:lvl w:ilvl="1">
      <w:lvlJc w:val="left"/>
      <w:lvlText w:val="(%2)"/>
      <w:numFmt w:val="lowerLetter"/>
      <w:start w:val="1"/>
    </w:lvl>
  </w:abstractNum>
  <w:abstractNum w:abstractNumId="183">
    <w:nsid w:val="10DB9DA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4">
    <w:nsid w:val="697D2D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5">
    <w:nsid w:val="6D68AB2"/>
    <w:multiLevelType w:val="hybridMultilevel"/>
    <w:lvl w:ilvl="0">
      <w:lvlJc w:val="left"/>
      <w:lvlText w:val="%1"/>
      <w:numFmt w:val="lowerLetter"/>
      <w:start w:val="1"/>
    </w:lvl>
    <w:lvl w:ilvl="1">
      <w:lvlJc w:val="left"/>
      <w:lvlText w:val="(%2)"/>
      <w:numFmt w:val="lowerLetter"/>
      <w:start w:val="61"/>
    </w:lvl>
  </w:abstractNum>
  <w:abstractNum w:abstractNumId="186">
    <w:nsid w:val="3A966CD0"/>
    <w:multiLevelType w:val="hybridMultilevel"/>
    <w:lvl w:ilvl="0">
      <w:lvlJc w:val="left"/>
      <w:lvlText w:val="(%1)"/>
      <w:numFmt w:val="lowerLetter"/>
      <w:start w:val="3"/>
    </w:lvl>
    <w:lvl w:ilvl="1">
      <w:lvlJc w:val="left"/>
      <w:lvlText w:val="(%2)"/>
      <w:numFmt w:val="lowerLetter"/>
      <w:start w:val="9"/>
    </w:lvl>
  </w:abstractNum>
  <w:abstractNum w:abstractNumId="187">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88">
    <w:nsid w:val="5895F5F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89">
    <w:nsid w:val="38A5D05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90">
    <w:nsid w:val="F3F09D8"/>
    <w:multiLevelType w:val="hybridMultilevel"/>
    <w:lvl w:ilvl="0">
      <w:lvlJc w:val="left"/>
      <w:lvlText w:val="(%1)"/>
      <w:numFmt w:val="lowerRoman"/>
      <w:start w:val="2"/>
    </w:lvl>
  </w:abstractNum>
  <w:abstractNum w:abstractNumId="191">
    <w:nsid w:val="4B793735"/>
    <w:multiLevelType w:val="hybridMultilevel"/>
    <w:lvl w:ilvl="0">
      <w:lvlJc w:val="left"/>
      <w:lvlText w:val="%1"/>
      <w:numFmt w:val="lowerLetter"/>
      <w:start w:val="1"/>
    </w:lvl>
    <w:lvl w:ilvl="1">
      <w:lvlJc w:val="left"/>
      <w:lvlText w:val="(%2)"/>
      <w:numFmt w:val="lowerRoman"/>
      <w:start w:val="4"/>
    </w:lvl>
  </w:abstractNum>
  <w:abstractNum w:abstractNumId="192">
    <w:nsid w:val="4A10B4E8"/>
    <w:multiLevelType w:val="hybridMultilevel"/>
    <w:lvl w:ilvl="0">
      <w:lvlJc w:val="left"/>
      <w:lvlText w:val="(%1)"/>
      <w:numFmt w:val="lowerLetter"/>
      <w:start w:val="2"/>
    </w:lvl>
    <w:lvl w:ilvl="1">
      <w:lvlJc w:val="left"/>
      <w:lvlText w:val="%2"/>
      <w:numFmt w:val="lowerRoman"/>
      <w:start w:val="1"/>
    </w:lvl>
  </w:abstractNum>
  <w:abstractNum w:abstractNumId="193">
    <w:nsid w:val="43D3BCD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94">
    <w:nsid w:val="4C2A7166"/>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95">
    <w:nsid w:val="2E534A82"/>
    <w:multiLevelType w:val="hybridMultilevel"/>
    <w:lvl w:ilvl="0">
      <w:lvlJc w:val="left"/>
      <w:lvlText w:val="%1"/>
      <w:numFmt w:val="lowerLetter"/>
      <w:start w:val="1"/>
    </w:lvl>
    <w:lvl w:ilvl="1">
      <w:lvlJc w:val="left"/>
      <w:lvlText w:val="(%2)"/>
      <w:numFmt w:val="lowerRoman"/>
      <w:start w:val="2"/>
    </w:lvl>
  </w:abstractNum>
  <w:abstractNum w:abstractNumId="196">
    <w:nsid w:val="26F2D364"/>
    <w:multiLevelType w:val="hybridMultilevel"/>
    <w:lvl w:ilvl="0">
      <w:lvlJc w:val="left"/>
      <w:lvlText w:val="(%1)"/>
      <w:numFmt w:val="lowerLetter"/>
      <w:start w:val="4"/>
    </w:lvl>
    <w:lvl w:ilvl="1">
      <w:lvlJc w:val="left"/>
      <w:lvlText w:val="%2"/>
      <w:numFmt w:val="lowerRoman"/>
      <w:start w:val="1"/>
    </w:lvl>
  </w:abstractNum>
  <w:abstractNum w:abstractNumId="197">
    <w:nsid w:val="71C1AF98"/>
    <w:multiLevelType w:val="hybridMultilevel"/>
    <w:lvl w:ilvl="0">
      <w:lvlJc w:val="left"/>
      <w:lvlText w:val="%1"/>
      <w:numFmt w:val="lowerLetter"/>
      <w:start w:val="1"/>
    </w:lvl>
    <w:lvl w:ilvl="1">
      <w:lvlJc w:val="left"/>
      <w:lvlText w:val="(%2)"/>
      <w:numFmt w:val="lowerLetter"/>
      <w:start w:val="6"/>
    </w:lvl>
  </w:abstractNum>
  <w:abstractNum w:abstractNumId="198">
    <w:nsid w:val="3D00B9D9"/>
    <w:multiLevelType w:val="hybridMultilevel"/>
    <w:lvl w:ilvl="0">
      <w:lvlJc w:val="left"/>
      <w:lvlText w:val="(%1)"/>
      <w:numFmt w:val="lowerLetter"/>
      <w:start w:val="22"/>
    </w:lvl>
    <w:lvl w:ilvl="1">
      <w:lvlJc w:val="left"/>
      <w:lvlText w:val="%2"/>
      <w:numFmt w:val="lowerLetter"/>
      <w:start w:val="1"/>
    </w:lvl>
  </w:abstractNum>
  <w:abstractNum w:abstractNumId="199">
    <w:nsid w:val="15BCABA8"/>
    <w:multiLevelType w:val="hybridMultilevel"/>
    <w:lvl w:ilvl="0">
      <w:lvlJc w:val="left"/>
      <w:lvlText w:val="%1."/>
      <w:numFmt w:val="decimal"/>
      <w:start w:val="9"/>
    </w:lvl>
    <w:lvl w:ilvl="1">
      <w:lvlJc w:val="left"/>
      <w:lvlText w:val="(%2)"/>
      <w:numFmt w:val="lowerLetter"/>
      <w:start w:val="1"/>
    </w:lvl>
  </w:abstractNum>
  <w:abstractNum w:abstractNumId="200">
    <w:nsid w:val="4E0B9A87"/>
    <w:multiLevelType w:val="hybridMultilevel"/>
    <w:lvl w:ilvl="0">
      <w:lvlJc w:val="left"/>
      <w:lvlText w:val="(%1)"/>
      <w:numFmt w:val="lowerLetter"/>
      <w:start w:val="2"/>
    </w:lvl>
    <w:lvl w:ilvl="1">
      <w:lvlJc w:val="left"/>
      <w:lvlText w:val="(%2)"/>
      <w:numFmt w:val="lowerLetter"/>
      <w:start w:val="9"/>
    </w:lvl>
  </w:abstractNum>
  <w:abstractNum w:abstractNumId="201">
    <w:nsid w:val="434BAE75"/>
    <w:multiLevelType w:val="hybridMultilevel"/>
    <w:lvl w:ilvl="0">
      <w:lvlJc w:val="left"/>
      <w:lvlText w:val="(%1)"/>
      <w:numFmt w:val="lowerRoman"/>
      <w:start w:val="2"/>
    </w:lvl>
  </w:abstractNum>
  <w:abstractNum w:abstractNumId="202">
    <w:nsid w:val="4F38F265"/>
    <w:multiLevelType w:val="hybridMultilevel"/>
    <w:lvl w:ilvl="0">
      <w:lvlJc w:val="left"/>
      <w:lvlText w:val="(%1)"/>
      <w:numFmt w:val="lowerRoman"/>
      <w:start w:val="4"/>
    </w:lvl>
  </w:abstractNum>
  <w:abstractNum w:abstractNumId="203">
    <w:nsid w:val="4C502870"/>
    <w:multiLevelType w:val="hybridMultilevel"/>
    <w:lvl w:ilvl="0">
      <w:lvlJc w:val="left"/>
      <w:lvlText w:val="%1"/>
      <w:numFmt w:val="lowerLetter"/>
      <w:start w:val="1"/>
    </w:lvl>
    <w:lvl w:ilvl="1">
      <w:lvlJc w:val="left"/>
      <w:lvlText w:val="(%2)"/>
      <w:numFmt w:val="lowerRoman"/>
      <w:start w:val="6"/>
    </w:lvl>
  </w:abstractNum>
  <w:abstractNum w:abstractNumId="204">
    <w:nsid w:val="1DE8725A"/>
    <w:multiLevelType w:val="hybridMultilevel"/>
    <w:lvl w:ilvl="0">
      <w:lvlJc w:val="left"/>
      <w:lvlText w:val="(%1)"/>
      <w:numFmt w:val="lowerLetter"/>
      <w:start w:val="3"/>
    </w:lvl>
    <w:lvl w:ilvl="1">
      <w:lvlJc w:val="left"/>
      <w:lvlText w:val="(%2)"/>
      <w:numFmt w:val="lowerRoman"/>
      <w:start w:val="1"/>
    </w:lvl>
  </w:abstractNum>
  <w:abstractNum w:abstractNumId="205">
    <w:nsid w:val="6A37288A"/>
    <w:multiLevelType w:val="hybridMultilevel"/>
    <w:lvl w:ilvl="0">
      <w:lvlJc w:val="left"/>
      <w:lvlText w:val="(%1)"/>
      <w:numFmt w:val="lowerRoman"/>
      <w:start w:val="2"/>
    </w:lvl>
  </w:abstractNum>
  <w:abstractNum w:abstractNumId="206">
    <w:nsid w:val="8F8B73F"/>
    <w:multiLevelType w:val="hybridMultilevel"/>
    <w:lvl w:ilvl="0">
      <w:lvlJc w:val="left"/>
      <w:lvlText w:val="(%1)"/>
      <w:numFmt w:val="lowerRoman"/>
      <w:start w:val="5"/>
    </w:lvl>
  </w:abstractNum>
  <w:abstractNum w:abstractNumId="207">
    <w:nsid w:val="CA6B462"/>
    <w:multiLevelType w:val="hybridMultilevel"/>
    <w:lvl w:ilvl="0">
      <w:lvlJc w:val="left"/>
      <w:lvlText w:val="(%1)"/>
      <w:numFmt w:val="lowerLetter"/>
      <w:start w:val="4"/>
    </w:lvl>
  </w:abstractNum>
  <w:abstractNum w:abstractNumId="208">
    <w:nsid w:val="763CB680"/>
    <w:multiLevelType w:val="hybridMultilevel"/>
    <w:lvl w:ilvl="0">
      <w:lvlJc w:val="left"/>
      <w:lvlText w:val="(%1)"/>
      <w:numFmt w:val="lowerLetter"/>
      <w:start w:val="8"/>
    </w:lvl>
  </w:abstractNum>
  <w:abstractNum w:abstractNumId="209">
    <w:nsid w:val="15B71329"/>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2021-07-12T23:19:56Z</dcterms:created>
  <dcterms:modified xsi:type="dcterms:W3CDTF">2021-07-12T23:19:56Z</dcterms:modified>
</cp:coreProperties>
</file>