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20143.xml.htm"/>
      <w:bookmarkStart w:id="1" w:name="kswkform4_17843201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Gengos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MAIN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SECOND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Immuneering Corp</w:t>
              </w:r>
            </w:hyperlink>
            <w:r>
              <w:rPr/>
              <w:t xml:space="preserve"> [ </w:t>
            </w:r>
            <w:r>
              <w:rPr>
                <w:rFonts w:ascii="Times;serif" w:hAnsi="Times;serif"/>
                <w:color w:val="0000FF"/>
                <w:sz w:val="24"/>
                <w:shd w:fill="FFFFFF" w:val="clear"/>
              </w:rPr>
              <w:t>IMRX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employment through each applicable vesting date, 8.33333% of the shares underlying the stock option shall vest on each of the first, second and third monthly anniversary of the grant transaction date (the "Grant Date"); 1.6667% of the shares underlying the stock option shall vest on the fourth monthly anniversary of the Grant Date and on each monthly anniversary thereafter until the one year anniversary of the Grant Date; 3.33333% of the shares underlying the stock option shall vest on each monthly anniversary following the one-year anniversary of the Grant Date until the second anniversary of the Grant Date; and 0.833333% of the of the shares underlying the stock option shall vest on each monthly anniversary following the second anniversary of the Grant Date until the fourth anniversary of the Grant Date, such that all shares underlying the stock option shall be fully vested on the fourth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Bookman, Attorney-in-Fact for Andrew Gengos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3623" TargetMode="External"/><Relationship Id="rId5" Type="http://schemas.openxmlformats.org/officeDocument/2006/relationships/hyperlink" Target="http://www.sec.gov/cgi-bin/browse-edgar?action=getcompany&amp;CIK=00017903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3942</Characters>
  <CharactersWithSpaces>4607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