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78"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4140" w:right="1600" w:hanging="2470"/>
        <w:spacing w:after="0" w:line="282" w:lineRule="auto"/>
        <w:tabs>
          <w:tab w:leader="none" w:pos="232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quarterly period ended September 30, 2021</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84" w:lineRule="exact"/>
        <w:rPr>
          <w:sz w:val="24"/>
          <w:szCs w:val="24"/>
          <w:color w:val="auto"/>
        </w:rPr>
      </w:pPr>
    </w:p>
    <w:p>
      <w:pPr>
        <w:ind w:left="4140" w:right="1580" w:hanging="2488"/>
        <w:spacing w:after="0" w:line="298" w:lineRule="auto"/>
        <w:tabs>
          <w:tab w:leader="none" w:pos="230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3"/>
          </w:tcPr>
          <w:p>
            <w:pPr>
              <w:ind w:left="80"/>
              <w:spacing w:after="0"/>
              <w:rPr>
                <w:sz w:val="20"/>
                <w:szCs w:val="20"/>
                <w:color w:val="auto"/>
              </w:rPr>
            </w:pPr>
            <w:r>
              <w:rPr>
                <w:rFonts w:ascii="Arial" w:cs="Arial" w:eastAsia="Arial" w:hAnsi="Arial"/>
                <w:sz w:val="13"/>
                <w:szCs w:val="13"/>
                <w:b w:val="1"/>
                <w:bCs w:val="1"/>
                <w:color w:val="auto"/>
                <w:w w:val="89"/>
              </w:rPr>
              <w:t>For the transition period from</w:t>
            </w:r>
          </w:p>
        </w:tc>
        <w:tc>
          <w:tcPr>
            <w:tcW w:w="580" w:type="dxa"/>
            <w:vAlign w:val="bottom"/>
            <w:tcBorders>
              <w:bottom w:val="single" w:sz="8" w:color="auto"/>
            </w:tcBorders>
          </w:tcPr>
          <w:p>
            <w:pPr>
              <w:spacing w:after="0"/>
              <w:rPr>
                <w:sz w:val="13"/>
                <w:szCs w:val="13"/>
                <w:color w:val="auto"/>
              </w:rPr>
            </w:pPr>
          </w:p>
        </w:tc>
        <w:tc>
          <w:tcPr>
            <w:tcW w:w="3360" w:type="dxa"/>
            <w:vAlign w:val="bottom"/>
            <w:gridSpan w:val="4"/>
          </w:tcPr>
          <w:p>
            <w:pPr>
              <w:ind w:left="80"/>
              <w:spacing w:after="0"/>
              <w:rPr>
                <w:sz w:val="20"/>
                <w:szCs w:val="20"/>
                <w:color w:val="auto"/>
              </w:rPr>
            </w:pPr>
            <w:r>
              <w:rPr>
                <w:rFonts w:ascii="Arial" w:cs="Arial" w:eastAsia="Arial" w:hAnsi="Arial"/>
                <w:sz w:val="13"/>
                <w:szCs w:val="13"/>
                <w:b w:val="1"/>
                <w:bCs w:val="1"/>
                <w:color w:val="auto"/>
              </w:rPr>
              <w:t>to</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4"/>
          </w:tcPr>
          <w:p>
            <w:pPr>
              <w:jc w:val="center"/>
              <w:ind w:left="182"/>
              <w:spacing w:after="0"/>
              <w:rPr>
                <w:sz w:val="20"/>
                <w:szCs w:val="20"/>
                <w:color w:val="auto"/>
              </w:rPr>
            </w:pPr>
            <w:r>
              <w:rPr>
                <w:rFonts w:ascii="Arial" w:cs="Arial" w:eastAsia="Arial" w:hAnsi="Arial"/>
                <w:sz w:val="13"/>
                <w:szCs w:val="13"/>
                <w:b w:val="1"/>
                <w:bCs w:val="1"/>
                <w:color w:val="auto"/>
                <w:w w:val="88"/>
              </w:rPr>
              <w:t>Commission File Number: 001-40675</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40" w:type="dxa"/>
            <w:vAlign w:val="bottom"/>
            <w:gridSpan w:val="2"/>
          </w:tcPr>
          <w:p>
            <w:pPr>
              <w:spacing w:after="0"/>
              <w:rPr>
                <w:sz w:val="8"/>
                <w:szCs w:val="8"/>
                <w:color w:val="auto"/>
              </w:rPr>
            </w:pPr>
          </w:p>
        </w:tc>
        <w:tc>
          <w:tcPr>
            <w:tcW w:w="2560" w:type="dxa"/>
            <w:vAlign w:val="bottom"/>
            <w:tcBorders>
              <w:bottom w:val="single" w:sz="8" w:color="auto"/>
            </w:tcBorders>
            <w:gridSpan w:val="5"/>
          </w:tcPr>
          <w:p>
            <w:pPr>
              <w:spacing w:after="0"/>
              <w:rPr>
                <w:sz w:val="8"/>
                <w:szCs w:val="8"/>
                <w:color w:val="auto"/>
              </w:rPr>
            </w:pPr>
          </w:p>
        </w:tc>
        <w:tc>
          <w:tcPr>
            <w:tcW w:w="31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507"/>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gridSpan w:val="10"/>
          </w:tcPr>
          <w:p>
            <w:pPr>
              <w:jc w:val="center"/>
              <w:ind w:right="1580"/>
              <w:spacing w:after="0"/>
              <w:rPr>
                <w:sz w:val="20"/>
                <w:szCs w:val="20"/>
                <w:color w:val="auto"/>
              </w:rPr>
            </w:pPr>
            <w:r>
              <w:rPr>
                <w:rFonts w:ascii="Arial" w:cs="Arial" w:eastAsia="Arial" w:hAnsi="Arial"/>
                <w:sz w:val="36"/>
                <w:szCs w:val="36"/>
                <w:b w:val="1"/>
                <w:bCs w:val="1"/>
                <w:color w:val="auto"/>
                <w:w w:val="93"/>
              </w:rPr>
              <w:t>Immuneering Corporation</w:t>
            </w:r>
          </w:p>
        </w:tc>
        <w:tc>
          <w:tcPr>
            <w:tcW w:w="0" w:type="dxa"/>
            <w:vAlign w:val="bottom"/>
          </w:tcPr>
          <w:p>
            <w:pPr>
              <w:spacing w:after="0"/>
              <w:rPr>
                <w:sz w:val="1"/>
                <w:szCs w:val="1"/>
                <w:color w:val="auto"/>
              </w:rPr>
            </w:pPr>
          </w:p>
        </w:tc>
      </w:tr>
      <w:tr>
        <w:trPr>
          <w:trHeight w:val="36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gridSpan w:val="9"/>
          </w:tcPr>
          <w:p>
            <w:pPr>
              <w:jc w:val="center"/>
              <w:ind w:right="270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0" w:type="dxa"/>
            <w:vAlign w:val="bottom"/>
          </w:tcPr>
          <w:p>
            <w:pPr>
              <w:spacing w:after="0"/>
              <w:rPr>
                <w:sz w:val="1"/>
                <w:szCs w:val="1"/>
                <w:color w:val="auto"/>
              </w:rPr>
            </w:pPr>
          </w:p>
        </w:tc>
      </w:tr>
      <w:tr>
        <w:trPr>
          <w:trHeight w:val="83"/>
        </w:trPr>
        <w:tc>
          <w:tcPr>
            <w:tcW w:w="1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restart"/>
          </w:tcPr>
          <w:p>
            <w:pPr>
              <w:jc w:val="center"/>
              <w:ind w:right="479"/>
              <w:spacing w:after="0"/>
              <w:rPr>
                <w:sz w:val="20"/>
                <w:szCs w:val="20"/>
                <w:color w:val="auto"/>
              </w:rPr>
            </w:pPr>
            <w:r>
              <w:rPr>
                <w:rFonts w:ascii="Arial" w:cs="Arial" w:eastAsia="Arial" w:hAnsi="Arial"/>
                <w:sz w:val="13"/>
                <w:szCs w:val="13"/>
                <w:b w:val="1"/>
                <w:bCs w:val="1"/>
                <w:color w:val="auto"/>
                <w:w w:val="87"/>
              </w:rPr>
              <w:t>Delaware</w:t>
            </w:r>
          </w:p>
        </w:tc>
        <w:tc>
          <w:tcPr>
            <w:tcW w:w="4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3"/>
          </w:tcPr>
          <w:p>
            <w:pPr>
              <w:jc w:val="right"/>
              <w:ind w:right="1466"/>
              <w:spacing w:after="0"/>
              <w:rPr>
                <w:sz w:val="20"/>
                <w:szCs w:val="20"/>
                <w:color w:val="auto"/>
              </w:rPr>
            </w:pPr>
            <w:r>
              <w:rPr>
                <w:rFonts w:ascii="Arial" w:cs="Arial" w:eastAsia="Arial" w:hAnsi="Arial"/>
                <w:sz w:val="13"/>
                <w:szCs w:val="13"/>
                <w:color w:val="auto"/>
              </w:rPr>
              <w:t>26-1976972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4860" w:type="dxa"/>
            <w:vAlign w:val="bottom"/>
            <w:gridSpan w:val="7"/>
          </w:tcPr>
          <w:p>
            <w:pPr>
              <w:jc w:val="center"/>
              <w:ind w:right="2300"/>
              <w:spacing w:after="0"/>
              <w:rPr>
                <w:sz w:val="20"/>
                <w:szCs w:val="20"/>
                <w:color w:val="auto"/>
              </w:rPr>
            </w:pPr>
            <w:r>
              <w:rPr>
                <w:rFonts w:ascii="Arial" w:cs="Arial" w:eastAsia="Arial" w:hAnsi="Arial"/>
                <w:sz w:val="9"/>
                <w:szCs w:val="9"/>
                <w:b w:val="1"/>
                <w:bCs w:val="1"/>
                <w:color w:val="auto"/>
                <w:w w:val="91"/>
              </w:rPr>
              <w:t>(State or other jurisdiction of incorporation or organization)</w:t>
            </w:r>
          </w:p>
        </w:tc>
        <w:tc>
          <w:tcPr>
            <w:tcW w:w="240" w:type="dxa"/>
            <w:vAlign w:val="bottom"/>
          </w:tcPr>
          <w:p>
            <w:pPr>
              <w:spacing w:after="0"/>
              <w:rPr>
                <w:sz w:val="10"/>
                <w:szCs w:val="10"/>
                <w:color w:val="auto"/>
              </w:rPr>
            </w:pPr>
          </w:p>
        </w:tc>
        <w:tc>
          <w:tcPr>
            <w:tcW w:w="3120" w:type="dxa"/>
            <w:vAlign w:val="bottom"/>
            <w:gridSpan w:val="3"/>
          </w:tcPr>
          <w:p>
            <w:pPr>
              <w:jc w:val="center"/>
              <w:ind w:right="560"/>
              <w:spacing w:after="0"/>
              <w:rPr>
                <w:sz w:val="20"/>
                <w:szCs w:val="20"/>
                <w:color w:val="auto"/>
              </w:rPr>
            </w:pPr>
            <w:r>
              <w:rPr>
                <w:rFonts w:ascii="Arial" w:cs="Arial" w:eastAsia="Arial" w:hAnsi="Arial"/>
                <w:sz w:val="9"/>
                <w:szCs w:val="9"/>
                <w:b w:val="1"/>
                <w:bCs w:val="1"/>
                <w:color w:val="auto"/>
                <w:w w:val="93"/>
              </w:rPr>
              <w:t>(I.R.S. Employer Identification Number)</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140" w:type="dxa"/>
            <w:vAlign w:val="bottom"/>
            <w:gridSpan w:val="2"/>
          </w:tcPr>
          <w:p>
            <w:pPr>
              <w:jc w:val="center"/>
              <w:ind w:left="362"/>
              <w:spacing w:after="0"/>
              <w:rPr>
                <w:sz w:val="20"/>
                <w:szCs w:val="20"/>
                <w:color w:val="auto"/>
              </w:rPr>
            </w:pPr>
            <w:r>
              <w:rPr>
                <w:rFonts w:ascii="Arial" w:cs="Arial" w:eastAsia="Arial" w:hAnsi="Arial"/>
                <w:sz w:val="13"/>
                <w:szCs w:val="13"/>
                <w:b w:val="1"/>
                <w:bCs w:val="1"/>
                <w:color w:val="auto"/>
                <w:w w:val="90"/>
              </w:rPr>
              <w:t>245 Main St.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140" w:type="dxa"/>
            <w:vAlign w:val="bottom"/>
            <w:gridSpan w:val="2"/>
          </w:tcPr>
          <w:p>
            <w:pPr>
              <w:jc w:val="center"/>
              <w:ind w:left="342"/>
              <w:spacing w:after="0" w:line="135" w:lineRule="exact"/>
              <w:rPr>
                <w:sz w:val="20"/>
                <w:szCs w:val="20"/>
                <w:color w:val="auto"/>
              </w:rPr>
            </w:pPr>
            <w:r>
              <w:rPr>
                <w:rFonts w:ascii="Arial" w:cs="Arial" w:eastAsia="Arial" w:hAnsi="Arial"/>
                <w:sz w:val="13"/>
                <w:szCs w:val="13"/>
                <w:b w:val="1"/>
                <w:bCs w:val="1"/>
                <w:color w:val="auto"/>
                <w:w w:val="84"/>
              </w:rPr>
              <w:t>Second Floor</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140" w:type="dxa"/>
            <w:vAlign w:val="bottom"/>
            <w:gridSpan w:val="2"/>
          </w:tcPr>
          <w:p>
            <w:pPr>
              <w:jc w:val="center"/>
              <w:ind w:left="362"/>
              <w:spacing w:after="0" w:line="144" w:lineRule="exact"/>
              <w:rPr>
                <w:sz w:val="20"/>
                <w:szCs w:val="20"/>
                <w:color w:val="auto"/>
              </w:rPr>
            </w:pPr>
            <w:r>
              <w:rPr>
                <w:rFonts w:ascii="Arial" w:cs="Arial" w:eastAsia="Arial" w:hAnsi="Arial"/>
                <w:sz w:val="13"/>
                <w:szCs w:val="13"/>
                <w:b w:val="1"/>
                <w:bCs w:val="1"/>
                <w:color w:val="auto"/>
                <w:w w:val="92"/>
              </w:rPr>
              <w:t>Cambridge, MA</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gridSpan w:val="3"/>
          </w:tcPr>
          <w:p>
            <w:pPr>
              <w:jc w:val="right"/>
              <w:ind w:right="1606"/>
              <w:spacing w:after="0" w:line="144" w:lineRule="exact"/>
              <w:rPr>
                <w:sz w:val="20"/>
                <w:szCs w:val="20"/>
                <w:color w:val="auto"/>
              </w:rPr>
            </w:pPr>
            <w:r>
              <w:rPr>
                <w:rFonts w:ascii="Arial" w:cs="Arial" w:eastAsia="Arial" w:hAnsi="Arial"/>
                <w:sz w:val="13"/>
                <w:szCs w:val="13"/>
                <w:b w:val="1"/>
                <w:bCs w:val="1"/>
                <w:color w:val="auto"/>
              </w:rPr>
              <w:t>02142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140" w:type="dxa"/>
            <w:vAlign w:val="bottom"/>
            <w:gridSpan w:val="2"/>
          </w:tcPr>
          <w:p>
            <w:pPr>
              <w:jc w:val="center"/>
              <w:ind w:left="342"/>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9"/>
                <w:szCs w:val="9"/>
                <w:b w:val="1"/>
                <w:bCs w:val="1"/>
                <w:color w:val="auto"/>
                <w:w w:val="94"/>
              </w:rPr>
              <w:t>(Zip Code)</w:t>
            </w:r>
          </w:p>
        </w:tc>
        <w:tc>
          <w:tcPr>
            <w:tcW w:w="0" w:type="dxa"/>
            <w:vAlign w:val="bottom"/>
          </w:tcPr>
          <w:p>
            <w:pPr>
              <w:spacing w:after="0"/>
              <w:rPr>
                <w:sz w:val="1"/>
                <w:szCs w:val="1"/>
                <w:color w:val="auto"/>
              </w:rPr>
            </w:pPr>
          </w:p>
        </w:tc>
      </w:tr>
      <w:tr>
        <w:trPr>
          <w:trHeight w:val="316"/>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gridSpan w:val="3"/>
          </w:tcPr>
          <w:p>
            <w:pPr>
              <w:jc w:val="center"/>
              <w:ind w:left="1203"/>
              <w:spacing w:after="0"/>
              <w:rPr>
                <w:sz w:val="20"/>
                <w:szCs w:val="20"/>
                <w:color w:val="auto"/>
              </w:rPr>
            </w:pPr>
            <w:r>
              <w:rPr>
                <w:rFonts w:ascii="Arial" w:cs="Arial" w:eastAsia="Arial" w:hAnsi="Arial"/>
                <w:sz w:val="13"/>
                <w:szCs w:val="13"/>
                <w:b w:val="1"/>
                <w:bCs w:val="1"/>
                <w:color w:val="auto"/>
                <w:w w:val="87"/>
              </w:rPr>
              <w:t>(617) 500-8080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gridSpan w:val="4"/>
          </w:tcPr>
          <w:p>
            <w:pPr>
              <w:jc w:val="center"/>
              <w:ind w:left="182"/>
              <w:spacing w:after="0"/>
              <w:rPr>
                <w:sz w:val="20"/>
                <w:szCs w:val="20"/>
                <w:color w:val="auto"/>
              </w:rPr>
            </w:pPr>
            <w:r>
              <w:rPr>
                <w:rFonts w:ascii="Arial" w:cs="Arial" w:eastAsia="Arial" w:hAnsi="Arial"/>
                <w:sz w:val="9"/>
                <w:szCs w:val="9"/>
                <w:b w:val="1"/>
                <w:bCs w:val="1"/>
                <w:color w:val="auto"/>
                <w:w w:val="89"/>
              </w:rPr>
              <w:t>(Registrant’s telephone number)</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9"/>
                <w:szCs w:val="9"/>
                <w:b w:val="1"/>
                <w:bCs w:val="1"/>
                <w:color w:val="auto"/>
              </w:rPr>
              <w:t>N/A</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80" w:type="dxa"/>
            <w:vAlign w:val="bottom"/>
            <w:gridSpan w:val="9"/>
          </w:tcPr>
          <w:p>
            <w:pPr>
              <w:jc w:val="center"/>
              <w:ind w:right="2720"/>
              <w:spacing w:after="0"/>
              <w:rPr>
                <w:sz w:val="20"/>
                <w:szCs w:val="20"/>
                <w:color w:val="auto"/>
              </w:rPr>
            </w:pPr>
            <w:r>
              <w:rPr>
                <w:rFonts w:ascii="Arial" w:cs="Arial" w:eastAsia="Arial" w:hAnsi="Arial"/>
                <w:sz w:val="9"/>
                <w:szCs w:val="9"/>
                <w:b w:val="1"/>
                <w:bCs w:val="1"/>
                <w:color w:val="auto"/>
                <w:w w:val="89"/>
              </w:rPr>
              <w:t>(Former name, former address and former fiscal year, if changed since last report)</w:t>
            </w:r>
          </w:p>
        </w:tc>
        <w:tc>
          <w:tcPr>
            <w:tcW w:w="0" w:type="dxa"/>
            <w:vAlign w:val="bottom"/>
          </w:tcPr>
          <w:p>
            <w:pPr>
              <w:spacing w:after="0"/>
              <w:rPr>
                <w:sz w:val="1"/>
                <w:szCs w:val="1"/>
                <w:color w:val="auto"/>
              </w:rPr>
            </w:pPr>
          </w:p>
        </w:tc>
      </w:tr>
      <w:tr>
        <w:trPr>
          <w:trHeight w:val="150"/>
        </w:trPr>
        <w:tc>
          <w:tcPr>
            <w:tcW w:w="3420" w:type="dxa"/>
            <w:vAlign w:val="bottom"/>
            <w:gridSpan w:val="3"/>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8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79"/>
              </w:rPr>
              <w:t>Class A common</w:t>
            </w:r>
          </w:p>
        </w:tc>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400" w:type="dxa"/>
            <w:vAlign w:val="bottom"/>
          </w:tcPr>
          <w:p>
            <w:pPr>
              <w:spacing w:after="0"/>
              <w:rPr>
                <w:sz w:val="16"/>
                <w:szCs w:val="16"/>
                <w:color w:val="auto"/>
              </w:rPr>
            </w:pPr>
          </w:p>
        </w:tc>
        <w:tc>
          <w:tcPr>
            <w:tcW w:w="2320" w:type="dxa"/>
            <w:vAlign w:val="bottom"/>
            <w:gridSpan w:val="4"/>
          </w:tcPr>
          <w:p>
            <w:pPr>
              <w:jc w:val="center"/>
              <w:ind w:left="222"/>
              <w:spacing w:after="0"/>
              <w:rPr>
                <w:sz w:val="20"/>
                <w:szCs w:val="20"/>
                <w:color w:val="auto"/>
              </w:rPr>
            </w:pPr>
            <w:r>
              <w:rPr>
                <w:rFonts w:ascii="Arial" w:cs="Arial" w:eastAsia="Arial" w:hAnsi="Arial"/>
                <w:sz w:val="13"/>
                <w:szCs w:val="13"/>
                <w:b w:val="1"/>
                <w:bCs w:val="1"/>
                <w:color w:val="auto"/>
                <w:w w:val="86"/>
              </w:rPr>
              <w:t>Trading symbol</w:t>
            </w:r>
          </w:p>
        </w:tc>
        <w:tc>
          <w:tcPr>
            <w:tcW w:w="240" w:type="dxa"/>
            <w:vAlign w:val="bottom"/>
          </w:tcPr>
          <w:p>
            <w:pPr>
              <w:spacing w:after="0"/>
              <w:rPr>
                <w:sz w:val="16"/>
                <w:szCs w:val="16"/>
                <w:color w:val="auto"/>
              </w:rPr>
            </w:pPr>
          </w:p>
        </w:tc>
        <w:tc>
          <w:tcPr>
            <w:tcW w:w="3120" w:type="dxa"/>
            <w:vAlign w:val="bottom"/>
            <w:gridSpan w:val="3"/>
          </w:tcPr>
          <w:p>
            <w:pPr>
              <w:jc w:val="center"/>
              <w:ind w:left="926"/>
              <w:spacing w:after="0"/>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vMerge w:val="continue"/>
          </w:tcPr>
          <w:p>
            <w:pPr>
              <w:spacing w:after="0"/>
              <w:rPr>
                <w:sz w:val="13"/>
                <w:szCs w:val="13"/>
                <w:color w:val="auto"/>
              </w:rPr>
            </w:pPr>
          </w:p>
        </w:tc>
        <w:tc>
          <w:tcPr>
            <w:tcW w:w="214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Stock, par value $0.001 per share</w:t>
            </w: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IMRX</w:t>
            </w:r>
          </w:p>
        </w:tc>
        <w:tc>
          <w:tcPr>
            <w:tcW w:w="60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right="24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fofr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sectPr>
      </w:pP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3960"/>
          </w:cols>
          <w:pgMar w:left="840" w:top="665" w:right="91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6">
            <w:col w:w="1060" w:space="640"/>
            <w:col w:w="1680" w:space="720"/>
            <w:col w:w="1380" w:space="700"/>
            <w:col w:w="860" w:space="720"/>
            <w:col w:w="1400" w:space="720"/>
            <w:col w:w="260"/>
          </w:cols>
          <w:pgMar w:left="840" w:top="665" w:right="919" w:bottom="1440" w:gutter="0" w:footer="0" w:header="0"/>
          <w:type w:val="continuous"/>
        </w:sectPr>
      </w:pPr>
    </w:p>
    <w:p>
      <w:pPr>
        <w:ind w:right="3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tabs>
          <w:tab w:leader="none" w:pos="626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59"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As of November 3, 2021, the registrant had 25,940,564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551180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96520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11"/>
          </w:tcPr>
          <w:p>
            <w:pPr>
              <w:ind w:left="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425"/>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714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6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7140" w:type="dxa"/>
            <w:vAlign w:val="bottom"/>
            <w:gridSpan w:val="19"/>
          </w:tcPr>
          <w:p>
            <w:pPr>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Sheets as of September 30, 2021 and December 31, 2020</w:t>
              </w:r>
            </w:hyperlink>
          </w:p>
        </w:tc>
        <w:tc>
          <w:tcPr>
            <w:tcW w:w="56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w:t>
              </w:r>
            </w:hyperlink>
          </w:p>
        </w:tc>
        <w:tc>
          <w:tcPr>
            <w:tcW w:w="626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Operations and Comprehensive Loss for the three and</w:t>
              </w:r>
            </w:hyperlink>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nine months ended September 30, 2021 and 2020 (Unaudited)</w:t>
              </w:r>
            </w:hyperlink>
          </w:p>
        </w:tc>
        <w:tc>
          <w:tcPr>
            <w:tcW w:w="266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Convertible Preferred Stock and Stockholders’ equity</w:t>
              </w:r>
            </w:hyperlink>
          </w:p>
        </w:tc>
        <w:tc>
          <w:tcPr>
            <w:tcW w:w="4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(deficit) for the three and nine months ended September 30, 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19"/>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Condensed Consolidated Statements of Cash Flows for the nine months ended September 30,</w:t>
              </w:r>
            </w:hyperlink>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2021 and 2020 (Unaudited)</w:t>
              </w:r>
            </w:hyperlink>
          </w:p>
        </w:tc>
        <w:tc>
          <w:tcPr>
            <w:tcW w:w="42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Notes to Condensed Consolidated Financial Statements (Unaudited)</w:t>
              </w:r>
            </w:hyperlink>
          </w:p>
        </w:tc>
        <w:tc>
          <w:tcPr>
            <w:tcW w:w="22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1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71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71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7140" w:type="dxa"/>
            <w:vAlign w:val="bottom"/>
            <w:gridSpan w:val="1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620" w:type="dxa"/>
            <w:vAlign w:val="bottom"/>
            <w:gridSpan w:val="3"/>
          </w:tcPr>
          <w:p>
            <w:pPr>
              <w:spacing w:after="0"/>
              <w:rPr>
                <w:sz w:val="24"/>
                <w:szCs w:val="24"/>
                <w:color w:val="auto"/>
              </w:rPr>
            </w:pPr>
          </w:p>
        </w:tc>
        <w:tc>
          <w:tcPr>
            <w:tcW w:w="1440" w:type="dxa"/>
            <w:vAlign w:val="bottom"/>
            <w:tcBorders>
              <w:top w:val="single" w:sz="8" w:color="0000EE"/>
            </w:tcBorders>
            <w:gridSpan w:val="5"/>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Legal Proceedings</w:t>
              </w:r>
            </w:hyperlink>
          </w:p>
        </w:tc>
        <w:tc>
          <w:tcPr>
            <w:tcW w:w="570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500" w:type="dxa"/>
            <w:vAlign w:val="bottom"/>
            <w:gridSpan w:val="2"/>
          </w:tcPr>
          <w:p>
            <w:pPr>
              <w:spacing w:after="0"/>
              <w:rPr>
                <w:sz w:val="24"/>
                <w:szCs w:val="24"/>
                <w:color w:val="auto"/>
              </w:rPr>
            </w:pPr>
          </w:p>
        </w:tc>
        <w:tc>
          <w:tcPr>
            <w:tcW w:w="71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2.</w:t>
              </w:r>
            </w:hyperlink>
          </w:p>
        </w:tc>
        <w:tc>
          <w:tcPr>
            <w:tcW w:w="500" w:type="dxa"/>
            <w:vAlign w:val="bottom"/>
            <w:gridSpan w:val="2"/>
          </w:tcPr>
          <w:p>
            <w:pPr>
              <w:spacing w:after="0"/>
              <w:rPr>
                <w:sz w:val="24"/>
                <w:szCs w:val="24"/>
                <w:color w:val="auto"/>
              </w:rPr>
            </w:pPr>
          </w:p>
        </w:tc>
        <w:tc>
          <w:tcPr>
            <w:tcW w:w="7140" w:type="dxa"/>
            <w:vAlign w:val="bottom"/>
            <w:gridSpan w:val="1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3.</w:t>
              </w:r>
            </w:hyperlink>
          </w:p>
        </w:tc>
        <w:tc>
          <w:tcPr>
            <w:tcW w:w="71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4.</w:t>
              </w:r>
            </w:hyperlink>
          </w:p>
        </w:tc>
        <w:tc>
          <w:tcPr>
            <w:tcW w:w="71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5.</w:t>
              </w:r>
            </w:hyperlink>
          </w:p>
        </w:tc>
        <w:tc>
          <w:tcPr>
            <w:tcW w:w="71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2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6.</w:t>
              </w:r>
            </w:hyperlink>
          </w:p>
        </w:tc>
        <w:tc>
          <w:tcPr>
            <w:tcW w:w="714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88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gridSpan w:val="9"/>
          </w:tcPr>
          <w:p>
            <w:pPr>
              <w:ind w:left="3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FORWARD-LOOKING STATEMENTS</w:t>
      </w:r>
    </w:p>
    <w:p>
      <w:pPr>
        <w:spacing w:after="0" w:line="200" w:lineRule="exact"/>
        <w:rPr>
          <w:sz w:val="20"/>
          <w:szCs w:val="20"/>
          <w:color w:val="auto"/>
        </w:rPr>
      </w:pPr>
    </w:p>
    <w:p>
      <w:pPr>
        <w:ind w:left="600" w:right="639"/>
        <w:spacing w:after="0" w:line="266" w:lineRule="auto"/>
        <w:rPr>
          <w:sz w:val="20"/>
          <w:szCs w:val="20"/>
          <w:color w:val="auto"/>
        </w:rPr>
      </w:pPr>
      <w:r>
        <w:rPr>
          <w:rFonts w:ascii="Arial" w:cs="Arial" w:eastAsia="Arial" w:hAnsi="Arial"/>
          <w:sz w:val="16"/>
          <w:szCs w:val="16"/>
          <w:color w:val="auto"/>
        </w:rPr>
        <w:t>This Quarterly Report on Form 10-Q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and the plans and objectives of management for future operations, are forward-looking statements.</w:t>
      </w:r>
    </w:p>
    <w:p>
      <w:pPr>
        <w:spacing w:after="0" w:line="151" w:lineRule="exact"/>
        <w:rPr>
          <w:sz w:val="20"/>
          <w:szCs w:val="20"/>
          <w:color w:val="auto"/>
        </w:rPr>
      </w:pPr>
    </w:p>
    <w:p>
      <w:pPr>
        <w:ind w:left="600" w:right="599"/>
        <w:spacing w:after="0" w:line="270" w:lineRule="auto"/>
        <w:rPr>
          <w:sz w:val="20"/>
          <w:szCs w:val="20"/>
          <w:color w:val="auto"/>
        </w:rPr>
      </w:pPr>
      <w:r>
        <w:rPr>
          <w:rFonts w:ascii="Arial" w:cs="Arial" w:eastAsia="Arial" w:hAnsi="Arial"/>
          <w:sz w:val="16"/>
          <w:szCs w:val="16"/>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40" w:lineRule="exact"/>
        <w:rPr>
          <w:sz w:val="20"/>
          <w:szCs w:val="20"/>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history of operating losses;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pandemic related to COVID-19 and its variants;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the substantial additional capital that will be required to finance our operations;</w:t>
      </w:r>
    </w:p>
    <w:p>
      <w:pPr>
        <w:spacing w:after="0" w:line="194" w:lineRule="exact"/>
        <w:rPr>
          <w:rFonts w:ascii="Arial" w:cs="Arial" w:eastAsia="Arial" w:hAnsi="Arial"/>
          <w:sz w:val="16"/>
          <w:szCs w:val="16"/>
          <w:color w:val="auto"/>
        </w:rPr>
      </w:pPr>
    </w:p>
    <w:p>
      <w:pPr>
        <w:ind w:left="1260" w:hanging="31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obtaining regulatory approval for any of our current or future product candidates;</w:t>
      </w:r>
    </w:p>
    <w:p>
      <w:pPr>
        <w:spacing w:after="0" w:line="194" w:lineRule="exact"/>
        <w:rPr>
          <w:rFonts w:ascii="Arial" w:cs="Arial" w:eastAsia="Arial" w:hAnsi="Arial"/>
          <w:sz w:val="16"/>
          <w:szCs w:val="16"/>
          <w:color w:val="auto"/>
        </w:rPr>
      </w:pPr>
    </w:p>
    <w:p>
      <w:pPr>
        <w:ind w:left="1260" w:right="75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file INDs or IND amendments or comparable documents in foreign jurisdictions in order to commence clinical trials on the timelines we expect;</w:t>
      </w:r>
    </w:p>
    <w:p>
      <w:pPr>
        <w:spacing w:after="0" w:line="134"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experience in designing clinical trials;</w:t>
      </w:r>
    </w:p>
    <w:p>
      <w:pPr>
        <w:spacing w:after="0" w:line="182" w:lineRule="exact"/>
        <w:rPr>
          <w:rFonts w:ascii="Arial" w:cs="Arial" w:eastAsia="Arial" w:hAnsi="Arial"/>
          <w:sz w:val="17"/>
          <w:szCs w:val="17"/>
          <w:color w:val="auto"/>
        </w:rPr>
      </w:pPr>
    </w:p>
    <w:p>
      <w:pPr>
        <w:ind w:left="1260" w:right="97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substantial delays in completing, if at all, the development and commercialization of our current or future product candidates;</w:t>
      </w:r>
    </w:p>
    <w:p>
      <w:pPr>
        <w:spacing w:after="0" w:line="134" w:lineRule="exact"/>
        <w:rPr>
          <w:rFonts w:ascii="Arial" w:cs="Arial" w:eastAsia="Arial" w:hAnsi="Arial"/>
          <w:sz w:val="17"/>
          <w:szCs w:val="17"/>
          <w:color w:val="auto"/>
        </w:rPr>
      </w:pPr>
    </w:p>
    <w:p>
      <w:pPr>
        <w:ind w:left="1260" w:right="61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adverse events, toxicities or other undesirable side effects caused by our current or future product candidates;</w:t>
      </w:r>
    </w:p>
    <w:p>
      <w:pPr>
        <w:spacing w:after="0" w:line="134"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delays or difficulties in the enrollment and/or maintenance of patients in clinical trials;</w:t>
      </w:r>
    </w:p>
    <w:p>
      <w:pPr>
        <w:spacing w:after="0" w:line="182" w:lineRule="exact"/>
        <w:rPr>
          <w:rFonts w:ascii="Arial" w:cs="Arial" w:eastAsia="Arial" w:hAnsi="Arial"/>
          <w:sz w:val="17"/>
          <w:szCs w:val="17"/>
          <w:color w:val="auto"/>
        </w:rPr>
      </w:pPr>
    </w:p>
    <w:p>
      <w:pPr>
        <w:ind w:left="1260" w:right="759" w:hanging="319"/>
        <w:spacing w:after="0" w:line="342" w:lineRule="auto"/>
        <w:tabs>
          <w:tab w:leader="none" w:pos="12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substantial reliance on the successful development of our current and future product candidates, as well as our platform, including our proprietary technologies such as DCT and Fluency;</w:t>
      </w:r>
    </w:p>
    <w:p>
      <w:pPr>
        <w:spacing w:after="0" w:line="88" w:lineRule="exact"/>
        <w:rPr>
          <w:rFonts w:ascii="Arial" w:cs="Arial" w:eastAsia="Arial" w:hAnsi="Arial"/>
          <w:sz w:val="15"/>
          <w:szCs w:val="15"/>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competition in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opportunity for our product candidates, if approved;</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manufacturing;</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reliance on third parties;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intellectual property; and</w:t>
      </w:r>
    </w:p>
    <w:p>
      <w:pPr>
        <w:spacing w:after="0" w:line="182" w:lineRule="exact"/>
        <w:rPr>
          <w:rFonts w:ascii="Arial" w:cs="Arial" w:eastAsia="Arial" w:hAnsi="Arial"/>
          <w:sz w:val="17"/>
          <w:szCs w:val="17"/>
          <w:color w:val="auto"/>
        </w:rPr>
      </w:pPr>
    </w:p>
    <w:p>
      <w:pPr>
        <w:ind w:left="1260" w:right="619" w:hanging="319"/>
        <w:spacing w:after="0" w:line="261"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important risk factors that could affect the outcome of the events set forth in these statements and that could affect our operating results and financial condition are described in the “Risk Factors” section of this Quarterly Report on Form 10-Q.</w:t>
      </w:r>
    </w:p>
    <w:p>
      <w:pPr>
        <w:spacing w:after="0" w:line="159" w:lineRule="exact"/>
        <w:rPr>
          <w:sz w:val="20"/>
          <w:szCs w:val="20"/>
          <w:color w:val="auto"/>
        </w:rPr>
      </w:pPr>
    </w:p>
    <w:p>
      <w:pPr>
        <w:ind w:left="600" w:right="719"/>
        <w:spacing w:after="0" w:line="252"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56" w:lineRule="exact"/>
        <w:rPr>
          <w:sz w:val="20"/>
          <w:szCs w:val="20"/>
          <w:color w:val="auto"/>
        </w:rPr>
      </w:pPr>
    </w:p>
    <w:p>
      <w:pPr>
        <w:ind w:left="600" w:right="819"/>
        <w:spacing w:after="0" w:line="274" w:lineRule="auto"/>
        <w:rPr>
          <w:sz w:val="20"/>
          <w:szCs w:val="20"/>
          <w:color w:val="auto"/>
        </w:rPr>
      </w:pPr>
      <w:r>
        <w:rPr>
          <w:rFonts w:ascii="Arial" w:cs="Arial" w:eastAsia="Arial" w:hAnsi="Arial"/>
          <w:sz w:val="17"/>
          <w:szCs w:val="17"/>
          <w:color w:val="auto"/>
        </w:rPr>
        <w:t>Unless otherwise stated or the context requires otherwise, references to “Immuneering,” the “Company,” “we,” “us,” and “our,” refer to Immuneering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Class A common stock. The principal risks and uncertainties affecting our business include the following:</w:t>
      </w:r>
    </w:p>
    <w:p>
      <w:pPr>
        <w:spacing w:after="0" w:line="149" w:lineRule="exact"/>
        <w:rPr>
          <w:sz w:val="20"/>
          <w:szCs w:val="20"/>
          <w:color w:val="auto"/>
        </w:rPr>
      </w:pPr>
    </w:p>
    <w:p>
      <w:pPr>
        <w:jc w:val="both"/>
        <w:ind w:left="700" w:right="59" w:hanging="2"/>
        <w:spacing w:after="0" w:line="263" w:lineRule="auto"/>
        <w:tabs>
          <w:tab w:leader="none" w:pos="822"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197" w:lineRule="exact"/>
        <w:rPr>
          <w:rFonts w:ascii="Arial" w:cs="Arial" w:eastAsia="Arial" w:hAnsi="Arial"/>
          <w:sz w:val="18"/>
          <w:szCs w:val="18"/>
          <w:color w:val="auto"/>
        </w:rPr>
      </w:pPr>
    </w:p>
    <w:p>
      <w:pPr>
        <w:ind w:left="700" w:right="59" w:hanging="2"/>
        <w:spacing w:after="0" w:line="277" w:lineRule="auto"/>
        <w:tabs>
          <w:tab w:leader="none" w:pos="81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for the past several years and we expect to continue to incur significant net losses for the foreseeable future and may never attain profitability.</w:t>
      </w:r>
    </w:p>
    <w:p>
      <w:pPr>
        <w:spacing w:after="0" w:line="183" w:lineRule="exact"/>
        <w:rPr>
          <w:rFonts w:ascii="Arial" w:cs="Arial" w:eastAsia="Arial" w:hAnsi="Arial"/>
          <w:sz w:val="18"/>
          <w:szCs w:val="18"/>
          <w:color w:val="auto"/>
        </w:rPr>
      </w:pPr>
    </w:p>
    <w:p>
      <w:pPr>
        <w:jc w:val="both"/>
        <w:ind w:left="700" w:right="59" w:hanging="2"/>
        <w:spacing w:after="0" w:line="263" w:lineRule="auto"/>
        <w:tabs>
          <w:tab w:leader="none" w:pos="8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97" w:lineRule="exact"/>
        <w:rPr>
          <w:rFonts w:ascii="Arial" w:cs="Arial" w:eastAsia="Arial" w:hAnsi="Arial"/>
          <w:sz w:val="18"/>
          <w:szCs w:val="18"/>
          <w:color w:val="auto"/>
        </w:rPr>
      </w:pPr>
    </w:p>
    <w:p>
      <w:pPr>
        <w:jc w:val="both"/>
        <w:ind w:left="700" w:right="59" w:hanging="2"/>
        <w:spacing w:after="0" w:line="257" w:lineRule="auto"/>
        <w:tabs>
          <w:tab w:leader="none" w:pos="8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201" w:lineRule="exact"/>
        <w:rPr>
          <w:rFonts w:ascii="Arial" w:cs="Arial" w:eastAsia="Arial" w:hAnsi="Arial"/>
          <w:sz w:val="18"/>
          <w:szCs w:val="18"/>
          <w:color w:val="auto"/>
        </w:rPr>
      </w:pPr>
    </w:p>
    <w:p>
      <w:pPr>
        <w:ind w:left="700" w:right="59" w:hanging="2"/>
        <w:spacing w:after="0" w:line="277" w:lineRule="auto"/>
        <w:tabs>
          <w:tab w:leader="none" w:pos="822"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jc w:val="both"/>
        <w:ind w:left="700" w:right="59" w:hanging="2"/>
        <w:spacing w:after="0" w:line="263" w:lineRule="auto"/>
        <w:tabs>
          <w:tab w:leader="none" w:pos="8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97" w:lineRule="exact"/>
        <w:rPr>
          <w:rFonts w:ascii="Arial" w:cs="Arial" w:eastAsia="Arial" w:hAnsi="Arial"/>
          <w:sz w:val="18"/>
          <w:szCs w:val="18"/>
          <w:color w:val="auto"/>
        </w:rPr>
      </w:pPr>
    </w:p>
    <w:p>
      <w:pPr>
        <w:jc w:val="both"/>
        <w:ind w:left="700" w:right="59" w:hanging="2"/>
        <w:spacing w:after="0" w:line="259" w:lineRule="auto"/>
        <w:tabs>
          <w:tab w:leader="none" w:pos="8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00" w:lineRule="exact"/>
        <w:rPr>
          <w:rFonts w:ascii="Arial" w:cs="Arial" w:eastAsia="Arial" w:hAnsi="Arial"/>
          <w:sz w:val="18"/>
          <w:szCs w:val="18"/>
          <w:color w:val="auto"/>
        </w:rPr>
      </w:pPr>
    </w:p>
    <w:p>
      <w:pPr>
        <w:jc w:val="both"/>
        <w:ind w:left="700" w:right="59" w:hanging="2"/>
        <w:spacing w:after="0" w:line="25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7" w:lineRule="exact"/>
        <w:rPr>
          <w:rFonts w:ascii="Arial" w:cs="Arial" w:eastAsia="Arial" w:hAnsi="Arial"/>
          <w:sz w:val="18"/>
          <w:szCs w:val="18"/>
          <w:color w:val="auto"/>
        </w:rPr>
      </w:pPr>
    </w:p>
    <w:p>
      <w:pPr>
        <w:jc w:val="both"/>
        <w:ind w:left="700" w:right="79" w:hanging="2"/>
        <w:spacing w:after="0" w:line="263" w:lineRule="auto"/>
        <w:tabs>
          <w:tab w:leader="none" w:pos="8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97" w:lineRule="exact"/>
        <w:rPr>
          <w:rFonts w:ascii="Arial" w:cs="Arial" w:eastAsia="Arial" w:hAnsi="Arial"/>
          <w:sz w:val="18"/>
          <w:szCs w:val="18"/>
          <w:color w:val="auto"/>
        </w:rPr>
      </w:pPr>
    </w:p>
    <w:p>
      <w:pPr>
        <w:ind w:left="700" w:right="59" w:hanging="2"/>
        <w:spacing w:after="0" w:line="308" w:lineRule="auto"/>
        <w:tabs>
          <w:tab w:leader="none" w:pos="81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long-term prospects depend in part upon discovering, developing and commercializing product candidates, which may fail in development or suffer delays that adversely affect their commercial viability.</w:t>
      </w:r>
    </w:p>
    <w:p>
      <w:pPr>
        <w:spacing w:after="0" w:line="159" w:lineRule="exact"/>
        <w:rPr>
          <w:rFonts w:ascii="Arial" w:cs="Arial" w:eastAsia="Arial" w:hAnsi="Arial"/>
          <w:sz w:val="17"/>
          <w:szCs w:val="17"/>
          <w:color w:val="auto"/>
        </w:rPr>
      </w:pPr>
    </w:p>
    <w:p>
      <w:pPr>
        <w:jc w:val="both"/>
        <w:ind w:left="700" w:right="59" w:hanging="2"/>
        <w:spacing w:after="0" w:line="263" w:lineRule="auto"/>
        <w:tabs>
          <w:tab w:leader="none" w:pos="85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2"/>
        <w:spacing w:after="0" w:line="342" w:lineRule="auto"/>
        <w:tabs>
          <w:tab w:leader="none" w:pos="816"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never commercialized a product candidate before and may lack the necessary expertise, personnel and resources to successfully commercialize any products on our own or together with suitable collaborators.</w:t>
      </w:r>
    </w:p>
    <w:p>
      <w:pPr>
        <w:spacing w:after="0" w:line="137" w:lineRule="exact"/>
        <w:rPr>
          <w:rFonts w:ascii="Arial" w:cs="Arial" w:eastAsia="Arial" w:hAnsi="Arial"/>
          <w:sz w:val="16"/>
          <w:szCs w:val="16"/>
          <w:color w:val="auto"/>
        </w:rPr>
      </w:pPr>
    </w:p>
    <w:p>
      <w:pPr>
        <w:jc w:val="both"/>
        <w:ind w:left="700" w:right="59" w:hanging="2"/>
        <w:spacing w:after="0" w:line="263"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could be negatively impacted.</w:t>
      </w:r>
    </w:p>
    <w:p>
      <w:pPr>
        <w:spacing w:after="0" w:line="197" w:lineRule="exact"/>
        <w:rPr>
          <w:rFonts w:ascii="Arial" w:cs="Arial" w:eastAsia="Arial" w:hAnsi="Arial"/>
          <w:sz w:val="18"/>
          <w:szCs w:val="18"/>
          <w:color w:val="auto"/>
        </w:rPr>
      </w:pPr>
    </w:p>
    <w:p>
      <w:pPr>
        <w:ind w:left="700" w:right="79" w:hanging="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and potential future pandemics could continue to adversely impact our business, including our anticipated clinical trials, supply chain and business development activities.</w:t>
      </w:r>
    </w:p>
    <w:p>
      <w:pPr>
        <w:spacing w:after="0" w:line="183" w:lineRule="exact"/>
        <w:rPr>
          <w:rFonts w:ascii="Arial" w:cs="Arial" w:eastAsia="Arial" w:hAnsi="Arial"/>
          <w:sz w:val="18"/>
          <w:szCs w:val="18"/>
          <w:color w:val="auto"/>
        </w:rPr>
      </w:pPr>
    </w:p>
    <w:p>
      <w:pPr>
        <w:jc w:val="both"/>
        <w:ind w:left="700" w:right="59" w:hanging="2"/>
        <w:spacing w:after="0" w:line="296"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74" w:lineRule="exact"/>
        <w:rPr>
          <w:rFonts w:ascii="Arial" w:cs="Arial" w:eastAsia="Arial" w:hAnsi="Arial"/>
          <w:sz w:val="16"/>
          <w:szCs w:val="16"/>
          <w:color w:val="auto"/>
        </w:rPr>
      </w:pPr>
    </w:p>
    <w:p>
      <w:pPr>
        <w:jc w:val="both"/>
        <w:ind w:left="700" w:right="59" w:hanging="2"/>
        <w:spacing w:after="0" w:line="257" w:lineRule="auto"/>
        <w:tabs>
          <w:tab w:leader="none" w:pos="81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contract with third parties for the manufacturing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01" w:lineRule="exact"/>
        <w:rPr>
          <w:rFonts w:ascii="Arial" w:cs="Arial" w:eastAsia="Arial" w:hAnsi="Arial"/>
          <w:sz w:val="18"/>
          <w:szCs w:val="18"/>
          <w:color w:val="auto"/>
        </w:rPr>
      </w:pPr>
    </w:p>
    <w:p>
      <w:pPr>
        <w:jc w:val="both"/>
        <w:ind w:left="700" w:right="59" w:hanging="2"/>
        <w:spacing w:after="0" w:line="259" w:lineRule="auto"/>
        <w:tabs>
          <w:tab w:leader="none" w:pos="8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200" w:lineRule="exact"/>
        <w:rPr>
          <w:rFonts w:ascii="Arial" w:cs="Arial" w:eastAsia="Arial" w:hAnsi="Arial"/>
          <w:sz w:val="18"/>
          <w:szCs w:val="18"/>
          <w:color w:val="auto"/>
        </w:rPr>
      </w:pPr>
    </w:p>
    <w:p>
      <w:pPr>
        <w:jc w:val="both"/>
        <w:ind w:left="700" w:right="59" w:hanging="2"/>
        <w:spacing w:after="0" w:line="257" w:lineRule="auto"/>
        <w:tabs>
          <w:tab w:leader="none" w:pos="85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 2021</w:t>
            </w: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w w:val="85"/>
              </w:rPr>
              <w:t>December 31, 2020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Cash and cash equivalents</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106,927,550</w:t>
            </w:r>
          </w:p>
        </w:tc>
        <w:tc>
          <w:tcPr>
            <w:tcW w:w="1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3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37,090,151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Marketable 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42,550,420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Accounts receivable</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471,375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500,110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Prepaids and other current assets</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3,361,471</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140,958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Total current assets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153,310,816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37,731,219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Marketable securities, non-current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10,098,616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81,445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64,363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Right-of-use asset, net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537,181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613,103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14,333</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14,333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3"/>
                <w:szCs w:val="13"/>
                <w:b w:val="1"/>
                <w:bCs w:val="1"/>
                <w:color w:val="auto"/>
              </w:rPr>
              <w:t>Total assets</w:t>
            </w: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164,042,391</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38,423,018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Convertible Preferred Stock and Stockholders' Deficit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Accounts payable</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1,795,153</w:t>
            </w:r>
          </w:p>
        </w:tc>
        <w:tc>
          <w:tcPr>
            <w:tcW w:w="1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3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1,480,537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Accrued expenses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3,388,853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698,992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Lease liability, current</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82,795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76,322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Pr>
          <w:p>
            <w:pPr>
              <w:ind w:left="200"/>
              <w:spacing w:after="0" w:line="129" w:lineRule="exact"/>
              <w:rPr>
                <w:sz w:val="20"/>
                <w:szCs w:val="20"/>
                <w:color w:val="auto"/>
              </w:rPr>
            </w:pPr>
            <w:r>
              <w:rPr>
                <w:rFonts w:ascii="Arial" w:cs="Arial" w:eastAsia="Arial" w:hAnsi="Arial"/>
                <w:sz w:val="13"/>
                <w:szCs w:val="13"/>
                <w:color w:val="auto"/>
              </w:rPr>
              <w:t>Total current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3"/>
                <w:szCs w:val="13"/>
                <w:color w:val="auto"/>
              </w:rPr>
              <w:t>5,266,801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2,255,851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00" w:type="dxa"/>
            <w:vAlign w:val="bottom"/>
          </w:tcPr>
          <w:p>
            <w:pPr>
              <w:spacing w:after="0" w:line="135" w:lineRule="exact"/>
              <w:rPr>
                <w:sz w:val="20"/>
                <w:szCs w:val="20"/>
                <w:color w:val="auto"/>
              </w:rPr>
            </w:pPr>
            <w:r>
              <w:rPr>
                <w:rFonts w:ascii="Arial" w:cs="Arial" w:eastAsia="Arial" w:hAnsi="Arial"/>
                <w:sz w:val="13"/>
                <w:szCs w:val="13"/>
                <w:color w:val="auto"/>
              </w:rPr>
              <w:t>Long-term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Lease liability, non-current</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481,965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544,767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3"/>
                <w:szCs w:val="13"/>
                <w:color w:val="auto"/>
              </w:rPr>
              <w:t>Total liabilities</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5,748,766</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2,800,618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Commitments and contingencies (Note 11)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spacing w:after="0" w:line="135" w:lineRule="exact"/>
              <w:rPr>
                <w:sz w:val="20"/>
                <w:szCs w:val="20"/>
                <w:color w:val="auto"/>
              </w:rPr>
            </w:pPr>
            <w:r>
              <w:rPr>
                <w:rFonts w:ascii="Arial" w:cs="Arial" w:eastAsia="Arial" w:hAnsi="Arial"/>
                <w:sz w:val="13"/>
                <w:szCs w:val="13"/>
                <w:color w:val="auto"/>
              </w:rPr>
              <w:t>Convertible preferred 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Series B preferred stock, $0.001 par value, 0 and 6,032,183 shares authorized at September 30, 2021 and December 31,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2020, 0 and 3,619,292 shares issued and outstanding at September 30, 2021 and December 31, 2020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36,983,910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tcPr>
          <w:p>
            <w:pPr>
              <w:spacing w:after="0" w:line="121" w:lineRule="exact"/>
              <w:rPr>
                <w:sz w:val="20"/>
                <w:szCs w:val="20"/>
                <w:color w:val="auto"/>
              </w:rPr>
            </w:pPr>
            <w:r>
              <w:rPr>
                <w:rFonts w:ascii="Arial" w:cs="Arial" w:eastAsia="Arial" w:hAnsi="Arial"/>
                <w:sz w:val="13"/>
                <w:szCs w:val="13"/>
                <w:color w:val="auto"/>
                <w:w w:val="88"/>
              </w:rPr>
              <w:t>Series A preferred stock, $0.001 par value, 0 and 2,495,933 shares authorized at September 30, 2021 and 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rPr>
                <w:sz w:val="20"/>
                <w:szCs w:val="20"/>
                <w:color w:val="auto"/>
              </w:rPr>
            </w:pPr>
            <w:r>
              <w:rPr>
                <w:rFonts w:ascii="Arial" w:cs="Arial" w:eastAsia="Arial" w:hAnsi="Arial"/>
                <w:sz w:val="13"/>
                <w:szCs w:val="13"/>
                <w:color w:val="auto"/>
              </w:rPr>
              <w:t>2020, 0 and 2,495,933 shares issued and outstanding at September 30, 2021 and December 31, 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21,119,940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convertible preferred stock</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58,103,850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Pr>
          <w:p>
            <w:pPr>
              <w:spacing w:after="0" w:line="129" w:lineRule="exact"/>
              <w:rPr>
                <w:sz w:val="20"/>
                <w:szCs w:val="20"/>
                <w:color w:val="auto"/>
              </w:rPr>
            </w:pPr>
            <w:r>
              <w:rPr>
                <w:rFonts w:ascii="Arial" w:cs="Arial" w:eastAsia="Arial" w:hAnsi="Arial"/>
                <w:sz w:val="13"/>
                <w:szCs w:val="13"/>
                <w:color w:val="auto"/>
              </w:rPr>
              <w:t>Stockholders’ deficit: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Preferred stock, $0.001 par value; 10,000,000 and 0 shares authorized at September 30, 2021 and December 31, 2020,</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respectively; No shares issued or outstanding</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tcPr>
          <w:p>
            <w:pPr>
              <w:spacing w:after="0" w:line="121" w:lineRule="exact"/>
              <w:rPr>
                <w:sz w:val="20"/>
                <w:szCs w:val="20"/>
                <w:color w:val="auto"/>
              </w:rPr>
            </w:pPr>
            <w:r>
              <w:rPr>
                <w:rFonts w:ascii="Arial" w:cs="Arial" w:eastAsia="Arial" w:hAnsi="Arial"/>
                <w:sz w:val="13"/>
                <w:szCs w:val="13"/>
                <w:color w:val="auto"/>
                <w:w w:val="91"/>
              </w:rPr>
              <w:t>Class A common stock, $0.001 par value, 200,000,000 and 22,026,200 shares authorized at September 30, 2021 and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20" w:type="dxa"/>
            <w:vAlign w:val="bottom"/>
            <w:gridSpan w:val="2"/>
          </w:tcPr>
          <w:p>
            <w:pPr>
              <w:spacing w:after="0" w:line="135" w:lineRule="exact"/>
              <w:rPr>
                <w:sz w:val="20"/>
                <w:szCs w:val="20"/>
                <w:color w:val="auto"/>
              </w:rPr>
            </w:pPr>
            <w:r>
              <w:rPr>
                <w:rFonts w:ascii="Arial" w:cs="Arial" w:eastAsia="Arial" w:hAnsi="Arial"/>
                <w:sz w:val="13"/>
                <w:szCs w:val="13"/>
                <w:color w:val="auto"/>
                <w:w w:val="90"/>
              </w:rPr>
              <w:t>December 31, 2020 respectively; 25,938,064 and 4,950,129 shares issued and outstanding at September 30, 2021 and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rPr>
                <w:sz w:val="20"/>
                <w:szCs w:val="20"/>
                <w:color w:val="auto"/>
              </w:rPr>
            </w:pPr>
            <w:r>
              <w:rPr>
                <w:rFonts w:ascii="Arial" w:cs="Arial" w:eastAsia="Arial" w:hAnsi="Arial"/>
                <w:sz w:val="13"/>
                <w:szCs w:val="13"/>
                <w:color w:val="auto"/>
              </w:rPr>
              <w:t>December 31, 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25,938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Class B common stock, $0.001 par value, 20,000,000 and 6,032,183 shares authorized at September 30, 2021 and</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w w:val="93"/>
              </w:rPr>
              <w:t>December 31, 2020 respectively; 0 shares issued and outstanding at September 30, 2021 and December 31, 2020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206,761,467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3,251,240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other comprehensive loss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(4,751)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(48,489,029)</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(25,737,640)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stockholders' equity (deficit)</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158,293,625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(22,481,450)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Pr>
          <w:p>
            <w:pPr>
              <w:ind w:left="200"/>
              <w:spacing w:after="0" w:line="129" w:lineRule="exact"/>
              <w:rPr>
                <w:sz w:val="20"/>
                <w:szCs w:val="20"/>
                <w:color w:val="auto"/>
              </w:rPr>
            </w:pPr>
            <w:r>
              <w:rPr>
                <w:rFonts w:ascii="Arial" w:cs="Arial" w:eastAsia="Arial" w:hAnsi="Arial"/>
                <w:sz w:val="13"/>
                <w:szCs w:val="13"/>
                <w:b w:val="1"/>
                <w:bCs w:val="1"/>
                <w:color w:val="auto"/>
              </w:rPr>
              <w:t>Total liabilities, convertible preferred stock and stockholders' equity (deficit)</w:t>
            </w:r>
          </w:p>
        </w:tc>
        <w:tc>
          <w:tcPr>
            <w:tcW w:w="2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164,042,391</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38,423,018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left="60" w:right="59"/>
        <w:spacing w:after="0" w:line="282" w:lineRule="auto"/>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34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1,890,370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219,088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263,042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6,207,486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4,069,037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18,590,471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10,113,291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2,598,940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5,123,361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8,806,426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4,767,797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23,713,832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12,085,462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(8,543,384)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(4,400,229)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(22,770,314)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(11,246,099)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(8,534,073)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(4,399,079)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(22,751,389)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(11,203,961)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basic and diluted</w:t>
            </w:r>
          </w:p>
        </w:tc>
        <w:tc>
          <w:tcPr>
            <w:tcW w:w="2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1"/>
              </w:rPr>
              <w:t>Weighted-average common shares outstanding, basic</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18,286,352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4,950,129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9,445,862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4,950,129</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from marketable securities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(8,538,824)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(4,399,079)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(22,756,140)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(11,203,961)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IMMUNEERING CORPORATION</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ind w:left="4660"/>
        <w:spacing w:after="0" w:line="219" w:lineRule="auto"/>
        <w:rPr>
          <w:sz w:val="20"/>
          <w:szCs w:val="20"/>
          <w:color w:val="auto"/>
        </w:rPr>
      </w:pPr>
      <w:r>
        <w:rPr>
          <w:rFonts w:ascii="Arial" w:cs="Arial" w:eastAsia="Arial" w:hAnsi="Arial"/>
          <w:sz w:val="18"/>
          <w:szCs w:val="18"/>
          <w:b w:val="1"/>
          <w:bCs w:val="1"/>
          <w:color w:val="auto"/>
        </w:rPr>
        <w:t>(DEFICIT)</w:t>
      </w:r>
    </w:p>
    <w:p>
      <w:pPr>
        <w:ind w:left="4640"/>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0"/>
                <w:szCs w:val="10"/>
                <w:b w:val="1"/>
                <w:bCs w:val="1"/>
                <w:color w:val="auto"/>
              </w:rPr>
              <w:t>Convertible Preferred Stock</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7"/>
          </w:tcPr>
          <w:p>
            <w:pPr>
              <w:ind w:left="100"/>
              <w:spacing w:after="0"/>
              <w:rPr>
                <w:sz w:val="20"/>
                <w:szCs w:val="20"/>
                <w:color w:val="auto"/>
              </w:rPr>
            </w:pPr>
            <w:r>
              <w:rPr>
                <w:rFonts w:ascii="Arial" w:cs="Arial" w:eastAsia="Arial" w:hAnsi="Arial"/>
                <w:sz w:val="10"/>
                <w:szCs w:val="10"/>
                <w:b w:val="1"/>
                <w:bCs w:val="1"/>
                <w:color w:val="auto"/>
              </w:rPr>
              <w:t>Stockholders' Equity (Deficit)</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11"/>
              <w:spacing w:after="0" w:line="112" w:lineRule="exact"/>
              <w:rPr>
                <w:sz w:val="20"/>
                <w:szCs w:val="20"/>
                <w:color w:val="auto"/>
              </w:rPr>
            </w:pPr>
            <w:r>
              <w:rPr>
                <w:rFonts w:ascii="Arial" w:cs="Arial" w:eastAsia="Arial" w:hAnsi="Arial"/>
                <w:sz w:val="10"/>
                <w:szCs w:val="10"/>
                <w:b w:val="1"/>
                <w:bCs w:val="1"/>
                <w:color w:val="auto"/>
                <w:w w:val="91"/>
              </w:rPr>
              <w:t>Total</w:t>
            </w:r>
          </w:p>
        </w:tc>
        <w:tc>
          <w:tcPr>
            <w:tcW w:w="16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b w:val="1"/>
                <w:bCs w:val="1"/>
                <w:color w:val="auto"/>
                <w:w w:val="93"/>
              </w:rPr>
              <w:t>Additional</w:t>
            </w:r>
          </w:p>
        </w:tc>
        <w:tc>
          <w:tcPr>
            <w:tcW w:w="880" w:type="dxa"/>
            <w:vAlign w:val="bottom"/>
            <w:gridSpan w:val="3"/>
          </w:tcPr>
          <w:p>
            <w:pPr>
              <w:jc w:val="center"/>
              <w:ind w:left="31"/>
              <w:spacing w:after="0" w:line="112" w:lineRule="exact"/>
              <w:rPr>
                <w:sz w:val="20"/>
                <w:szCs w:val="20"/>
                <w:color w:val="auto"/>
              </w:rPr>
            </w:pPr>
            <w:r>
              <w:rPr>
                <w:rFonts w:ascii="Arial" w:cs="Arial" w:eastAsia="Arial" w:hAnsi="Arial"/>
                <w:sz w:val="10"/>
                <w:szCs w:val="10"/>
                <w:b w:val="1"/>
                <w:bCs w:val="1"/>
                <w:color w:val="auto"/>
                <w:w w:val="88"/>
              </w:rPr>
              <w:t>Accumulated other</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71"/>
              <w:spacing w:after="0" w:line="112" w:lineRule="exact"/>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6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84"/>
              </w:rPr>
              <w:t>Series B</w:t>
            </w:r>
          </w:p>
        </w:tc>
        <w:tc>
          <w:tcPr>
            <w:tcW w:w="1160" w:type="dxa"/>
            <w:vAlign w:val="bottom"/>
            <w:gridSpan w:val="3"/>
          </w:tcPr>
          <w:p>
            <w:pPr>
              <w:jc w:val="right"/>
              <w:ind w:right="351"/>
              <w:spacing w:after="0"/>
              <w:rPr>
                <w:sz w:val="20"/>
                <w:szCs w:val="20"/>
                <w:color w:val="auto"/>
              </w:rPr>
            </w:pPr>
            <w:r>
              <w:rPr>
                <w:rFonts w:ascii="Arial" w:cs="Arial" w:eastAsia="Arial" w:hAnsi="Arial"/>
                <w:sz w:val="10"/>
                <w:szCs w:val="10"/>
                <w:b w:val="1"/>
                <w:bCs w:val="1"/>
                <w:color w:val="auto"/>
              </w:rPr>
              <w:t>Series A</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0"/>
              </w:rPr>
              <w:t>Convertible</w:t>
            </w:r>
          </w:p>
        </w:tc>
        <w:tc>
          <w:tcPr>
            <w:tcW w:w="1100" w:type="dxa"/>
            <w:vAlign w:val="bottom"/>
            <w:gridSpan w:val="4"/>
          </w:tcPr>
          <w:p>
            <w:pPr>
              <w:jc w:val="right"/>
              <w:ind w:right="11"/>
              <w:spacing w:after="0"/>
              <w:rPr>
                <w:sz w:val="20"/>
                <w:szCs w:val="20"/>
                <w:color w:val="auto"/>
              </w:rPr>
            </w:pPr>
            <w:r>
              <w:rPr>
                <w:rFonts w:ascii="Arial" w:cs="Arial" w:eastAsia="Arial" w:hAnsi="Arial"/>
                <w:sz w:val="10"/>
                <w:szCs w:val="10"/>
                <w:b w:val="1"/>
                <w:bCs w:val="1"/>
                <w:color w:val="auto"/>
                <w:w w:val="90"/>
              </w:rPr>
              <w:t>Class A Common Stock</w:t>
            </w:r>
          </w:p>
        </w:tc>
        <w:tc>
          <w:tcPr>
            <w:tcW w:w="1100" w:type="dxa"/>
            <w:vAlign w:val="bottom"/>
            <w:gridSpan w:val="6"/>
          </w:tcPr>
          <w:p>
            <w:pPr>
              <w:ind w:left="80"/>
              <w:spacing w:after="0"/>
              <w:rPr>
                <w:sz w:val="20"/>
                <w:szCs w:val="20"/>
                <w:color w:val="auto"/>
              </w:rPr>
            </w:pPr>
            <w:r>
              <w:rPr>
                <w:rFonts w:ascii="Arial" w:cs="Arial" w:eastAsia="Arial" w:hAnsi="Arial"/>
                <w:sz w:val="10"/>
                <w:szCs w:val="10"/>
                <w:b w:val="1"/>
                <w:bCs w:val="1"/>
                <w:color w:val="auto"/>
                <w:w w:val="88"/>
              </w:rPr>
              <w:t>Class B Common Stock</w:t>
            </w:r>
          </w:p>
        </w:tc>
        <w:tc>
          <w:tcPr>
            <w:tcW w:w="40" w:type="dxa"/>
            <w:vAlign w:val="bottom"/>
          </w:tcPr>
          <w:p>
            <w:pPr>
              <w:spacing w:after="0"/>
              <w:rPr>
                <w:sz w:val="10"/>
                <w:szCs w:val="10"/>
                <w:color w:val="auto"/>
              </w:rPr>
            </w:pPr>
          </w:p>
        </w:tc>
        <w:tc>
          <w:tcPr>
            <w:tcW w:w="520" w:type="dxa"/>
            <w:vAlign w:val="bottom"/>
          </w:tcPr>
          <w:p>
            <w:pPr>
              <w:jc w:val="right"/>
              <w:ind w:right="51"/>
              <w:spacing w:after="0"/>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11"/>
              <w:spacing w:after="0"/>
              <w:rPr>
                <w:sz w:val="20"/>
                <w:szCs w:val="20"/>
                <w:color w:val="auto"/>
              </w:rPr>
            </w:pPr>
            <w:r>
              <w:rPr>
                <w:rFonts w:ascii="Arial" w:cs="Arial" w:eastAsia="Arial" w:hAnsi="Arial"/>
                <w:sz w:val="10"/>
                <w:szCs w:val="10"/>
                <w:b w:val="1"/>
                <w:bCs w:val="1"/>
                <w:color w:val="auto"/>
                <w:w w:val="87"/>
              </w:rPr>
              <w:t>comprehensive</w:t>
            </w:r>
          </w:p>
        </w:tc>
        <w:tc>
          <w:tcPr>
            <w:tcW w:w="8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9"/>
              </w:rPr>
              <w:t>Accumulated</w:t>
            </w:r>
          </w:p>
        </w:tc>
        <w:tc>
          <w:tcPr>
            <w:tcW w:w="8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Arial" w:cs="Arial" w:eastAsia="Arial" w:hAnsi="Arial"/>
                <w:sz w:val="10"/>
                <w:szCs w:val="10"/>
                <w:b w:val="1"/>
                <w:bCs w:val="1"/>
                <w:color w:val="auto"/>
                <w:w w:val="91"/>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w w:val="95"/>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52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88"/>
              </w:rPr>
              <w:t>Preferred Stock</w:t>
            </w:r>
          </w:p>
        </w:tc>
        <w:tc>
          <w:tcPr>
            <w:tcW w:w="54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2"/>
              </w:rPr>
              <w:t>Par Value</w:t>
            </w:r>
          </w:p>
        </w:tc>
        <w:tc>
          <w:tcPr>
            <w:tcW w:w="80" w:type="dxa"/>
            <w:vAlign w:val="bottom"/>
          </w:tcPr>
          <w:p>
            <w:pPr>
              <w:spacing w:after="0"/>
              <w:rPr>
                <w:sz w:val="10"/>
                <w:szCs w:val="10"/>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6"/>
              </w:rPr>
              <w:t>Par Value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51"/>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11"/>
              <w:spacing w:after="0"/>
              <w:rPr>
                <w:sz w:val="20"/>
                <w:szCs w:val="20"/>
                <w:color w:val="auto"/>
              </w:rPr>
            </w:pPr>
            <w:r>
              <w:rPr>
                <w:rFonts w:ascii="Arial" w:cs="Arial" w:eastAsia="Arial" w:hAnsi="Arial"/>
                <w:sz w:val="10"/>
                <w:szCs w:val="10"/>
                <w:b w:val="1"/>
                <w:bCs w:val="1"/>
                <w:color w:val="auto"/>
                <w:w w:val="79"/>
              </w:rPr>
              <w:t>loss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11"/>
              <w:spacing w:after="0"/>
              <w:rPr>
                <w:sz w:val="20"/>
                <w:szCs w:val="20"/>
                <w:color w:val="auto"/>
              </w:rPr>
            </w:pPr>
            <w:r>
              <w:rPr>
                <w:rFonts w:ascii="Arial" w:cs="Arial" w:eastAsia="Arial" w:hAnsi="Arial"/>
                <w:sz w:val="10"/>
                <w:szCs w:val="10"/>
                <w:b w:val="1"/>
                <w:bCs w:val="1"/>
                <w:color w:val="auto"/>
              </w:rPr>
              <w:t>Deficit</w:t>
            </w:r>
          </w:p>
        </w:tc>
        <w:tc>
          <w:tcPr>
            <w:tcW w:w="740" w:type="dxa"/>
            <w:vAlign w:val="bottom"/>
            <w:gridSpan w:val="4"/>
          </w:tcPr>
          <w:p>
            <w:pPr>
              <w:ind w:left="80"/>
              <w:spacing w:after="0"/>
              <w:rPr>
                <w:sz w:val="20"/>
                <w:szCs w:val="20"/>
                <w:color w:val="auto"/>
              </w:rPr>
            </w:pPr>
            <w:r>
              <w:rPr>
                <w:rFonts w:ascii="Arial" w:cs="Arial" w:eastAsia="Arial" w:hAnsi="Arial"/>
                <w:sz w:val="10"/>
                <w:szCs w:val="10"/>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2019</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1,966,043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99"/>
              </w:rPr>
              <w:t>$ 16,611,832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16,611,832</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4,950,129</w:t>
            </w:r>
          </w:p>
        </w:tc>
        <w:tc>
          <w:tcPr>
            <w:tcW w:w="220" w:type="dxa"/>
            <w:vAlign w:val="bottom"/>
            <w:gridSpan w:val="2"/>
            <w:shd w:val="clear" w:color="auto" w:fill="CCEEFF"/>
          </w:tcPr>
          <w:p>
            <w:pPr>
              <w:jc w:val="right"/>
              <w:ind w:right="63"/>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jc w:val="right"/>
              <w:ind w:right="43"/>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94"/>
              </w:rPr>
              <w:t>$ 2,164,471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(8,697,742)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(6,528,321)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w w:val="92"/>
              </w:rPr>
              <w:t>Issuance of Series A convertible preferred stock,</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net of issuance costs</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529,890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4,508,108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4,508,108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272,143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272,143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(3,200,720)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(3,200,720)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Balance at March 31, 2020</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2,495,933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21,119,940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21,119,940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4,950,129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2,436,614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(11,898,462)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(9,456,898)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287,554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287,554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(3,604,162)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(3,604,162)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Balance at June 30, 2020</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2,495,933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21,119,940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21,119,940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4,950,129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2,724,168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(15,502,624)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(12,773,506)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310,465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310,465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4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(4,399,079)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(4,399,079)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Balance at September 30, 2020</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w w:val="99"/>
              </w:rPr>
              <w:t>—</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2,495,933</w:t>
            </w: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5"/>
              </w:rPr>
              <w:t>$ 21,119,940</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21,119,940</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4,950,129</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4,950</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w w:val="99"/>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6"/>
              </w:rPr>
              <w:t>$ 3,034,633</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0"/>
                <w:szCs w:val="10"/>
                <w:color w:val="auto"/>
                <w:w w:val="99"/>
              </w:rPr>
              <w:t>—</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1"/>
              </w:rPr>
              <w:t>(19,901,703)</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1"/>
              </w:rPr>
              <w:t>(16,862,120)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25"/>
        </w:trPr>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6"/>
          </w:tcPr>
          <w:p>
            <w:pPr>
              <w:ind w:left="440"/>
              <w:spacing w:after="0"/>
              <w:rPr>
                <w:sz w:val="20"/>
                <w:szCs w:val="20"/>
                <w:color w:val="auto"/>
              </w:rPr>
            </w:pPr>
            <w:r>
              <w:rPr>
                <w:rFonts w:ascii="Arial" w:cs="Arial" w:eastAsia="Arial" w:hAnsi="Arial"/>
                <w:sz w:val="10"/>
                <w:szCs w:val="10"/>
                <w:b w:val="1"/>
                <w:bCs w:val="1"/>
                <w:color w:val="auto"/>
              </w:rPr>
              <w:t>Convertible Preferred Stock</w:t>
            </w: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6"/>
          </w:tcPr>
          <w:p>
            <w:pPr>
              <w:ind w:left="260"/>
              <w:spacing w:after="0"/>
              <w:rPr>
                <w:sz w:val="20"/>
                <w:szCs w:val="20"/>
                <w:color w:val="auto"/>
              </w:rPr>
            </w:pPr>
            <w:r>
              <w:rPr>
                <w:rFonts w:ascii="Arial" w:cs="Arial" w:eastAsia="Arial" w:hAnsi="Arial"/>
                <w:sz w:val="10"/>
                <w:szCs w:val="10"/>
                <w:b w:val="1"/>
                <w:bCs w:val="1"/>
                <w:color w:val="auto"/>
              </w:rPr>
              <w:t>Stockholders' Equity (Deficit)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1"/>
        </w:trPr>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1"/>
              </w:rPr>
              <w:t>Total</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9"/>
              </w:rPr>
              <w:t>Additional</w:t>
            </w:r>
          </w:p>
        </w:tc>
        <w:tc>
          <w:tcPr>
            <w:tcW w:w="960" w:type="dxa"/>
            <w:vAlign w:val="bottom"/>
            <w:gridSpan w:val="3"/>
          </w:tcPr>
          <w:p>
            <w:pPr>
              <w:jc w:val="center"/>
              <w:spacing w:after="0" w:line="112" w:lineRule="exact"/>
              <w:rPr>
                <w:sz w:val="20"/>
                <w:szCs w:val="20"/>
                <w:color w:val="auto"/>
              </w:rPr>
            </w:pPr>
            <w:r>
              <w:rPr>
                <w:rFonts w:ascii="Arial" w:cs="Arial" w:eastAsia="Arial" w:hAnsi="Arial"/>
                <w:sz w:val="10"/>
                <w:szCs w:val="10"/>
                <w:b w:val="1"/>
                <w:bCs w:val="1"/>
                <w:color w:val="auto"/>
                <w:w w:val="90"/>
              </w:rPr>
              <w:t>Accumulated other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3"/>
              </w:rPr>
              <w:t>Total</w:t>
            </w:r>
          </w:p>
        </w:tc>
        <w:tc>
          <w:tcPr>
            <w:tcW w:w="20" w:type="dxa"/>
            <w:vAlign w:val="bottom"/>
          </w:tcPr>
          <w:p>
            <w:pPr>
              <w:spacing w:after="0"/>
              <w:rPr>
                <w:sz w:val="9"/>
                <w:szCs w:val="9"/>
                <w:color w:val="auto"/>
              </w:rPr>
            </w:pPr>
          </w:p>
        </w:tc>
      </w:tr>
      <w:tr>
        <w:trPr>
          <w:trHeight w:val="125"/>
        </w:trPr>
        <w:tc>
          <w:tcPr>
            <w:tcW w:w="400" w:type="dxa"/>
            <w:vAlign w:val="bottom"/>
          </w:tcPr>
          <w:p>
            <w:pPr>
              <w:spacing w:after="0"/>
              <w:rPr>
                <w:sz w:val="10"/>
                <w:szCs w:val="10"/>
                <w:color w:val="auto"/>
              </w:rPr>
            </w:pPr>
          </w:p>
        </w:tc>
        <w:tc>
          <w:tcPr>
            <w:tcW w:w="840" w:type="dxa"/>
            <w:vAlign w:val="bottom"/>
            <w:gridSpan w:val="4"/>
          </w:tcPr>
          <w:p>
            <w:pPr>
              <w:spacing w:after="0"/>
              <w:rPr>
                <w:sz w:val="20"/>
                <w:szCs w:val="20"/>
                <w:color w:val="auto"/>
              </w:rPr>
            </w:pPr>
            <w:r>
              <w:rPr>
                <w:rFonts w:ascii="Arial" w:cs="Arial" w:eastAsia="Arial" w:hAnsi="Arial"/>
                <w:sz w:val="10"/>
                <w:szCs w:val="10"/>
                <w:b w:val="1"/>
                <w:bCs w:val="1"/>
                <w:color w:val="auto"/>
              </w:rPr>
              <w:t>Series B</w:t>
            </w:r>
          </w:p>
        </w:tc>
        <w:tc>
          <w:tcPr>
            <w:tcW w:w="420" w:type="dxa"/>
            <w:vAlign w:val="bottom"/>
          </w:tcPr>
          <w:p>
            <w:pPr>
              <w:spacing w:after="0"/>
              <w:rPr>
                <w:sz w:val="10"/>
                <w:szCs w:val="10"/>
                <w:color w:val="auto"/>
              </w:rPr>
            </w:pP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Series A</w:t>
            </w:r>
          </w:p>
        </w:tc>
        <w:tc>
          <w:tcPr>
            <w:tcW w:w="8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0"/>
              </w:rPr>
              <w:t>Convertible</w:t>
            </w:r>
          </w:p>
        </w:tc>
        <w:tc>
          <w:tcPr>
            <w:tcW w:w="1100" w:type="dxa"/>
            <w:vAlign w:val="bottom"/>
            <w:gridSpan w:val="3"/>
          </w:tcPr>
          <w:p>
            <w:pPr>
              <w:ind w:left="40"/>
              <w:spacing w:after="0"/>
              <w:rPr>
                <w:sz w:val="20"/>
                <w:szCs w:val="20"/>
                <w:color w:val="auto"/>
              </w:rPr>
            </w:pPr>
            <w:r>
              <w:rPr>
                <w:rFonts w:ascii="Arial" w:cs="Arial" w:eastAsia="Arial" w:hAnsi="Arial"/>
                <w:sz w:val="10"/>
                <w:szCs w:val="10"/>
                <w:b w:val="1"/>
                <w:bCs w:val="1"/>
                <w:color w:val="auto"/>
                <w:w w:val="92"/>
              </w:rPr>
              <w:t>Class A Common Stock</w:t>
            </w:r>
          </w:p>
        </w:tc>
        <w:tc>
          <w:tcPr>
            <w:tcW w:w="1140" w:type="dxa"/>
            <w:vAlign w:val="bottom"/>
            <w:gridSpan w:val="5"/>
          </w:tcPr>
          <w:p>
            <w:pPr>
              <w:ind w:left="80"/>
              <w:spacing w:after="0"/>
              <w:rPr>
                <w:sz w:val="20"/>
                <w:szCs w:val="20"/>
                <w:color w:val="auto"/>
              </w:rPr>
            </w:pPr>
            <w:r>
              <w:rPr>
                <w:rFonts w:ascii="Arial" w:cs="Arial" w:eastAsia="Arial" w:hAnsi="Arial"/>
                <w:sz w:val="10"/>
                <w:szCs w:val="10"/>
                <w:b w:val="1"/>
                <w:bCs w:val="1"/>
                <w:color w:val="auto"/>
                <w:w w:val="92"/>
              </w:rPr>
              <w:t>Class B Common Stock</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5"/>
              </w:rPr>
              <w:t>Paid-In</w:t>
            </w:r>
          </w:p>
        </w:tc>
        <w:tc>
          <w:tcPr>
            <w:tcW w:w="80" w:type="dxa"/>
            <w:vAlign w:val="bottom"/>
          </w:tcPr>
          <w:p>
            <w:pPr>
              <w:spacing w:after="0"/>
              <w:rPr>
                <w:sz w:val="10"/>
                <w:szCs w:val="10"/>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comprehensive</w:t>
            </w:r>
          </w:p>
        </w:tc>
        <w:tc>
          <w:tcPr>
            <w:tcW w:w="6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Accumulated</w:t>
            </w:r>
          </w:p>
        </w:tc>
        <w:tc>
          <w:tcPr>
            <w:tcW w:w="6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Stockholders'</w:t>
            </w:r>
          </w:p>
        </w:tc>
      </w:tr>
      <w:tr>
        <w:trPr>
          <w:trHeight w:val="115"/>
        </w:trPr>
        <w:tc>
          <w:tcPr>
            <w:tcW w:w="40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w w:val="83"/>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w w:val="83"/>
              </w:rPr>
              <w:t>Shares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8"/>
              </w:rPr>
              <w:t>Preferred Stock</w:t>
            </w:r>
          </w:p>
        </w:tc>
        <w:tc>
          <w:tcPr>
            <w:tcW w:w="64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92"/>
              </w:rPr>
              <w:t>Par Value</w:t>
            </w:r>
          </w:p>
        </w:tc>
        <w:tc>
          <w:tcPr>
            <w:tcW w:w="80" w:type="dxa"/>
            <w:vAlign w:val="bottom"/>
          </w:tcPr>
          <w:p>
            <w:pPr>
              <w:spacing w:after="0"/>
              <w:rPr>
                <w:sz w:val="10"/>
                <w:szCs w:val="10"/>
                <w:color w:val="auto"/>
              </w:rPr>
            </w:pPr>
          </w:p>
        </w:tc>
        <w:tc>
          <w:tcPr>
            <w:tcW w:w="50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96"/>
              </w:rPr>
              <w:t>Par Value</w:t>
            </w: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0"/>
                <w:szCs w:val="10"/>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77"/>
              </w:rPr>
              <w:t>loss</w:t>
            </w:r>
          </w:p>
        </w:tc>
        <w:tc>
          <w:tcPr>
            <w:tcW w:w="6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Deficit</w:t>
            </w:r>
          </w:p>
        </w:tc>
        <w:tc>
          <w:tcPr>
            <w:tcW w:w="6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Equity (Deficit)</w:t>
            </w:r>
          </w:p>
        </w:tc>
      </w:tr>
      <w:tr>
        <w:trPr>
          <w:trHeight w:val="20"/>
        </w:trPr>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sectPr>
          <w:pgSz w:w="11900" w:h="16838" w:orient="portrait"/>
          <w:cols w:equalWidth="0" w:num="1">
            <w:col w:w="10220"/>
          </w:cols>
          <w:pgMar w:left="840" w:top="517" w:right="839" w:bottom="1440" w:gutter="0" w:footer="0" w:header="0"/>
        </w:sectPr>
      </w:pPr>
    </w:p>
    <w:tbl>
      <w:tblPr>
        <w:tblLayout w:type="fixed"/>
        <w:tblInd w:w="0" w:type="dxa"/>
        <w:tblCellMar>
          <w:top w:w="0" w:type="dxa"/>
          <w:left w:w="0" w:type="dxa"/>
          <w:bottom w:w="0" w:type="dxa"/>
          <w:right w:w="0" w:type="dxa"/>
        </w:tblCellMar>
      </w:tblPr>
      <w:tr>
        <w:trPr>
          <w:trHeight w:val="126"/>
        </w:trPr>
        <w:tc>
          <w:tcPr>
            <w:tcW w:w="1720" w:type="dxa"/>
            <w:vAlign w:val="bottom"/>
          </w:tcPr>
          <w:p>
            <w:pPr>
              <w:spacing w:after="0"/>
              <w:rPr>
                <w:sz w:val="20"/>
                <w:szCs w:val="20"/>
                <w:color w:val="auto"/>
              </w:rPr>
            </w:pPr>
            <w:r>
              <w:rPr>
                <w:rFonts w:ascii="Arial" w:cs="Arial" w:eastAsia="Arial" w:hAnsi="Arial"/>
                <w:sz w:val="10"/>
                <w:szCs w:val="10"/>
                <w:b w:val="1"/>
                <w:bCs w:val="1"/>
                <w:color w:val="auto"/>
              </w:rPr>
              <w:t>Balance at December 31, 2020</w:t>
            </w:r>
          </w:p>
        </w:tc>
        <w:tc>
          <w:tcPr>
            <w:tcW w:w="480" w:type="dxa"/>
            <w:vAlign w:val="bottom"/>
          </w:tcPr>
          <w:p>
            <w:pPr>
              <w:jc w:val="right"/>
              <w:spacing w:after="0"/>
              <w:rPr>
                <w:sz w:val="20"/>
                <w:szCs w:val="20"/>
                <w:color w:val="auto"/>
              </w:rPr>
            </w:pPr>
            <w:r>
              <w:rPr>
                <w:rFonts w:ascii="Arial" w:cs="Arial" w:eastAsia="Arial" w:hAnsi="Arial"/>
                <w:sz w:val="10"/>
                <w:szCs w:val="10"/>
                <w:color w:val="auto"/>
                <w:w w:val="98"/>
              </w:rPr>
              <w:t>3,619,292</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w w:val="95"/>
              </w:rPr>
              <w:t>36,983,910</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2,495,933</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w w:val="95"/>
              </w:rPr>
              <w:t>21,119,940</w:t>
            </w:r>
          </w:p>
        </w:tc>
        <w:tc>
          <w:tcPr>
            <w:tcW w:w="80" w:type="dxa"/>
            <w:vAlign w:val="bottom"/>
          </w:tcPr>
          <w:p>
            <w:pPr>
              <w:spacing w:after="0"/>
              <w:rPr>
                <w:sz w:val="10"/>
                <w:szCs w:val="10"/>
                <w:color w:val="auto"/>
              </w:rPr>
            </w:pPr>
          </w:p>
        </w:tc>
        <w:tc>
          <w:tcPr>
            <w:tcW w:w="100" w:type="dxa"/>
            <w:vAlign w:val="bottom"/>
            <w:gridSpan w:val="2"/>
          </w:tcPr>
          <w:p>
            <w:pPr>
              <w:jc w:val="right"/>
              <w:ind w:right="54"/>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9"/>
              </w:rPr>
              <w:t>58,103,850</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0"/>
                <w:szCs w:val="10"/>
                <w:color w:val="auto"/>
              </w:rPr>
              <w:t>Net loss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0"/>
                <w:szCs w:val="10"/>
                <w:b w:val="1"/>
                <w:bCs w:val="1"/>
                <w:color w:val="auto"/>
              </w:rPr>
              <w:t>Balance at March 31, 2021</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20" w:type="dxa"/>
            <w:vAlign w:val="bottom"/>
            <w:vMerge w:val="continue"/>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8"/>
              </w:rPr>
              <w:t>3,619,292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5"/>
              </w:rPr>
              <w:t>36,983,910</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2,495,933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5"/>
              </w:rPr>
              <w:t>21,119,940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9"/>
              </w:rPr>
              <w:t>58,103,850</w:t>
            </w: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r>
              <w:rPr>
                <w:rFonts w:ascii="Arial" w:cs="Arial" w:eastAsia="Arial" w:hAnsi="Arial"/>
                <w:sz w:val="10"/>
                <w:szCs w:val="10"/>
                <w:color w:val="auto"/>
              </w:rPr>
              <w:t>Issuance of Series B convertible</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20"/>
                <w:szCs w:val="20"/>
                <w:color w:val="auto"/>
              </w:rPr>
            </w:pPr>
            <w:r>
              <w:rPr>
                <w:rFonts w:ascii="Arial" w:cs="Arial" w:eastAsia="Arial" w:hAnsi="Arial"/>
                <w:sz w:val="10"/>
                <w:szCs w:val="10"/>
                <w:color w:val="auto"/>
              </w:rPr>
              <w:t>preferred stock, net of issuance costs</w:t>
            </w:r>
          </w:p>
        </w:tc>
        <w:tc>
          <w:tcPr>
            <w:tcW w:w="480" w:type="dxa"/>
            <w:vAlign w:val="bottom"/>
          </w:tcPr>
          <w:p>
            <w:pPr>
              <w:jc w:val="right"/>
              <w:spacing w:after="0"/>
              <w:rPr>
                <w:sz w:val="20"/>
                <w:szCs w:val="20"/>
                <w:color w:val="auto"/>
              </w:rPr>
            </w:pPr>
            <w:r>
              <w:rPr>
                <w:rFonts w:ascii="Arial" w:cs="Arial" w:eastAsia="Arial" w:hAnsi="Arial"/>
                <w:sz w:val="10"/>
                <w:szCs w:val="10"/>
                <w:color w:val="auto"/>
                <w:w w:val="98"/>
              </w:rPr>
              <w:t>2,412,853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5"/>
              </w:rPr>
              <w:t>24,788,851</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9"/>
              </w:rPr>
              <w:t>24,788,851</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r>
              <w:rPr>
                <w:rFonts w:ascii="Arial" w:cs="Arial" w:eastAsia="Arial" w:hAnsi="Arial"/>
                <w:sz w:val="10"/>
                <w:szCs w:val="10"/>
                <w:color w:val="auto"/>
                <w:w w:val="92"/>
              </w:rPr>
              <w:t>Issuance of common stock upon exercise</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20"/>
                <w:szCs w:val="20"/>
                <w:color w:val="auto"/>
              </w:rPr>
            </w:pPr>
            <w:r>
              <w:rPr>
                <w:rFonts w:ascii="Arial" w:cs="Arial" w:eastAsia="Arial" w:hAnsi="Arial"/>
                <w:sz w:val="10"/>
                <w:szCs w:val="10"/>
                <w:color w:val="auto"/>
              </w:rPr>
              <w:t>of stock options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r>
              <w:rPr>
                <w:rFonts w:ascii="Arial" w:cs="Arial" w:eastAsia="Arial" w:hAnsi="Arial"/>
                <w:sz w:val="10"/>
                <w:szCs w:val="10"/>
                <w:color w:val="auto"/>
                <w:w w:val="92"/>
              </w:rPr>
              <w:t>Issuance of common stock upon exercise</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20"/>
                <w:szCs w:val="20"/>
                <w:color w:val="auto"/>
              </w:rPr>
            </w:pPr>
            <w:r>
              <w:rPr>
                <w:rFonts w:ascii="Arial" w:cs="Arial" w:eastAsia="Arial" w:hAnsi="Arial"/>
                <w:sz w:val="10"/>
                <w:szCs w:val="10"/>
                <w:color w:val="auto"/>
              </w:rPr>
              <w:t>of warrants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0"/>
                <w:szCs w:val="20"/>
                <w:color w:val="auto"/>
              </w:rPr>
            </w:pPr>
            <w:r>
              <w:rPr>
                <w:rFonts w:ascii="Arial" w:cs="Arial" w:eastAsia="Arial" w:hAnsi="Arial"/>
                <w:sz w:val="10"/>
                <w:szCs w:val="10"/>
                <w:color w:val="auto"/>
              </w:rPr>
              <w:t>Net loss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1720" w:type="dxa"/>
            <w:vAlign w:val="bottom"/>
            <w:vMerge w:val="restart"/>
          </w:tcPr>
          <w:p>
            <w:pPr>
              <w:spacing w:after="0"/>
              <w:rPr>
                <w:sz w:val="20"/>
                <w:szCs w:val="20"/>
                <w:color w:val="auto"/>
              </w:rPr>
            </w:pPr>
            <w:r>
              <w:rPr>
                <w:rFonts w:ascii="Arial" w:cs="Arial" w:eastAsia="Arial" w:hAnsi="Arial"/>
                <w:sz w:val="10"/>
                <w:szCs w:val="10"/>
                <w:b w:val="1"/>
                <w:bCs w:val="1"/>
                <w:color w:val="auto"/>
              </w:rPr>
              <w:t>Balance at June 30, 2021</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6,032,145</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61,772,761</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2,495,933</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21,119,940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82,892,701</w:t>
            </w: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r>
              <w:rPr>
                <w:rFonts w:ascii="Arial" w:cs="Arial" w:eastAsia="Arial" w:hAnsi="Arial"/>
                <w:sz w:val="10"/>
                <w:szCs w:val="10"/>
                <w:color w:val="auto"/>
              </w:rPr>
              <w:t>Conversion of Preferred Stock into</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20"/>
                <w:szCs w:val="20"/>
                <w:color w:val="auto"/>
              </w:rPr>
            </w:pPr>
            <w:r>
              <w:rPr>
                <w:rFonts w:ascii="Arial" w:cs="Arial" w:eastAsia="Arial" w:hAnsi="Arial"/>
                <w:sz w:val="10"/>
                <w:szCs w:val="10"/>
                <w:color w:val="auto"/>
              </w:rPr>
              <w:t>common stock</w:t>
            </w:r>
          </w:p>
        </w:tc>
        <w:tc>
          <w:tcPr>
            <w:tcW w:w="480" w:type="dxa"/>
            <w:vAlign w:val="bottom"/>
          </w:tcPr>
          <w:p>
            <w:pPr>
              <w:jc w:val="right"/>
              <w:spacing w:after="0"/>
              <w:rPr>
                <w:sz w:val="20"/>
                <w:szCs w:val="20"/>
                <w:color w:val="auto"/>
              </w:rPr>
            </w:pPr>
            <w:r>
              <w:rPr>
                <w:rFonts w:ascii="Arial" w:cs="Arial" w:eastAsia="Arial" w:hAnsi="Arial"/>
                <w:sz w:val="10"/>
                <w:szCs w:val="10"/>
                <w:color w:val="auto"/>
                <w:w w:val="89"/>
              </w:rPr>
              <w:t>(6,032,145)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1"/>
              </w:rPr>
              <w:t>(61,772,761)</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(2,495,933)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1"/>
              </w:rPr>
              <w:t>(21,119,940)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5"/>
              </w:rPr>
              <w:t>(82,892,701)</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r>
              <w:rPr>
                <w:rFonts w:ascii="Arial" w:cs="Arial" w:eastAsia="Arial" w:hAnsi="Arial"/>
                <w:sz w:val="10"/>
                <w:szCs w:val="10"/>
                <w:color w:val="auto"/>
                <w:w w:val="92"/>
              </w:rPr>
              <w:t>Issuance of common stock upon exercise</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20"/>
                <w:szCs w:val="20"/>
                <w:color w:val="auto"/>
              </w:rPr>
            </w:pPr>
            <w:r>
              <w:rPr>
                <w:rFonts w:ascii="Arial" w:cs="Arial" w:eastAsia="Arial" w:hAnsi="Arial"/>
                <w:sz w:val="10"/>
                <w:szCs w:val="10"/>
                <w:color w:val="auto"/>
              </w:rPr>
              <w:t>of stock options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r>
              <w:rPr>
                <w:rFonts w:ascii="Arial" w:cs="Arial" w:eastAsia="Arial" w:hAnsi="Arial"/>
                <w:sz w:val="10"/>
                <w:szCs w:val="10"/>
                <w:color w:val="auto"/>
              </w:rPr>
              <w:t>Issuance of common stock upon initial</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20"/>
                <w:szCs w:val="20"/>
                <w:color w:val="auto"/>
              </w:rPr>
            </w:pPr>
            <w:r>
              <w:rPr>
                <w:rFonts w:ascii="Arial" w:cs="Arial" w:eastAsia="Arial" w:hAnsi="Arial"/>
                <w:sz w:val="10"/>
                <w:szCs w:val="10"/>
                <w:color w:val="auto"/>
              </w:rPr>
              <w:t>public offering, net of issuance costs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20"/>
                <w:szCs w:val="20"/>
                <w:color w:val="auto"/>
              </w:rPr>
            </w:pPr>
            <w:r>
              <w:rPr>
                <w:rFonts w:ascii="Arial" w:cs="Arial" w:eastAsia="Arial" w:hAnsi="Arial"/>
                <w:sz w:val="10"/>
                <w:szCs w:val="10"/>
                <w:color w:val="auto"/>
              </w:rPr>
              <w:t>($2,124,317)</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0"/>
                <w:szCs w:val="10"/>
                <w:color w:val="auto"/>
              </w:rPr>
              <w:t>Net loss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0"/>
                <w:szCs w:val="10"/>
                <w:color w:val="auto"/>
              </w:rPr>
              <w:t>Other comprehensive loss</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0"/>
                <w:szCs w:val="10"/>
                <w:b w:val="1"/>
                <w:bCs w:val="1"/>
                <w:color w:val="auto"/>
              </w:rPr>
              <w:t>Balance at September 30, 2021</w:t>
            </w:r>
          </w:p>
        </w:tc>
        <w:tc>
          <w:tcPr>
            <w:tcW w:w="48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2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2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vMerge w:val="continue"/>
          </w:tcPr>
          <w:p>
            <w:pPr>
              <w:spacing w:after="0"/>
              <w:rPr>
                <w:sz w:val="10"/>
                <w:szCs w:val="1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
                <w:szCs w:val="1"/>
                <w:color w:val="auto"/>
                <w:w w:val="42949672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560" w:type="dxa"/>
            <w:vAlign w:val="bottom"/>
          </w:tcPr>
          <w:p>
            <w:pPr>
              <w:jc w:val="right"/>
              <w:spacing w:after="0"/>
              <w:rPr>
                <w:sz w:val="20"/>
                <w:szCs w:val="20"/>
                <w:color w:val="auto"/>
              </w:rPr>
            </w:pPr>
            <w:r>
              <w:rPr>
                <w:rFonts w:ascii="Arial" w:cs="Arial" w:eastAsia="Arial" w:hAnsi="Arial"/>
                <w:sz w:val="10"/>
                <w:szCs w:val="10"/>
                <w:color w:val="auto"/>
              </w:rPr>
              <w:t>4,950,129</w:t>
            </w:r>
          </w:p>
        </w:tc>
        <w:tc>
          <w:tcPr>
            <w:tcW w:w="180" w:type="dxa"/>
            <w:vAlign w:val="bottom"/>
            <w:gridSpan w:val="2"/>
          </w:tcPr>
          <w:p>
            <w:pPr>
              <w:jc w:val="right"/>
              <w:ind w:right="35"/>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4,950</w:t>
            </w:r>
          </w:p>
        </w:tc>
        <w:tc>
          <w:tcPr>
            <w:tcW w:w="80" w:type="dxa"/>
            <w:vAlign w:val="bottom"/>
          </w:tcPr>
          <w:p>
            <w:pPr>
              <w:spacing w:after="0"/>
              <w:rPr>
                <w:sz w:val="10"/>
                <w:szCs w:val="10"/>
                <w:color w:val="auto"/>
              </w:rPr>
            </w:pP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300" w:type="dxa"/>
            <w:vAlign w:val="bottom"/>
            <w:gridSpan w:val="2"/>
          </w:tcPr>
          <w:p>
            <w:pPr>
              <w:jc w:val="right"/>
              <w:ind w:right="135"/>
              <w:spacing w:after="0"/>
              <w:rPr>
                <w:sz w:val="20"/>
                <w:szCs w:val="20"/>
                <w:color w:val="auto"/>
              </w:rPr>
            </w:pPr>
            <w:r>
              <w:rPr>
                <w:rFonts w:ascii="Arial" w:cs="Arial" w:eastAsia="Arial" w:hAnsi="Arial"/>
                <w:sz w:val="10"/>
                <w:szCs w:val="10"/>
                <w:color w:val="auto"/>
              </w:rPr>
              <w:t>$</w:t>
            </w: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3,251,240</w:t>
            </w:r>
          </w:p>
        </w:tc>
        <w:tc>
          <w:tcPr>
            <w:tcW w:w="360" w:type="dxa"/>
            <w:vAlign w:val="bottom"/>
            <w:gridSpan w:val="2"/>
          </w:tcPr>
          <w:p>
            <w:pPr>
              <w:jc w:val="right"/>
              <w:ind w:right="17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w w:val="98"/>
              </w:rPr>
              <w:t>$ (25,737,640)</w:t>
            </w:r>
          </w:p>
        </w:tc>
        <w:tc>
          <w:tcPr>
            <w:tcW w:w="80" w:type="dxa"/>
            <w:vAlign w:val="bottom"/>
          </w:tcPr>
          <w:p>
            <w:pPr>
              <w:spacing w:after="0"/>
              <w:rPr>
                <w:sz w:val="10"/>
                <w:szCs w:val="10"/>
                <w:color w:val="auto"/>
              </w:rPr>
            </w:pPr>
          </w:p>
        </w:tc>
        <w:tc>
          <w:tcPr>
            <w:tcW w:w="80" w:type="dxa"/>
            <w:vAlign w:val="bottom"/>
            <w:gridSpan w:val="2"/>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5"/>
              </w:rPr>
              <w:t>(22,481,450)</w:t>
            </w:r>
          </w:p>
        </w:tc>
      </w:tr>
      <w:tr>
        <w:trPr>
          <w:trHeight w:val="24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182,225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182,225</w:t>
            </w:r>
          </w:p>
        </w:tc>
      </w:tr>
      <w:tr>
        <w:trPr>
          <w:trHeight w:val="24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(6,229,651)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(6,229,651)</w:t>
            </w:r>
          </w:p>
        </w:tc>
      </w:tr>
      <w:tr>
        <w:trPr>
          <w:trHeight w:val="120"/>
        </w:trPr>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18"/>
        </w:trPr>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4,950,129</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4,950</w:t>
            </w:r>
          </w:p>
        </w:tc>
        <w:tc>
          <w:tcPr>
            <w:tcW w:w="80" w:type="dxa"/>
            <w:vAlign w:val="bottom"/>
          </w:tcPr>
          <w:p>
            <w:pPr>
              <w:spacing w:after="0"/>
              <w:rPr>
                <w:sz w:val="10"/>
                <w:szCs w:val="10"/>
                <w:color w:val="auto"/>
              </w:rPr>
            </w:pPr>
          </w:p>
        </w:tc>
        <w:tc>
          <w:tcPr>
            <w:tcW w:w="400" w:type="dxa"/>
            <w:vAlign w:val="bottom"/>
            <w:tcBorders>
              <w:top w:val="single" w:sz="8" w:color="auto"/>
            </w:tcBorders>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3,433,465</w:t>
            </w: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(31,967,291)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(28,528,876)</w:t>
            </w:r>
          </w:p>
        </w:tc>
      </w:tr>
      <w:tr>
        <w:trPr>
          <w:trHeight w:val="36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364"/>
        </w:trPr>
        <w:tc>
          <w:tcPr>
            <w:tcW w:w="560" w:type="dxa"/>
            <w:vAlign w:val="bottom"/>
          </w:tcPr>
          <w:p>
            <w:pPr>
              <w:jc w:val="right"/>
              <w:spacing w:after="0"/>
              <w:rPr>
                <w:sz w:val="20"/>
                <w:szCs w:val="20"/>
                <w:color w:val="auto"/>
              </w:rPr>
            </w:pPr>
            <w:r>
              <w:rPr>
                <w:rFonts w:ascii="Arial" w:cs="Arial" w:eastAsia="Arial" w:hAnsi="Arial"/>
                <w:sz w:val="10"/>
                <w:szCs w:val="10"/>
                <w:color w:val="auto"/>
              </w:rPr>
              <w:t>17,499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24"/>
                <w:szCs w:val="24"/>
                <w:color w:val="auto"/>
              </w:rPr>
            </w:pP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52,609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52,627</w:t>
            </w:r>
          </w:p>
        </w:tc>
      </w:tr>
      <w:tr>
        <w:trPr>
          <w:trHeight w:val="364"/>
        </w:trPr>
        <w:tc>
          <w:tcPr>
            <w:tcW w:w="560" w:type="dxa"/>
            <w:vAlign w:val="bottom"/>
          </w:tcPr>
          <w:p>
            <w:pPr>
              <w:jc w:val="right"/>
              <w:spacing w:after="0"/>
              <w:rPr>
                <w:sz w:val="20"/>
                <w:szCs w:val="20"/>
                <w:color w:val="auto"/>
              </w:rPr>
            </w:pPr>
            <w:r>
              <w:rPr>
                <w:rFonts w:ascii="Arial" w:cs="Arial" w:eastAsia="Arial" w:hAnsi="Arial"/>
                <w:sz w:val="10"/>
                <w:szCs w:val="10"/>
                <w:color w:val="auto"/>
              </w:rPr>
              <w:t>308,308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308</w:t>
            </w:r>
          </w:p>
        </w:tc>
        <w:tc>
          <w:tcPr>
            <w:tcW w:w="80" w:type="dxa"/>
            <w:vAlign w:val="bottom"/>
          </w:tcPr>
          <w:p>
            <w:pPr>
              <w:spacing w:after="0"/>
              <w:rPr>
                <w:sz w:val="24"/>
                <w:szCs w:val="24"/>
                <w:color w:val="auto"/>
              </w:rPr>
            </w:pP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926,817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927,125</w:t>
            </w:r>
          </w:p>
        </w:tc>
      </w:tr>
      <w:tr>
        <w:trPr>
          <w:trHeight w:val="24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351,009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351,009</w:t>
            </w:r>
          </w:p>
        </w:tc>
      </w:tr>
      <w:tr>
        <w:trPr>
          <w:trHeight w:val="242"/>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(7,987,665)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(7,987,665)</w:t>
            </w:r>
          </w:p>
        </w:tc>
      </w:tr>
      <w:tr>
        <w:trPr>
          <w:trHeight w:val="118"/>
        </w:trPr>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5,275,936</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5,276</w:t>
            </w:r>
          </w:p>
        </w:tc>
        <w:tc>
          <w:tcPr>
            <w:tcW w:w="80" w:type="dxa"/>
            <w:vAlign w:val="bottom"/>
          </w:tcPr>
          <w:p>
            <w:pPr>
              <w:spacing w:after="0"/>
              <w:rPr>
                <w:sz w:val="10"/>
                <w:szCs w:val="10"/>
                <w:color w:val="auto"/>
              </w:rPr>
            </w:pPr>
          </w:p>
        </w:tc>
        <w:tc>
          <w:tcPr>
            <w:tcW w:w="400" w:type="dxa"/>
            <w:vAlign w:val="bottom"/>
            <w:tcBorders>
              <w:top w:val="single" w:sz="8" w:color="auto"/>
            </w:tcBorders>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4,763,900</w:t>
            </w: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(39,954,956)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(35,185,780)</w:t>
            </w:r>
          </w:p>
        </w:tc>
      </w:tr>
      <w:tr>
        <w:trPr>
          <w:trHeight w:val="484"/>
        </w:trPr>
        <w:tc>
          <w:tcPr>
            <w:tcW w:w="560" w:type="dxa"/>
            <w:vAlign w:val="bottom"/>
          </w:tcPr>
          <w:p>
            <w:pPr>
              <w:jc w:val="right"/>
              <w:spacing w:after="0"/>
              <w:rPr>
                <w:sz w:val="20"/>
                <w:szCs w:val="20"/>
                <w:color w:val="auto"/>
              </w:rPr>
            </w:pPr>
            <w:r>
              <w:rPr>
                <w:rFonts w:ascii="Arial" w:cs="Arial" w:eastAsia="Arial" w:hAnsi="Arial"/>
                <w:sz w:val="10"/>
                <w:szCs w:val="10"/>
                <w:color w:val="auto"/>
                <w:w w:val="99"/>
              </w:rPr>
              <w:t>11,939,281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11,939</w:t>
            </w:r>
          </w:p>
        </w:tc>
        <w:tc>
          <w:tcPr>
            <w:tcW w:w="80" w:type="dxa"/>
            <w:vAlign w:val="bottom"/>
          </w:tcPr>
          <w:p>
            <w:pPr>
              <w:spacing w:after="0"/>
              <w:rPr>
                <w:sz w:val="24"/>
                <w:szCs w:val="24"/>
                <w:color w:val="auto"/>
              </w:rPr>
            </w:pP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9"/>
              </w:rPr>
              <w:t>82,880,762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82,892,701</w:t>
            </w:r>
          </w:p>
        </w:tc>
      </w:tr>
      <w:tr>
        <w:trPr>
          <w:trHeight w:val="364"/>
        </w:trPr>
        <w:tc>
          <w:tcPr>
            <w:tcW w:w="560" w:type="dxa"/>
            <w:vAlign w:val="bottom"/>
          </w:tcPr>
          <w:p>
            <w:pPr>
              <w:jc w:val="right"/>
              <w:spacing w:after="0"/>
              <w:rPr>
                <w:sz w:val="20"/>
                <w:szCs w:val="20"/>
                <w:color w:val="auto"/>
              </w:rPr>
            </w:pPr>
            <w:r>
              <w:rPr>
                <w:rFonts w:ascii="Arial" w:cs="Arial" w:eastAsia="Arial" w:hAnsi="Arial"/>
                <w:sz w:val="10"/>
                <w:szCs w:val="10"/>
                <w:color w:val="auto"/>
              </w:rPr>
              <w:t>97,847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98</w:t>
            </w:r>
          </w:p>
        </w:tc>
        <w:tc>
          <w:tcPr>
            <w:tcW w:w="80" w:type="dxa"/>
            <w:vAlign w:val="bottom"/>
          </w:tcPr>
          <w:p>
            <w:pPr>
              <w:spacing w:after="0"/>
              <w:rPr>
                <w:sz w:val="24"/>
                <w:szCs w:val="24"/>
                <w:color w:val="auto"/>
              </w:rPr>
            </w:pP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294,191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294,289</w:t>
            </w:r>
          </w:p>
        </w:tc>
      </w:tr>
      <w:tr>
        <w:trPr>
          <w:trHeight w:val="486"/>
        </w:trPr>
        <w:tc>
          <w:tcPr>
            <w:tcW w:w="560" w:type="dxa"/>
            <w:vAlign w:val="bottom"/>
          </w:tcPr>
          <w:p>
            <w:pPr>
              <w:jc w:val="right"/>
              <w:spacing w:after="0"/>
              <w:rPr>
                <w:sz w:val="20"/>
                <w:szCs w:val="20"/>
                <w:color w:val="auto"/>
              </w:rPr>
            </w:pPr>
            <w:r>
              <w:rPr>
                <w:rFonts w:ascii="Arial" w:cs="Arial" w:eastAsia="Arial" w:hAnsi="Arial"/>
                <w:sz w:val="10"/>
                <w:szCs w:val="10"/>
                <w:color w:val="auto"/>
              </w:rPr>
              <w:t>8,625,000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8,625</w:t>
            </w:r>
          </w:p>
        </w:tc>
        <w:tc>
          <w:tcPr>
            <w:tcW w:w="80" w:type="dxa"/>
            <w:vAlign w:val="bottom"/>
          </w:tcPr>
          <w:p>
            <w:pPr>
              <w:spacing w:after="0"/>
              <w:rPr>
                <w:sz w:val="24"/>
                <w:szCs w:val="24"/>
                <w:color w:val="auto"/>
              </w:rPr>
            </w:pP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89"/>
              </w:rPr>
              <w:t>118,185,808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3"/>
              </w:rPr>
              <w:t>118,194,433</w:t>
            </w:r>
          </w:p>
        </w:tc>
      </w:tr>
      <w:tr>
        <w:trPr>
          <w:trHeight w:val="24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636,806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636,806</w:t>
            </w:r>
          </w:p>
        </w:tc>
      </w:tr>
      <w:tr>
        <w:trPr>
          <w:trHeight w:val="24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(8,534,073)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(8,534,073)</w:t>
            </w:r>
          </w:p>
        </w:tc>
      </w:tr>
      <w:tr>
        <w:trPr>
          <w:trHeight w:val="243"/>
        </w:trPr>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0" w:type="dxa"/>
            <w:vAlign w:val="bottom"/>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(4,751)</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(4,751)</w:t>
            </w:r>
          </w:p>
        </w:tc>
      </w:tr>
      <w:tr>
        <w:trPr>
          <w:trHeight w:val="120"/>
        </w:trPr>
        <w:tc>
          <w:tcPr>
            <w:tcW w:w="5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r>
      <w:tr>
        <w:trPr>
          <w:trHeight w:val="115"/>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9"/>
              </w:rPr>
              <w:t>25,938,064</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25,938</w:t>
            </w:r>
          </w:p>
        </w:tc>
        <w:tc>
          <w:tcPr>
            <w:tcW w:w="80" w:type="dxa"/>
            <w:vAlign w:val="bottom"/>
          </w:tcPr>
          <w:p>
            <w:pPr>
              <w:spacing w:after="0"/>
              <w:rPr>
                <w:sz w:val="10"/>
                <w:szCs w:val="10"/>
                <w:color w:val="auto"/>
              </w:rPr>
            </w:pP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89"/>
              </w:rPr>
              <w:t>206,761,467</w:t>
            </w:r>
          </w:p>
        </w:tc>
        <w:tc>
          <w:tcPr>
            <w:tcW w:w="8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(4,751)</w:t>
            </w:r>
          </w:p>
        </w:tc>
        <w:tc>
          <w:tcPr>
            <w:tcW w:w="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89"/>
              </w:rPr>
              <w:t>$ (48,489,029)</w:t>
            </w: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3"/>
              </w:rPr>
              <w:t>158,293,625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-3136900</wp:posOffset>
            </wp:positionV>
            <wp:extent cx="6480810" cy="3120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312039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4920" w:space="160"/>
            <w:col w:w="5140"/>
          </w:cols>
          <w:pgMar w:left="840" w:top="517" w:right="8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CONDENSED CONSOLIDATED STATEMENTS OF CASH FLOWS FOR THE NINE MONTHS ENDED SEPTEMBER 30, 2021 and 2020 (Unaudited)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(22,751,389)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(11,203,961)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 to reconcile to net loss to net cash used in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Right-of-use asset amortization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Stock based compensation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Net amortization of premium (accretion of discount) on marketable securities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decrease 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(decrease) 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314,616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(21,611,892)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(52,760,299)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(52,808,033)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Proceeds from the issuance of Series A preferred stock, net of issuance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Arial" w:cs="Arial" w:eastAsia="Arial" w:hAnsi="Arial"/>
                <w:sz w:val="18"/>
                <w:szCs w:val="18"/>
                <w:color w:val="auto"/>
                <w:w w:val="97"/>
              </w:rPr>
              <w:t>Proceeds from the issuance of Series B preferred stock, net of issuance costs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24,788,851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Proceeds from initial public offering of common stock, net of commissions and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underwriting</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120,318,750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Arial" w:cs="Arial" w:eastAsia="Arial" w:hAnsi="Arial"/>
                <w:sz w:val="18"/>
                <w:szCs w:val="18"/>
                <w:color w:val="auto"/>
              </w:rPr>
              <w:t>Payment of initial public offering costs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(2,124,317)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144,257,324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69,837,399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37,090,151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13,782,175</w:t>
            </w:r>
          </w:p>
        </w:tc>
        <w:tc>
          <w:tcPr>
            <w:tcW w:w="0" w:type="dxa"/>
            <w:vAlign w:val="bottom"/>
          </w:tcPr>
          <w:p>
            <w:pPr>
              <w:spacing w:after="0"/>
              <w:rPr>
                <w:sz w:val="1"/>
                <w:szCs w:val="1"/>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106,927,550</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5,597,415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noncash information:</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Arial" w:cs="Arial" w:eastAsia="Arial" w:hAnsi="Arial"/>
                <w:sz w:val="18"/>
                <w:szCs w:val="18"/>
                <w:color w:val="auto"/>
                <w:w w:val="99"/>
              </w:rPr>
              <w:t>Conversion of convertible Series A and B preferred stock into common stock</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82,892,701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Reclassification of liability for Series A preferred stock</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Immuneering Corporation, a Delaware corporation, (“Immuneering” or the “Company”) was incorporated in 2008. The Company is a biopharmaceutical company with an emerging pipeline focused on improving patient outcomes across a spectrum of debilitating oncologic and neurologic diseases by applying the Company’s deep knowledge of translational bioinformatics to every stage of the drug development process. The Company has more than a decade of experience in translational bioinformatics and generating insights into drug mechanisms of action and patient treatment responses. Building on this experience, the Company developed a disease agnostic platform that enables the Company to utilize human data, novel biology and chemistry, and translational planning to create and advance the Company’s wholly owned pipeline.</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October 30, 2019, Immuneering formed a wholly owned subsidiary, Immuneering Securities Corporation (“ISC”), a Massachusetts securities corporation, for the sole purpose of buying, selling and holding securities on the Company’s behalf. Immuneering and ISC are collectively referred to as “the Company” throughout these condensed consolidated financial statements.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Since inception, the Company has devoted substantially all of its efforts to business planning, service revenue generation, research and development, recruiting management and technical staff, and raising capital. The Company has financed its operations through service revenues, the issuance of convertible debt and the sale of convertible preferred stock and common stock.</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65"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 (see Note 8).</w:t>
      </w:r>
    </w:p>
    <w:p>
      <w:pPr>
        <w:spacing w:after="0" w:line="16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September 30, 2021, the Company had an accumulated deficit of $48,489,029.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considers that there are no conditions or events, in the aggregate, that raise substantial doubt about the entity’s ability to continue as a going concern and estimates that its cash and cash equivalents will be sufficient to fund its operating expenses and capital expenditure requirements for at least 12 months from the issuance date of the interim condensed consolidated financial statements. The full extent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which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subsidiary. All intercompany balances and transactions have been eliminated in consolidation.</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There have been no material changes to the accounting policies of the Company as those set forth in Note 2 to the audited consolidated financial statements contained in the final prospectus, dated July 29, 2021, filed with the SEC on July 30, 2021 pursuant to Rule 424(b) relating to our Registration Statement on Form S-1 (File No. 333-257791) (the “Prospectus”).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2020.</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On July 23, 2021, the Company approved a one-for-1.4 stock split which was consummated in connection with the Company’s IPO. All information in the accompanying financial statements and notes thereto regarding share amounts of common stock, price per share of common stock and the conversion factor for Series A and Series B Preferred Stock into common stock have been adjusted to reflect the application of the stock split on a retroactive basis.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development expenses, determination of fair value of stock-based awards, the valuation of common stock, and the right-to-use assets and operating lease liability. Actual results may differ materially and adversely from these estimates.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2016, the FASB issued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Instruments-Overall, applied on an instrument-by-instrument basis for eligible instruments. ASU No. 2016-13, Financial Instruments - Credit Losses (Topic 326) will become effective for the Company on January 1, 2023. The Company is currently assessing the impact of the adoption of this guidance on its condensed consolidated financial statements.</w:t>
      </w:r>
    </w:p>
    <w:p>
      <w:pPr>
        <w:spacing w:after="0" w:line="19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assessing the impact of the adoption of this guidance on its condensed consolidated financial statements.</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Our marketable securities are classified as available-for-sale pursuant to ASC 320, </w:t>
      </w:r>
      <w:r>
        <w:rPr>
          <w:rFonts w:ascii="Arial" w:cs="Arial" w:eastAsia="Arial" w:hAnsi="Arial"/>
          <w:sz w:val="17"/>
          <w:szCs w:val="17"/>
          <w:i w:val="1"/>
          <w:iCs w:val="1"/>
          <w:color w:val="auto"/>
        </w:rPr>
        <w:t>Investments – Debt and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and are recorded at fair value. Unrealized gains/(losses) are included as a component of accumulated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loss in the condensed consolidated balance sheets and statements of convertible preferred stock and stockholders’ equity (deficit)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and nine months ended September 30, 2021. Realized gains and losses are included in other expense on a specific-identification basis. There were no realized gains or losses on marketable securities for the three and nine months ended September 30, 2021 or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Marketable securities as of September 30, 2021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4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2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10"/>
                <w:szCs w:val="10"/>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0"/>
                <w:szCs w:val="10"/>
                <w:color w:val="auto"/>
              </w:rPr>
            </w:pPr>
          </w:p>
        </w:tc>
        <w:tc>
          <w:tcPr>
            <w:tcW w:w="142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jc w:val="right"/>
              <w:ind w:right="2270"/>
              <w:spacing w:after="0"/>
              <w:rPr>
                <w:sz w:val="20"/>
                <w:szCs w:val="20"/>
                <w:color w:val="auto"/>
              </w:rPr>
            </w:pPr>
            <w:r>
              <w:rPr>
                <w:rFonts w:ascii="Arial" w:cs="Arial" w:eastAsia="Arial" w:hAnsi="Arial"/>
                <w:sz w:val="18"/>
                <w:szCs w:val="18"/>
                <w:b w:val="1"/>
                <w:bCs w:val="1"/>
                <w:color w:val="auto"/>
                <w:w w:val="82"/>
              </w:rPr>
              <w:t>Assets:</w:t>
            </w: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9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jc w:val="right"/>
              <w:ind w:right="155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14,921,282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14,919,583</w:t>
            </w:r>
          </w:p>
        </w:tc>
        <w:tc>
          <w:tcPr>
            <w:tcW w:w="0" w:type="dxa"/>
            <w:vAlign w:val="bottom"/>
          </w:tcPr>
          <w:p>
            <w:pPr>
              <w:spacing w:after="0"/>
              <w:rPr>
                <w:sz w:val="1"/>
                <w:szCs w:val="1"/>
                <w:color w:val="auto"/>
              </w:rPr>
            </w:pPr>
          </w:p>
        </w:tc>
      </w:tr>
      <w:tr>
        <w:trPr>
          <w:trHeight w:val="216"/>
        </w:trPr>
        <w:tc>
          <w:tcPr>
            <w:tcW w:w="2920" w:type="dxa"/>
            <w:vAlign w:val="bottom"/>
          </w:tcPr>
          <w:p>
            <w:pPr>
              <w:jc w:val="right"/>
              <w:ind w:right="23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14,643,440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14,643,082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12,986,965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12,987,755</w:t>
            </w:r>
          </w:p>
        </w:tc>
        <w:tc>
          <w:tcPr>
            <w:tcW w:w="0" w:type="dxa"/>
            <w:vAlign w:val="bottom"/>
          </w:tcPr>
          <w:p>
            <w:pPr>
              <w:spacing w:after="0"/>
              <w:rPr>
                <w:sz w:val="1"/>
                <w:szCs w:val="1"/>
                <w:color w:val="auto"/>
              </w:rPr>
            </w:pPr>
          </w:p>
        </w:tc>
      </w:tr>
      <w:tr>
        <w:trPr>
          <w:trHeight w:val="209"/>
        </w:trPr>
        <w:tc>
          <w:tcPr>
            <w:tcW w:w="29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Current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42,551,687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42,550,420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jc w:val="right"/>
              <w:ind w:right="1310"/>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5,500,729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5,498,708</w:t>
            </w:r>
          </w:p>
        </w:tc>
        <w:tc>
          <w:tcPr>
            <w:tcW w:w="0" w:type="dxa"/>
            <w:vAlign w:val="bottom"/>
          </w:tcPr>
          <w:p>
            <w:pPr>
              <w:spacing w:after="0"/>
              <w:rPr>
                <w:sz w:val="1"/>
                <w:szCs w:val="1"/>
                <w:color w:val="auto"/>
              </w:rPr>
            </w:pPr>
          </w:p>
        </w:tc>
      </w:tr>
      <w:tr>
        <w:trPr>
          <w:trHeight w:val="216"/>
        </w:trPr>
        <w:tc>
          <w:tcPr>
            <w:tcW w:w="2920" w:type="dxa"/>
            <w:vAlign w:val="bottom"/>
          </w:tcPr>
          <w:p>
            <w:pPr>
              <w:jc w:val="right"/>
              <w:ind w:right="23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4,601,399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4,599,908</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Total Non-current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10,102,128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10,098,616</w:t>
            </w:r>
          </w:p>
        </w:tc>
        <w:tc>
          <w:tcPr>
            <w:tcW w:w="0" w:type="dxa"/>
            <w:vAlign w:val="bottom"/>
          </w:tcPr>
          <w:p>
            <w:pPr>
              <w:spacing w:after="0"/>
              <w:rPr>
                <w:sz w:val="1"/>
                <w:szCs w:val="1"/>
                <w:color w:val="auto"/>
              </w:rPr>
            </w:pPr>
          </w:p>
        </w:tc>
      </w:tr>
      <w:tr>
        <w:trPr>
          <w:trHeight w:val="209"/>
        </w:trPr>
        <w:tc>
          <w:tcPr>
            <w:tcW w:w="29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52,653,815</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52,649,036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marketable securities as of December 31, 2020.</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assets and liabilities in active markets, quoted prices in markets that are not active,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inputs which are observable, directly or indirectly, for substantially the full term of the asset or liability.</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reflect our own assumptions about the assumptions market participants would use in</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the asset or liability in which there is little, if any, market activity for the asset or liability at the measurement date.</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September 30,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29,343,849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29,343,849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13,497,775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13,497,775</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29,343,849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13,497,775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42,841,624</w:t>
            </w: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20,418,290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20,418,290</w:t>
            </w: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19,242,991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19,242,991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12,987,755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12,987,755</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20,418,290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32,230,746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52,649,036</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cash equivalents and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49,762,139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45,728,521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95,490,660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validation procedures, we did not adjust or override any fair value measurements provided by the pricing services as of September 30, 2021.</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changes to the valuation methods during the nine months ended September 30, 2021. We have no financial assets or liabilities that were classified as Level 3 at any point during the nine months ended September 30, 2021. There were no marketable securities as of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Property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174,317</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18,798</w:t>
            </w:r>
          </w:p>
        </w:tc>
      </w:tr>
      <w:tr>
        <w:trPr>
          <w:trHeight w:val="210"/>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(159,404)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(128,752)</w:t>
            </w:r>
          </w:p>
        </w:tc>
      </w:tr>
      <w:tr>
        <w:trPr>
          <w:trHeight w:val="210"/>
        </w:trPr>
        <w:tc>
          <w:tcPr>
            <w:tcW w:w="6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64,363</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Depreciation expense totaled $11,978 and $5,656 for the three months ended September 30, 2021 and 2020, respectively.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Depreciation expense totaled $30,652 and $16,879 for the nine months ended September 30, 2021 and 2020, respectively.</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Accrued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10"/>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269,302</w:t>
            </w: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Accrued employee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2,145,969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163,668</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contract research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266,022</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3,388,853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698,992</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Convertible Preferred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September 2019, the Company authorized the sale and issuance of up to 1,987,979 shares of Series A Preferred Stock, $0.001 par value per share, at an original issuance price of $8.5514 per share. In January 2020, the number of shares authorized for the Series A Preferred Stock was increased to 2,495,933 shares. The Series A Preferred Stock financing was structured to be issued in rolling closes during 2019 and 2020.</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September 20, 2019, the Company issued an additional 1,122,458 shares of Series A Preferred Stock for gross cash proceeds of $9,598,847 and issued 785,706 shares of Series A Preferred Stock in conjunction with the conversion of the outstanding amount of the Convertible Notes. In 2019, the Company incurred issuance costs of $200,587 in connection with this offering.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received funds for issuance of an additional 468,315 shares of Series A Preferred Stock for gross cash proceeds of $4,004,975 through December 31, 2019. Of these shares, 410,436 shares of Series A Preferred Stock for gross cash proceeds of $3,509,802 exceeded the authorized amount allowed by the articles of incorporation, resulting in a liability of $3,509,802 and a total of 1,966,043 shares of Series A Preferred Stock outstanding at December 31, 2019. In January 2020, the shares that were previously classified as a liability as of December 31, 2019 were reclassified to temporary equity upon the approved increase to authorized shares of Series A Preferred Stock.</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January 2020, the Company issued 119,454 additional shares of Series A Preferred Stock for gross cash proceeds of $1,021,413. The Company incurred issuance costs of $23,610 in connection with the financing in January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In December 2020, the Company authorized the sale and issuance of up to 6,032,183 shares of Series B Preferred Stock, $0.001 par value per share, at an original issuance price of $10.2782 per share. The Series B Preferred Stock financing was structured to close in two tranches. The first tranche closed in December 2020 and the Company issued 3,619,292 shares of Series B Preferred Stock for gross cash proceeds of $37,199,929. The Company incurred issuance costs of $216,019 in connection with the financing in December 2020.</w:t>
      </w:r>
    </w:p>
    <w:p>
      <w:pPr>
        <w:spacing w:after="0" w:line="1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determined the right of the investors to purchase 2,412,853 shares of Series B Preferred Stock in the second tranche does not meet the definition of a freestanding financial instrument as it is not separable from the Series B Preferred Stock issued in the first tranche. The issuance of the second tranche is subject to the Company meeting certain development milestones or at the election of the holders of at least a majority of the then outstanding shares of Series B Preferred Stock which must include one specific shareholder (the “Requisite Holders”). Each holder of Series B Preferred Stock may elect to purchase their requisite shares of the second tranche at any time. As of March 31, 2021, the Company had not met these development milestones nor did the Requisite Holders elect to purchase the second tranche prior to meeting these milestones and therefore no shares of the second tranche were issued.</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April and May 2021, all 2,412,853 shares of the second tranche of Series B Preferred Stock were issued based on the voluntary election of substantially all of the holders of Series B Preferred Stock. The Company received gross proceeds of $24,799,786. The Company incurred issuance costs of $10,935 in connection with the second tranche of Series B Preferred Stock.</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rights and preferences of the Series A Preferred Stock and Series B Preferred Stock (“Preferred Stock”) are as described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Conversion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Each share of Preferred Stock may be converted at any time, at the option of the holder, into shares of Class A common stock, subject to the applicable conversion rate as determined by dividing the original issue price by the conversion price. The conversion price for the Series A Preferred Stock and Series B Preferred Stock (as may be adjusted for certain customary dilutive events) is $6.1081 and $7.3416, respectively. The Preferred Stock automatically convert into shares of Class A common stock at the then effective conversion rate upon the closing of a public offering of the Company’s securities with gross proceeds to the Company of at least $75,000,000 and a share price of at least $7.3416 or at the election of the holders of the Requisite Holders.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Holders of Series B Preferred Stock that would beneficially own at least 9.9% of any then outstanding class of equity securities may elect to receive a portion of their converted Series B Preferred Stock as Class B common stock upon conversion.</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Upon the closing of the IPO on August 3, 2021, all 8,528,078 shares of the Company’s convertible preferred stock then outstanding automatically converted into 11,939,281 shares of Class A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Preferred Stockholders are entitled to receive per annum dividends of 7% of the original issue price share, payable only when, as and if declared by the Board of Directors. The right to receive these dividends is not cumulative, and therefore, if not declared in any year, the right to receive such dividends shall terminate and not carry forward into the next year. As of September 30, 2021 and December 31, 2020, no dividends had been declared.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Voting Rights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Preferred Stock and common stock vote together as one class on an as converted basis. Common stock voting rights on certain matters are subject to the powers, preferences, and rights of the Preferred Stock. Preferred Stockholders are entitled to vote on all matters and shall have the number of votes equal to the number of shares of common stock into which the shares of Preferred Stock held by such holder are then convertible. As long as 2,132,029 shares of Preferred Stock are outstanding, certain actions such as mergers, acquisition, liquidation, dissolution, wind up of business, and deemed liquidation events, must be approved by the holders of at least a majority of the then-outstanding shares of Preferred Stock.</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Liquidation Preference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Upon liquidation, dissolution, or winding up of business, holders of Preferred Stock are entitled to receive a liquidation preference in priority to holders of common stock at the original respective Preferred Stock issue price for such series. If assets available for distribution are insufficient to satisfy the liquidation payment to holders of Preferred Stock in full, assets available for distribution will be allocated among holders of Preferred Stock on a pari passu basis at an amount per share equal to the greater of the respective original Preferred Stock issue price for such series plus any declared but unpaid dividends or such amount had all shares been converted to common stock.</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When holders of Preferred Stock are satisfied in full, any excess assets available for distribution will be allocated ratably among common stock holders based on their pro rata shareholdings. Upon a deemed liquidation event, as defined in the articles of incorporation, holders have the option to redeem their shares at the liquidation payment amounts summarized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than described above, the shares of Preferred Stock are not redeemable.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Common Stock</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had 200,000,000 authorized shares of Class A common stock, $0.001 par value per share as of September 30, 2021 and 22,026,200 authorized shares of Class A common stock, $0.001 par value per share as of December 31, 2020, respectively, of which 25,938,064 and 4,950,129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2021 and December 31, 2020, the following number of shares of Class A common stock have been reserved: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8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10"/>
        </w:trPr>
        <w:tc>
          <w:tcPr>
            <w:tcW w:w="6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A Preferred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3,494,284</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Conversion of Series B Preferred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5,066,995</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common stock warrants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308,308</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 of common stock options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2,763,245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1,801,263</w:t>
            </w:r>
          </w:p>
        </w:tc>
      </w:tr>
      <w:tr>
        <w:trPr>
          <w:trHeight w:val="209"/>
        </w:trPr>
        <w:tc>
          <w:tcPr>
            <w:tcW w:w="68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2,763,245</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10,670,850</w:t>
            </w:r>
          </w:p>
        </w:tc>
      </w:tr>
      <w:tr>
        <w:trPr>
          <w:trHeight w:val="20"/>
        </w:trPr>
        <w:tc>
          <w:tcPr>
            <w:tcW w:w="6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had 20,000,000 authorized shares of Class B common stock, $0.001 par value per share as of September 30, 2021 and 6,032,183 authorized shares of Class B common stock, $0.001 par value per share as of December 31, 2020,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During 2019, the Company issued warrants to purchase an aggregate of 308,308 shares of Class A common stock at an exercise price of $3.01 per share to several advisors, including 200,984 shares to entities related to members of the Board of Directors of the Company, in lieu of cash payments. These warrants vested immediately upon issuance, became exercisable on January 9, 2021 and have a 10-year term set to expire on January 9, 2030. The Company evaluated the terms of these warrants and determined that equity classification was appropriate. As of December 31, 2020, no warrants had been exercised. During June 2021, all warrant holders exercised their warrants to purchase an aggregate of 308,308 shares of common stock. As of September 30, 2021, there were no warrants outstanding.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28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and (ii) authorize 10,000,000 shares of Preferred Stock; and (iii) authorize the Board to establish the rights, preferences and restrictions on any unissued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Net Loss Per Share Attributable to Common Stockholders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participating securities include the Company’s Preferred Stock, as the holders are entitled to receive noncumulative dividends in the event that a dividend is paid on common stock. The holders of Preferred Stock do not have a contractual obligation to share in losses of the Company, and therefore during periods of loss there is no allocation required under the two-class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at September 30, 2021 and 2020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36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(8,534,073)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(4,399,079)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(22,751,389)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(11,203,961)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Denominator - basic and diluted: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80"/>
              <w:spacing w:after="0" w:line="201" w:lineRule="exact"/>
              <w:rPr>
                <w:sz w:val="20"/>
                <w:szCs w:val="20"/>
                <w:color w:val="auto"/>
              </w:rPr>
            </w:pPr>
            <w:r>
              <w:rPr>
                <w:rFonts w:ascii="Arial" w:cs="Arial" w:eastAsia="Arial" w:hAnsi="Arial"/>
                <w:sz w:val="18"/>
                <w:szCs w:val="18"/>
                <w:color w:val="auto"/>
                <w:w w:val="90"/>
              </w:rPr>
              <w:t>Weighted-average common shares outstanding, basic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diluted</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18,286,352</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4,950,129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9,445,862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 at September 30, 2021 and 2020:</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Series B Preferred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2,763,245</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2,154,238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shares of common stock equivalents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2,763,245</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5,956,852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September 30, 2021, the maximum number of shares available for issuance under the Incentive Plan was 2,825,173 shares. As of September 30, 2021, the number of shares available for future grants under the Incentive Plan was 137,950 shares. However, from and after the effectiveness of the Company’s 2021 Incentive Award Plan, no additional awards will be granted under the Incentive Plan.</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is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September 30, 2021, there were 2,397,232 shares available for future issuance under the 2021 Plan.</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September 30, 2021, no shares had been issued under the 2021 ESPP.</w:t>
      </w:r>
    </w:p>
    <w:p>
      <w:pPr>
        <w:spacing w:after="0" w:line="181"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During the three and nine months ended September 30, 2021, the Company recognized stock-based compensation expense of $636,806 and $1,170,040, respectively. During the three and nine months ended September 30, 2020, the Company recognized stock-based compensation expense of $310,465 and $870,162, respectively. As of September 30, 2021, compensation expense remaining to be recognized for outstanding stock options was $7,990,487 and to be recognized over a weighted-average period of 3.07 years.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7"/>
          <w:szCs w:val="17"/>
          <w:color w:val="auto"/>
        </w:rPr>
        <w:t xml:space="preserve">The fair value of options granted is calculated on the grant date using the Black-Scholes option valuation model. </w:t>
      </w:r>
      <w:r>
        <w:rPr>
          <w:rFonts w:ascii="Arial" w:cs="Arial" w:eastAsia="Arial" w:hAnsi="Arial"/>
          <w:sz w:val="16"/>
          <w:szCs w:val="16"/>
          <w:color w:val="auto"/>
        </w:rPr>
        <w:t>The</w:t>
      </w:r>
      <w:r>
        <w:rPr>
          <w:rFonts w:ascii="Arial" w:cs="Arial" w:eastAsia="Arial" w:hAnsi="Arial"/>
          <w:sz w:val="17"/>
          <w:szCs w:val="17"/>
          <w:color w:val="auto"/>
        </w:rPr>
        <w:t xml:space="preserve"> </w:t>
      </w:r>
      <w:r>
        <w:rPr>
          <w:rFonts w:ascii="Arial" w:cs="Arial" w:eastAsia="Arial" w:hAnsi="Arial"/>
          <w:sz w:val="16"/>
          <w:szCs w:val="16"/>
          <w:color w:val="auto"/>
        </w:rPr>
        <w:t>Company historically has been a private company and lacks company-specific historical and implied volatility information. Therefore, it estimates its expected stock volatility based on the historical volatility of a publicly traded set of peer public companies and expects to continue to do so until such time as it has adequate historical data regarding the volatility of its own</w:t>
      </w:r>
    </w:p>
    <w:p>
      <w:pPr>
        <w:spacing w:after="0" w:line="2" w:lineRule="exact"/>
        <w:rPr>
          <w:sz w:val="20"/>
          <w:szCs w:val="20"/>
          <w:color w:val="auto"/>
        </w:rPr>
      </w:pPr>
    </w:p>
    <w:p>
      <w:pPr>
        <w:jc w:val="both"/>
        <w:ind w:left="60" w:right="79"/>
        <w:spacing w:after="0" w:line="280" w:lineRule="auto"/>
        <w:rPr>
          <w:sz w:val="20"/>
          <w:szCs w:val="20"/>
          <w:color w:val="auto"/>
        </w:rPr>
      </w:pPr>
      <w:r>
        <w:rPr>
          <w:rFonts w:ascii="Arial" w:cs="Arial" w:eastAsia="Arial" w:hAnsi="Arial"/>
          <w:sz w:val="17"/>
          <w:szCs w:val="17"/>
          <w:color w:val="auto"/>
        </w:rPr>
        <w:t>traded stock price. For the nine months ended September 30, 2021, the Company granted 1,353,662 shares of stock options at a weighted-average grant date fair value of $9.56. For the nine months ended September 30, 2020, the Company granted 336,626 shares at a weighted-average grant date fair value of $3.02.</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used the following assumptions in its application of the Black-Scholes option pricing model for grants during the nine months ended September 30, 2021 and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38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1"/>
              </w:rPr>
              <w:t>0.885%-1.71%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0.36% - 1.21%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5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5.83 - 10 years</w:t>
            </w:r>
          </w:p>
        </w:tc>
        <w:tc>
          <w:tcPr>
            <w:tcW w:w="1280" w:type="dxa"/>
            <w:vAlign w:val="bottom"/>
          </w:tcPr>
          <w:p>
            <w:pPr>
              <w:ind w:left="100"/>
              <w:spacing w:after="0"/>
              <w:rPr>
                <w:sz w:val="20"/>
                <w:szCs w:val="20"/>
                <w:color w:val="auto"/>
              </w:rPr>
            </w:pPr>
            <w:r>
              <w:rPr>
                <w:rFonts w:ascii="Arial" w:cs="Arial" w:eastAsia="Arial" w:hAnsi="Arial"/>
                <w:sz w:val="18"/>
                <w:szCs w:val="18"/>
                <w:color w:val="auto"/>
                <w:w w:val="96"/>
              </w:rPr>
              <w:t>5.92 - 10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8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volatility</w:t>
            </w:r>
          </w:p>
        </w:tc>
        <w:tc>
          <w:tcPr>
            <w:tcW w:w="386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68.92% - 80.99%</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67.30% - 77.08%</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80" w:type="dxa"/>
            <w:vAlign w:val="bottom"/>
          </w:tcPr>
          <w:p>
            <w:pPr>
              <w:jc w:val="right"/>
              <w:ind w:right="1550"/>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stock option activity during the nine months ended September 30, 2021 under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Plan:</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at of December 31, 2020</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1,801,263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1,353,662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Exercised</w:t>
            </w:r>
          </w:p>
        </w:tc>
        <w:tc>
          <w:tcPr>
            <w:tcW w:w="840" w:type="dxa"/>
            <w:vAlign w:val="bottom"/>
          </w:tcPr>
          <w:p>
            <w:pPr>
              <w:jc w:val="right"/>
              <w:spacing w:after="0"/>
              <w:rPr>
                <w:sz w:val="20"/>
                <w:szCs w:val="20"/>
                <w:color w:val="auto"/>
              </w:rPr>
            </w:pPr>
            <w:r>
              <w:rPr>
                <w:rFonts w:ascii="Arial" w:cs="Arial" w:eastAsia="Arial" w:hAnsi="Arial"/>
                <w:sz w:val="18"/>
                <w:szCs w:val="18"/>
                <w:color w:val="auto"/>
              </w:rPr>
              <w:t>(115,346)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2,763,245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w:t>
            </w:r>
          </w:p>
        </w:tc>
        <w:tc>
          <w:tcPr>
            <w:tcW w:w="1180" w:type="dxa"/>
            <w:vAlign w:val="bottom"/>
          </w:tcPr>
          <w:p>
            <w:pPr>
              <w:jc w:val="right"/>
              <w:spacing w:after="0"/>
              <w:rPr>
                <w:sz w:val="20"/>
                <w:szCs w:val="20"/>
                <w:color w:val="auto"/>
              </w:rPr>
            </w:pPr>
            <w:r>
              <w:rPr>
                <w:rFonts w:ascii="Arial" w:cs="Arial" w:eastAsia="Arial" w:hAnsi="Arial"/>
                <w:sz w:val="18"/>
                <w:szCs w:val="18"/>
                <w:color w:val="auto"/>
              </w:rPr>
              <w:t>$ 56,335,287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Vested and exercisable at September 30, 2021</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1,033,085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w:t>
            </w:r>
          </w:p>
        </w:tc>
        <w:tc>
          <w:tcPr>
            <w:tcW w:w="1180" w:type="dxa"/>
            <w:vAlign w:val="bottom"/>
          </w:tcPr>
          <w:p>
            <w:pPr>
              <w:jc w:val="right"/>
              <w:spacing w:after="0"/>
              <w:rPr>
                <w:sz w:val="20"/>
                <w:szCs w:val="20"/>
                <w:color w:val="auto"/>
              </w:rPr>
            </w:pPr>
            <w:r>
              <w:rPr>
                <w:rFonts w:ascii="Arial" w:cs="Arial" w:eastAsia="Arial" w:hAnsi="Arial"/>
                <w:sz w:val="18"/>
                <w:szCs w:val="18"/>
                <w:color w:val="auto"/>
              </w:rPr>
              <w:t>$ 24,320,512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2,763,245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$ 56,335,287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For the three and nine months ended September 30, 2021 and 2020, the Company recognized share-based compensation expense recognized on the accompanying condensed consolidated statements of operations as follows: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38,507</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83,389</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305,739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130,317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571,359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292,560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152,166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414,531</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636,806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310,465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1,170,040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leases office space in Cambridge, Massachusetts, New York, New York and as of July 2021, San Francisco, California, pursuant to short-term arrangements. The Cambridge and San Francisco leases are on a month-to-month basis, requiring one month’s notice before termination. The New York lease is renewable on a quarterly basis and the last renewal was on August 3, 2021 which extended the lease term until December 31, 2021. These lease agreements include payments for lease and non-lease components and the Company has elected to not separate such components and these payments were recognized as rent expense.</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of September 30, 2021, total future minimum lease payments for its short-term leases in Cambridge, Massachusetts, New York, New York and San Francisco, California was $23,620 due in 2021 and $11,040 due in 2022. The Company leases storage space for its electronic data equipment in Somerville, Massachusetts. This lease is renewable on an annual basis effective every March 1st. Prior to September 30, 2021, the Company renewed the lease through March 31, 2022. As of September 30, 2021, total future minimum lease payments for this lease were $5,354 due in 2021 and $3,569 due in 2022.</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July 2019, the Company entered into an office lease in San Diego, California (“2019 San Diego Lease”) with a lease term of 24 months with no escalations and variable costs based on additional number of employees using the facility. This lease was cancelable upon a 30-day notice period. Upon adoption of ASC 842 on January 1, 2020, a right-to-use asset and lease liability based on the fixed costs was recognized by the Company for $61,822. Effective September 20, 2020, the lease was terminated, and the remaining right-of-use asset and lease liability were derecognized. No gain or loss was recognized for the termination of this lease.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October 2020, the Company entered into an office lease in San Diego, California (“2020 San Diego Lease”) with a lease term of 67 months. At the lease commencement date, a right-to-use asset and lease liability was recognized by the Company for $637,863.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Maturities of the lease liabilities due under the Company’s 2020 San Diego Lease as of September 30, 2021 are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115,430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655,519</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(90,759)</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564,760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Current portion lease liability</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82,795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481,965</w:t>
            </w:r>
          </w:p>
        </w:tc>
        <w:tc>
          <w:tcPr>
            <w:tcW w:w="0" w:type="dxa"/>
            <w:vAlign w:val="bottom"/>
          </w:tcPr>
          <w:p>
            <w:pPr>
              <w:spacing w:after="0"/>
              <w:rPr>
                <w:sz w:val="1"/>
                <w:szCs w:val="1"/>
                <w:color w:val="auto"/>
              </w:rPr>
            </w:pPr>
          </w:p>
        </w:tc>
      </w:tr>
      <w:tr>
        <w:trPr>
          <w:trHeight w:val="209"/>
        </w:trPr>
        <w:tc>
          <w:tcPr>
            <w:tcW w:w="7820" w:type="dxa"/>
            <w:vAlign w:val="bottom"/>
          </w:tcPr>
          <w:p>
            <w:pPr>
              <w:ind w:left="100"/>
              <w:spacing w:after="0"/>
              <w:rPr>
                <w:sz w:val="20"/>
                <w:szCs w:val="20"/>
                <w:color w:val="auto"/>
              </w:rPr>
            </w:pPr>
            <w:r>
              <w:rPr>
                <w:rFonts w:ascii="Arial" w:cs="Arial" w:eastAsia="Arial" w:hAnsi="Arial"/>
                <w:sz w:val="18"/>
                <w:szCs w:val="18"/>
                <w:color w:val="auto"/>
              </w:rPr>
              <w:t>Total lease liability</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564,760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Quantitative information regarding the Company’s leases for the nine months ended September 30, 2021 and 2020 is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Operating lease cost</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102,753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lease cost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Variable lease cost</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290,827</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cash flows from short-term leases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188,074</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271,234</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232,832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87"/>
              </w:rPr>
              <w:t>4.58 years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0"/>
              </w:rPr>
              <w:t>5.58 years</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Related Party Transactions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An officer of the Company is a board member of a contract research organization (“CRO”) that provides contract services to the Company. Research and development expenses in the accompanying condensed consolidated statement of operations include the cost of services provided by the CRO to the Company which amounted to $3,274,393 and $1,950,415 for the nine months ended September 30, 2021 and 2020, respectively. As of September 30, 2021 and December 31, 2020, $458,660 and $279,153, respectively, was owed to the CRO and is included in accounts payable or accrued contract research expenses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July 30, 2021 (the “Prospectus”).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are a biopharmaceutical company with an emerging pipeline focused on improving patient outcomes across a spectrum of debilitating oncologic and neurologic diseases by applying our deep knowledge of translational bioinformatics to every stage of the drug development process. We have more than a decade of experience in translational bioinformatics and generating insights into drug mechanisms of action and patient treatment responses. Building on this experience, we developed a disease agnostic platform that enables us to utilize human data, novel biology and chemistry, and translational planning to create and advance our wholly owned pipeline. Our current development programs in oncology are focused on providing treatments for patients with solid tumors caused by mutations of the RAS/RAF/MEK/ERK pathway and other oncologic signaling pathways. Our lead product candidate, IMM-1-104, is designed to be a highly selective dual-MEK inhibitor that further disrupts the kinase suppressor of RAS 1 and 2 for the treatment of advanced solid tumors in patients harboring RAS mutant tumors. We plan to submit an Investigational New Drug, or IND, for IMM-1-104 to the U.S. Food and Drug Administration (“FDA”), in the first quarter of 2022. In addition, we anticipate filing at least two additional INDs for our other oncology programs, one in each of 2023 and 2024.</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exercise of stock options and most recently, with proceeds from our completed initial public offering (“IPO”).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9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Since inception, we have had significant annual operating losses. Our net loss was approximately $22.8 million, for the nine months ended September 30, 2021 and $17 million for the year ended December 31, 2020. As of September 30, 2021, we had an accumulated deficit of approximately $48.5 million and approximately $159.6 million in cash and cash equivalents and marketable securities.</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regulatory approvals for, our internally developed product candidates as well as add operational, financial and management informational systems and personnel to support our product development as well as support our transition to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Based upon our current business plans, we believe that our existing cash and cash equivalents and marketable securities will be sufficient to fund our development activities and other operations into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5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service revenue,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March 2020, the World Health Organization declared the COVID-19 outbreak a pandemic. In particular, the ongoing pandemic related to COVID-19 and its variants has resulted in federal, state and local governments and private entities mandating various restrictions, including travel restrictions, access restrictions, restrictions on public gatherings, and stay at home orders. The effect of these orders, government imposed quarantines and measures we have taken, such as implementing work-at-home policies, may negatively impact productivity, disrupt our business and/or could adversely affect our development plans and results. We cannot presently predict the scope and severity of any potential business shutdowns or disruptions, but if we or any of the third parties with whom we engage, including personnel at third-party manufacturing facilities and other third parties with whom we conduct business, were to experience shutdowns or other business disruptions, our ability to conduct our business in the manner and on the timeline presently planned could be materially and adversely impacted. It is unknown how long these conditions will last and what the complete effect will be on us. While to date we have been able to continue to execute our overall business plan, some of our business activities have been slowed and taken longer to complete, particularly with respect to our process for recruiting new employees, and we continue to adjust to the challenges of operating in a largely remote setting with our employees. Overall, we recognize the challenges the pandemic may pose to our business, will continue to closely monitor events as they develop and plan for alternative and mitigating measures that we can implement if needed.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expect revenue to remain similar to prior years in the near-term as we continue to provide services to our existing customers and these revenues could decrease as we have deprioritized new services work in order to focus on developing our wholly owned pipeline.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cost of revenue expenses consists primarily of costs related to providing professional services to our customers. These costs include salaries, bonuses, benefits, and equity-based compensation expense, depreciation, facilities, and other outside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operating expenses consist of (i) research and development expenses and (ii) general and administrative expenses.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studies related to our program pipeline.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direct costs include:</w:t>
      </w:r>
    </w:p>
    <w:p>
      <w:pPr>
        <w:spacing w:after="0" w:line="225" w:lineRule="exact"/>
        <w:rPr>
          <w:sz w:val="20"/>
          <w:szCs w:val="20"/>
          <w:color w:val="auto"/>
        </w:rPr>
      </w:pPr>
    </w:p>
    <w:p>
      <w:pPr>
        <w:ind w:left="1040" w:right="79" w:hanging="315"/>
        <w:spacing w:after="0" w:line="274"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expenses incurred under agreements with CROs and other vendors that conduct our preclinical activities on our behalf; including laboratory expenses related to the execution of preclinical studies on our behalf;</w:t>
      </w:r>
    </w:p>
    <w:p>
      <w:pPr>
        <w:ind w:left="1040" w:right="79" w:hanging="315"/>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the manufacturing of our product candidates and preclinical material, including fees paid to contract manufacturers; and</w:t>
      </w: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and expenses related to preparation of initiation of clinical trials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indirect costs include:</w:t>
      </w:r>
    </w:p>
    <w:p>
      <w:pPr>
        <w:spacing w:after="0" w:line="225" w:lineRule="exact"/>
        <w:rPr>
          <w:sz w:val="20"/>
          <w:szCs w:val="20"/>
          <w:color w:val="auto"/>
        </w:rPr>
      </w:pPr>
    </w:p>
    <w:p>
      <w:pPr>
        <w:jc w:val="both"/>
        <w:ind w:left="1040" w:right="79" w:hanging="315"/>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personnel-related expenses, consisting of employee salaries, bonuses, benefits and equity-based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facility and equipment related expenses, consisting of indirect and allocated expenses for rent, depreciation, maintenance of facilities, insurance, and other supplies.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expense research and development costs as incurred. Our direct research and development expenses are not currently tracked on a program-by-program basis, but we anticipate tracking costs on a program-by-program basis at the time IMM-1-104 enters clinical trials, which we expect to occur in the first half of 2022, assuming our IND application is accepted. We use our personnel and infrastructure resources across multiple research and development programs directed toward identifying and developing product candidates.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duration, costs and timing of preclinical studies and clinical trials and development of our product candidates will depend on a variety of factors, such as:</w:t>
      </w:r>
    </w:p>
    <w:p>
      <w:pPr>
        <w:spacing w:after="0" w:line="170"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successful completion of preclinical studies and initiation of clinical trials for future product candidates;</w:t>
      </w:r>
    </w:p>
    <w:p>
      <w:pPr>
        <w:spacing w:after="0" w:line="34" w:lineRule="exact"/>
        <w:rPr>
          <w:rFonts w:ascii="Arial" w:cs="Arial" w:eastAsia="Arial" w:hAnsi="Arial"/>
          <w:sz w:val="17"/>
          <w:szCs w:val="17"/>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for our current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from our clinical programs that support an acceptable risk-benefit profile of our product candidates in the intended patient populations;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and maintenance of a workforce of experienced scientists and others to continue to develop our product candidates;</w:t>
      </w: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application for and receipt of marketing approvals from applicable regulatory authorities;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of arrangements with contract manufacturing organizations for, or establishment of, commercial manufacturing capabilities;</w:t>
      </w:r>
    </w:p>
    <w:p>
      <w:pPr>
        <w:ind w:left="1040" w:right="79" w:hanging="315"/>
        <w:spacing w:after="0" w:line="265"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enforcement, defense and protection of our rights in our intellectual property portfolio;</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avoidance of infringement, misappropriation or other violations with respect to others’ intellectual property or proprietary rights; and</w:t>
      </w:r>
    </w:p>
    <w:p>
      <w:pPr>
        <w:ind w:left="1040" w:right="79" w:hanging="315"/>
        <w:spacing w:after="0" w:line="26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following receipt of any marketing approvals.</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4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6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general and administrative expenses consist primarily of personnel-related expenses, including employee salaries, bonuses, benefits, equity-based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23"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Interest income consists of interest earned on our cash and cash equivalents balances and our marketable securities. The primary objective of our investment policy is capital preservation.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expense consists of the amortization of premiums or accretion of discounts related to our marketable securities.</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7"/>
          </w:tcPr>
          <w:p>
            <w:pPr>
              <w:jc w:val="right"/>
              <w:ind w:right="108"/>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1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Loss from operations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1,640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48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80"/>
        </w:trPr>
        <w:tc>
          <w:tcPr>
            <w:tcW w:w="2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80" w:type="dxa"/>
            <w:vAlign w:val="bottom"/>
            <w:gridSpan w:val="6"/>
          </w:tcPr>
          <w:p>
            <w:pPr>
              <w:ind w:left="200"/>
              <w:spacing w:after="0"/>
              <w:rPr>
                <w:sz w:val="20"/>
                <w:szCs w:val="20"/>
                <w:color w:val="auto"/>
              </w:rPr>
            </w:pPr>
            <w:r>
              <w:rPr>
                <w:rFonts w:ascii="Arial" w:cs="Arial" w:eastAsia="Arial" w:hAnsi="Arial"/>
                <w:sz w:val="14"/>
                <w:szCs w:val="14"/>
                <w:b w:val="1"/>
                <w:bCs w:val="1"/>
                <w:color w:val="auto"/>
                <w:w w:val="87"/>
              </w:rPr>
              <w:t>(in thousands, except percentages)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5"/>
        </w:trPr>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32"/>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482</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Revenue decreased by approximately $0.2 million, or 29.4%, to approximately $0.5 million for the three months ended September 30, 2021 compared to approximately $0.7 million for the three months ended September 30, 2020. The decrease in revenue was due to approximately $0.2 million received from customer agreements that were completed in 2020, offset by a $0.1 million decrease in existing customers in the three months ended September 30, 2020, further offset by a $0.1 million increase in new customers in the three months ended September 30, 2021.</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components of cost of revenue expenses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40" w:type="dxa"/>
            <w:vAlign w:val="bottom"/>
            <w:gridSpan w:val="7"/>
          </w:tcPr>
          <w:p>
            <w:pPr>
              <w:ind w:left="122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4"/>
                <w:szCs w:val="14"/>
                <w:color w:val="auto"/>
              </w:rPr>
            </w:pPr>
          </w:p>
        </w:tc>
        <w:tc>
          <w:tcPr>
            <w:tcW w:w="1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80" w:type="dxa"/>
            <w:vAlign w:val="bottom"/>
            <w:gridSpan w:val="7"/>
          </w:tcPr>
          <w:p>
            <w:pPr>
              <w:jc w:val="right"/>
              <w:spacing w:after="0"/>
              <w:rPr>
                <w:sz w:val="20"/>
                <w:szCs w:val="20"/>
                <w:color w:val="auto"/>
              </w:rPr>
            </w:pPr>
            <w:r>
              <w:rPr>
                <w:rFonts w:ascii="Arial" w:cs="Arial" w:eastAsia="Arial" w:hAnsi="Arial"/>
                <w:sz w:val="14"/>
                <w:szCs w:val="14"/>
                <w:b w:val="1"/>
                <w:bCs w:val="1"/>
                <w:color w:val="auto"/>
                <w:w w:val="91"/>
              </w:rPr>
              <w:t>(in thousands, except percentages)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(84)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 allocated expenses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520"/>
              <w:spacing w:after="0"/>
              <w:rPr>
                <w:sz w:val="20"/>
                <w:szCs w:val="20"/>
                <w:color w:val="auto"/>
              </w:rPr>
            </w:pPr>
            <w:r>
              <w:rPr>
                <w:rFonts w:ascii="Arial" w:cs="Arial" w:eastAsia="Arial" w:hAnsi="Arial"/>
                <w:sz w:val="18"/>
                <w:szCs w:val="18"/>
                <w:color w:val="auto"/>
              </w:rPr>
              <w:t>Total cost of revenue</w:t>
            </w:r>
          </w:p>
        </w:tc>
        <w:tc>
          <w:tcPr>
            <w:tcW w:w="122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(96)</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Cost of revenue decreased by approximately $0.1 million, or 30.5%, to approximately $0.2 million for the three months ended September 30, 2021 compared to approximately $0.3 million for the three months September 30, 2020. The decrease was primarily due to decreased employee related costs of approximately $0.1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research and development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380" w:type="dxa"/>
            <w:vAlign w:val="bottom"/>
            <w:gridSpan w:val="6"/>
          </w:tcPr>
          <w:p>
            <w:pPr>
              <w:ind w:left="110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12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jc w:val="right"/>
              <w:ind w:right="22"/>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Outside contract research services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research and development</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Research and development expenses increased by approximately $2.1 million, or 52.5%, to approximately $6.2 million for the three months ended September 30, 2021 compared to approximately $4.1 million for the three months ended September 30, 2020. The increase of approximately $2.1 million was primarily due to approximately $1.5 million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outside contract research services for our preclinical candidates resulting from an increased number of discovery programs and increased spending on later stage preclinical efforts. The increase also includes approximately $0.5 million of additional employee-related costs, primarily due to an increase in headcount and approximately $0.2 million increase for equity-based compensation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general and administrative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60" w:type="dxa"/>
            <w:vAlign w:val="bottom"/>
            <w:gridSpan w:val="6"/>
          </w:tcPr>
          <w:p>
            <w:pPr>
              <w:ind w:left="108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13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2"/>
              </w:rPr>
              <w:t>thousands, except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71"/>
              </w:rPr>
              <w:t>percentages)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Public relations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Outside consultants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1,400.0 %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general and administrative</w:t>
            </w: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$ 1,900</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General and administrative expenses increased by approximately $1.9 million, or 271.8%, to approximately $2.6 million for the three months ended September 30, 2021 compared to approximately $0.7 million for the three months ended September 30, 2020. The increase of approximately $1.9 million was primarily due to increased employee related costs of approximately $1.2 million, increased professional fees incurred for accounting, auditing, legal, public relations and tax services of approximately $0.5 million, increased facilities expenses of approximately $0.1 million and approximately $0.1 million increase in equity-based compensation expense.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increased by approximately $16,250 due to the interest earned on our cash and cash equivalents and marketable securities balances due to the higher balances as a result of the IPO proceeds.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expense increased by $8,089 as a result of the amortization of premiums related to our marketable securities.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Nine Months September 30,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percentages)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3,151</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90"/>
              </w:rPr>
              <w:t>159.8 %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Pr>
          <w:p>
            <w:pPr>
              <w:ind w:left="400"/>
              <w:spacing w:after="0"/>
              <w:rPr>
                <w:sz w:val="20"/>
                <w:szCs w:val="20"/>
                <w:color w:val="auto"/>
              </w:rPr>
            </w:pPr>
            <w:r>
              <w:rPr>
                <w:rFonts w:ascii="Arial" w:cs="Arial" w:eastAsia="Arial" w:hAnsi="Arial"/>
                <w:sz w:val="18"/>
                <w:szCs w:val="18"/>
                <w:b w:val="1"/>
                <w:bCs w:val="1"/>
                <w:color w:val="auto"/>
              </w:rPr>
              <w:t>Loss from operations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102.5 %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loss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(22,752)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500" w:type="dxa"/>
            <w:vAlign w:val="bottom"/>
            <w:gridSpan w:val="6"/>
          </w:tcPr>
          <w:p>
            <w:pPr>
              <w:ind w:left="2320"/>
              <w:spacing w:after="0"/>
              <w:rPr>
                <w:sz w:val="20"/>
                <w:szCs w:val="20"/>
                <w:color w:val="auto"/>
              </w:rPr>
            </w:pPr>
            <w:r>
              <w:rPr>
                <w:rFonts w:ascii="Arial" w:cs="Arial" w:eastAsia="Arial" w:hAnsi="Arial"/>
                <w:sz w:val="14"/>
                <w:szCs w:val="14"/>
                <w:b w:val="1"/>
                <w:bCs w:val="1"/>
                <w:color w:val="auto"/>
                <w:w w:val="93"/>
              </w:rPr>
              <w:t>Nine Months Ended September 30,</w:t>
            </w:r>
          </w:p>
        </w:tc>
        <w:tc>
          <w:tcPr>
            <w:tcW w:w="140" w:type="dxa"/>
            <w:vAlign w:val="bottom"/>
          </w:tcPr>
          <w:p>
            <w:pPr>
              <w:spacing w:after="0"/>
              <w:rPr>
                <w:sz w:val="14"/>
                <w:szCs w:val="14"/>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Revenue increased by approximately $0.2 million, or 14.8%, to approximately $1.9 million for the nine months ended September 30, 2021 compared to approximately $1.7 million for the nine months ended September 30, 2020. The increase in revenue was due to an increase by approximately $0.3 million from new customers during 2021 and, a $0.2 million increase in existing customers partially offset by an approximately $0.3 million decrease due to customer agreements that were completed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Costs of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components of cost of revenue expenses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11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76"/>
        </w:trPr>
        <w:tc>
          <w:tcPr>
            <w:tcW w:w="5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gridSpan w:val="6"/>
          </w:tcPr>
          <w:p>
            <w:pPr>
              <w:jc w:val="right"/>
              <w:ind w:right="15"/>
              <w:spacing w:after="0"/>
              <w:rPr>
                <w:sz w:val="20"/>
                <w:szCs w:val="20"/>
                <w:color w:val="auto"/>
              </w:rPr>
            </w:pPr>
            <w:r>
              <w:rPr>
                <w:rFonts w:ascii="Arial" w:cs="Arial" w:eastAsia="Arial" w:hAnsi="Arial"/>
                <w:sz w:val="14"/>
                <w:szCs w:val="14"/>
                <w:color w:val="auto"/>
                <w:w w:val="93"/>
              </w:rPr>
              <w:t>(in thousands, except percentages)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5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947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$ 140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Cost of revenue increased by approximately $0.1 million, or 17.3%, to approximately $0.9 million for the nine months ended September 30, 2021 compared to approximately $0.8 million for the nine months ended September 30, 2020. The increase was primarily due to increased employee related costs of approximately $0.2 million, partially offset by decreases in facilities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research and development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360" w:type="dxa"/>
            <w:vAlign w:val="bottom"/>
            <w:gridSpan w:val="6"/>
          </w:tcPr>
          <w:p>
            <w:pPr>
              <w:ind w:left="1180"/>
              <w:spacing w:after="0"/>
              <w:rPr>
                <w:sz w:val="20"/>
                <w:szCs w:val="20"/>
                <w:color w:val="auto"/>
              </w:rPr>
            </w:pPr>
            <w:r>
              <w:rPr>
                <w:rFonts w:ascii="Arial" w:cs="Arial" w:eastAsia="Arial" w:hAnsi="Arial"/>
                <w:sz w:val="14"/>
                <w:szCs w:val="14"/>
                <w:b w:val="1"/>
                <w:bCs w:val="1"/>
                <w:color w:val="auto"/>
                <w:w w:val="93"/>
              </w:rPr>
              <w:t>Nine Months Ended September 30,</w:t>
            </w:r>
          </w:p>
        </w:tc>
        <w:tc>
          <w:tcPr>
            <w:tcW w:w="160" w:type="dxa"/>
            <w:vAlign w:val="bottom"/>
          </w:tcPr>
          <w:p>
            <w:pPr>
              <w:spacing w:after="0"/>
              <w:rPr>
                <w:sz w:val="14"/>
                <w:szCs w:val="14"/>
                <w:color w:val="auto"/>
              </w:rPr>
            </w:pPr>
          </w:p>
        </w:tc>
        <w:tc>
          <w:tcPr>
            <w:tcW w:w="12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right"/>
              <w:ind w:right="68"/>
              <w:spacing w:after="0"/>
              <w:rPr>
                <w:sz w:val="20"/>
                <w:szCs w:val="20"/>
                <w:color w:val="auto"/>
              </w:rPr>
            </w:pPr>
            <w:r>
              <w:rPr>
                <w:rFonts w:ascii="Arial" w:cs="Arial" w:eastAsia="Arial" w:hAnsi="Arial"/>
                <w:sz w:val="14"/>
                <w:szCs w:val="14"/>
                <w:color w:val="auto"/>
              </w:rPr>
              <w:t>(in thousands, except percentages)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52.3 %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Outside contract research services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Research and development expenses increased by approximately $8.5 million, or 83.8%, to approximately $18.6 million for the nine months ended September 30, 2021 as compared to approximately $10.1 million for the year ended September 30, 2020. The increase of approximately $8.5 million was primarily due to approximately $6.3 million of outside contract research services for our preclinical candidates due to an increased number of discovery programs and increased spending on later stage preclinical efforts. The increase also includes approximately $1.9 million of additional employee related costs, primarily due to higher headcount and increased equity-based compensation and facilities and other allocated expense of approximately $0.3 million.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general and administrative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00" w:type="dxa"/>
            <w:vAlign w:val="bottom"/>
            <w:gridSpan w:val="6"/>
          </w:tcPr>
          <w:p>
            <w:pPr>
              <w:ind w:left="1100"/>
              <w:spacing w:after="0"/>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4"/>
                <w:szCs w:val="14"/>
                <w:color w:val="auto"/>
              </w:rPr>
            </w:pPr>
          </w:p>
        </w:tc>
        <w:tc>
          <w:tcPr>
            <w:tcW w:w="138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right"/>
              <w:ind w:right="8"/>
              <w:spacing w:after="0"/>
              <w:rPr>
                <w:sz w:val="20"/>
                <w:szCs w:val="20"/>
                <w:color w:val="auto"/>
              </w:rPr>
            </w:pPr>
            <w:r>
              <w:rPr>
                <w:rFonts w:ascii="Arial" w:cs="Arial" w:eastAsia="Arial" w:hAnsi="Arial"/>
                <w:sz w:val="14"/>
                <w:szCs w:val="14"/>
                <w:color w:val="auto"/>
              </w:rPr>
              <w:t>(in thousands, except percentages)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Public relations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Outside consultants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2,100.0 %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general and administrative</w:t>
            </w: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General and administrative expenses increased by approximately $3.1 million, or 159.8%, to approximately $5.1 million for the nine months ended September 30, 2021 compared to approximately $2.0 million for the nine months ended September 30, 2020. The increase of approximately $3.1 million was primarily due to increased employee related costs of approximately $1.8 million, increased professional fees incurred for accounting, auditing, legal, and tax services of approximately $1.0 million, increased public relation costs, equity-based compensation, outside consultants, facilities and other allocated expenses and other costs of approximately $0.3 million.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decreased by approximately $15,124 due to the lower interest rates and lower cash balance up until the Company’s IPO in July.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expense increased by $8,089 as a result of the amortization of premiums related to our marketable securities.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Since our inception, we have financed our operations through service revenues, the issuance of convertible notes payable, convertible preferred stock, common stock, and the exercise of stock options. As of September 30, 2021, we had an accumulated deficit of $48.5 million and $159.5 million in cash and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7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the exercise of stock options and most recently, the proceeds from our IPO. In August, 2021, we completed our IPO pursuant to which we issued and sold 8,625,000 shares of Class A common stock, inclusive of 1,150,000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sources and uses of cash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Operating activities</w:t>
            </w:r>
          </w:p>
        </w:tc>
        <w:tc>
          <w:tcPr>
            <w:tcW w:w="16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(21,612)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Financing activities</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144,257</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69,837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nine months ended September 30, 2021, operating activities used approximately $21.6 million of cash, primarily resulting from our net loss of approximately $22.8 million and cash provided by changes in our operating assets and liabilities of approximately $0.1 million, partially offset by equity-based compensation expense of approximately $1.2 million.</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During the nine months ended September 30, 2020, operating activities used approximately $9.2 million of cash, primarily resulting from our net loss of approximately $11.2 million, partially offset by equity-based compensation expense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approximately $0.9 million and cash provided by changes in our operating assets and liabilities of approximately $1.0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nine months ended September 30, 2021 and 2020, investing activities used approximately $52.8 million, and $15,357 respectively primarily resulting for the purchases of marketable securities in 2021 of approximately $52.8 million and for the purchases of property and equipment of $15,357 in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nine months ended September 30, 2021, net cash provided by financing activities was approximately $144.3 million, consisting primarily of approximately $24.8 million in net proceeds received from the issuance of Series B preferred stock, approximately $118.2 million from the proceeds from our initial public offering, approximately $1.0 million in net proceeds from the exercise of warrants and approximately $0.3 million from the exercise of stock options.</w:t>
      </w:r>
    </w:p>
    <w:p>
      <w:pPr>
        <w:spacing w:after="0" w:line="15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During the nine months ended September 30, 2020, net cash provided by financing activities was approximately $1.0 million, consisting primarily of proceeds received from the issuance of Series A preferred stock, net of issuance costs.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Funding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84"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of the pandemic related to COVID-19 and its variants and potential future pandemics;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results of our potential future clinical trials for our other product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other product candidates;</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9" w:lineRule="exact"/>
        <w:rPr>
          <w:rFonts w:ascii="Arial" w:cs="Arial" w:eastAsia="Arial" w:hAnsi="Arial"/>
          <w:sz w:val="18"/>
          <w:szCs w:val="18"/>
          <w:color w:val="auto"/>
        </w:rPr>
      </w:pPr>
    </w:p>
    <w:p>
      <w:pPr>
        <w:ind w:left="1040" w:right="79" w:hanging="315"/>
        <w:spacing w:after="0" w:line="28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and timing of any future commercialization activities, including product manufacturing, sales, marketing and distribution, for any of our product candidates for which we may receive marketing approval;</w:t>
      </w:r>
    </w:p>
    <w:p>
      <w:pPr>
        <w:spacing w:after="0" w:line="1"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w:t>
      </w:r>
    </w:p>
    <w:p>
      <w:pPr>
        <w:ind w:left="1040" w:right="79" w:hanging="315"/>
        <w:spacing w:after="0" w:line="265"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arrangements;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the private and public capital markets or to obtain financing at commercially reasonable rate;</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 and</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believe that our existing cash, cash equivalents and marketable securities, will enable us to fund our operating expenses and capital expenditure requirements into 2024. We have based this estimate on assumptions that may prove to be wrong, and we could utilize our available capital resources sooner than we expect.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from the contractual commitments and obligations previously disclosed in the Prospectus.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Significant Judgments and Estimates” in our Prospectus.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Prospectus.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remain classified as an EGC until the end of the fiscal year following the fifth anniversary of our IPO, although if the market value of our common stock that is held by non-affiliates exceeds $700 million as of September 30 of any year before that time, or if we have annual gross revenues of $1.07 billion or more in any fiscal year, we would cease to be an EGC as of December 31 of the applicable year. We also would cease to be an EGC if we issue more than $1.0 billion of non-convertible debt over a three-year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we are not required to provide this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September 30, 2021. Based on that evaluation, our Chief Executive Officer and Chief Financial Officer concluded that, as of September 30, 2021, our disclosure controls and procedures were effective at the reasonable assurance level.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September 30, 2021 that has materially affected, or is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8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of our product candidates, including the anticipated Phase 1 clinical trial of IMM-1-104 for the treatment of advanced solid tumors in patients harboring RAS mutant tumors. We have not yet demonstrated our ability to successfully initiate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9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7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$17.0 million and $7.7 million for the years ended December 31, 2020 and 2019, respectively, and net loss of approximately $22.8 million for the nine months ended September 30, 2021. As of September 30, 2021, we had an accumulated deficit of approximately $48.5 million. Our losses have resulted principally from expenses incurred in research and development of our product candidates, from management and administrative costs and other expenses that we have incurred while building our business infrastructure. Our lead product candidate, IMM-1-104, is undergoing IND-enabling studies and we expect to submit an IND to the FDA in the first quarter of 2022. Subject to the FDA’s acceptance of our IND application, we intend to initiate a Phase 1 clinical trial of IMM-1-104 in the first half of 2022 for the treatment of advanced solid tumors in patients harboring RAS mutant tumors, if our IND for IMM-1-104 is accepted.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substantially if and as we:</w:t>
      </w:r>
    </w:p>
    <w:p>
      <w:pPr>
        <w:spacing w:after="0" w:line="170" w:lineRule="exact"/>
        <w:rPr>
          <w:sz w:val="20"/>
          <w:szCs w:val="20"/>
          <w:color w:val="auto"/>
        </w:rPr>
      </w:pPr>
    </w:p>
    <w:p>
      <w:pPr>
        <w:jc w:val="both"/>
        <w:ind w:left="60" w:right="79" w:hanging="10"/>
        <w:spacing w:after="0" w:line="263" w:lineRule="auto"/>
        <w:tabs>
          <w:tab w:leader="none" w:pos="1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IMM-1-104, and our other product candidates through preclinical and clinical development, and, if approved by the FDA or other comparable foreign regulatory authorities, commercialization;</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manufacturing costs for our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research and development activities to identify and develop new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252"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manufacturing and develop our commercialization efforts;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8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September 30, 2021, we had approximately $159.5 million in cash and cash equivalents and marketable securities. Based on our current business plans, we believe that our existing cash and cash equivalents will be sufficient to fund our operating expenses and capital expenditures requirements into 2024.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25" w:lineRule="exact"/>
        <w:rPr>
          <w:sz w:val="20"/>
          <w:szCs w:val="20"/>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our clinical trials for our product candidates;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additional research and preclinical studies related to pipeline development and other research programs we initiate in the future;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manufacturing activities as we advance our product candidates through preclinical and clinical development, and commercialization;</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negative impact of the COVID-19 pandemic or future pandemics on our business;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patent claims and other intellectual property rights, in-licensed or otherwise;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licensing fees, potential royalty payments and potential milestone payments;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general operating expenses;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Advancing the development of our product candidates will require a significant amount of capital. Our existing cash and cash equivalents will not be sufficient to fund all of the activities that are necessary to complete the development of our product candidates.</w:t>
      </w:r>
    </w:p>
    <w:p>
      <w:pPr>
        <w:spacing w:after="0" w:line="184"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Additionally, the impact of the pandemic related to COVID-19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its variants on the capital markets may affect the availability, amount and type of financing available to us in the future.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offering,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losses and other tax attributes may be limited.</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of December 31, 2020, we had approximately $22.0 million of federal and $14.3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2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development of our product candidates and/or regulatory approval may be delayed for reasons beyond our control. For example, a U.S. federal government shutdown or budget sequestration, such as ones that occurred during 2013, 2018 and 2019,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w:t>
      </w:r>
    </w:p>
    <w:p>
      <w:pPr>
        <w:spacing w:after="0" w:line="3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184" w:lineRule="exact"/>
        <w:rPr>
          <w:sz w:val="20"/>
          <w:szCs w:val="20"/>
          <w:color w:val="auto"/>
        </w:rPr>
      </w:pPr>
    </w:p>
    <w:p>
      <w:pPr>
        <w:jc w:val="both"/>
        <w:ind w:left="60" w:right="59" w:hanging="10"/>
        <w:spacing w:after="0" w:line="263" w:lineRule="auto"/>
        <w:tabs>
          <w:tab w:leader="none" w:pos="1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a product candidate’s risk-benefit ratio for its proposed indication is acceptable;</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7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7"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We may not be able to file INDs or IND amendments or comparable documents in foreign jurisdictions to commence additional clinical trials on the timelines we expect, and even if we are able to, the FDA may not permit us to proceed.</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While we plan to submit INDs or comparable documents for our potential product candidates, we may not be able to file such INDs or comparable documents on the timeline we expect. For example, we may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limited experience in designing clinical trials and may be unable to design and execute a clinical trial to support marketing approval. We cannot be certain that our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completing, or ultimately be unable to complete, the development and commercialization of our product candidates.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9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84" w:lineRule="exact"/>
        <w:rPr>
          <w:sz w:val="20"/>
          <w:szCs w:val="20"/>
          <w:color w:val="auto"/>
        </w:rPr>
      </w:pPr>
    </w:p>
    <w:p>
      <w:pPr>
        <w:ind w:left="60" w:right="59" w:hanging="10"/>
        <w:spacing w:after="0" w:line="277" w:lineRule="auto"/>
        <w:tabs>
          <w:tab w:leader="none" w:pos="1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1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8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•delays in enrollment due to travel or quarantine policies, or other factors related to COVID-19 and its variants, other pandemics or other events outside our control;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to clinical trial protocol;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•clinical sites deviating from trial protocol or dropping out of a trial;</w:t>
      </w:r>
    </w:p>
    <w:p>
      <w:pPr>
        <w:spacing w:after="0" w:line="23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•subjects failing to enroll or remain in our trial at the rate we expect, or failing to return for post-treatment follow-up;</w:t>
      </w:r>
    </w:p>
    <w:p>
      <w:pPr>
        <w:spacing w:after="0" w:line="25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•subjects choosing an alternative treatment for the indication for which we are developing our product candidates, or participating in competing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•subjects experiencing severe or unexpected drug-related adverse effects;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23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84"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manufacturing practice, or cGMP, regulations or other applicable requirements, or infections or cross-contaminations of product candidates in the manufacturing process;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changes to our manufacturing process that may be necessary or desired;</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instance, the ongoing pandemic related to COVID-19 and its variants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70" w:lineRule="exact"/>
        <w:rPr>
          <w:sz w:val="20"/>
          <w:szCs w:val="20"/>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hanging="10"/>
        <w:spacing w:after="0" w:line="277" w:lineRule="auto"/>
        <w:tabs>
          <w:tab w:leader="none" w:pos="1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REMS;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8"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0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8"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9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trading price of our Class A common stock.</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left="60" w:right="79"/>
        <w:spacing w:after="0" w:line="254"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1"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94" w:lineRule="exact"/>
        <w:rPr>
          <w:sz w:val="20"/>
          <w:szCs w:val="20"/>
          <w:color w:val="auto"/>
        </w:rPr>
      </w:pPr>
    </w:p>
    <w:p>
      <w:pPr>
        <w:ind w:left="60" w:right="79" w:hanging="10"/>
        <w:spacing w:after="0" w:line="277" w:lineRule="auto"/>
        <w:tabs>
          <w:tab w:leader="none" w:pos="1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be forced to or decide to remove the product form the marketplace;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or change their approvals of that product in one or more countries;</w:t>
      </w:r>
    </w:p>
    <w:p>
      <w:pPr>
        <w:spacing w:after="0" w:line="238" w:lineRule="exact"/>
        <w:rPr>
          <w:rFonts w:ascii="Arial" w:cs="Arial" w:eastAsia="Arial" w:hAnsi="Arial"/>
          <w:sz w:val="18"/>
          <w:szCs w:val="18"/>
          <w:color w:val="auto"/>
        </w:rPr>
      </w:pPr>
    </w:p>
    <w:p>
      <w:pPr>
        <w:ind w:left="60" w:right="79" w:hanging="10"/>
        <w:spacing w:after="0" w:line="263" w:lineRule="auto"/>
        <w:tabs>
          <w:tab w:leader="none" w:pos="1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be sued and held liable for harm caused to subjects or patients;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3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further limit enrollment of eligible patients or may result in slower enrollment than we anticipate. The eligibility criteria of our clinical trials, once established, may further limit the pool of available trial participants.</w:t>
      </w:r>
    </w:p>
    <w:p>
      <w:pPr>
        <w:spacing w:after="0" w:line="170"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7" w:lineRule="exact"/>
        <w:rPr>
          <w:sz w:val="20"/>
          <w:szCs w:val="20"/>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38"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enrollment and completion of studies due to the pandemic related to COVID-19 and its variants or any future pandemic.</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as well as pricing, by third-party payors, including government authorities;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65"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our product candidates.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or administrative action, or changes in FDA policy during the period of drug development, clinical trials and FDA regulatory review.</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9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4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and preclinical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9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have not commenced clinical trials for any product candidates developed with our DCT platform. 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19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19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5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develop our current and future product candidates in combination with other therapies, which exposes us to additional risks.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7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If the FDA or comparable foreign regulatory authorities do not approve these other drugs or revoke their approval of, or if safety, efficacy, quality, manufacturing or supply issues arise with, the drugs we choose to evaluate in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combination with our product candidate we develop, we may be unable to obtain approval of or market such combination therapy.</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78"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w:t>
      </w:r>
    </w:p>
    <w:p>
      <w:pPr>
        <w:spacing w:after="0" w:line="8"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9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390" w:lineRule="auto"/>
        <w:rPr>
          <w:sz w:val="20"/>
          <w:szCs w:val="20"/>
          <w:color w:val="auto"/>
        </w:rPr>
      </w:pPr>
      <w:r>
        <w:rPr>
          <w:rFonts w:ascii="Arial" w:cs="Arial" w:eastAsia="Arial" w:hAnsi="Arial"/>
          <w:sz w:val="13"/>
          <w:szCs w:val="13"/>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0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early in our development efforts and we have not yet completed our IND-enabling studies for our lead product candidate, IMM-1-104. 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and timely completion of additional preclinical studies;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initiation, patient enrollment and completion of our anticipated clinical trials on a timely basis, including any delays arising out of the pandemic related to COVID-19 and its variants or any future pandemic;</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clinical development,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 in the clinical trials;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safety and tolerability profiles that are satisfactory to the FDA or any comparable foreign regulatory authority for marketing approval;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79" w:hanging="10"/>
        <w:spacing w:after="0" w:line="277" w:lineRule="auto"/>
        <w:tabs>
          <w:tab w:leader="none" w:pos="2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77"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3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8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9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4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success of the product candidates we have or may develop will depend on many factors, including the following:</w:t>
      </w:r>
    </w:p>
    <w:p>
      <w:pPr>
        <w:spacing w:after="0" w:line="237" w:lineRule="exact"/>
        <w:rPr>
          <w:sz w:val="20"/>
          <w:szCs w:val="20"/>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research methodology in identifying potential indications or product candidates;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events in the clinical trials; and</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potential interruptions or delays resulting from factors related to the pandemic related to COVID-19 and its variants or any future pandemic.</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with off-label drugs used by physicians to treat the indications for which we seek approval. This may make it difficult for us to replace existing therapies with our products.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9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prove to be inaccurate, the market opportunity for any product candidate that we develop could be significantly diminished and have an adverse material impact on our business.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94"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and potential future pandemics could continue to adversely impact our business, including our anticipated clinical trials, supply chain and business development activities.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 employee resources in the future, including because of sickness of employees or their families. The effects of government actions and our own policies and those of third parties to reduce the spread of COVID-19 and its variants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COVID-19 and its variants continues to spread, we may experience ongoing disruptions that could severely impact our business, preclinical studies and clinical trials, including:</w:t>
      </w:r>
    </w:p>
    <w:p>
      <w:pPr>
        <w:spacing w:after="0" w:line="170" w:lineRule="exact"/>
        <w:rPr>
          <w:sz w:val="20"/>
          <w:szCs w:val="20"/>
          <w:color w:val="auto"/>
        </w:rPr>
      </w:pPr>
    </w:p>
    <w:p>
      <w:pPr>
        <w:ind w:left="60" w:right="79" w:hanging="10"/>
        <w:spacing w:after="0" w:line="277"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our operations, which may impact our ability to conduct and produce preclinical results required for submission of an IND;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77" w:lineRule="auto"/>
        <w:tabs>
          <w:tab w:leader="none" w:pos="2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70"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pandemic related to COVID-19 and its variants which may require us to change the ways in which our clinical trials are conducted, which may result in unexpected costs, or to discontinue the clinical trials altogether;</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3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results of operations and financial condition.</w:t>
      </w:r>
    </w:p>
    <w:p>
      <w:pPr>
        <w:spacing w:after="0" w:line="170" w:lineRule="exact"/>
        <w:rPr>
          <w:sz w:val="20"/>
          <w:szCs w:val="20"/>
          <w:color w:val="auto"/>
        </w:rPr>
      </w:pPr>
    </w:p>
    <w:p>
      <w:pPr>
        <w:jc w:val="both"/>
        <w:ind w:left="60" w:right="79"/>
        <w:spacing w:after="0" w:line="269" w:lineRule="auto"/>
        <w:rPr>
          <w:sz w:val="20"/>
          <w:szCs w:val="20"/>
          <w:color w:val="auto"/>
        </w:rPr>
      </w:pPr>
      <w:r>
        <w:rPr>
          <w:rFonts w:ascii="Arial" w:cs="Arial" w:eastAsia="Arial" w:hAnsi="Arial"/>
          <w:sz w:val="17"/>
          <w:szCs w:val="17"/>
          <w:color w:val="auto"/>
        </w:rPr>
        <w:t>Our future clinical trials may be affected by the pandemic related to COVID-19 and its variants or any future pandemic. For example, some clinical trial sites have slowed down or stopped further enrollment of new patients in clinical trials, denied access to site monitors and otherwise curtailed certain operations. Similarly, our ability to recruit and retain principal investigators and site staff who, as healthcare providers, may have heightened exposure to COVID-19 and its variants,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pandemic related to COVID-19 and its variants.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and its variants or other infectious diseases could impact personnel at third-party manufacturing facilities upon which we may rely in the future, or the availability or cost of materials, which could disrupt the supply chain for our product candidates. To the extent our future suppliers and service providers are unable to comply with their obligations under our future agreements with them or they are otherwise unable to deliver or are delayed in delivering goods and services to us due to the pandemic related to COVID-19 and its variants, our future ability to continue meeting clinical supply demand for our product candidates or otherwise advancing development of our product candidates may become impaired.</w:t>
      </w:r>
    </w:p>
    <w:p>
      <w:pPr>
        <w:spacing w:after="0" w:line="196"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The spread of COVID-19 and its variants and actions taken to reduce its spread may also materially affect us economically. 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 As a result, we may face difficulties raising capital through</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sales of our Class A common stock or such sales may be on unfavorable terms. COVID-19 and its variants and actions taken to reduce their spread continue to rapidly evolve. The extent to which COVID-19 and its variants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pandemic related to COVID-19 and its variants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fail to adequately meet the requirements under our computational biology service contracts to pharmaceutical and biotechnology companies, which may harm our reputation, growth opportunities and prospects, possibly resulting in related losses.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Over a decade ago, we began to offer computational biology services to pharmaceutical and biotechnology companies. We have deprioritized this business and plan to gradually wind down our computational biology services to pharmaceutical and biotechnology companies in the future. However, we are currently servicing several companies and in doing so, we must:</w:t>
      </w:r>
    </w:p>
    <w:p>
      <w:pPr>
        <w:spacing w:after="0" w:line="187" w:lineRule="exact"/>
        <w:rPr>
          <w:sz w:val="20"/>
          <w:szCs w:val="20"/>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accurately assess and meet the customer’s needs;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our computational biology services meet industry standards and practices for performance of similar services;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 the proper personnel to fulfill these service contracts;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compete effectively with other computational biology service providers performing similar services.</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fail to adequately meet the requirements under our computational biology service contracts to our typical high standards, our reputation, growth opportunities and prospects could be adversely affected, possibly resulting in related losses. In addition, as is typical for contracts of this nature, there are inherent legal risks and potential liabilities associated with our work under each of our past, present and future contracts.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7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4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genetic sequencing into their clinical practice, we may not be successful in developing our existing product candidates or any future product candidates.</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w:t>
      </w:r>
    </w:p>
    <w:p>
      <w:pPr>
        <w:jc w:val="both"/>
        <w:ind w:left="60" w:right="59"/>
        <w:spacing w:after="0" w:line="253" w:lineRule="auto"/>
        <w:rPr>
          <w:sz w:val="20"/>
          <w:szCs w:val="20"/>
          <w:color w:val="auto"/>
        </w:rPr>
      </w:pPr>
      <w:r>
        <w:rPr>
          <w:rFonts w:ascii="Arial" w:cs="Arial" w:eastAsia="Arial" w:hAnsi="Arial"/>
          <w:sz w:val="18"/>
          <w:szCs w:val="18"/>
          <w:color w:val="auto"/>
        </w:rPr>
        <w:t>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77" w:lineRule="auto"/>
        <w:tabs>
          <w:tab w:leader="none" w:pos="1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83" w:lineRule="exact"/>
        <w:rPr>
          <w:rFonts w:ascii="Arial" w:cs="Arial" w:eastAsia="Arial" w:hAnsi="Arial"/>
          <w:sz w:val="18"/>
          <w:szCs w:val="18"/>
          <w:color w:val="auto"/>
        </w:rPr>
      </w:pPr>
    </w:p>
    <w:p>
      <w:pPr>
        <w:jc w:val="both"/>
        <w:ind w:left="60" w:right="59" w:hanging="10"/>
        <w:spacing w:after="0" w:line="257" w:lineRule="auto"/>
        <w:tabs>
          <w:tab w:leader="none" w:pos="1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1"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2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183" w:lineRule="exact"/>
        <w:rPr>
          <w:rFonts w:ascii="Arial" w:cs="Arial" w:eastAsia="Arial" w:hAnsi="Arial"/>
          <w:sz w:val="18"/>
          <w:szCs w:val="18"/>
          <w:color w:val="auto"/>
        </w:rPr>
      </w:pPr>
    </w:p>
    <w:p>
      <w:pPr>
        <w:jc w:val="both"/>
        <w:ind w:left="60" w:right="59" w:hanging="10"/>
        <w:spacing w:after="0" w:line="259"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0" w:lineRule="exact"/>
        <w:rPr>
          <w:rFonts w:ascii="Arial" w:cs="Arial" w:eastAsia="Arial" w:hAnsi="Arial"/>
          <w:sz w:val="18"/>
          <w:szCs w:val="18"/>
          <w:color w:val="auto"/>
        </w:rPr>
      </w:pPr>
    </w:p>
    <w:p>
      <w:pPr>
        <w:jc w:val="both"/>
        <w:ind w:left="60" w:right="59" w:hanging="10"/>
        <w:spacing w:after="0" w:line="263" w:lineRule="auto"/>
        <w:tabs>
          <w:tab w:leader="none" w:pos="2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9"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96"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4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86" w:lineRule="auto"/>
        <w:tabs>
          <w:tab w:leader="none" w:pos="1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8" w:lineRule="exact"/>
        <w:rPr>
          <w:rFonts w:ascii="Arial" w:cs="Arial" w:eastAsia="Arial" w:hAnsi="Arial"/>
          <w:sz w:val="17"/>
          <w:szCs w:val="17"/>
          <w:color w:val="auto"/>
        </w:rPr>
      </w:pPr>
    </w:p>
    <w:p>
      <w:pPr>
        <w:ind w:left="60" w:right="79" w:hanging="10"/>
        <w:spacing w:after="0" w:line="277"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83" w:lineRule="exact"/>
        <w:rPr>
          <w:rFonts w:ascii="Arial" w:cs="Arial" w:eastAsia="Arial" w:hAnsi="Arial"/>
          <w:sz w:val="18"/>
          <w:szCs w:val="18"/>
          <w:color w:val="auto"/>
        </w:rPr>
      </w:pPr>
    </w:p>
    <w:p>
      <w:pPr>
        <w:ind w:left="60" w:right="79" w:hanging="10"/>
        <w:spacing w:after="0" w:line="258" w:lineRule="auto"/>
        <w:tabs>
          <w:tab w:leader="none" w:pos="1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37"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278" w:lineRule="exact"/>
        <w:rPr>
          <w:rFonts w:ascii="Arial" w:cs="Arial" w:eastAsia="Arial" w:hAnsi="Arial"/>
          <w:sz w:val="18"/>
          <w:szCs w:val="18"/>
          <w:color w:val="auto"/>
        </w:rPr>
      </w:pPr>
    </w:p>
    <w:p>
      <w:pPr>
        <w:ind w:left="60" w:right="639" w:hanging="10"/>
        <w:spacing w:after="0" w:line="277" w:lineRule="auto"/>
        <w:tabs>
          <w:tab w:leader="none" w:pos="1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3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84" w:lineRule="exact"/>
        <w:rPr>
          <w:sz w:val="20"/>
          <w:szCs w:val="20"/>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initiate or continue clinical trials of our product candidates under development;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submitting regulatory applications, or receiving marketing approvals, for our product candidates, if at all;</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commercialize any product candidates that receive marketing approval on a timely basis;</w:t>
      </w:r>
    </w:p>
    <w:p>
      <w:pPr>
        <w:spacing w:after="0" w:line="252" w:lineRule="exact"/>
        <w:rPr>
          <w:rFonts w:ascii="Arial" w:cs="Arial" w:eastAsia="Arial" w:hAnsi="Arial"/>
          <w:sz w:val="18"/>
          <w:szCs w:val="18"/>
          <w:color w:val="auto"/>
        </w:rPr>
      </w:pPr>
    </w:p>
    <w:p>
      <w:pPr>
        <w:ind w:left="180" w:hanging="130"/>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the cooperation of future collaborators;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70"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profit margins.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29" w:lineRule="exact"/>
        <w:rPr>
          <w:sz w:val="20"/>
          <w:szCs w:val="20"/>
          <w:color w:val="auto"/>
        </w:rPr>
      </w:pPr>
    </w:p>
    <w:p>
      <w:pPr>
        <w:jc w:val="both"/>
        <w:ind w:left="60" w:right="59"/>
        <w:spacing w:after="0" w:line="320"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71" w:lineRule="exact"/>
        <w:rPr>
          <w:sz w:val="20"/>
          <w:szCs w:val="20"/>
          <w:color w:val="auto"/>
        </w:rPr>
      </w:pPr>
    </w:p>
    <w:p>
      <w:pPr>
        <w:jc w:val="both"/>
        <w:ind w:left="60" w:right="79" w:hanging="10"/>
        <w:spacing w:after="0" w:line="254" w:lineRule="auto"/>
        <w:tabs>
          <w:tab w:leader="none" w:pos="1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208" w:lineRule="exact"/>
        <w:rPr>
          <w:rFonts w:ascii="Arial" w:cs="Arial" w:eastAsia="Arial" w:hAnsi="Arial"/>
          <w:sz w:val="18"/>
          <w:szCs w:val="18"/>
          <w:color w:val="auto"/>
        </w:rPr>
      </w:pPr>
    </w:p>
    <w:p>
      <w:pPr>
        <w:jc w:val="both"/>
        <w:ind w:left="60" w:right="59" w:hanging="10"/>
        <w:spacing w:after="0" w:line="254" w:lineRule="auto"/>
        <w:tabs>
          <w:tab w:leader="none" w:pos="1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205" w:lineRule="exact"/>
        <w:rPr>
          <w:rFonts w:ascii="Arial" w:cs="Arial" w:eastAsia="Arial" w:hAnsi="Arial"/>
          <w:sz w:val="18"/>
          <w:szCs w:val="18"/>
          <w:color w:val="auto"/>
        </w:rPr>
      </w:pPr>
    </w:p>
    <w:p>
      <w:pPr>
        <w:jc w:val="both"/>
        <w:ind w:left="60" w:right="59" w:hanging="10"/>
        <w:spacing w:after="0" w:line="257" w:lineRule="auto"/>
        <w:tabs>
          <w:tab w:leader="none" w:pos="2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7" w:lineRule="exact"/>
        <w:rPr>
          <w:rFonts w:ascii="Arial" w:cs="Arial" w:eastAsia="Arial" w:hAnsi="Arial"/>
          <w:sz w:val="18"/>
          <w:szCs w:val="18"/>
          <w:color w:val="auto"/>
        </w:rPr>
      </w:pPr>
    </w:p>
    <w:p>
      <w:pPr>
        <w:ind w:left="180" w:hanging="130"/>
        <w:spacing w:after="0"/>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against an entity, such as a pharmaceutical manufacturer, that engages in activities including, among others</w:t>
      </w:r>
    </w:p>
    <w:p>
      <w:pPr>
        <w:spacing w:after="0" w:line="9" w:lineRule="exact"/>
        <w:rPr>
          <w:sz w:val="20"/>
          <w:szCs w:val="20"/>
          <w:color w:val="auto"/>
        </w:rPr>
      </w:pPr>
    </w:p>
    <w:p>
      <w:pPr>
        <w:jc w:val="both"/>
        <w:ind w:left="60" w:right="59" w:hanging="10"/>
        <w:spacing w:after="0" w:line="273" w:lineRule="auto"/>
        <w:tabs>
          <w:tab w:leader="none" w:pos="3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90" w:lineRule="exact"/>
        <w:rPr>
          <w:sz w:val="20"/>
          <w:szCs w:val="20"/>
          <w:color w:val="auto"/>
        </w:rPr>
      </w:pPr>
    </w:p>
    <w:p>
      <w:pPr>
        <w:jc w:val="both"/>
        <w:ind w:left="60" w:right="59" w:hanging="10"/>
        <w:spacing w:after="0" w:line="279" w:lineRule="auto"/>
        <w:tabs>
          <w:tab w:leader="none" w:pos="1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84" w:lineRule="exact"/>
        <w:rPr>
          <w:rFonts w:ascii="Arial" w:cs="Arial" w:eastAsia="Arial" w:hAnsi="Arial"/>
          <w:sz w:val="17"/>
          <w:szCs w:val="17"/>
          <w:color w:val="auto"/>
        </w:rPr>
      </w:pPr>
    </w:p>
    <w:p>
      <w:pPr>
        <w:jc w:val="both"/>
        <w:ind w:left="60" w:right="79" w:hanging="10"/>
        <w:spacing w:after="0" w:line="263" w:lineRule="auto"/>
        <w:tabs>
          <w:tab w:leader="none" w:pos="1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their implementing regulations,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jc w:val="both"/>
        <w:ind w:left="60" w:right="79" w:hanging="10"/>
        <w:spacing w:after="0" w:line="275" w:lineRule="auto"/>
        <w:tabs>
          <w:tab w:leader="none" w:pos="1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other healthcare providers starting in 2022 and teaching hospitals, as well as information regarding ownership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investment interests held by physicians and their immediate family members. The information reported is publicly available on a searchable website, with disclosure required annually;</w:t>
      </w:r>
    </w:p>
    <w:p>
      <w:pPr>
        <w:spacing w:after="0" w:line="184" w:lineRule="exact"/>
        <w:rPr>
          <w:sz w:val="20"/>
          <w:szCs w:val="20"/>
          <w:color w:val="auto"/>
        </w:rPr>
      </w:pPr>
    </w:p>
    <w:p>
      <w:pPr>
        <w:jc w:val="both"/>
        <w:ind w:left="60" w:right="59" w:hanging="10"/>
        <w:spacing w:after="0" w:line="273" w:lineRule="auto"/>
        <w:tabs>
          <w:tab w:leader="none" w:pos="1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91" w:lineRule="exact"/>
        <w:rPr>
          <w:rFonts w:ascii="Arial" w:cs="Arial" w:eastAsia="Arial" w:hAnsi="Arial"/>
          <w:sz w:val="17"/>
          <w:szCs w:val="17"/>
          <w:color w:val="auto"/>
        </w:rPr>
      </w:pPr>
    </w:p>
    <w:p>
      <w:pPr>
        <w:jc w:val="both"/>
        <w:ind w:left="60" w:right="59" w:hanging="10"/>
        <w:spacing w:after="0" w:line="257" w:lineRule="auto"/>
        <w:tabs>
          <w:tab w:leader="none" w:pos="2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20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This may be onerous, and if our efforts to comply with GDPR or other applicable European Union laws and regulations are not successful, it could adversely affect our business in the European Union.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w:t>
      </w:r>
    </w:p>
    <w:p>
      <w:pPr>
        <w:spacing w:after="0" w:line="18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compliance with applicable laws, they may be subject to criminal, civil or administrative sanctions, including exclusions from government funded healthcare programs.</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4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9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face potential liability related to the privacy of health information we obtain from clinical trials sponsored by us.</w:t>
      </w:r>
    </w:p>
    <w:p>
      <w:pPr>
        <w:spacing w:after="0" w:line="248"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99"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 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FDA or other comparable foreign regulatory authorities may not accept data from trials conducted in locations outside of their jurisdiction.</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w:t>
      </w:r>
    </w:p>
    <w:p>
      <w:pPr>
        <w:spacing w:after="0" w:line="3" w:lineRule="exact"/>
        <w:rPr>
          <w:sz w:val="20"/>
          <w:szCs w:val="20"/>
          <w:color w:val="auto"/>
        </w:rPr>
      </w:pPr>
    </w:p>
    <w:p>
      <w:pPr>
        <w:jc w:val="both"/>
        <w:ind w:left="60" w:right="59" w:hanging="10"/>
        <w:spacing w:after="0" w:line="251" w:lineRule="auto"/>
        <w:tabs>
          <w:tab w:leader="none" w:pos="3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trials are performed by clinical investigators of recognized competence; and (3) the data may be considered valid without the need for an on-site inspection by the FDA, or if the FDA considers such an inspection to be necessary, the FDA is able to validate the data through an on-site inspection or other appropriate means. In addition, such foreign trials would be subject to the applicable local laws of the foreign jurisdictions where the trials are conducted. There can be no assurance that the FDA or any other comparable foreign regulatory authority will accept data from trials conducted outside of its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9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17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spacing w:after="0" w:line="188" w:lineRule="exact"/>
        <w:rPr>
          <w:sz w:val="20"/>
          <w:szCs w:val="20"/>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The FDA and other regulatory agencies actively enforce the laws and regulations prohibiting the promotion of off-label uses.</w:t>
      </w:r>
    </w:p>
    <w:p>
      <w:pPr>
        <w:spacing w:after="0" w:line="260"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9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required reporting of certain financial arrangements between manufacturers of biologics, physicians and teaching hospitals under the federal Physician Payments Sunshine Act; expanded the types of entities eligible for the 340B Drug Pricing Program; created a new Patient-Centered Outcomes Research Institute to oversee, identify priorities in, and conduct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By way of example, the Tax Cuts and Jobs Act, or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Texas U.S. District Court Judge ruled that the ACA is unconstitutional in its entirety because the “individual mandate” was eliminated by Congress as part of the Tax Act. Additionally, on December 18, 2019, the U.S. Court of Appeals for the 5</w:t>
      </w:r>
      <w:r>
        <w:rPr>
          <w:rFonts w:ascii="Arial" w:cs="Arial" w:eastAsia="Arial" w:hAnsi="Arial"/>
          <w:sz w:val="12"/>
          <w:szCs w:val="12"/>
          <w:color w:val="auto"/>
        </w:rPr>
        <w:t>th</w:t>
      </w:r>
      <w:r>
        <w:rPr>
          <w:rFonts w:ascii="Arial" w:cs="Arial" w:eastAsia="Arial" w:hAnsi="Arial"/>
          <w:sz w:val="17"/>
          <w:szCs w:val="17"/>
          <w:color w:val="auto"/>
        </w:rPr>
        <w:t xml:space="preserve"> Circuit affirmed the District Court’s ruling that the individual mandate was unconstitutional and remanded the case back to the District Court to determine whether the mandate could be severed from the ACA (i.e., whether the remaining provisions of the ACA are unconstitutional as well). The U.S. Supreme Court is currently reviewing this case. The case is expected to be decided in 2021, although it is unclear how the Supreme Court will rule. It is also unclear how other efforts, if any, to challenge, repeal or replace the ACA will impact the ACA or our business.</w:t>
      </w:r>
    </w:p>
    <w:p>
      <w:pPr>
        <w:spacing w:after="0" w:line="17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with the exception of a temporary suspension from May 1, 2020 through December 31, 2021 due to the coronavirus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likelihood of success of these and other measures initiated by the former Trump administration is uncertain, particularly in light of the new Biden administration. Since the Presidential inauguration, the Biden administration has taken several recent executive actions that signal changes in policy from the prior administration. For example, on January 20, 2021, the Biden administration directed all federal departments and agencies to consider taking steps to withdraw or delay certain regulations and guidance issued by the Trump administration that had not become effective as of January 20, 2021 to permit the Biden administration to review such actions for questions of fact, law, and policy.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9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We expect that other healthcare reform measures that may be adopted in the future may result in more rigorous coverage criteria and in additional downward pressure on the price that we receive for any approved product. Any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4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As of September 30, 2021, we owned pending patent applications, in the United States only, related to our platform technologies, as well as pending patent applications related to our product candidates. We currently do not have any issued patents related to our product candidates or platform technologies.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84" w:lineRule="exact"/>
        <w:rPr>
          <w:sz w:val="20"/>
          <w:szCs w:val="20"/>
          <w:color w:val="auto"/>
        </w:rPr>
      </w:pPr>
    </w:p>
    <w:p>
      <w:pPr>
        <w:jc w:val="both"/>
        <w:ind w:left="60" w:right="59" w:hanging="10"/>
        <w:spacing w:after="0" w:line="259" w:lineRule="auto"/>
        <w:tabs>
          <w:tab w:leader="none" w:pos="1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0"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65" w:lineRule="exact"/>
        <w:rPr>
          <w:rFonts w:ascii="Arial" w:cs="Arial" w:eastAsia="Arial" w:hAnsi="Arial"/>
          <w:sz w:val="18"/>
          <w:szCs w:val="18"/>
          <w:color w:val="auto"/>
        </w:rPr>
      </w:pPr>
    </w:p>
    <w:p>
      <w:pPr>
        <w:ind w:left="60" w:right="279" w:hanging="10"/>
        <w:spacing w:after="0" w:line="277" w:lineRule="auto"/>
        <w:tabs>
          <w:tab w:leader="none" w:pos="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9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developing similar or alternative technologies or products in a non-infringing manner, which could materially adversely affect our business, financial condition, results of operations and prospects.</w:t>
      </w:r>
    </w:p>
    <w:p>
      <w:pPr>
        <w:spacing w:after="0" w:line="17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9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39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patent application is filed, thereby jeopardizing our ability to seek patent protection or maintain the trade secret status of our technology platforms or research and development output.</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(including as a result of COVID-19 and its variants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4"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 w:lineRule="exact"/>
        <w:rPr>
          <w:sz w:val="20"/>
          <w:szCs w:val="20"/>
          <w:color w:val="auto"/>
        </w:rPr>
      </w:pPr>
    </w:p>
    <w:p>
      <w:pPr>
        <w:jc w:val="both"/>
        <w:ind w:left="60" w:right="79"/>
        <w:spacing w:after="0" w:line="260" w:lineRule="auto"/>
        <w:rPr>
          <w:sz w:val="20"/>
          <w:szCs w:val="20"/>
          <w:color w:val="auto"/>
        </w:rPr>
      </w:pPr>
      <w:r>
        <w:rPr>
          <w:rFonts w:ascii="Arial" w:cs="Arial" w:eastAsia="Arial" w:hAnsi="Arial"/>
          <w:sz w:val="18"/>
          <w:szCs w:val="18"/>
          <w:color w:val="auto"/>
        </w:rPr>
        <w:t>In addition, disputes may arise between us and any future licensors regarding intellectual property subject to a license agreement, including: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and obligations imposed under the license agreement and other interpretation-related issues;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intellectual property of the licensor that is not subject to the licensing agreement;</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if any, we owe to a potential licensor in respect of sublicense fees or income or in respect of backup product;</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84"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9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our future licensors and third parties.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8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Further, third parties may obtain patents in the future and claim that use of our technologies infringes upon these patents. Any claims of patent infringement asserted by third parties would be time-consuming and could:</w:t>
      </w:r>
    </w:p>
    <w:p>
      <w:pPr>
        <w:spacing w:after="0" w:line="170" w:lineRule="exact"/>
        <w:rPr>
          <w:sz w:val="20"/>
          <w:szCs w:val="20"/>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unenforceable or not infringed in a court of law;</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38" w:lineRule="exact"/>
        <w:rPr>
          <w:rFonts w:ascii="Arial" w:cs="Arial" w:eastAsia="Arial" w:hAnsi="Arial"/>
          <w:sz w:val="18"/>
          <w:szCs w:val="18"/>
          <w:color w:val="auto"/>
        </w:rPr>
      </w:pPr>
    </w:p>
    <w:p>
      <w:pPr>
        <w:jc w:val="both"/>
        <w:ind w:left="60" w:right="59" w:hanging="10"/>
        <w:spacing w:after="0" w:line="263" w:lineRule="auto"/>
        <w:tabs>
          <w:tab w:leader="none" w:pos="1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97"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20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raise additional funds or otherwise have a material adverse effect on our business, results of operations, financial condition and prospects.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3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200" w:lineRule="exact"/>
        <w:rPr>
          <w:sz w:val="20"/>
          <w:szCs w:val="20"/>
          <w:color w:val="auto"/>
        </w:rPr>
      </w:pPr>
    </w:p>
    <w:p>
      <w:pPr>
        <w:spacing w:after="0" w:line="20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92"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8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proceeding could reduce the scope or enforceability of, or invalidate, our patent rights, which could adversely affect our competitive position.</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3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9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7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9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60" w:right="79"/>
        <w:spacing w:after="0" w:line="270" w:lineRule="auto"/>
        <w:rPr>
          <w:sz w:val="20"/>
          <w:szCs w:val="20"/>
          <w:color w:val="auto"/>
        </w:rPr>
      </w:pPr>
      <w:r>
        <w:rPr>
          <w:rFonts w:ascii="Arial" w:cs="Arial" w:eastAsia="Arial" w:hAnsi="Arial"/>
          <w:sz w:val="17"/>
          <w:szCs w:val="17"/>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strong as that in the United States. These products may compete with our product candidates, and our patents or other intellectual property rights may not be effective or sufficient to prevent them from competing.</w:t>
      </w:r>
    </w:p>
    <w:p>
      <w:pPr>
        <w:spacing w:after="0" w:line="170"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200"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26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7"/>
          <w:szCs w:val="17"/>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reliance on third parties may require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our products. Our trademarks or trade names may be challenged, infringed, circumvented or declared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6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use third-party open source software, which could negatively affect our ability to offer our solutions and subject us to litigation or other actions.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92"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60" w:right="79" w:hanging="10"/>
        <w:spacing w:after="0" w:line="277" w:lineRule="auto"/>
        <w:tabs>
          <w:tab w:leader="none" w:pos="1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may own or license;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make the inventions covered by the issued patents or patent application that we may own or license;</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file patent applications covering certain of our inventions;</w:t>
      </w:r>
    </w:p>
    <w:p>
      <w:pPr>
        <w:spacing w:after="0" w:line="170" w:lineRule="exact"/>
        <w:rPr>
          <w:rFonts w:ascii="Arial" w:cs="Arial" w:eastAsia="Arial" w:hAnsi="Arial"/>
          <w:sz w:val="18"/>
          <w:szCs w:val="18"/>
          <w:color w:val="auto"/>
        </w:rPr>
      </w:pPr>
    </w:p>
    <w:p>
      <w:pPr>
        <w:ind w:left="60" w:right="259" w:hanging="10"/>
        <w:spacing w:after="0" w:line="277" w:lineRule="auto"/>
        <w:tabs>
          <w:tab w:leader="none" w:pos="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or our future licensors’ pending patent applications will not lead to issued patents;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issued patents that we own or license may be held invalid or unenforceable, as a result of legal challenges by our competitors;</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ind w:left="60" w:right="79"/>
        <w:spacing w:after="0" w:line="476" w:lineRule="auto"/>
        <w:rPr>
          <w:sz w:val="20"/>
          <w:szCs w:val="20"/>
          <w:color w:val="auto"/>
        </w:rPr>
      </w:pPr>
      <w:r>
        <w:rPr>
          <w:rFonts w:ascii="Arial" w:cs="Arial" w:eastAsia="Arial" w:hAnsi="Arial"/>
          <w:sz w:val="13"/>
          <w:szCs w:val="13"/>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5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or make arrangements with third parties to perform these services for each of the territories in which we may have approval to sell or market our product candidates. We may not be successful in accomplishing these required tasks.</w:t>
      </w:r>
    </w:p>
    <w:p>
      <w:pPr>
        <w:spacing w:after="0" w:line="14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24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85"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September 30, 2021, we had 36 full-time employees, including 29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88" w:lineRule="exact"/>
        <w:rPr>
          <w:sz w:val="20"/>
          <w:szCs w:val="20"/>
          <w:color w:val="auto"/>
        </w:rPr>
      </w:pPr>
    </w:p>
    <w:p>
      <w:pPr>
        <w:ind w:left="160" w:hanging="110"/>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8" w:lineRule="exact"/>
        <w:rPr>
          <w:rFonts w:ascii="Arial" w:cs="Arial" w:eastAsia="Arial" w:hAnsi="Arial"/>
          <w:sz w:val="18"/>
          <w:szCs w:val="18"/>
          <w:color w:val="auto"/>
        </w:rPr>
      </w:pPr>
    </w:p>
    <w:p>
      <w:pPr>
        <w:jc w:val="both"/>
        <w:ind w:left="60" w:right="79" w:hanging="10"/>
        <w:spacing w:after="0" w:line="263" w:lineRule="auto"/>
        <w:tabs>
          <w:tab w:leader="none" w:pos="1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of IMM-1-104 and any other product candidate we develop, while complying with any contractual obligations to contractors and other third parties we may have;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improving our operational, financial and management controls, reporting systems and procedures.</w:t>
      </w:r>
    </w:p>
    <w:p>
      <w:pPr>
        <w:spacing w:after="0" w:line="23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IMM-1-104 and any other current or future product candidates and, accordingly, may not achieve our research, development and commercialization goals.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An active trading market for our Class A common stock may never develop or be sustained. The market value of our Class A common stock may decrease from the initial public offering price and you may be unable to resell your shares of our Class A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pandemic related to COVID-19 and its variants.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spacing w:after="0" w:line="184" w:lineRule="exact"/>
        <w:rPr>
          <w:sz w:val="20"/>
          <w:szCs w:val="20"/>
          <w:color w:val="auto"/>
        </w:rPr>
      </w:pPr>
    </w:p>
    <w:p>
      <w:pPr>
        <w:ind w:left="160" w:hanging="110"/>
        <w:spacing w:after="0"/>
        <w:tabs>
          <w:tab w:leader="none" w:pos="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and results of preclinical studies and clinical trials of our product candidates or those of our competitors;</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ongoing and future impact of the pandemic related to COVID-19 and its variants, or any future pandemics, and actions taken to slow their spread;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3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1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2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September 30, 2021, our executive officers, directors, holders of 5% or more of our capital stock and their respective affiliates beneficially owned approximately 60.1%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3"/>
          <w:szCs w:val="13"/>
          <w:b w:val="1"/>
          <w:bCs w:val="1"/>
          <w:i w:val="1"/>
          <w:iCs w:val="1"/>
          <w:color w:val="auto"/>
        </w:rPr>
        <w:t>Sales of a substantial number of shares of our Class A common stock in the public market could cause our stock price to fall.</w:t>
      </w:r>
    </w:p>
    <w:p>
      <w:pPr>
        <w:spacing w:after="0" w:line="28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Class A common stock price could decline as a result of sales of a large number of shares of Class A and/or Class B common stock (collectively, including Class A common stock shares issuable upon conversion of the Class B common stock, the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All shares of Class A common stock sold in our IPO are freely tradable without restriction or further registration under the Securities Act of 1933, as amended, or the Securities Act, unless held by our “affiliates” as defined in Rule 144 under the Securities Act. The resale of the remaining 16,889,410 shares, or approximately 65.1%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the IPO. However, subject to applicable securities law restrictions, these shares will be able to be sold in the public market beginning 181 days after the date of the Prospectus.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holders of approximately 11,939,281 shares, or approximately 46.0% of our outstanding shares of our common stock have rights, subject to some conditions, to require us to file registration statements covering the sale of their shares or to include their shares in registration statements that we may file for ourselves or our other stockholders. Once we register the offer and sale of shares for the holders of registration rights, these shares will be able to be sold in the public market upon issuance, subject to the lock-up agreements described above.</w:t>
      </w:r>
    </w:p>
    <w:p>
      <w:pPr>
        <w:spacing w:after="0" w:line="17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65" w:lineRule="exact"/>
        <w:rPr>
          <w:sz w:val="20"/>
          <w:szCs w:val="20"/>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87"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31"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or amended and restated bylaws preclude stockholders that assert claims under the Exchange Act from bringing such claims in state or federal court, subject to applicable law.</w:t>
      </w:r>
    </w:p>
    <w:p>
      <w:pPr>
        <w:spacing w:after="0" w:line="199"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4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any future CROs and other contractors, consultants, collaborators and third-party service providers, are vulnerable to damage from computer viruses, cybersecurity threats, unauthorized access, natural disasters, terrorism, war and telecommunication and electrical failure. If such an event were to occur and cause interruptions in our operations or result in the unauthorized acquisition of or access to personally identifiable information or individually identifiable health information (violating certain privacy laws such as HIPAA, HITECH and GDPR),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9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84" w:lineRule="exact"/>
        <w:rPr>
          <w:sz w:val="20"/>
          <w:szCs w:val="20"/>
          <w:color w:val="auto"/>
        </w:rPr>
      </w:pPr>
    </w:p>
    <w:p>
      <w:pPr>
        <w:jc w:val="both"/>
        <w:ind w:left="60" w:right="79" w:hanging="10"/>
        <w:spacing w:after="0" w:line="263"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Quarterly Report on Form 10-Q;</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w:t>
      </w:r>
    </w:p>
    <w:p>
      <w:pPr>
        <w:spacing w:after="0" w:line="250" w:lineRule="exact"/>
        <w:rPr>
          <w:rFonts w:ascii="Arial" w:cs="Arial" w:eastAsia="Arial" w:hAnsi="Arial"/>
          <w:sz w:val="17"/>
          <w:szCs w:val="17"/>
          <w:color w:val="auto"/>
        </w:rPr>
      </w:pPr>
    </w:p>
    <w:p>
      <w:pPr>
        <w:jc w:val="both"/>
        <w:ind w:left="60" w:right="79" w:hanging="10"/>
        <w:spacing w:after="0" w:line="308" w:lineRule="auto"/>
        <w:tabs>
          <w:tab w:leader="none" w:pos="198"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proxy statements; and</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4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tax legislation may impact our results of operations and financial condition.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 July 2021, we issued 16,041 shares of Class A common stock upon the exercise of stock options under the Immuneering Corporation Long Term Incentive Plan (the “Incentive Plan”) that have a weighted average exercise price of $3.02. We received total proceeds from the exercises of stock options of $48,442. The foregoing involved issuances of securities to Eligible Persons (as defined under the Incentive Plan) in transactions effected without registration in reliance on the exemption from registration under Rule 701 under the Securities Act as transactions pursuant to compensatory benefit plans or contracts relating to compensation.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On August 3, 2021, we completed the IPO, in which we issued and sold 8,625,000 shares of our Class A common stock, inclusive of 1,125,000 shares we sold pursuant to the full exercise of the underwriters’ option to purchase additional shares, at a price to the public of $15.00 per share.</w:t>
      </w:r>
    </w:p>
    <w:p>
      <w:pPr>
        <w:spacing w:after="0" w:line="184"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offer and sale of all of the shares of our Class A common stock in the IPO were registered under the Securities Act pursuant to a registration statement on Form S-1, as amended (File No. 333-257791), which was declared effective by the SEC on July 29, 2021, and a registration statement on Form S-1 MEF (File No. 333-257791), which was automatically effective upon filing with the SEC on July 29, 2021. Morgan Stanley &amp; Co. LLC, Jefferies LLC and Cowen and Company, LLC acted as representatives of the underwriters for the offering. Following the sale of all of the shares offered in connection with the closing of our IPO, the offering terminated.</w:t>
      </w:r>
    </w:p>
    <w:p>
      <w:pPr>
        <w:spacing w:after="0" w:line="17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received aggregate gross proceeds from our IPO of $129.4 million, or aggregate net proceeds of $118.2 million after deducting underwriting discounts and commissions and other offering expenses. No payments for such expenses were made directly or indirectly to (i) any of our officers or directors or their associates, (ii) any persons owning 10% or more of any class of our equity securities or (iii) any of our affiliates. There has been no material change in the planned use of IPO proceeds from that described in the Prospectus.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0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0"/>
                <w:szCs w:val="10"/>
                <w:color w:val="auto"/>
              </w:rPr>
            </w:pPr>
          </w:p>
        </w:tc>
        <w:tc>
          <w:tcPr>
            <w:tcW w:w="3160" w:type="dxa"/>
            <w:vAlign w:val="bottom"/>
            <w:gridSpan w:val="8"/>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3900" w:type="dxa"/>
            <w:vAlign w:val="bottom"/>
            <w:tcBorders>
              <w:bottom w:val="single" w:sz="8" w:color="0000EE"/>
            </w:tcBorders>
            <w:gridSpan w:val="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Amended and Restated Certificate of Incorporation of</w:t>
              </w:r>
            </w:hyperlink>
          </w:p>
        </w:tc>
        <w:tc>
          <w:tcPr>
            <w:tcW w:w="14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001-40675</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9/9/2021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9"/>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Immuneering Corporation</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040" w:type="dxa"/>
            <w:vAlign w:val="bottom"/>
            <w:gridSpan w:val="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Amended and Restated Bylaws of Immuneering</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001-40675</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1"/>
              </w:rPr>
              <w:t>9/9/2021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Corporation</w:t>
              </w:r>
            </w:hyperlink>
          </w:p>
        </w:tc>
        <w:tc>
          <w:tcPr>
            <w:tcW w:w="2580" w:type="dxa"/>
            <w:vAlign w:val="bottom"/>
            <w:tcBorders>
              <w:top w:val="single" w:sz="8" w:color="0000EE"/>
            </w:tcBorders>
            <w:gridSpan w:val="4"/>
          </w:tcPr>
          <w:p>
            <w:pPr>
              <w:spacing w:after="0"/>
              <w:rPr>
                <w:sz w:val="17"/>
                <w:szCs w:val="17"/>
                <w:color w:val="auto"/>
              </w:rPr>
            </w:pPr>
          </w:p>
        </w:tc>
        <w:tc>
          <w:tcPr>
            <w:tcW w:w="5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Employment Agreement, dated July 23, 2021, by and</w:t>
              </w:r>
            </w:hyperlink>
          </w:p>
        </w:tc>
        <w:tc>
          <w:tcPr>
            <w:tcW w:w="18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7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between Biren Amin and Immuneering Corporation</w:t>
              </w:r>
            </w:hyperlink>
          </w:p>
        </w:tc>
        <w:tc>
          <w:tcPr>
            <w:tcW w:w="3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Employment Agreement, dated July 23, 2021, by and</w:t>
              </w:r>
            </w:hyperlink>
          </w:p>
        </w:tc>
        <w:tc>
          <w:tcPr>
            <w:tcW w:w="18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between Brett Hall, Ph.D. and Immuneering</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Corporation</w:t>
              </w:r>
            </w:hyperlink>
          </w:p>
        </w:tc>
        <w:tc>
          <w:tcPr>
            <w:tcW w:w="2300" w:type="dxa"/>
            <w:vAlign w:val="bottom"/>
            <w:tcBorders>
              <w:top w:val="single" w:sz="8" w:color="0000EE"/>
            </w:tcBorders>
            <w:gridSpan w:val="2"/>
          </w:tcPr>
          <w:p>
            <w:pPr>
              <w:spacing w:after="0"/>
              <w:rPr>
                <w:sz w:val="17"/>
                <w:szCs w:val="17"/>
                <w:color w:val="auto"/>
              </w:rPr>
            </w:pPr>
          </w:p>
        </w:tc>
        <w:tc>
          <w:tcPr>
            <w:tcW w:w="8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Employment Agreement, dated July 23, 2021, by and</w:t>
              </w:r>
            </w:hyperlink>
          </w:p>
        </w:tc>
        <w:tc>
          <w:tcPr>
            <w:tcW w:w="18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between Scott Barrett, M.D. and Immuneering</w:t>
              </w:r>
            </w:hyperlink>
          </w:p>
        </w:tc>
        <w:tc>
          <w:tcPr>
            <w:tcW w:w="6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Corporation</w:t>
              </w:r>
            </w:hyperlink>
          </w:p>
        </w:tc>
        <w:tc>
          <w:tcPr>
            <w:tcW w:w="31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0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80" w:type="dxa"/>
            <w:vAlign w:val="bottom"/>
            <w:gridSpan w:val="13"/>
            <w:vMerge w:val="restart"/>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3"/>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3860" w:type="dxa"/>
            <w:vAlign w:val="bottom"/>
            <w:tcBorders>
              <w:bottom w:val="single" w:sz="8" w:color="0000EE"/>
            </w:tcBorders>
            <w:gridSpan w:val="11"/>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Employment Agreement, dated July 23, 2021, by and</w:t>
              </w:r>
            </w:hyperlink>
          </w:p>
        </w:tc>
        <w:tc>
          <w:tcPr>
            <w:tcW w:w="180" w:type="dxa"/>
            <w:vAlign w:val="bottom"/>
            <w:gridSpan w:val="4"/>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between Benjamin J. Zeskind, Ph.D. and Immuneering</w:t>
              </w:r>
            </w:hyperlink>
          </w:p>
        </w:tc>
        <w:tc>
          <w:tcPr>
            <w:tcW w:w="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Corporation</w:t>
              </w:r>
            </w:hyperlink>
          </w:p>
        </w:tc>
        <w:tc>
          <w:tcPr>
            <w:tcW w:w="31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3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Employment Agreement, dated July 23, 2021, by and</w:t>
              </w:r>
            </w:hyperlink>
          </w:p>
        </w:tc>
        <w:tc>
          <w:tcPr>
            <w:tcW w:w="180" w:type="dxa"/>
            <w:vAlign w:val="bottom"/>
            <w:gridSpan w:val="4"/>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10.9</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5"/>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between Michael D. Bookman and Immuneering</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Corporation</w:t>
              </w:r>
            </w:hyperlink>
          </w:p>
        </w:tc>
        <w:tc>
          <w:tcPr>
            <w:tcW w:w="2640" w:type="dxa"/>
            <w:vAlign w:val="bottom"/>
            <w:tcBorders>
              <w:top w:val="single" w:sz="8" w:color="0000EE"/>
            </w:tcBorders>
            <w:gridSpan w:val="7"/>
          </w:tcPr>
          <w:p>
            <w:pPr>
              <w:spacing w:after="0"/>
              <w:rPr>
                <w:sz w:val="17"/>
                <w:szCs w:val="17"/>
                <w:color w:val="auto"/>
              </w:rPr>
            </w:pPr>
          </w:p>
        </w:tc>
        <w:tc>
          <w:tcPr>
            <w:tcW w:w="5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Immuneering Corporation 2021 Incentive Award Plan</w:t>
              </w:r>
            </w:hyperlink>
          </w:p>
        </w:tc>
        <w:tc>
          <w:tcPr>
            <w:tcW w:w="14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5"/>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and forms of award agreements thereunder.</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4040" w:type="dxa"/>
            <w:vAlign w:val="bottom"/>
            <w:gridSpan w:val="15"/>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Immuneering Corporation 2021 Employee Stock</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Purchase Plan.</w:t>
              </w:r>
            </w:hyperlink>
          </w:p>
        </w:tc>
        <w:tc>
          <w:tcPr>
            <w:tcW w:w="5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Form of Indemnification Agreement by and among the</w:t>
              </w:r>
            </w:hyperlink>
          </w:p>
        </w:tc>
        <w:tc>
          <w:tcPr>
            <w:tcW w:w="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10.12</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Registrant and its directors and officers.</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Immuneering Corporation Non-Employee Director</w:t>
              </w:r>
            </w:hyperlink>
          </w:p>
        </w:tc>
        <w:tc>
          <w:tcPr>
            <w:tcW w:w="360" w:type="dxa"/>
            <w:vAlign w:val="bottom"/>
            <w:gridSpan w:val="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333-257791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Compensation Program.</w:t>
              </w:r>
            </w:hyperlink>
          </w:p>
        </w:tc>
        <w:tc>
          <w:tcPr>
            <w:tcW w:w="22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040" w:type="dxa"/>
            <w:vAlign w:val="bottom"/>
            <w:gridSpan w:val="1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Executive Officer pursuant to</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Rule 13a-14(a)/15d-14(a).</w:t>
              </w:r>
            </w:hyperlink>
          </w:p>
        </w:tc>
        <w:tc>
          <w:tcPr>
            <w:tcW w:w="1820" w:type="dxa"/>
            <w:vAlign w:val="bottom"/>
            <w:tcBorders>
              <w:top w:val="single" w:sz="8" w:color="0000EE"/>
            </w:tcBorders>
            <w:gridSpan w:val="5"/>
          </w:tcPr>
          <w:p>
            <w:pPr>
              <w:spacing w:after="0"/>
              <w:rPr>
                <w:sz w:val="17"/>
                <w:szCs w:val="17"/>
                <w:color w:val="auto"/>
              </w:rPr>
            </w:pPr>
          </w:p>
        </w:tc>
        <w:tc>
          <w:tcPr>
            <w:tcW w:w="3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Certification of Chief Financial Officer pursuant to</w:t>
              </w:r>
            </w:hyperlink>
          </w:p>
        </w:tc>
        <w:tc>
          <w:tcPr>
            <w:tcW w:w="3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Rule 13a-14(a)/15d-14(a).</w:t>
              </w:r>
            </w:hyperlink>
          </w:p>
        </w:tc>
        <w:tc>
          <w:tcPr>
            <w:tcW w:w="214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9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Certification of Chief Executive Officer pursuant to 18</w:t>
              </w:r>
            </w:hyperlink>
          </w:p>
        </w:tc>
        <w:tc>
          <w:tcPr>
            <w:tcW w:w="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U.S.C. Section 1350.</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040" w:type="dxa"/>
            <w:vAlign w:val="bottom"/>
            <w:gridSpan w:val="15"/>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Certification of Chief Financial Officer pursuant to 18</w:t>
              </w:r>
            </w:hyperlink>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U.S.C. Section 1350.</w:t>
              </w:r>
            </w:hyperlink>
          </w:p>
        </w:tc>
        <w:tc>
          <w:tcPr>
            <w:tcW w:w="1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w w:val="93"/>
              </w:rPr>
              <w:t>document does not appear in the Interactive Data File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w w:val="92"/>
              </w:rPr>
              <w:t>because its XBRL tags are embedded within the Inline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rPr>
              <w:t>XBRL document.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4040" w:type="dxa"/>
            <w:vAlign w:val="bottom"/>
            <w:gridSpan w:val="15"/>
          </w:tcPr>
          <w:p>
            <w:pPr>
              <w:spacing w:after="0"/>
              <w:rPr>
                <w:sz w:val="20"/>
                <w:szCs w:val="20"/>
                <w:color w:val="auto"/>
              </w:rPr>
            </w:pPr>
            <w:r>
              <w:rPr>
                <w:rFonts w:ascii="Arial" w:cs="Arial" w:eastAsia="Arial" w:hAnsi="Arial"/>
                <w:sz w:val="18"/>
                <w:szCs w:val="18"/>
                <w:color w:val="auto"/>
                <w:w w:val="93"/>
              </w:rPr>
              <w:t>Inline XBRL Taxonomy Extension Schema Document.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40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4040" w:type="dxa"/>
            <w:vAlign w:val="bottom"/>
            <w:gridSpan w:val="15"/>
          </w:tcPr>
          <w:p>
            <w:pPr>
              <w:spacing w:after="0"/>
              <w:rPr>
                <w:sz w:val="20"/>
                <w:szCs w:val="20"/>
                <w:color w:val="auto"/>
              </w:rPr>
            </w:pPr>
            <w:r>
              <w:rPr>
                <w:rFonts w:ascii="Arial" w:cs="Arial" w:eastAsia="Arial" w:hAnsi="Arial"/>
                <w:sz w:val="18"/>
                <w:szCs w:val="18"/>
                <w:color w:val="auto"/>
                <w:w w:val="94"/>
              </w:rPr>
              <w:t>Inline XBRL Taxonomy Extension Definition Linkbase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40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40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4040" w:type="dxa"/>
            <w:vAlign w:val="bottom"/>
            <w:gridSpan w:val="15"/>
          </w:tcPr>
          <w:p>
            <w:pPr>
              <w:spacing w:after="0"/>
              <w:rPr>
                <w:sz w:val="20"/>
                <w:szCs w:val="20"/>
                <w:color w:val="auto"/>
              </w:rPr>
            </w:pPr>
            <w:r>
              <w:rPr>
                <w:rFonts w:ascii="Arial" w:cs="Arial" w:eastAsia="Arial" w:hAnsi="Arial"/>
                <w:sz w:val="18"/>
                <w:szCs w:val="18"/>
                <w:color w:val="auto"/>
                <w:w w:val="95"/>
              </w:rPr>
              <w:t>Cover Page Interactive Data File (formatted as Inline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040" w:type="dxa"/>
            <w:vAlign w:val="bottom"/>
            <w:gridSpan w:val="15"/>
          </w:tcPr>
          <w:p>
            <w:pPr>
              <w:spacing w:after="0"/>
              <w:rPr>
                <w:sz w:val="20"/>
                <w:szCs w:val="20"/>
                <w:color w:val="auto"/>
              </w:rPr>
            </w:pPr>
            <w:r>
              <w:rPr>
                <w:rFonts w:ascii="Arial" w:cs="Arial" w:eastAsia="Arial" w:hAnsi="Arial"/>
                <w:sz w:val="18"/>
                <w:szCs w:val="18"/>
                <w:color w:val="auto"/>
              </w:rPr>
              <w:t>XBRL and contained in Exhibit 101)</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hanging="730"/>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730"/>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hanging="730"/>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060" w:type="dxa"/>
            <w:vAlign w:val="bottom"/>
            <w:gridSpan w:val="2"/>
          </w:tcPr>
          <w:p>
            <w:pPr>
              <w:ind w:left="1060"/>
              <w:spacing w:after="0"/>
              <w:rPr>
                <w:sz w:val="20"/>
                <w:szCs w:val="20"/>
                <w:color w:val="auto"/>
              </w:rPr>
            </w:pPr>
            <w:r>
              <w:rPr>
                <w:rFonts w:ascii="Arial" w:cs="Arial" w:eastAsia="Arial" w:hAnsi="Arial"/>
                <w:sz w:val="18"/>
                <w:szCs w:val="18"/>
                <w:b w:val="1"/>
                <w:bCs w:val="1"/>
                <w:color w:val="auto"/>
              </w:rPr>
              <w:t>IMMUNEERING CORPORATION</w:t>
            </w:r>
          </w:p>
        </w:tc>
      </w:tr>
      <w:tr>
        <w:trPr>
          <w:trHeight w:val="648"/>
        </w:trPr>
        <w:tc>
          <w:tcPr>
            <w:tcW w:w="2820" w:type="dxa"/>
            <w:vAlign w:val="bottom"/>
          </w:tcPr>
          <w:p>
            <w:pPr>
              <w:spacing w:after="0"/>
              <w:rPr>
                <w:sz w:val="20"/>
                <w:szCs w:val="20"/>
                <w:color w:val="auto"/>
              </w:rPr>
            </w:pPr>
            <w:r>
              <w:rPr>
                <w:rFonts w:ascii="Arial" w:cs="Arial" w:eastAsia="Arial" w:hAnsi="Arial"/>
                <w:sz w:val="18"/>
                <w:szCs w:val="18"/>
                <w:color w:val="auto"/>
              </w:rPr>
              <w:t>Date: November 9, 2021</w:t>
            </w:r>
          </w:p>
        </w:tc>
        <w:tc>
          <w:tcPr>
            <w:tcW w:w="1640" w:type="dxa"/>
            <w:vAlign w:val="bottom"/>
          </w:tcPr>
          <w:p>
            <w:pPr>
              <w:ind w:left="10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J. Zeskind</w:t>
            </w:r>
          </w:p>
        </w:tc>
      </w:tr>
      <w:tr>
        <w:trPr>
          <w:trHeight w:val="195"/>
        </w:trPr>
        <w:tc>
          <w:tcPr>
            <w:tcW w:w="2820" w:type="dxa"/>
            <w:vAlign w:val="bottom"/>
          </w:tcPr>
          <w:p>
            <w:pPr>
              <w:spacing w:after="0"/>
              <w:rPr>
                <w:sz w:val="16"/>
                <w:szCs w:val="16"/>
                <w:color w:val="auto"/>
              </w:rPr>
            </w:pPr>
          </w:p>
        </w:tc>
        <w:tc>
          <w:tcPr>
            <w:tcW w:w="1640" w:type="dxa"/>
            <w:vAlign w:val="bottom"/>
          </w:tcPr>
          <w:p>
            <w:pPr>
              <w:ind w:left="106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Benjamin J. Zeskind, Ph.D.</w:t>
            </w:r>
          </w:p>
        </w:tc>
      </w:tr>
      <w:tr>
        <w:trPr>
          <w:trHeight w:val="216"/>
        </w:trPr>
        <w:tc>
          <w:tcPr>
            <w:tcW w:w="2820" w:type="dxa"/>
            <w:vAlign w:val="bottom"/>
          </w:tcPr>
          <w:p>
            <w:pPr>
              <w:spacing w:after="0"/>
              <w:rPr>
                <w:sz w:val="18"/>
                <w:szCs w:val="18"/>
                <w:color w:val="auto"/>
              </w:rPr>
            </w:pPr>
          </w:p>
        </w:tc>
        <w:tc>
          <w:tcPr>
            <w:tcW w:w="1640" w:type="dxa"/>
            <w:vAlign w:val="bottom"/>
          </w:tcPr>
          <w:p>
            <w:pPr>
              <w:ind w:left="106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w w:val="92"/>
              </w:rPr>
              <w:t>Co-Founder, President, Chief Executive Officer and Director</w:t>
            </w:r>
          </w:p>
        </w:tc>
      </w:tr>
      <w:tr>
        <w:trPr>
          <w:trHeight w:val="230"/>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Date: November 9, 2021</w:t>
            </w:r>
          </w:p>
        </w:tc>
        <w:tc>
          <w:tcPr>
            <w:tcW w:w="1640" w:type="dxa"/>
            <w:vAlign w:val="bottom"/>
          </w:tcPr>
          <w:p>
            <w:pPr>
              <w:ind w:left="10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Biren Amin</w:t>
            </w:r>
          </w:p>
        </w:tc>
      </w:tr>
      <w:tr>
        <w:trPr>
          <w:trHeight w:val="195"/>
        </w:trPr>
        <w:tc>
          <w:tcPr>
            <w:tcW w:w="2820" w:type="dxa"/>
            <w:vAlign w:val="bottom"/>
          </w:tcPr>
          <w:p>
            <w:pPr>
              <w:spacing w:after="0"/>
              <w:rPr>
                <w:sz w:val="16"/>
                <w:szCs w:val="16"/>
                <w:color w:val="auto"/>
              </w:rPr>
            </w:pPr>
          </w:p>
        </w:tc>
        <w:tc>
          <w:tcPr>
            <w:tcW w:w="1640" w:type="dxa"/>
            <w:vAlign w:val="bottom"/>
          </w:tcPr>
          <w:p>
            <w:pPr>
              <w:ind w:left="106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Biren Amin</w:t>
            </w:r>
          </w:p>
        </w:tc>
      </w:tr>
      <w:tr>
        <w:trPr>
          <w:trHeight w:val="216"/>
        </w:trPr>
        <w:tc>
          <w:tcPr>
            <w:tcW w:w="2820" w:type="dxa"/>
            <w:vAlign w:val="bottom"/>
          </w:tcPr>
          <w:p>
            <w:pPr>
              <w:spacing w:after="0"/>
              <w:rPr>
                <w:sz w:val="18"/>
                <w:szCs w:val="18"/>
                <w:color w:val="auto"/>
              </w:rPr>
            </w:pPr>
          </w:p>
        </w:tc>
        <w:tc>
          <w:tcPr>
            <w:tcW w:w="1640" w:type="dxa"/>
            <w:vAlign w:val="bottom"/>
          </w:tcPr>
          <w:p>
            <w:pPr>
              <w:ind w:left="106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w:t>
            </w:r>
          </w:p>
        </w:tc>
      </w:tr>
      <w:tr>
        <w:trPr>
          <w:trHeight w:val="230"/>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Benjamin J. Zeskind, certify that:</w:t>
      </w:r>
    </w:p>
    <w:p>
      <w:pPr>
        <w:spacing w:after="0" w:line="104" w:lineRule="exact"/>
        <w:rPr>
          <w:sz w:val="20"/>
          <w:szCs w:val="20"/>
          <w:color w:val="auto"/>
        </w:rPr>
      </w:pPr>
    </w:p>
    <w:p>
      <w:pPr>
        <w:ind w:left="700" w:hanging="6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03"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340" w:hanging="648"/>
        <w:spacing w:after="0"/>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700" w:right="379" w:hanging="656"/>
        <w:spacing w:after="0" w:line="24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Co-Founder, President, Chief Executive Officer and</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630555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Biren Amin, certify that:</w:t>
      </w:r>
    </w:p>
    <w:p>
      <w:pPr>
        <w:spacing w:after="0" w:line="104" w:lineRule="exact"/>
        <w:rPr>
          <w:sz w:val="20"/>
          <w:szCs w:val="20"/>
          <w:color w:val="auto"/>
        </w:rPr>
      </w:pPr>
    </w:p>
    <w:p>
      <w:pPr>
        <w:ind w:left="700" w:hanging="6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03"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340" w:hanging="648"/>
        <w:spacing w:after="0"/>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700" w:right="379" w:hanging="656"/>
        <w:spacing w:after="0" w:line="24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Biren Amin</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Biren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ind w:left="4700"/>
        <w:spacing w:after="0" w:line="192" w:lineRule="auto"/>
        <w:rPr>
          <w:sz w:val="20"/>
          <w:szCs w:val="20"/>
          <w:color w:val="auto"/>
        </w:rPr>
      </w:pPr>
      <w:r>
        <w:rPr>
          <w:rFonts w:ascii="Arial" w:cs="Arial" w:eastAsia="Arial" w:hAnsi="Arial"/>
          <w:sz w:val="35"/>
          <w:szCs w:val="35"/>
          <w:color w:val="auto"/>
          <w:vertAlign w:val="superscript"/>
        </w:rPr>
        <w:t>Title:</w:t>
      </w:r>
      <w:r>
        <w:rPr>
          <w:rFonts w:ascii="Arial" w:cs="Arial" w:eastAsia="Arial" w:hAnsi="Arial"/>
          <w:sz w:val="18"/>
          <w:szCs w:val="18"/>
          <w:color w:val="auto"/>
        </w:rPr>
        <w:t xml:space="preserve">  Chief Financial Officer and Treasurer</w:t>
      </w:r>
    </w:p>
    <w:p>
      <w:pPr>
        <w:ind w:left="5200"/>
        <w:spacing w:after="0" w:line="234" w:lineRule="auto"/>
        <w:rPr>
          <w:sz w:val="20"/>
          <w:szCs w:val="20"/>
          <w:color w:val="auto"/>
        </w:rPr>
      </w:pPr>
      <w:r>
        <w:rPr>
          <w:rFonts w:ascii="Arial" w:cs="Arial" w:eastAsia="Arial" w:hAnsi="Arial"/>
          <w:sz w:val="18"/>
          <w:szCs w:val="18"/>
          <w:color w:val="auto"/>
        </w:rPr>
        <w:t>(Principal Financial Officer and Principal</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ind w:left="40" w:right="59"/>
        <w:spacing w:after="0" w:line="3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3" w:lineRule="exact"/>
        <w:rPr>
          <w:sz w:val="20"/>
          <w:szCs w:val="20"/>
          <w:color w:val="auto"/>
        </w:rPr>
      </w:pPr>
    </w:p>
    <w:p>
      <w:pPr>
        <w:ind w:left="40" w:right="119"/>
        <w:spacing w:after="0" w:line="243"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September 30, 2021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80" w:lineRule="exact"/>
        <w:rPr>
          <w:sz w:val="20"/>
          <w:szCs w:val="20"/>
          <w:color w:val="auto"/>
        </w:rPr>
      </w:pPr>
    </w:p>
    <w:p>
      <w:pPr>
        <w:ind w:left="1340" w:right="539" w:hanging="648"/>
        <w:spacing w:after="0" w:line="261"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7"/>
          <w:szCs w:val="17"/>
          <w:color w:val="auto"/>
        </w:rPr>
        <w:t>Title:</w:t>
        <w:tab/>
        <w:t>Co-Founder, President, Chief Executive Officer and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664845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ind w:left="40" w:right="59"/>
        <w:spacing w:after="0" w:line="3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3" w:lineRule="exact"/>
        <w:rPr>
          <w:sz w:val="20"/>
          <w:szCs w:val="20"/>
          <w:color w:val="auto"/>
        </w:rPr>
      </w:pPr>
    </w:p>
    <w:p>
      <w:pPr>
        <w:ind w:left="40" w:right="79"/>
        <w:spacing w:after="0" w:line="243"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September 30, 2021,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80" w:lineRule="exact"/>
        <w:rPr>
          <w:sz w:val="20"/>
          <w:szCs w:val="20"/>
          <w:color w:val="auto"/>
        </w:rPr>
      </w:pPr>
    </w:p>
    <w:p>
      <w:pPr>
        <w:ind w:left="1340" w:right="539" w:hanging="648"/>
        <w:spacing w:after="0" w:line="261"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40" w:type="dxa"/>
            <w:vAlign w:val="bottom"/>
          </w:tcPr>
          <w:p>
            <w:pPr>
              <w:ind w:left="446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 Biren Amin</w:t>
            </w:r>
          </w:p>
        </w:tc>
        <w:tc>
          <w:tcPr>
            <w:tcW w:w="0" w:type="dxa"/>
            <w:vAlign w:val="bottom"/>
          </w:tcPr>
          <w:p>
            <w:pPr>
              <w:spacing w:after="0"/>
              <w:rPr>
                <w:sz w:val="1"/>
                <w:szCs w:val="1"/>
                <w:color w:val="auto"/>
              </w:rPr>
            </w:pPr>
          </w:p>
        </w:tc>
      </w:tr>
      <w:tr>
        <w:trPr>
          <w:trHeight w:val="40"/>
        </w:trPr>
        <w:tc>
          <w:tcPr>
            <w:tcW w:w="5040" w:type="dxa"/>
            <w:vAlign w:val="bottom"/>
            <w:vMerge w:val="restart"/>
          </w:tcPr>
          <w:p>
            <w:pPr>
              <w:ind w:left="4460"/>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Biren Amin</w:t>
            </w:r>
          </w:p>
        </w:tc>
        <w:tc>
          <w:tcPr>
            <w:tcW w:w="0" w:type="dxa"/>
            <w:vAlign w:val="bottom"/>
          </w:tcPr>
          <w:p>
            <w:pPr>
              <w:spacing w:after="0"/>
              <w:rPr>
                <w:sz w:val="1"/>
                <w:szCs w:val="1"/>
                <w:color w:val="auto"/>
              </w:rPr>
            </w:pPr>
          </w:p>
        </w:tc>
      </w:tr>
      <w:tr>
        <w:trPr>
          <w:trHeight w:val="257"/>
        </w:trPr>
        <w:tc>
          <w:tcPr>
            <w:tcW w:w="5040" w:type="dxa"/>
            <w:vAlign w:val="bottom"/>
          </w:tcPr>
          <w:p>
            <w:pPr>
              <w:ind w:left="446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03"/>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2"/>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8"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13" Type="http://schemas.openxmlformats.org/officeDocument/2006/relationships/hyperlink" Target="https://www.sec.gov/Archives/edgar/data/1790340/000155837021012336/imrx-20210630xex3d1.htm" TargetMode="External"/><Relationship Id="rId114" Type="http://schemas.openxmlformats.org/officeDocument/2006/relationships/hyperlink" Target="https://www.sec.gov/Archives/edgar/data/1790340/000155837021012336/imrx-20210630xex3d2.htm" TargetMode="External"/><Relationship Id="rId115" Type="http://schemas.openxmlformats.org/officeDocument/2006/relationships/hyperlink" Target="https://www.sec.gov/Archives/edgar/data/1790340/000110465921095557/tm2115679d11_ex10-5.htm" TargetMode="External"/><Relationship Id="rId116" Type="http://schemas.openxmlformats.org/officeDocument/2006/relationships/hyperlink" Target="https://www.sec.gov/Archives/edgar/data/1790340/000110465921095557/tm2115679d11_ex10-6.htm" TargetMode="External"/><Relationship Id="rId117" Type="http://schemas.openxmlformats.org/officeDocument/2006/relationships/hyperlink" Target="https://www.sec.gov/Archives/edgar/data/1790340/000110465921095557/tm2115679d11_ex10-7.htm" TargetMode="External"/><Relationship Id="rId119" Type="http://schemas.openxmlformats.org/officeDocument/2006/relationships/hyperlink" Target="https://www.sec.gov/Archives/edgar/data/1790340/000110465921095557/tm2115679d11_ex10-8.htm" TargetMode="External"/><Relationship Id="rId120" Type="http://schemas.openxmlformats.org/officeDocument/2006/relationships/hyperlink" Target="https://www.sec.gov/Archives/edgar/data/1790340/000110465921095557/tm2115679d11_ex10-9.htm" TargetMode="External"/><Relationship Id="rId121" Type="http://schemas.openxmlformats.org/officeDocument/2006/relationships/hyperlink" Target="https://www.sec.gov/Archives/edgar/data/1790340/000110465921095557/tm2115679d11_ex10-10.htm" TargetMode="External"/><Relationship Id="rId122" Type="http://schemas.openxmlformats.org/officeDocument/2006/relationships/hyperlink" Target="https://www.sec.gov/Archives/edgar/data/1790340/000110465921095557/tm2115679d11_ex10-11.htm" TargetMode="External"/><Relationship Id="rId123" Type="http://schemas.openxmlformats.org/officeDocument/2006/relationships/hyperlink" Target="https://www.sec.gov/Archives/edgar/data/1790340/000110465921095557/tm2115679d11_ex10-12.htm" TargetMode="External"/><Relationship Id="rId124" Type="http://schemas.openxmlformats.org/officeDocument/2006/relationships/hyperlink" Target="https://www.sec.gov/Archives/edgar/data/1790340/000110465921095557/tm2115679d11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2021-11-09T05:39:57Z</dcterms:created>
  <dcterms:modified xsi:type="dcterms:W3CDTF">2021-11-09T05:39:57Z</dcterms:modified>
</cp:coreProperties>
</file>